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丝印机项目建设总纲及方案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04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_Toc7042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51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_Toc24451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5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_Toc9925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9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_Toc4059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7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_Toc28147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71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_Toc17871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_Toc27971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26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_Toc6526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6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_Toc24056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7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_Toc25147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44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_Toc6344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49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_Toc16849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08" w:history="1">
        <w:r>
          <w:rPr>
            <w:rFonts w:ascii="仿宋" w:eastAsia="仿宋" w:hAnsi="仿宋" w:cs="仿宋" w:hint="eastAsia"/>
            <w:lang w:eastAsia="zh-CN"/>
          </w:rPr>
          <w:t>三、丝印机项目概论</w:t>
        </w:r>
        <w:r>
          <w:tab/>
        </w:r>
        <w:r>
          <w:fldChar w:fldCharType="begin"/>
        </w:r>
        <w:r>
          <w:instrText xml:space="preserve"> PAGEREF _Toc23708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19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_Toc5819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93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_Toc9293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70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_Toc30070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7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_Toc19273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1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_Toc2331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_Toc57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6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_Toc32206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_Toc15919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11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_Toc27611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_Toc2016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95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_Toc12395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49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_Toc15849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48" w:history="1">
        <w:r>
          <w:rPr>
            <w:rFonts w:ascii="仿宋" w:eastAsia="仿宋" w:hAnsi="仿宋" w:cs="仿宋" w:hint="eastAsia"/>
            <w:lang w:eastAsia="zh-CN"/>
          </w:rPr>
          <w:t>五、项目监理与质量保证</w:t>
        </w:r>
        <w:r>
          <w:tab/>
        </w:r>
        <w:r>
          <w:fldChar w:fldCharType="begin"/>
        </w:r>
        <w:r>
          <w:instrText xml:space="preserve"> PAGEREF _Toc18748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5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_Toc28745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6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_Toc12996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0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_Toc19550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9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_Toc1179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72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_Toc5172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3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_Toc9773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18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_Toc12518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4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_Toc1534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31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_Toc16731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86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_Toc20486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99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_Toc20399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9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_Toc17389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5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_Toc27385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58" w:history="1">
        <w:r>
          <w:rPr>
            <w:rFonts w:ascii="仿宋" w:eastAsia="仿宋" w:hAnsi="仿宋" w:cs="仿宋" w:hint="eastAsia"/>
            <w:lang w:eastAsia="zh-CN"/>
          </w:rPr>
          <w:t>九、项目质量与标准</w:t>
        </w:r>
        <w:r>
          <w:tab/>
        </w:r>
        <w:r>
          <w:fldChar w:fldCharType="begin"/>
        </w:r>
        <w:r>
          <w:instrText xml:space="preserve"> PAGEREF _Toc4658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0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_Toc4190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067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_Toc8067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3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_Toc25993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9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_Toc18379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37" w:history="1">
        <w:r>
          <w:rPr>
            <w:rFonts w:ascii="仿宋" w:eastAsia="仿宋" w:hAnsi="仿宋" w:cs="仿宋" w:hint="eastAsia"/>
            <w:lang w:eastAsia="zh-CN"/>
          </w:rPr>
          <w:t>十、项目变更管理</w:t>
        </w:r>
        <w:r>
          <w:tab/>
        </w:r>
        <w:r>
          <w:fldChar w:fldCharType="begin"/>
        </w:r>
        <w:r>
          <w:instrText xml:space="preserve"> PAGEREF _Toc6137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16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_Toc18116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8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_Toc4048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9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_Toc23059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44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_Toc23044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01" w:history="1">
        <w:r>
          <w:rPr>
            <w:rFonts w:ascii="仿宋" w:eastAsia="仿宋" w:hAnsi="仿宋" w:cs="仿宋" w:hint="eastAsia"/>
            <w:lang w:eastAsia="zh-CN"/>
          </w:rPr>
          <w:t>十一、环境保护与绿色发展</w:t>
        </w:r>
        <w:r>
          <w:tab/>
        </w:r>
        <w:r>
          <w:fldChar w:fldCharType="begin"/>
        </w:r>
        <w:r>
          <w:instrText xml:space="preserve"> PAGEREF _Toc4401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7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_Toc3357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2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_Toc8622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42" w:history="1">
        <w:r>
          <w:rPr>
            <w:rFonts w:ascii="仿宋" w:eastAsia="仿宋" w:hAnsi="仿宋" w:cs="仿宋" w:hint="eastAsia"/>
            <w:lang w:eastAsia="zh-CN"/>
          </w:rPr>
          <w:t>十二、资金管理与财务规划</w:t>
        </w:r>
        <w:r>
          <w:tab/>
        </w:r>
        <w:r>
          <w:fldChar w:fldCharType="begin"/>
        </w:r>
        <w:r>
          <w:instrText xml:space="preserve"> PAGEREF _Toc17642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_Toc2714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4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_Toc29904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39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_Toc26639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87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_Toc3487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_Toc8244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7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_Toc6937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73" w:history="1">
        <w:r>
          <w:rPr>
            <w:rFonts w:ascii="仿宋" w:eastAsia="仿宋" w:hAnsi="仿宋" w:cs="仿宋" w:hint="eastAsia"/>
            <w:lang w:eastAsia="zh-CN"/>
          </w:rPr>
          <w:t>十四、企业合规与伦理</w:t>
        </w:r>
        <w:r>
          <w:tab/>
        </w:r>
        <w:r>
          <w:fldChar w:fldCharType="begin"/>
        </w:r>
        <w:r>
          <w:instrText xml:space="preserve"> PAGEREF _Toc7473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6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_Toc24196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95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_Toc9195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74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_Toc22274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11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_Toc5511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43" w:history="1">
        <w:r>
          <w:rPr>
            <w:rFonts w:ascii="仿宋" w:eastAsia="仿宋" w:hAnsi="仿宋" w:cs="仿宋" w:hint="eastAsia"/>
            <w:lang w:eastAsia="zh-CN"/>
          </w:rPr>
          <w:t>十五、创新驱动与持续发展</w:t>
        </w:r>
        <w:r>
          <w:tab/>
        </w:r>
        <w:r>
          <w:fldChar w:fldCharType="begin"/>
        </w:r>
        <w:r>
          <w:instrText xml:space="preserve"> PAGEREF _Toc28043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9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_Toc6649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56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_Toc27056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53" w:history="1">
        <w:r>
          <w:rPr>
            <w:rFonts w:ascii="仿宋" w:eastAsia="仿宋" w:hAnsi="仿宋" w:cs="仿宋" w:hint="eastAsia"/>
            <w:lang w:eastAsia="zh-CN"/>
          </w:rPr>
          <w:t>十六、知识产权管理与保护</w:t>
        </w:r>
        <w:r>
          <w:tab/>
        </w:r>
        <w:r>
          <w:fldChar w:fldCharType="begin"/>
        </w:r>
        <w:r>
          <w:instrText xml:space="preserve"> PAGEREF _Toc25653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1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_Toc15771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8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_Toc1208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65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_Toc27365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00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_Toc9600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4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_Toc3894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84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_Toc8884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66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_Toc24266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3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_Toc19843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7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_Toc17497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53" w:history="1">
        <w:r>
          <w:rPr>
            <w:rFonts w:ascii="仿宋" w:eastAsia="仿宋" w:hAnsi="仿宋" w:cs="仿宋" w:hint="eastAsia"/>
            <w:lang w:eastAsia="zh-CN"/>
          </w:rPr>
          <w:t>十九、人力资源管理与开发</w:t>
        </w:r>
        <w:r>
          <w:tab/>
        </w:r>
        <w:r>
          <w:fldChar w:fldCharType="begin"/>
        </w:r>
        <w:r>
          <w:instrText xml:space="preserve"> PAGEREF _Toc21253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4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_Toc22764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60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_Toc20260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04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451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925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丝印机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059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丝印机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丝印机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丝印机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8147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7871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在丝印机项目启动前，将进行一系列深入的地质调查，包括钻探和土壤取样，以深入了解项目区域的地层结构和土壤组成。特别是对于土壤的承载能力和地下水位的深度进行详细评估。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丝印机项目还将考虑建设排水系统，以减少地表水对土壤稳定性的影响。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完成初始的地质风险评估后，丝印机项目将安装长期地质监测设备，如倾斜仪、裂缝计和地下水位计，以持续监测地质条件的变化。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797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丝印机项目将通过这些措施来适应和尊重特殊环境条件，确保项目的可持续发展，同时减少对环境的负面影响。这不仅有助于保护自然和文化遗产，还能提升项目在社会责任方面的表现和形象。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6526"/>
      <w:r>
        <w:rPr>
          <w:rFonts w:ascii="仿宋" w:eastAsia="仿宋" w:hAnsi="仿宋" w:cs="仿宋" w:hint="eastAsia"/>
          <w:sz w:val="28"/>
          <w:lang w:eastAsia="zh-CN"/>
        </w:rPr>
        <w:t>二、经济影响分析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4056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环境和社会成本：环境保护措施预计年费用为XX万元，社区补偿和支持预算为XX万元，因此总计为XX万元。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预期收益分析：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直接收益：假设丝印机项目的产品或服务年销售收入为XX万元。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间接收益：包括提高品牌价值和市场份额，假设间接经济效益为XX万元。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社会和环境效益：虽难以量化，但假设其长期价值估计为XX万元。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成本效果比较：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假设项目的总成本（初始投资成本加上预计五年的运营成本和环境社会成本）为XX万元。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预期收益（直接收益加上五年的间接收益和社会环境效益）为XX万元。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因此，项目的成本效果比为XX万元（总成本）对比XX万元（总收益）。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投资回收期分析：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假设项目的总初始投资为XX万元，年运营成本为XX万元，而年直接收益为XX万元。假定直接收益和运营成本保持恒定，则项目的投资回收期为：（总初始投资） / （年直接收益 年运营成本）= XX年。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净现值（NPV）和内部收益率（IRR）分析：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净现值（NPV）是评估项目总收益与总成本现值的差额。假设项目预计持续XX年，每年的净收益为（年直接收益 年运营成本），折现率假定为XX%，则NPV计算为：NPV = ∑ [（年净收益） / （1 + 折现率）^年份] 初始投资成本。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内部收益率（IRR）是使得NPV为零的折现率，这是项目盈利能力的一个重要指标。通过财务软件或手工计算可得出IRR值。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https://d.book118.com/645302314244011114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丝印机项目建设总纲及方案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F903E1"/>
    <w:rsid w:val="10F903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64530231424401111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2024-02-19T14:14:00Z</dcterms:created>
  <dcterms:modified xsi:type="dcterms:W3CDTF">2024-02-19T14:14:57Z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87F3FC801DA844389EA9862CE3BC0FD2_11</vt:lpwstr>
  </property>
  <property fmtid="{D5CDD505-2E9C-101B-9397-08002B2CF9AE}" pid="3" name="KSOProductBuildVer">
    <vt:lpwstr>2052-12.1.0.16250</vt:lpwstr>
  </property>
</Properties>
</file>