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</w:pPr>
      <w:r>
        <w:rPr>
          <w:w w:val="95"/>
        </w:rPr>
        <w:t>艾默生开关电源维护手册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19"/>
        </w:rPr>
      </w:pPr>
    </w:p>
    <w:p>
      <w:pPr>
        <w:pStyle w:val="BodyText"/>
        <w:spacing w:before="63"/>
        <w:ind w:left="140"/>
      </w:pPr>
      <w:r>
        <w:rPr>
          <w:spacing w:val="4"/>
        </w:rPr>
        <w:t>目 录</w:t>
      </w:r>
    </w:p>
    <w:p>
      <w:pPr>
        <w:pStyle w:val="BodyText"/>
        <w:rPr>
          <w:sz w:val="20"/>
        </w:rPr>
      </w:pPr>
    </w:p>
    <w:sdt>
      <w:sdtPr>
        <w:id w:val="1899160796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right" w:pos="9941"/>
            </w:tabs>
            <w:spacing w:before="63"/>
          </w:pPr>
          <w:r>
            <w:fldChar w:fldCharType="begin"/>
          </w:r>
          <w:r>
            <w:instrText xml:space="preserve">  \l “_TOC_250006“ </w:instrText>
          </w:r>
          <w:r>
            <w:fldChar w:fldCharType="separate"/>
          </w:r>
          <w:r>
            <w:t>第一章</w:t>
          </w:r>
          <w:r>
            <w:rPr>
              <w:spacing w:val="6"/>
            </w:rPr>
            <w:t xml:space="preserve"> </w:t>
          </w:r>
          <w:r>
            <w:t>根本原理</w:t>
          </w:r>
          <w:r>
            <w:rPr>
              <w:rFonts w:ascii="Times New Roman" w:eastAsia="Times New Roman"/>
            </w:rPr>
            <w:tab/>
          </w:r>
          <w:r>
            <w:t>3</w:t>
          </w:r>
          <w:r>
            <w:fldChar w:fldCharType="end"/>
          </w:r>
        </w:p>
        <w:p>
          <w:pPr>
            <w:pStyle w:val="TOC1"/>
            <w:tabs>
              <w:tab w:val="right" w:pos="9941"/>
            </w:tabs>
            <w:spacing w:before="85"/>
          </w:pPr>
          <w:r>
            <w:t>一、系统的工作原理</w:t>
          </w:r>
          <w:r>
            <w:rPr>
              <w:rFonts w:ascii="Times New Roman" w:eastAsia="Times New Roman"/>
            </w:rPr>
            <w:tab/>
          </w:r>
          <w:r>
            <w:t>3</w:t>
          </w:r>
        </w:p>
        <w:p>
          <w:pPr>
            <w:pStyle w:val="TOC1"/>
            <w:tabs>
              <w:tab w:val="right" w:pos="9941"/>
            </w:tabs>
          </w:pPr>
          <w:r>
            <w:fldChar w:fldCharType="begin"/>
          </w:r>
          <w:r>
            <w:instrText xml:space="preserve">  \l “_TOC_250005“ </w:instrText>
          </w:r>
          <w:r>
            <w:fldChar w:fldCharType="separate"/>
          </w:r>
          <w:r>
            <w:t>二、 产品型号说明</w:t>
          </w:r>
          <w:r>
            <w:rPr>
              <w:rFonts w:ascii="Times New Roman" w:eastAsia="Times New Roman"/>
            </w:rPr>
            <w:tab/>
          </w:r>
          <w:r>
            <w:t>3</w:t>
          </w:r>
          <w:r>
            <w:fldChar w:fldCharType="end"/>
          </w:r>
        </w:p>
        <w:p>
          <w:pPr>
            <w:pStyle w:val="TOC1"/>
            <w:tabs>
              <w:tab w:val="right" w:pos="9941"/>
            </w:tabs>
            <w:spacing w:before="85"/>
          </w:pPr>
          <w:r>
            <w:fldChar w:fldCharType="begin"/>
          </w:r>
          <w:r>
            <w:instrText xml:space="preserve">  \l “_TOC_250004“ </w:instrText>
          </w:r>
          <w:r>
            <w:fldChar w:fldCharType="separate"/>
          </w:r>
          <w:r>
            <w:t>三、负载下电和电池保护</w:t>
          </w:r>
          <w:r>
            <w:rPr>
              <w:rFonts w:ascii="Times New Roman" w:eastAsia="Times New Roman"/>
            </w:rPr>
            <w:tab/>
          </w:r>
          <w:r>
            <w:t>4</w:t>
          </w:r>
          <w:r>
            <w:fldChar w:fldCharType="end"/>
          </w:r>
        </w:p>
        <w:p>
          <w:pPr>
            <w:pStyle w:val="TOC1"/>
            <w:tabs>
              <w:tab w:val="right" w:pos="9941"/>
            </w:tabs>
          </w:pPr>
          <w:r>
            <w:t>其次章</w:t>
          </w:r>
          <w:r>
            <w:rPr>
              <w:spacing w:val="6"/>
            </w:rPr>
            <w:t xml:space="preserve"> </w:t>
          </w:r>
          <w:r>
            <w:t>根本面板图形</w:t>
          </w:r>
          <w:r>
            <w:rPr>
              <w:rFonts w:ascii="Times New Roman" w:eastAsia="Times New Roman"/>
            </w:rPr>
            <w:tab/>
          </w:r>
          <w:r>
            <w:t>5</w:t>
          </w:r>
        </w:p>
        <w:p>
          <w:pPr>
            <w:pStyle w:val="TOC1"/>
            <w:tabs>
              <w:tab w:val="right" w:pos="9941"/>
            </w:tabs>
            <w:spacing w:before="89"/>
          </w:pPr>
          <w:r>
            <w:t>一、全省使用的艾默生开关电源型号清单</w:t>
          </w:r>
          <w:r>
            <w:rPr>
              <w:rFonts w:ascii="Times New Roman" w:eastAsia="Times New Roman"/>
            </w:rPr>
            <w:tab/>
          </w:r>
          <w:r>
            <w:t>6</w:t>
          </w:r>
        </w:p>
        <w:p>
          <w:pPr>
            <w:pStyle w:val="TOC1"/>
            <w:tabs>
              <w:tab w:val="right" w:pos="9941"/>
            </w:tabs>
            <w:spacing w:before="72"/>
          </w:pPr>
          <w:r>
            <w:fldChar w:fldCharType="begin"/>
          </w:r>
          <w:r>
            <w:instrText xml:space="preserve">  \l “_TOC_250003“ </w:instrText>
          </w:r>
          <w:r>
            <w:fldChar w:fldCharType="separate"/>
          </w:r>
          <w:r>
            <w:t>二、几种常见的监控模块面板图形及说明</w:t>
          </w:r>
          <w:r>
            <w:rPr>
              <w:rFonts w:ascii="Times New Roman" w:eastAsia="Times New Roman"/>
            </w:rPr>
            <w:tab/>
          </w:r>
          <w:r>
            <w:t>6</w:t>
          </w:r>
          <w:r>
            <w:fldChar w:fldCharType="end"/>
          </w:r>
        </w:p>
        <w:p>
          <w:pPr>
            <w:pStyle w:val="TOC1"/>
            <w:tabs>
              <w:tab w:val="right" w:pos="9941"/>
            </w:tabs>
            <w:spacing w:before="70"/>
          </w:pPr>
          <w:r>
            <w:fldChar w:fldCharType="begin"/>
          </w:r>
          <w:r>
            <w:instrText xml:space="preserve">  \l “_TOC_250002“ </w:instrText>
          </w:r>
          <w:r>
            <w:fldChar w:fldCharType="separate"/>
          </w:r>
          <w:r>
            <w:t>三、几种常见的整流模块面板图形及说明</w:t>
          </w:r>
          <w:r>
            <w:rPr>
              <w:rFonts w:ascii="Times New Roman" w:eastAsia="Times New Roman"/>
            </w:rPr>
            <w:tab/>
          </w:r>
          <w:r>
            <w:t>7</w:t>
          </w:r>
          <w:r>
            <w:fldChar w:fldCharType="end"/>
          </w:r>
        </w:p>
        <w:p>
          <w:pPr>
            <w:pStyle w:val="TOC1"/>
            <w:tabs>
              <w:tab w:val="left" w:pos="1558"/>
              <w:tab w:val="right" w:pos="9941"/>
            </w:tabs>
          </w:pPr>
          <w:r>
            <w:fldChar w:fldCharType="begin"/>
          </w:r>
          <w:r>
            <w:instrText xml:space="preserve">  \l “_TOC_250001“ </w:instrText>
          </w:r>
          <w:r>
            <w:fldChar w:fldCharType="separate"/>
          </w:r>
          <w:r>
            <w:t>第三章</w:t>
            <w:tab/>
            <w:t>参数设置部份</w:t>
          </w:r>
          <w:r>
            <w:rPr>
              <w:rFonts w:ascii="Times New Roman" w:eastAsia="Times New Roman"/>
            </w:rPr>
            <w:tab/>
          </w:r>
          <w:r>
            <w:t>9</w:t>
          </w:r>
          <w:r>
            <w:fldChar w:fldCharType="end"/>
          </w:r>
        </w:p>
        <w:p>
          <w:pPr>
            <w:pStyle w:val="TOC1"/>
            <w:tabs>
              <w:tab w:val="right" w:pos="9941"/>
            </w:tabs>
          </w:pPr>
          <w:r>
            <w:t>一、</w:t>
          </w:r>
          <w:r>
            <w:rPr>
              <w:spacing w:val="1"/>
            </w:rPr>
            <w:t xml:space="preserve"> </w:t>
          </w:r>
          <w:r>
            <w:t>开关电源常用参数设置</w:t>
          </w:r>
          <w:r>
            <w:rPr>
              <w:rFonts w:ascii="Times New Roman" w:eastAsia="Times New Roman"/>
            </w:rPr>
            <w:tab/>
          </w:r>
          <w:r>
            <w:t>9</w:t>
          </w:r>
        </w:p>
        <w:p>
          <w:pPr>
            <w:pStyle w:val="TOC1"/>
            <w:tabs>
              <w:tab w:val="right" w:pos="10020"/>
            </w:tabs>
          </w:pPr>
          <w:r>
            <w:fldChar w:fldCharType="begin"/>
          </w:r>
          <w:r>
            <w:instrText xml:space="preserve">  \l “_TOC_250000“ </w:instrText>
          </w:r>
          <w:r>
            <w:fldChar w:fldCharType="separate"/>
          </w:r>
          <w:r>
            <w:t>二、几种常用开关电源监控模块参数设置</w:t>
          </w:r>
          <w:r>
            <w:rPr>
              <w:rFonts w:ascii="Times New Roman" w:eastAsia="Times New Roman"/>
            </w:rPr>
            <w:tab/>
          </w:r>
          <w:r>
            <w:t>10</w:t>
          </w:r>
          <w:r>
            <w:fldChar w:fldCharType="end"/>
          </w:r>
        </w:p>
        <w:p>
          <w:pPr>
            <w:pStyle w:val="TOC1"/>
            <w:tabs>
              <w:tab w:val="right" w:pos="10020"/>
            </w:tabs>
          </w:pPr>
          <w:r>
            <w:t>1、PS481000-2/100开关电源〔PSM-A监控模块〕</w:t>
          </w:r>
          <w:r>
            <w:rPr>
              <w:rFonts w:ascii="Times New Roman" w:eastAsia="Times New Roman"/>
            </w:rPr>
            <w:tab/>
          </w:r>
          <w:r>
            <w:t>10</w:t>
          </w:r>
        </w:p>
        <w:p>
          <w:pPr>
            <w:pStyle w:val="TOC1"/>
            <w:tabs>
              <w:tab w:val="right" w:pos="10020"/>
            </w:tabs>
            <w:spacing w:before="85"/>
          </w:pPr>
          <w:r>
            <w:t>2、PS48300-1A/30开关电源〔PSM-A10监控模块〕</w:t>
          </w:r>
          <w:r>
            <w:rPr>
              <w:rFonts w:ascii="Times New Roman" w:eastAsia="Times New Roman"/>
            </w:rPr>
            <w:tab/>
          </w:r>
          <w:r>
            <w:t>31</w:t>
          </w:r>
        </w:p>
        <w:p>
          <w:pPr>
            <w:pStyle w:val="TOC1"/>
            <w:tabs>
              <w:tab w:val="right" w:pos="10020"/>
            </w:tabs>
          </w:pPr>
          <w:r>
            <w:t>3、Ps24600-75、PS48400-2C/50开关电源〔PSM-A11监控模块〕的</w:t>
          </w:r>
          <w:r>
            <w:rPr>
              <w:rFonts w:ascii="Times New Roman" w:eastAsia="Times New Roman"/>
            </w:rPr>
            <w:tab/>
          </w:r>
          <w:r>
            <w:t>36</w:t>
          </w:r>
        </w:p>
        <w:p>
          <w:pPr>
            <w:pStyle w:val="TOC1"/>
            <w:spacing w:before="70"/>
          </w:pPr>
          <w:r>
            <w:t>菜单构造</w:t>
          </w:r>
        </w:p>
        <w:p>
          <w:pPr>
            <w:pStyle w:val="TOC1"/>
            <w:tabs>
              <w:tab w:val="right" w:pos="10020"/>
            </w:tabs>
          </w:pPr>
          <w:r>
            <w:t>4、PS48600-3/2900开关电源〔MF500监控模块〕</w:t>
          </w:r>
          <w:r>
            <w:rPr>
              <w:rFonts w:ascii="Times New Roman" w:eastAsia="Times New Roman"/>
            </w:rPr>
            <w:tab/>
          </w:r>
          <w:r>
            <w:t>37</w:t>
          </w:r>
        </w:p>
        <w:p>
          <w:pPr>
            <w:pStyle w:val="TOC1"/>
            <w:tabs>
              <w:tab w:val="right" w:pos="10020"/>
            </w:tabs>
          </w:pPr>
          <w:r>
            <w:t>5、PSM-7监控模块(PS24480-40开关电源)</w:t>
          </w:r>
          <w:r>
            <w:rPr>
              <w:rFonts w:ascii="Times New Roman" w:eastAsia="Times New Roman"/>
            </w:rPr>
            <w:tab/>
          </w:r>
          <w:r>
            <w:t>43</w:t>
          </w:r>
        </w:p>
        <w:p>
          <w:pPr>
            <w:pStyle w:val="TOC1"/>
            <w:tabs>
              <w:tab w:val="right" w:pos="10020"/>
            </w:tabs>
          </w:pPr>
          <w:r>
            <w:t>第四章</w:t>
          </w:r>
          <w:r>
            <w:rPr>
              <w:spacing w:val="8"/>
            </w:rPr>
            <w:t xml:space="preserve"> </w:t>
          </w:r>
          <w:r>
            <w:t>维护制度格式流程</w:t>
          </w:r>
          <w:r>
            <w:rPr>
              <w:rFonts w:ascii="Times New Roman" w:eastAsia="Times New Roman"/>
            </w:rPr>
            <w:tab/>
          </w:r>
          <w:r>
            <w:t>56</w:t>
          </w:r>
        </w:p>
      </w:sdtContent>
    </w:sdt>
    <w:p>
      <w:pPr>
        <w:spacing w:after="0"/>
        <w:sectPr>
          <w:footerReference w:type="default" r:id="rId4"/>
          <w:type w:val="continuous"/>
          <w:pgSz w:w="17860" w:h="25260"/>
          <w:pgMar w:top="2420" w:right="2240" w:bottom="2040" w:left="2560" w:header="708" w:footer="1844"/>
          <w:pgNumType w:start="1"/>
          <w:cols w:space="708"/>
        </w:sectPr>
      </w:pPr>
    </w:p>
    <w:p>
      <w:pPr>
        <w:pStyle w:val="Heading1"/>
        <w:tabs>
          <w:tab w:val="left" w:pos="1889"/>
        </w:tabs>
        <w:spacing w:before="28"/>
        <w:ind w:left="0" w:right="314"/>
        <w:jc w:val="center"/>
      </w:pPr>
      <w:bookmarkStart w:id="0" w:name="_TOC_250006"/>
      <w:bookmarkEnd w:id="0"/>
      <w:r>
        <w:t>第一章</w:t>
        <w:tab/>
        <w:t>根本原理</w:t>
      </w:r>
    </w:p>
    <w:p>
      <w:pPr>
        <w:spacing w:before="398"/>
        <w:ind w:left="351" w:right="0" w:firstLine="0"/>
        <w:jc w:val="left"/>
        <w:rPr>
          <w:rFonts w:ascii="黑体" w:eastAsia="黑体" w:hint="eastAsia"/>
          <w:sz w:val="42"/>
        </w:rPr>
      </w:pPr>
      <w:r>
        <w:rPr>
          <w:rFonts w:ascii="黑体" w:eastAsia="黑体" w:hint="eastAsia"/>
          <w:sz w:val="42"/>
        </w:rPr>
        <w:t>1、系统的工作原理</w:t>
      </w:r>
    </w:p>
    <w:p>
      <w:pPr>
        <w:pStyle w:val="BodyText"/>
        <w:spacing w:before="450" w:line="283" w:lineRule="auto"/>
        <w:ind w:left="140" w:right="244" w:firstLine="629"/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2228850</wp:posOffset>
            </wp:positionH>
            <wp:positionV relativeFrom="paragraph">
              <wp:posOffset>2197193</wp:posOffset>
            </wp:positionV>
            <wp:extent cx="6961070" cy="3542025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61070" cy="3542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开关电源的系统工作原理如图1-1</w:t>
      </w:r>
      <w:r>
        <w:rPr>
          <w:spacing w:val="-23"/>
        </w:rPr>
        <w:t>所示，所示市电</w:t>
      </w:r>
      <w:r>
        <w:t>380V/220V经沟通配电(或沟通配电柜)</w:t>
      </w:r>
      <w:r>
        <w:rPr>
          <w:spacing w:val="1"/>
        </w:rPr>
        <w:t xml:space="preserve"> </w:t>
      </w:r>
      <w:r>
        <w:rPr>
          <w:spacing w:val="2"/>
        </w:rPr>
        <w:t>分路进入整流模块，经各整流模块整流得到的</w:t>
      </w:r>
      <w:r>
        <w:rPr>
          <w:rFonts w:ascii="Times New Roman" w:eastAsia="Times New Roman"/>
        </w:rPr>
        <w:t>-48V/24V</w:t>
      </w:r>
      <w:r>
        <w:t>直流电通过汇接进入直流配电，分</w:t>
      </w:r>
      <w:r>
        <w:rPr>
          <w:spacing w:val="46"/>
        </w:rPr>
        <w:t xml:space="preserve"> </w:t>
      </w:r>
      <w:r>
        <w:t>多路供给应通信设备使用；正常状况下，系统运行在并联浮充状态，即整流模块、负载、蓄</w:t>
      </w:r>
      <w:r>
        <w:rPr>
          <w:spacing w:val="-21"/>
        </w:rPr>
        <w:t>电池并联工作，整流模块除了给通信设备供电外，还为蓄电池供给浮充电流；当市电断电时，</w:t>
      </w:r>
      <w:r>
        <w:rPr>
          <w:spacing w:val="1"/>
        </w:rPr>
        <w:t xml:space="preserve"> </w:t>
      </w:r>
      <w:r>
        <w:rPr>
          <w:spacing w:val="-10"/>
        </w:rPr>
        <w:t>整流模块停顿工作，由蓄电池给通信设备供电，维持通信设备的正常工作；市电恢复后，整</w:t>
      </w:r>
      <w:r>
        <w:rPr>
          <w:spacing w:val="1"/>
        </w:rPr>
        <w:t xml:space="preserve"> </w:t>
      </w:r>
      <w:r>
        <w:t>流模块重给通信设备供电，并对蓄电池进展充电，补充消耗的电量。</w:t>
      </w:r>
    </w:p>
    <w:p>
      <w:pPr>
        <w:spacing w:after="0" w:line="283" w:lineRule="auto"/>
        <w:sectPr>
          <w:footerReference w:type="default" r:id="rId6"/>
          <w:pgSz w:w="17860" w:h="25260"/>
          <w:pgMar w:top="2420" w:right="2240" w:bottom="2040" w:left="2560" w:header="0" w:footer="1844"/>
          <w:pgNumType w:start="2"/>
          <w:cols w:space="708"/>
        </w:sect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spacing w:before="2"/>
        <w:rPr>
          <w:sz w:val="30"/>
        </w:rPr>
      </w:pPr>
    </w:p>
    <w:p>
      <w:pPr>
        <w:pStyle w:val="Heading1"/>
        <w:spacing w:before="1"/>
      </w:pPr>
      <w:bookmarkStart w:id="1" w:name="_TOC_250005"/>
      <w:bookmarkEnd w:id="1"/>
      <w:r>
        <w:t>二、 产品型号说明</w:t>
      </w:r>
    </w:p>
    <w:p>
      <w:pPr>
        <w:pStyle w:val="BodyText"/>
        <w:rPr>
          <w:rFonts w:ascii="黑体"/>
          <w:sz w:val="34"/>
        </w:rPr>
      </w:pPr>
      <w:r>
        <w:br w:type="column"/>
      </w:r>
    </w:p>
    <w:p>
      <w:pPr>
        <w:pStyle w:val="BodyText"/>
        <w:rPr>
          <w:rFonts w:ascii="黑体"/>
          <w:sz w:val="34"/>
        </w:rPr>
      </w:pPr>
    </w:p>
    <w:p>
      <w:pPr>
        <w:pStyle w:val="BodyText"/>
        <w:rPr>
          <w:rFonts w:ascii="黑体"/>
          <w:sz w:val="34"/>
        </w:rPr>
      </w:pPr>
    </w:p>
    <w:p>
      <w:pPr>
        <w:pStyle w:val="BodyText"/>
        <w:rPr>
          <w:rFonts w:ascii="黑体"/>
          <w:sz w:val="34"/>
        </w:rPr>
      </w:pPr>
    </w:p>
    <w:p>
      <w:pPr>
        <w:pStyle w:val="BodyText"/>
        <w:rPr>
          <w:rFonts w:ascii="黑体"/>
          <w:sz w:val="34"/>
        </w:rPr>
      </w:pPr>
    </w:p>
    <w:p>
      <w:pPr>
        <w:pStyle w:val="BodyText"/>
        <w:rPr>
          <w:rFonts w:ascii="黑体"/>
          <w:sz w:val="34"/>
        </w:rPr>
      </w:pPr>
    </w:p>
    <w:p>
      <w:pPr>
        <w:pStyle w:val="BodyText"/>
        <w:rPr>
          <w:rFonts w:ascii="黑体"/>
          <w:sz w:val="34"/>
        </w:rPr>
      </w:pPr>
    </w:p>
    <w:p>
      <w:pPr>
        <w:pStyle w:val="BodyText"/>
        <w:rPr>
          <w:rFonts w:ascii="黑体"/>
          <w:sz w:val="34"/>
        </w:rPr>
      </w:pPr>
    </w:p>
    <w:p>
      <w:pPr>
        <w:pStyle w:val="BodyText"/>
        <w:rPr>
          <w:rFonts w:ascii="黑体"/>
          <w:sz w:val="34"/>
        </w:rPr>
      </w:pPr>
    </w:p>
    <w:p>
      <w:pPr>
        <w:pStyle w:val="BodyText"/>
        <w:rPr>
          <w:rFonts w:ascii="黑体"/>
          <w:sz w:val="34"/>
        </w:rPr>
      </w:pPr>
    </w:p>
    <w:p>
      <w:pPr>
        <w:pStyle w:val="BodyText"/>
        <w:rPr>
          <w:rFonts w:ascii="黑体"/>
          <w:sz w:val="34"/>
        </w:rPr>
      </w:pPr>
    </w:p>
    <w:p>
      <w:pPr>
        <w:pStyle w:val="BodyText"/>
        <w:rPr>
          <w:rFonts w:ascii="黑体"/>
          <w:sz w:val="34"/>
        </w:rPr>
      </w:pPr>
    </w:p>
    <w:p>
      <w:pPr>
        <w:pStyle w:val="BodyText"/>
        <w:spacing w:before="12"/>
        <w:rPr>
          <w:rFonts w:ascii="黑体"/>
          <w:sz w:val="48"/>
        </w:rPr>
      </w:pPr>
    </w:p>
    <w:p>
      <w:pPr>
        <w:pStyle w:val="BodyText"/>
        <w:ind w:left="140"/>
        <w:rPr>
          <w:rFonts w:ascii="Times New Roman" w:eastAsia="Times New Roman"/>
        </w:rPr>
      </w:pPr>
      <w:r>
        <w:t>图</w:t>
      </w:r>
      <w:r>
        <w:rPr>
          <w:rFonts w:ascii="Times New Roman" w:eastAsia="Times New Roman"/>
        </w:rPr>
        <w:t>1-1</w:t>
      </w:r>
    </w:p>
    <w:p>
      <w:pPr>
        <w:spacing w:after="0"/>
        <w:rPr>
          <w:rFonts w:ascii="Times New Roman" w:eastAsia="Times New Roman"/>
        </w:rPr>
        <w:sectPr>
          <w:footerReference w:type="default" r:id="rId7"/>
          <w:type w:val="continuous"/>
          <w:pgSz w:w="17860" w:h="25260"/>
          <w:pgMar w:top="2420" w:right="2240" w:bottom="2040" w:left="2560" w:header="708" w:footer="708"/>
          <w:pgNumType w:start="3"/>
          <w:cols w:num="2" w:space="708" w:equalWidth="0">
            <w:col w:w="3760" w:space="1306"/>
            <w:col w:w="7994" w:space="0"/>
          </w:cols>
        </w:sectPr>
      </w:pPr>
    </w:p>
    <w:p>
      <w:pPr>
        <w:pStyle w:val="BodyText"/>
        <w:spacing w:before="11"/>
        <w:rPr>
          <w:rFonts w:ascii="Times New Roman"/>
          <w:sz w:val="13"/>
        </w:rPr>
      </w:pPr>
    </w:p>
    <w:p>
      <w:pPr>
        <w:pStyle w:val="BodyText"/>
        <w:spacing w:before="62"/>
        <w:ind w:left="140"/>
      </w:pPr>
      <w:r>
        <w:t>(这里列举PS48600-3/2900-X1，PS481000-5/100、EPC4875/25户外电源柜三种型号)</w:t>
      </w:r>
    </w:p>
    <w:p>
      <w:pPr>
        <w:pStyle w:val="BodyText"/>
        <w:spacing w:before="132"/>
        <w:ind w:left="140"/>
      </w:pPr>
      <w:r>
        <w:t>系统型号说明：</w:t>
      </w:r>
    </w:p>
    <w:p>
      <w:pPr>
        <w:pStyle w:val="BodyText"/>
        <w:spacing w:before="6"/>
        <w:rPr>
          <w:sz w:val="15"/>
        </w:rPr>
      </w:pPr>
    </w:p>
    <w:p>
      <w:pPr>
        <w:tabs>
          <w:tab w:val="left" w:pos="5593"/>
        </w:tabs>
        <w:spacing w:before="114"/>
        <w:ind w:left="2607" w:right="0" w:firstLine="0"/>
        <w:jc w:val="left"/>
        <w:rPr>
          <w:rFonts w:ascii="Times New Roman"/>
          <w:sz w:val="39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3276600</wp:posOffset>
            </wp:positionH>
            <wp:positionV relativeFrom="paragraph">
              <wp:posOffset>364935</wp:posOffset>
            </wp:positionV>
            <wp:extent cx="3289300" cy="17526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89300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39"/>
        </w:rPr>
        <w:t>PS</w:t>
      </w:r>
      <w:r>
        <w:rPr>
          <w:rFonts w:ascii="Times New Roman"/>
          <w:spacing w:val="-2"/>
          <w:sz w:val="39"/>
        </w:rPr>
        <w:t xml:space="preserve"> </w:t>
      </w:r>
      <w:r>
        <w:rPr>
          <w:rFonts w:ascii="Times New Roman"/>
          <w:sz w:val="39"/>
        </w:rPr>
        <w:t>48</w:t>
      </w:r>
      <w:r>
        <w:rPr>
          <w:rFonts w:ascii="Times New Roman"/>
          <w:spacing w:val="-2"/>
          <w:sz w:val="39"/>
        </w:rPr>
        <w:t xml:space="preserve"> </w:t>
      </w:r>
      <w:r>
        <w:rPr>
          <w:rFonts w:ascii="Times New Roman"/>
          <w:sz w:val="39"/>
        </w:rPr>
        <w:t>XXX</w:t>
      </w:r>
      <w:r>
        <w:rPr>
          <w:rFonts w:ascii="Times New Roman"/>
          <w:spacing w:val="-1"/>
          <w:sz w:val="39"/>
        </w:rPr>
        <w:t xml:space="preserve"> </w:t>
      </w:r>
      <w:r>
        <w:rPr>
          <w:rFonts w:ascii="Times New Roman"/>
          <w:sz w:val="39"/>
        </w:rPr>
        <w:t>-</w:t>
      </w:r>
      <w:r>
        <w:rPr>
          <w:rFonts w:ascii="Times New Roman"/>
          <w:spacing w:val="109"/>
          <w:sz w:val="39"/>
        </w:rPr>
        <w:t xml:space="preserve"> </w:t>
      </w:r>
      <w:r>
        <w:rPr>
          <w:rFonts w:ascii="Times New Roman"/>
          <w:position w:val="2"/>
          <w:sz w:val="39"/>
        </w:rPr>
        <w:t>3</w:t>
      </w:r>
      <w:r>
        <w:rPr>
          <w:rFonts w:ascii="Times New Roman"/>
          <w:spacing w:val="-2"/>
          <w:position w:val="2"/>
          <w:sz w:val="39"/>
        </w:rPr>
        <w:t xml:space="preserve"> </w:t>
      </w:r>
      <w:r>
        <w:rPr>
          <w:rFonts w:ascii="Times New Roman"/>
          <w:position w:val="2"/>
          <w:sz w:val="39"/>
        </w:rPr>
        <w:t>/</w:t>
        <w:tab/>
        <w:t>2900-  XX</w:t>
      </w:r>
    </w:p>
    <w:p>
      <w:pPr>
        <w:pStyle w:val="BodyText"/>
        <w:spacing w:before="5"/>
        <w:rPr>
          <w:rFonts w:ascii="Times New Roman"/>
          <w:sz w:val="13"/>
        </w:rPr>
      </w:pPr>
    </w:p>
    <w:p>
      <w:pPr>
        <w:spacing w:after="0"/>
        <w:rPr>
          <w:rFonts w:ascii="Times New Roman"/>
          <w:sz w:val="13"/>
        </w:rPr>
        <w:sectPr>
          <w:footerReference w:type="default" r:id="rId9"/>
          <w:type w:val="continuous"/>
          <w:pgSz w:w="17860" w:h="25260"/>
          <w:pgMar w:top="2420" w:right="2240" w:bottom="2040" w:left="2560" w:header="708" w:footer="708"/>
          <w:pgNumType w:start="4"/>
          <w:cols w:space="708"/>
        </w:sect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spacing w:before="6"/>
        <w:rPr>
          <w:rFonts w:ascii="Times New Roman"/>
          <w:sz w:val="49"/>
        </w:rPr>
      </w:pPr>
    </w:p>
    <w:p>
      <w:pPr>
        <w:spacing w:before="0"/>
        <w:ind w:left="2338" w:right="2358" w:firstLine="0"/>
        <w:jc w:val="center"/>
        <w:rPr>
          <w:rFonts w:ascii="Times New Roman"/>
          <w:sz w:val="36"/>
        </w:rPr>
      </w:pPr>
      <w:r>
        <w:rPr>
          <w:rFonts w:ascii="Times New Roman"/>
          <w:sz w:val="36"/>
        </w:rPr>
        <w:t>PS</w:t>
      </w:r>
      <w:r>
        <w:rPr>
          <w:rFonts w:ascii="Times New Roman"/>
          <w:spacing w:val="2"/>
          <w:sz w:val="36"/>
        </w:rPr>
        <w:t xml:space="preserve"> </w:t>
      </w:r>
      <w:r>
        <w:rPr>
          <w:rFonts w:ascii="Times New Roman"/>
          <w:sz w:val="36"/>
        </w:rPr>
        <w:t>48 1000</w:t>
      </w:r>
      <w:r>
        <w:rPr>
          <w:rFonts w:ascii="Times New Roman"/>
          <w:spacing w:val="1"/>
          <w:sz w:val="36"/>
        </w:rPr>
        <w:t xml:space="preserve"> </w:t>
      </w:r>
      <w:r>
        <w:rPr>
          <w:rFonts w:ascii="Times New Roman"/>
          <w:sz w:val="36"/>
        </w:rPr>
        <w:t>-</w:t>
      </w:r>
      <w:r>
        <w:rPr>
          <w:rFonts w:ascii="Times New Roman"/>
          <w:spacing w:val="76"/>
          <w:sz w:val="36"/>
        </w:rPr>
        <w:t xml:space="preserve"> </w:t>
      </w:r>
      <w:r>
        <w:rPr>
          <w:rFonts w:ascii="Times New Roman"/>
          <w:sz w:val="36"/>
        </w:rPr>
        <w:t>5</w:t>
      </w:r>
      <w:r>
        <w:rPr>
          <w:rFonts w:ascii="Times New Roman"/>
          <w:spacing w:val="1"/>
          <w:sz w:val="36"/>
        </w:rPr>
        <w:t xml:space="preserve"> </w:t>
      </w:r>
      <w:r>
        <w:rPr>
          <w:rFonts w:ascii="Times New Roman"/>
          <w:sz w:val="36"/>
        </w:rPr>
        <w:t>/</w:t>
      </w:r>
      <w:r>
        <w:rPr>
          <w:rFonts w:ascii="Times New Roman"/>
          <w:spacing w:val="2"/>
          <w:sz w:val="36"/>
        </w:rPr>
        <w:t xml:space="preserve"> </w:t>
      </w:r>
      <w:r>
        <w:rPr>
          <w:rFonts w:ascii="Times New Roman"/>
          <w:sz w:val="36"/>
        </w:rPr>
        <w:t>100</w:t>
      </w:r>
    </w:p>
    <w:p>
      <w:pPr>
        <w:spacing w:before="62" w:line="319" w:lineRule="auto"/>
        <w:ind w:left="97" w:right="831" w:firstLine="0"/>
        <w:jc w:val="left"/>
        <w:rPr>
          <w:sz w:val="27"/>
        </w:rPr>
      </w:pPr>
      <w:r>
        <w:br w:type="column"/>
      </w:r>
      <w:r>
        <w:rPr>
          <w:spacing w:val="-1"/>
          <w:sz w:val="27"/>
        </w:rPr>
        <w:t>扩展版本号〔X1，X2，X3，X4，X5〕</w:t>
      </w:r>
      <w:r>
        <w:rPr>
          <w:spacing w:val="-132"/>
          <w:sz w:val="27"/>
        </w:rPr>
        <w:t xml:space="preserve"> </w:t>
      </w:r>
      <w:r>
        <w:rPr>
          <w:sz w:val="27"/>
        </w:rPr>
        <w:t>整流模块额定功率〔2900W〕</w:t>
      </w:r>
    </w:p>
    <w:p>
      <w:pPr>
        <w:spacing w:before="42"/>
        <w:ind w:left="97" w:right="0" w:firstLine="0"/>
        <w:jc w:val="left"/>
        <w:rPr>
          <w:sz w:val="27"/>
        </w:rPr>
      </w:pPr>
      <w:r>
        <w:rPr>
          <w:w w:val="95"/>
          <w:sz w:val="27"/>
        </w:rPr>
        <w:t>电源系统版本号</w:t>
      </w:r>
    </w:p>
    <w:p>
      <w:pPr>
        <w:spacing w:before="121" w:line="345" w:lineRule="auto"/>
        <w:ind w:left="123" w:right="900" w:firstLine="0"/>
        <w:jc w:val="left"/>
        <w:rPr>
          <w:sz w:val="27"/>
        </w:rPr>
      </w:pPr>
      <w:r>
        <w:rPr>
          <w:sz w:val="27"/>
        </w:rPr>
        <w:t>输出额定电流〔</w:t>
      </w:r>
      <w:r>
        <w:rPr>
          <w:spacing w:val="25"/>
          <w:sz w:val="27"/>
        </w:rPr>
        <w:t>有</w:t>
      </w:r>
      <w:r>
        <w:rPr>
          <w:sz w:val="27"/>
        </w:rPr>
        <w:t>400A,600A两种〕</w:t>
      </w:r>
      <w:r>
        <w:rPr>
          <w:spacing w:val="-132"/>
          <w:sz w:val="27"/>
        </w:rPr>
        <w:t xml:space="preserve"> </w:t>
      </w:r>
      <w:r>
        <w:rPr>
          <w:sz w:val="27"/>
        </w:rPr>
        <w:t>输出额定电压〔-48V〕</w:t>
      </w:r>
    </w:p>
    <w:p>
      <w:pPr>
        <w:spacing w:before="0" w:line="316" w:lineRule="exact"/>
        <w:ind w:left="153" w:right="0" w:firstLine="0"/>
        <w:jc w:val="left"/>
        <w:rPr>
          <w:sz w:val="27"/>
        </w:rPr>
      </w:pPr>
      <w:r>
        <w:rPr>
          <w:w w:val="95"/>
          <w:sz w:val="27"/>
        </w:rPr>
        <w:t>电源系统</w:t>
      </w:r>
    </w:p>
    <w:p>
      <w:pPr>
        <w:spacing w:after="0" w:line="316" w:lineRule="exact"/>
        <w:jc w:val="left"/>
        <w:rPr>
          <w:sz w:val="27"/>
        </w:rPr>
        <w:sectPr>
          <w:footerReference w:type="default" r:id="rId10"/>
          <w:type w:val="continuous"/>
          <w:pgSz w:w="17860" w:h="25260"/>
          <w:pgMar w:top="2420" w:right="2240" w:bottom="2040" w:left="2560" w:header="708" w:footer="708"/>
          <w:pgNumType w:start="5"/>
          <w:cols w:num="2" w:space="708" w:equalWidth="0">
            <w:col w:w="7780" w:space="40"/>
            <w:col w:w="5240" w:space="0"/>
          </w:cols>
        </w:sectPr>
      </w:pPr>
    </w:p>
    <w:p>
      <w:pPr>
        <w:pStyle w:val="BodyText"/>
        <w:spacing w:before="12"/>
        <w:rPr>
          <w:sz w:val="16"/>
        </w:rPr>
      </w:pPr>
    </w:p>
    <w:p>
      <w:pPr>
        <w:spacing w:before="93" w:line="352" w:lineRule="auto"/>
        <w:ind w:left="6295" w:right="3746" w:firstLine="0"/>
        <w:jc w:val="left"/>
        <w:rPr>
          <w:sz w:val="25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3416300</wp:posOffset>
            </wp:positionH>
            <wp:positionV relativeFrom="paragraph">
              <wp:posOffset>-111251</wp:posOffset>
            </wp:positionV>
            <wp:extent cx="2209800" cy="10287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9800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  <w:sz w:val="25"/>
        </w:rPr>
        <w:t>整流模块额定电流〔</w:t>
      </w:r>
      <w:r>
        <w:rPr>
          <w:rFonts w:ascii="Times New Roman" w:eastAsia="Times New Roman"/>
          <w:w w:val="95"/>
          <w:sz w:val="25"/>
        </w:rPr>
        <w:t>100A</w:t>
      </w:r>
      <w:r>
        <w:rPr>
          <w:w w:val="95"/>
          <w:sz w:val="25"/>
        </w:rPr>
        <w:t>〕</w:t>
      </w:r>
      <w:r>
        <w:rPr>
          <w:spacing w:val="-116"/>
          <w:w w:val="95"/>
          <w:sz w:val="25"/>
        </w:rPr>
        <w:t xml:space="preserve"> </w:t>
      </w:r>
      <w:r>
        <w:rPr>
          <w:sz w:val="25"/>
        </w:rPr>
        <w:t>版本号</w:t>
      </w:r>
    </w:p>
    <w:p>
      <w:pPr>
        <w:spacing w:before="0" w:line="261" w:lineRule="exact"/>
        <w:ind w:left="6295" w:right="0" w:firstLine="0"/>
        <w:jc w:val="left"/>
        <w:rPr>
          <w:sz w:val="25"/>
        </w:rPr>
      </w:pPr>
      <w:r>
        <w:rPr>
          <w:w w:val="95"/>
          <w:sz w:val="25"/>
        </w:rPr>
        <w:t>输出额定电流〔</w:t>
      </w:r>
      <w:r>
        <w:rPr>
          <w:rFonts w:ascii="Times New Roman" w:eastAsia="Times New Roman"/>
          <w:w w:val="95"/>
          <w:sz w:val="25"/>
        </w:rPr>
        <w:t>1000A</w:t>
      </w:r>
      <w:r>
        <w:rPr>
          <w:w w:val="95"/>
          <w:sz w:val="25"/>
        </w:rPr>
        <w:t>〕</w:t>
      </w:r>
    </w:p>
    <w:p>
      <w:pPr>
        <w:spacing w:before="131"/>
        <w:ind w:left="6295" w:right="0" w:firstLine="0"/>
        <w:jc w:val="left"/>
        <w:rPr>
          <w:sz w:val="25"/>
        </w:rPr>
      </w:pPr>
      <w:r>
        <w:rPr>
          <w:w w:val="95"/>
          <w:sz w:val="25"/>
        </w:rPr>
        <w:t>输出额定电压〔</w:t>
      </w:r>
      <w:r>
        <w:rPr>
          <w:rFonts w:ascii="Times New Roman" w:eastAsia="Times New Roman"/>
          <w:w w:val="95"/>
          <w:sz w:val="25"/>
        </w:rPr>
        <w:t>-48V</w:t>
      </w:r>
      <w:r>
        <w:rPr>
          <w:w w:val="95"/>
          <w:sz w:val="25"/>
        </w:rPr>
        <w:t>〕</w:t>
      </w:r>
    </w:p>
    <w:p>
      <w:pPr>
        <w:spacing w:after="0"/>
        <w:jc w:val="left"/>
        <w:rPr>
          <w:sz w:val="25"/>
        </w:rPr>
      </w:pPr>
      <w:r>
        <w:rPr>
          <w:sz w:val="25"/>
        </w:rPr>
        <w:br/>
      </w:r>
      <w:r>
        <w:rPr>
          <w:sz w:val="25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https://d.book118.com/645333124103011034</w:t>
        </w:r>
      </w:hyperlink>
    </w:p>
    <w:p>
      <w:pPr>
        <w:spacing w:after="0"/>
        <w:jc w:val="left"/>
        <w:rPr>
          <w:sz w:val="25"/>
        </w:rPr>
      </w:pPr>
    </w:p>
    <w:sectPr>
      <w:footerReference w:type="default" r:id="rId13"/>
      <w:type w:val="continuous"/>
      <w:pgSz w:w="17860" w:h="25260"/>
      <w:pgMar w:top="2420" w:right="2240" w:bottom="2040" w:left="2560" w:header="708" w:footer="708"/>
      <w:pgNumType w:start="6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Wingdings 3">
    <w:altName w:val="Wingdings 3"/>
    <w:charset w:val="02"/>
    <w:family w:val="roman"/>
    <w:pitch w:val="variable"/>
    <w:sig w:usb0="00000000" w:usb1="00000000" w:usb2="00000000" w:usb3="00000000" w:csb0="8000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Webdings">
    <w:altName w:val="Webdings"/>
    <w:charset w:val="02"/>
    <w:family w:val="roman"/>
    <w:pitch w:val="variable"/>
    <w:sig w:usb0="00000000" w:usb1="00000000" w:usb2="00000000" w:usb3="00000000" w:csb0="80000000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Marlett">
    <w:altName w:val="Marlett"/>
    <w:charset w:val="02"/>
    <w:family w:val="auto"/>
    <w:pitch w:val="variable"/>
    <w:sig w:usb0="00000000" w:usb1="00000000" w:usb2="00000000" w:usb3="00000000" w:csb0="8000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9.9pt;height:15.85pt;margin-top:1159.35pt;margin-left:741.63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3" w:line="283" w:lineRule="exact"/>
                  <w:ind w:left="60" w:right="0" w:firstLine="0"/>
                  <w:jc w:val="left"/>
                  <w:rPr>
                    <w:rFonts w:ascii="Cambria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mbria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9.9pt;height:15.85pt;margin-top:1159.35pt;margin-left:741.63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3" w:line="283" w:lineRule="exact"/>
                  <w:ind w:left="60" w:right="0" w:firstLine="0"/>
                  <w:jc w:val="left"/>
                  <w:rPr>
                    <w:rFonts w:ascii="Cambria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mbria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9.9pt;height:15.85pt;margin-top:1159.35pt;margin-left:741.63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33" w:line="283" w:lineRule="exact"/>
                  <w:ind w:left="60" w:right="0" w:firstLine="0"/>
                  <w:jc w:val="left"/>
                  <w:rPr>
                    <w:rFonts w:ascii="Cambria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mbria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9.9pt;height:15.85pt;margin-top:1159.35pt;margin-left:741.63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33" w:line="283" w:lineRule="exact"/>
                  <w:ind w:left="60" w:right="0" w:firstLine="0"/>
                  <w:jc w:val="left"/>
                  <w:rPr>
                    <w:rFonts w:ascii="Cambria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mbria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9.9pt;height:15.85pt;margin-top:1159.35pt;margin-left:741.63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33" w:line="283" w:lineRule="exact"/>
                  <w:ind w:left="60" w:right="0" w:firstLine="0"/>
                  <w:jc w:val="left"/>
                  <w:rPr>
                    <w:rFonts w:ascii="Cambria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mbria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19.9pt;height:15.85pt;margin-top:1159.35pt;margin-left:741.63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33" w:line="283" w:lineRule="exact"/>
                  <w:ind w:left="60" w:right="0" w:firstLine="0"/>
                  <w:jc w:val="left"/>
                  <w:rPr>
                    <w:rFonts w:ascii="Cambria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mbria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1CEFC3"/>
    <w:multiLevelType w:val="hybridMultilevel"/>
    <w:tmpl w:val="00000000"/>
    <w:lvl w:ilvl="0">
      <w:start w:val="2"/>
      <w:numFmt w:val="decimal"/>
      <w:lvlText w:val="%1"/>
      <w:lvlJc w:val="left"/>
      <w:pPr>
        <w:ind w:left="2140" w:hanging="359"/>
        <w:jc w:val="left"/>
      </w:pPr>
      <w:rPr>
        <w:rFonts w:ascii="Arial Narrow" w:eastAsia="Arial Narrow" w:hAnsi="Arial Narrow" w:cs="Arial Narrow" w:hint="default"/>
        <w:w w:val="111"/>
        <w:sz w:val="25"/>
        <w:szCs w:val="25"/>
      </w:rPr>
    </w:lvl>
    <w:lvl w:ilvl="1">
      <w:start w:val="0"/>
      <w:numFmt w:val="bullet"/>
      <w:lvlText w:val="•"/>
      <w:lvlJc w:val="left"/>
      <w:pPr>
        <w:ind w:left="2259" w:hanging="35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379" w:hanging="35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498" w:hanging="35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618" w:hanging="35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737" w:hanging="35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857" w:hanging="35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976" w:hanging="35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096" w:hanging="359"/>
      </w:pPr>
      <w:rPr>
        <w:rFonts w:hint="default"/>
      </w:rPr>
    </w:lvl>
  </w:abstractNum>
  <w:abstractNum w:abstractNumId="1">
    <w:nsid w:val="2185AED2"/>
    <w:multiLevelType w:val="hybridMultilevel"/>
    <w:tmpl w:val="00000000"/>
    <w:lvl w:ilvl="0">
      <w:start w:val="2"/>
      <w:numFmt w:val="decimal"/>
      <w:lvlText w:val="%1"/>
      <w:lvlJc w:val="left"/>
      <w:pPr>
        <w:ind w:left="2140" w:hanging="359"/>
        <w:jc w:val="left"/>
      </w:pPr>
      <w:rPr>
        <w:rFonts w:ascii="Arial Narrow" w:eastAsia="Arial Narrow" w:hAnsi="Arial Narrow" w:cs="Arial Narrow" w:hint="default"/>
        <w:w w:val="113"/>
        <w:sz w:val="24"/>
        <w:szCs w:val="24"/>
      </w:rPr>
    </w:lvl>
    <w:lvl w:ilvl="1">
      <w:start w:val="0"/>
      <w:numFmt w:val="bullet"/>
      <w:lvlText w:val="•"/>
      <w:lvlJc w:val="left"/>
      <w:pPr>
        <w:ind w:left="2258" w:hanging="35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376" w:hanging="35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494" w:hanging="35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613" w:hanging="35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731" w:hanging="35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849" w:hanging="35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968" w:hanging="35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086" w:hanging="359"/>
      </w:pPr>
      <w:rPr>
        <w:rFonts w:hint="default"/>
      </w:rPr>
    </w:lvl>
  </w:abstractNum>
  <w:abstractNum w:abstractNumId="2">
    <w:nsid w:val="2CFB3968"/>
    <w:multiLevelType w:val="hybridMultilevel"/>
    <w:tmpl w:val="00000000"/>
    <w:lvl w:ilvl="0">
      <w:start w:val="1"/>
      <w:numFmt w:val="decimal"/>
      <w:lvlText w:val="%1"/>
      <w:lvlJc w:val="left"/>
      <w:pPr>
        <w:ind w:left="929" w:hanging="789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29" w:hanging="789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2">
      <w:start w:val="1"/>
      <w:numFmt w:val="decimal"/>
      <w:lvlText w:val="%3."/>
      <w:lvlJc w:val="left"/>
      <w:pPr>
        <w:ind w:left="2379" w:hanging="540"/>
        <w:jc w:val="left"/>
      </w:pPr>
      <w:rPr>
        <w:rFonts w:hint="default"/>
        <w:w w:val="102"/>
      </w:rPr>
    </w:lvl>
    <w:lvl w:ilvl="3">
      <w:start w:val="0"/>
      <w:numFmt w:val="bullet"/>
      <w:lvlText w:val="•"/>
      <w:lvlJc w:val="left"/>
      <w:pPr>
        <w:ind w:left="4029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1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0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9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8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79" w:hanging="540"/>
      </w:pPr>
      <w:rPr>
        <w:rFonts w:hint="default"/>
      </w:rPr>
    </w:lvl>
  </w:abstractNum>
  <w:abstractNum w:abstractNumId="3">
    <w:nsid w:val="3BD425E1"/>
    <w:multiLevelType w:val="hybridMultilevel"/>
    <w:tmpl w:val="00000000"/>
    <w:lvl w:ilvl="0">
      <w:start w:val="2"/>
      <w:numFmt w:val="decimal"/>
      <w:lvlText w:val="%1"/>
      <w:lvlJc w:val="left"/>
      <w:pPr>
        <w:ind w:left="1245" w:hanging="1105"/>
        <w:jc w:val="left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1245" w:hanging="1105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45" w:hanging="1105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3">
      <w:start w:val="0"/>
      <w:numFmt w:val="bullet"/>
      <w:lvlText w:val="•"/>
      <w:lvlJc w:val="left"/>
      <w:pPr>
        <w:ind w:left="4785" w:hanging="11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67" w:hanging="11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49" w:hanging="11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31" w:hanging="11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13" w:hanging="11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95" w:hanging="1105"/>
      </w:pPr>
      <w:rPr>
        <w:rFonts w:hint="default"/>
      </w:rPr>
    </w:lvl>
  </w:abstractNum>
  <w:abstractNum w:abstractNumId="4">
    <w:nsid w:val="42434EF7"/>
    <w:multiLevelType w:val="hybridMultilevel"/>
    <w:tmpl w:val="00000000"/>
    <w:lvl w:ilvl="0">
      <w:start w:val="1"/>
      <w:numFmt w:val="decimal"/>
      <w:lvlText w:val="%1"/>
      <w:lvlJc w:val="left"/>
      <w:pPr>
        <w:ind w:left="1087" w:hanging="947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87" w:hanging="947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087" w:hanging="947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3">
      <w:start w:val="0"/>
      <w:numFmt w:val="bullet"/>
      <w:lvlText w:val="•"/>
      <w:lvlJc w:val="left"/>
      <w:pPr>
        <w:ind w:left="3959" w:hanging="94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59" w:hanging="94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59" w:hanging="94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59" w:hanging="94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59" w:hanging="94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59" w:hanging="947"/>
      </w:pPr>
      <w:rPr>
        <w:rFonts w:hint="default"/>
      </w:rPr>
    </w:lvl>
  </w:abstractNum>
  <w:abstractNum w:abstractNumId="5">
    <w:nsid w:val="50E3A01E"/>
    <w:multiLevelType w:val="hybridMultilevel"/>
    <w:tmpl w:val="00000000"/>
    <w:lvl w:ilvl="0">
      <w:start w:val="2"/>
      <w:numFmt w:val="decimal"/>
      <w:lvlText w:val="%1"/>
      <w:lvlJc w:val="left"/>
      <w:pPr>
        <w:ind w:left="410" w:hanging="361"/>
        <w:jc w:val="left"/>
      </w:pPr>
      <w:rPr>
        <w:rFonts w:ascii="Times New Roman" w:eastAsia="Times New Roman" w:hAnsi="Times New Roman" w:cs="Times New Roman" w:hint="default"/>
        <w:w w:val="102"/>
        <w:sz w:val="25"/>
        <w:szCs w:val="25"/>
      </w:rPr>
    </w:lvl>
    <w:lvl w:ilvl="1">
      <w:start w:val="0"/>
      <w:numFmt w:val="bullet"/>
      <w:lvlText w:val="•"/>
      <w:lvlJc w:val="left"/>
      <w:pPr>
        <w:ind w:left="626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33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40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46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53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660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866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073" w:hanging="361"/>
      </w:pPr>
      <w:rPr>
        <w:rFonts w:hint="default"/>
      </w:rPr>
    </w:lvl>
  </w:abstractNum>
  <w:abstractNum w:abstractNumId="6">
    <w:nsid w:val="5A16A9C2"/>
    <w:multiLevelType w:val="hybridMultilevel"/>
    <w:tmpl w:val="00000000"/>
    <w:lvl w:ilvl="0">
      <w:start w:val="1"/>
      <w:numFmt w:val="decimal"/>
      <w:lvlText w:val="%1"/>
      <w:lvlJc w:val="left"/>
      <w:pPr>
        <w:ind w:left="615" w:hanging="47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15" w:hanging="475"/>
        <w:jc w:val="left"/>
      </w:pPr>
      <w:rPr>
        <w:rFonts w:hint="default"/>
        <w:w w:val="97"/>
      </w:rPr>
    </w:lvl>
    <w:lvl w:ilvl="2">
      <w:start w:val="0"/>
      <w:numFmt w:val="bullet"/>
      <w:lvlText w:val="•"/>
      <w:lvlJc w:val="left"/>
      <w:pPr>
        <w:ind w:left="3107" w:hanging="4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51" w:hanging="4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5" w:hanging="4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39" w:hanging="4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83" w:hanging="4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27" w:hanging="4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71" w:hanging="475"/>
      </w:pPr>
      <w:rPr>
        <w:rFonts w:hint="default"/>
      </w:rPr>
    </w:lvl>
  </w:abstractNum>
  <w:abstractNum w:abstractNumId="7">
    <w:nsid w:val="604115F5"/>
    <w:multiLevelType w:val="hybridMultilevel"/>
    <w:tmpl w:val="00000000"/>
    <w:lvl w:ilvl="0">
      <w:start w:val="1"/>
      <w:numFmt w:val="decimal"/>
      <w:lvlText w:val="%1."/>
      <w:lvlJc w:val="left"/>
      <w:pPr>
        <w:ind w:left="616" w:hanging="476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1"/>
      <w:numFmt w:val="decimal"/>
      <w:lvlText w:val="%2."/>
      <w:lvlJc w:val="left"/>
      <w:pPr>
        <w:ind w:left="2379" w:hanging="540"/>
        <w:jc w:val="left"/>
      </w:pPr>
      <w:rPr>
        <w:rFonts w:hint="default"/>
        <w:w w:val="102"/>
      </w:rPr>
    </w:lvl>
    <w:lvl w:ilvl="2">
      <w:start w:val="0"/>
      <w:numFmt w:val="bullet"/>
      <w:lvlText w:val="•"/>
      <w:lvlJc w:val="left"/>
      <w:pPr>
        <w:ind w:left="3566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53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3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26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13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9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86" w:hanging="540"/>
      </w:pPr>
      <w:rPr>
        <w:rFonts w:hint="default"/>
      </w:rPr>
    </w:lvl>
  </w:abstractNum>
  <w:abstractNum w:abstractNumId="8">
    <w:nsid w:val="6A230872"/>
    <w:multiLevelType w:val="hybridMultilevel"/>
    <w:tmpl w:val="00000000"/>
    <w:lvl w:ilvl="0">
      <w:start w:val="1"/>
      <w:numFmt w:val="decimal"/>
      <w:lvlText w:val="%1."/>
      <w:lvlJc w:val="left"/>
      <w:pPr>
        <w:ind w:left="616" w:hanging="476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1"/>
      <w:numFmt w:val="decimal"/>
      <w:lvlText w:val="%1.%2."/>
      <w:lvlJc w:val="left"/>
      <w:pPr>
        <w:ind w:left="932" w:hanging="792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2286" w:hanging="7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33" w:hanging="7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79" w:hanging="7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326" w:hanging="7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73" w:hanging="7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19" w:hanging="7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66" w:hanging="792"/>
      </w:pPr>
      <w:rPr>
        <w:rFonts w:hint="default"/>
      </w:rPr>
    </w:lvl>
  </w:abstractNum>
  <w:num w:numId="1">
    <w:abstractNumId w:val="8"/>
  </w:num>
  <w:num w:numId="2">
    <w:abstractNumId w:val="2"/>
  </w:num>
  <w:num w:numId="3">
    <w:abstractNumId w:val="7"/>
  </w:num>
  <w:num w:numId="4">
    <w:abstractNumId w:val="3"/>
  </w:num>
  <w:num w:numId="5">
    <w:abstractNumId w:val="5"/>
  </w:num>
  <w:num w:numId="6">
    <w:abstractNumId w:val="0"/>
  </w:num>
  <w:num w:numId="7">
    <w:abstractNumId w:val="1"/>
  </w:num>
  <w:num w:numId="8">
    <w:abstractNumId w:val="4"/>
  </w:num>
  <w:num w:numId="9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OC1">
    <w:name w:val="TOC 1"/>
    <w:basedOn w:val="Normal"/>
    <w:uiPriority w:val="1"/>
    <w:qFormat/>
    <w:pPr>
      <w:spacing w:before="71"/>
      <w:ind w:left="140"/>
    </w:pPr>
    <w:rPr>
      <w:rFonts w:ascii="宋体" w:eastAsia="宋体" w:hAnsi="宋体" w:cs="宋体"/>
      <w:sz w:val="31"/>
      <w:szCs w:val="31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customStyle="1" w:styleId="Heading1">
    <w:name w:val="Heading 1"/>
    <w:basedOn w:val="Normal"/>
    <w:uiPriority w:val="1"/>
    <w:qFormat/>
    <w:pPr>
      <w:ind w:left="140"/>
      <w:outlineLvl w:val="1"/>
    </w:pPr>
    <w:rPr>
      <w:rFonts w:ascii="黑体" w:eastAsia="黑体" w:hAnsi="黑体" w:cs="黑体"/>
      <w:sz w:val="42"/>
      <w:szCs w:val="42"/>
    </w:rPr>
  </w:style>
  <w:style w:type="paragraph" w:styleId="Title">
    <w:name w:val="Title"/>
    <w:basedOn w:val="Normal"/>
    <w:uiPriority w:val="1"/>
    <w:qFormat/>
    <w:pPr>
      <w:spacing w:before="83"/>
      <w:ind w:right="340"/>
      <w:jc w:val="center"/>
    </w:pPr>
    <w:rPr>
      <w:rFonts w:ascii="宋体" w:eastAsia="宋体" w:hAnsi="宋体" w:cs="宋体"/>
      <w:b/>
      <w:bCs/>
      <w:sz w:val="54"/>
      <w:szCs w:val="54"/>
    </w:rPr>
  </w:style>
  <w:style w:type="paragraph" w:styleId="ListParagraph">
    <w:name w:val="List Paragraph"/>
    <w:basedOn w:val="Normal"/>
    <w:uiPriority w:val="1"/>
    <w:qFormat/>
    <w:pPr>
      <w:ind w:left="1245" w:hanging="1106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5.xml" /><Relationship Id="rId11" Type="http://schemas.openxmlformats.org/officeDocument/2006/relationships/image" Target="media/image3.png" /><Relationship Id="rId12" Type="http://schemas.openxmlformats.org/officeDocument/2006/relationships/hyperlink" Target="https://d.book118.com/645333124103011034" TargetMode="External" /><Relationship Id="rId13" Type="http://schemas.openxmlformats.org/officeDocument/2006/relationships/footer" Target="footer6.xml" /><Relationship Id="rId14" Type="http://schemas.openxmlformats.org/officeDocument/2006/relationships/theme" Target="theme/theme1.xml" /><Relationship Id="rId15" Type="http://schemas.openxmlformats.org/officeDocument/2006/relationships/numbering" Target="numbering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image" Target="media/image1.png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image" Target="media/image2.png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2023-10-11T14:43:36Z</dcterms:created>
  <dcterms:modified xsi:type="dcterms:W3CDTF">2023-10-11T14:43:36Z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2023-03-18T00:00:00Z</vt:filetime>
  </property>
  <property fmtid="{D5CDD505-2E9C-101B-9397-08002B2CF9AE}" pid="3" name="LastSaved">
    <vt:filetime>2023-10-11T00:00:00Z</vt:filetime>
  </property>
</Properties>
</file>