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1、[单选题]既能平肝息风，清肝明目，又能散血解毒的药物是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A.牛黄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B.草决明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C.羚羊角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D.龙胆草。E,石决明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2、[题干]母乳喂养的婴儿胃排空时间是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A.1～1.5小时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B.1.5～2小时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C.3～4小时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D.2～3小时。E,1.5～2.5小时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3、[题干]原发性肾病患儿，尿蛋白+++，全身高度水肿，血浆白蛋白为20g/L，为明确其临床分型，下列哪种检查非必须()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A.BUN测定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B.尿培养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C.C3测定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D.血压测定。E,多次尿常规检查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4、[题干]化脓性脑膜炎合并硬膜下积液时，治疗应首选()()。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A.换用抗生素种类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B.加大抗生素剂量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C.鞘内注射抗生素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D.硬膜下穿刺排液。E,外科手术治疗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【解析】化脓性脑膜炎合并硬膜下积液时，治疗应首选硬膜下穿刺排液，故正确答案为D。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5、[题干]女，4岁，因智力低下就诊，身高80cm，体重12kg，小头，眼距宽，鼻梁低平，眼裂小，跟外侧上斜，舌常伸出口外，小指向内侧弯曲，通贯手最可能的诊断(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A.苯丙酮尿症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B.Down综合征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C.Turner综合征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D.先天性甲状腺功能减低症。E,黏多糖病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https://d.book118.com/646001013025010051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46001013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