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bookmarkStart w:id="0" w:name="高分子材料的生物降解性与环境影响"/>
    <w:p>
      <w:pPr>
        <w:pStyle w:val="Heading1"/>
      </w:pPr>
      <w:r>
        <w:t>高分子材料的生物降解性与环境影响</w:t>
      </w:r>
    </w:p>
    <w:bookmarkStart w:id="1" w:name="引言"/>
    <w:p>
      <w:pPr>
        <w:pStyle w:val="Heading2"/>
      </w:pPr>
      <w:r>
        <w:t>1. 引言</w:t>
      </w:r>
    </w:p>
    <w:bookmarkStart w:id="2" w:name="高分子材料简介"/>
    <w:p>
      <w:pPr>
        <w:pStyle w:val="Heading3"/>
      </w:pPr>
      <w:r>
        <w:t>1.1 高分子材料简介</w:t>
      </w:r>
    </w:p>
    <w:p>
      <w:pPr>
        <w:pStyle w:val="FirstParagraph"/>
      </w:pPr>
      <w:r>
        <w:t>高分子材料是由众多原子或原子团主要以共价键结合而成的相对分子量在一万以上的化合物。它们广泛应用于包装、建筑、医疗、农业等众多领域，极大地改善了人类生活品质。然而，传统高分子材料如聚乙烯、聚丙烯等难以降解，给环境带来了严重负担。</w:t>
      </w:r>
    </w:p>
    <w:bookmarkEnd w:id="2"/>
    <w:bookmarkStart w:id="3" w:name="生物降解性与环境影响的关联"/>
    <w:p>
      <w:pPr>
        <w:pStyle w:val="Heading3"/>
      </w:pPr>
      <w:r>
        <w:t>1.2 生物降解性与环境影响的关联</w:t>
      </w:r>
    </w:p>
    <w:p>
      <w:pPr>
        <w:pStyle w:val="FirstParagraph"/>
      </w:pPr>
      <w:r>
        <w:t>生物降解性是指材料在自然环境中，通过微生物的作用分解为无害物质的能力。具有生物降解性的高分子材料可以在较短的时间内被微生物分解，从而减少环境污染。因此，生物降解性与环境影响密切相关。</w:t>
      </w:r>
    </w:p>
    <w:bookmarkEnd w:id="3"/>
    <w:bookmarkStart w:id="4" w:name="研究目的与意义"/>
    <w:p>
      <w:pPr>
        <w:pStyle w:val="Heading3"/>
      </w:pPr>
      <w:r>
        <w:t>1.3 研究目的与意义</w:t>
      </w:r>
    </w:p>
    <w:p>
      <w:pPr>
        <w:pStyle w:val="FirstParagraph"/>
      </w:pPr>
      <w:r>
        <w:t>本研究旨在探讨高分子材料的生物降解性及其对环境的影响，从而为开发环境友好型高分子材料提供理论依据和技术支持。这对于减少环境污染、保护生态系统、实现可持续发展具有重要意义。</w:t>
      </w:r>
    </w:p>
    <w:bookmarkEnd w:id="4"/>
    <w:bookmarkEnd w:id="1"/>
    <w:bookmarkStart w:id="5" w:name="高分子材料的分类与特性"/>
    <w:p>
      <w:pPr>
        <w:pStyle w:val="Heading2"/>
      </w:pPr>
      <w:r>
        <w:t>2 高分子材料的分类与特性</w:t>
      </w:r>
    </w:p>
    <w:bookmarkStart w:id="6" w:name="传统高分子材料"/>
    <w:p>
      <w:pPr>
        <w:pStyle w:val="Heading3"/>
      </w:pPr>
      <w:r>
        <w:t>2.1 传统高分子材料</w:t>
      </w:r>
    </w:p>
    <w:p>
      <w:pPr>
        <w:pStyle w:val="FirstParagraph"/>
      </w:pPr>
      <w:r>
        <w:t>传统高分子材料主要是指以石油为原料生产的塑料、橡胶和纤维等。这些材料因其良好的性能和低成本而广泛应用于各个领域。然而，大部分传统高分子材料难以在自然环境中降解，导致严重的环境污染问题。</w:t>
      </w:r>
    </w:p>
    <w:p>
      <w:pPr>
        <w:pStyle w:val="Compact"/>
        <w:numPr>
          <w:ilvl w:val="0"/>
          <w:numId w:val="19"/>
        </w:numPr>
      </w:pPr>
      <w:r>
        <w:rPr>
          <w:b/>
          <w:bCs/>
        </w:rPr>
        <w:t>塑料</w:t>
      </w:r>
      <w:r>
        <w:t>：如聚乙烯（PE）、聚丙烯（PP）、聚氯乙烯（PVC）等，广泛应用于包装、建筑、家电等行业。</w:t>
      </w:r>
    </w:p>
    <w:p>
      <w:pPr>
        <w:pStyle w:val="Compact"/>
        <w:numPr>
          <w:ilvl w:val="0"/>
          <w:numId w:val="19"/>
        </w:numPr>
      </w:pPr>
      <w:r>
        <w:rPr>
          <w:b/>
          <w:bCs/>
        </w:rPr>
        <w:t>橡胶</w:t>
      </w:r>
      <w:r>
        <w:t>：主要包括天然橡胶和合成橡胶，用于制作轮胎、胶管、胶带等。</w:t>
      </w:r>
    </w:p>
    <w:p>
      <w:pPr>
        <w:pStyle w:val="Compact"/>
        <w:numPr>
          <w:ilvl w:val="0"/>
          <w:numId w:val="19"/>
        </w:numPr>
      </w:pPr>
      <w:r>
        <w:rPr>
          <w:b/>
          <w:bCs/>
        </w:rPr>
        <w:t>纤维</w:t>
      </w:r>
      <w:r>
        <w:t>：如聚酯、尼龙、丙烯腈等，用于纺织、服装、家居等领域。</w:t>
      </w:r>
    </w:p>
    <w:bookmarkEnd w:id="6"/>
    <w:bookmarkStart w:id="7" w:name="生物降解高分子材料"/>
    <w:p>
      <w:pPr>
        <w:pStyle w:val="Heading3"/>
      </w:pPr>
      <w:r>
        <w:t>2.2 生物降解高分子材料</w:t>
      </w:r>
    </w:p>
    <w:p>
      <w:pPr>
        <w:pStyle w:val="FirstParagraph"/>
        <w:sectPr>
          <w:pgSz w:w="12240" w:h="15840"/>
          <w:pgMar w:top="1440" w:right="1800" w:bottom="1440" w:left="1800" w:header="720" w:footer="720" w:gutter="0"/>
          <w:cols w:space="720"/>
        </w:sectPr>
      </w:pPr>
      <w:r>
        <w:t>生物降解高分子材料是指在一定条件下，能被微生物或酶分解成小分子物质的高分子材料。这类材料在环境保护、生物医学等领域具有广泛的应用前景。</w:t>
      </w:r>
    </w:p>
    <w:p>
      <w:pPr>
        <w:pStyle w:val="Compact"/>
        <w:numPr>
          <w:ilvl w:val="0"/>
          <w:numId w:val="19"/>
        </w:numPr>
      </w:pPr>
      <w:r>
        <w:rPr>
          <w:b/>
          <w:bCs/>
        </w:rPr>
        <w:t>聚乳酸（PLA）</w:t>
      </w:r>
      <w:r>
        <w:t>：由玉米、木薯等淀粉原料制成，可用于制作包装材料、纺织品等。</w:t>
      </w:r>
    </w:p>
    <w:p>
      <w:pPr>
        <w:pStyle w:val="Compact"/>
        <w:numPr>
          <w:ilvl w:val="0"/>
          <w:numId w:val="19"/>
        </w:numPr>
      </w:pPr>
      <w:r>
        <w:rPr>
          <w:b/>
          <w:bCs/>
        </w:rPr>
        <w:t>聚羟基烷酸（PHA）</w:t>
      </w:r>
      <w:r>
        <w:t>：由微生物发酵生产，具有优异的生物降解性能。</w:t>
      </w:r>
    </w:p>
    <w:p>
      <w:pPr>
        <w:pStyle w:val="Compact"/>
        <w:numPr>
          <w:ilvl w:val="0"/>
          <w:numId w:val="19"/>
        </w:numPr>
      </w:pPr>
      <w:r>
        <w:rPr>
          <w:b/>
          <w:bCs/>
        </w:rPr>
        <w:t>纤维素衍生物</w:t>
      </w:r>
      <w:r>
        <w:t>：如羧甲基纤维素、羟丙甲纤维素等，广泛应用于食品、药品、化妆品等领域。</w:t>
      </w:r>
    </w:p>
    <w:bookmarkEnd w:id="7"/>
    <w:bookmarkStart w:id="8" w:name="环境友好型高分子材料"/>
    <w:p>
      <w:pPr>
        <w:pStyle w:val="Heading3"/>
      </w:pPr>
      <w:r>
        <w:t>2.3 环境友好型高分子材料</w:t>
      </w:r>
    </w:p>
    <w:p>
      <w:pPr>
        <w:pStyle w:val="FirstParagraph"/>
      </w:pPr>
      <w:r>
        <w:t>环境友好型高分子材料是指在生产、使用和废弃处理过程中对环境影响较小的材料。这类材料具有可持续、可回收、生物降解等特点。</w:t>
      </w:r>
    </w:p>
    <w:p>
      <w:pPr>
        <w:pStyle w:val="Compact"/>
        <w:numPr>
          <w:ilvl w:val="0"/>
          <w:numId w:val="19"/>
        </w:numPr>
      </w:pPr>
      <w:r>
        <w:rPr>
          <w:b/>
          <w:bCs/>
        </w:rPr>
        <w:t>可降解聚氨酯</w:t>
      </w:r>
      <w:r>
        <w:t>：具有优异的力学性能和生物降解性能，可用于泡沫、弹性体等领域。</w:t>
      </w:r>
    </w:p>
    <w:p>
      <w:pPr>
        <w:pStyle w:val="Compact"/>
        <w:numPr>
          <w:ilvl w:val="0"/>
          <w:numId w:val="19"/>
        </w:numPr>
      </w:pPr>
      <w:r>
        <w:rPr>
          <w:b/>
          <w:bCs/>
        </w:rPr>
        <w:t>生物基聚合物</w:t>
      </w:r>
      <w:r>
        <w:t>：以生物质资源为原料，如聚乳酸、聚羟基烷酸等。</w:t>
      </w:r>
    </w:p>
    <w:p>
      <w:pPr>
        <w:pStyle w:val="Compact"/>
        <w:numPr>
          <w:ilvl w:val="0"/>
          <w:numId w:val="19"/>
        </w:numPr>
      </w:pPr>
      <w:r>
        <w:rPr>
          <w:b/>
          <w:bCs/>
        </w:rPr>
        <w:t>绿色复合材料</w:t>
      </w:r>
      <w:r>
        <w:t>：将天然纤维与生物降解聚合物复合，用于替代传统塑料和纤维增强复合材料。</w:t>
      </w:r>
    </w:p>
    <w:p>
      <w:pPr>
        <w:pStyle w:val="FirstParagraph"/>
      </w:pPr>
      <w:r>
        <w:t>通过对高分子材料的分类与特性分析，我们可以看出，生物降解高分子材料在环境保护方面具有巨大潜力。然而，要实现其在实际应用中的广泛应用，还需进一步研究其降解性能、力学性能和成本等问题。</w:t>
      </w:r>
    </w:p>
    <w:bookmarkEnd w:id="8"/>
    <w:bookmarkEnd w:id="5"/>
    <w:bookmarkStart w:id="9" w:name="生物降解机理与评价方法"/>
    <w:p>
      <w:pPr>
        <w:pStyle w:val="Heading2"/>
      </w:pPr>
      <w:r>
        <w:t>3 生物降解机理与评价方法</w:t>
      </w:r>
    </w:p>
    <w:bookmarkStart w:id="10" w:name="生物降解机理"/>
    <w:p>
      <w:pPr>
        <w:pStyle w:val="Heading3"/>
      </w:pPr>
      <w:r>
        <w:t>3.1 生物降解机理</w:t>
      </w:r>
    </w:p>
    <w:p>
      <w:pPr>
        <w:pStyle w:val="FirstParagraph"/>
      </w:pPr>
      <w:r>
        <w:t>生物降解是指生物体或者其代谢产物在一定的环境条件下，对有机物进行分解、转化，使其最终转化为水、二氧化碳、生物质等简单物质的过程。对于高分子材料而言，生物降解主要包括以下几个阶段：</w:t>
      </w:r>
    </w:p>
    <w:p>
      <w:pPr>
        <w:pStyle w:val="Compact"/>
        <w:numPr>
          <w:ilvl w:val="0"/>
          <w:numId w:val="22"/>
        </w:numPr>
      </w:pPr>
      <w:r>
        <w:rPr>
          <w:b/>
          <w:bCs/>
        </w:rPr>
        <w:t>吸附阶段</w:t>
      </w:r>
      <w:r>
        <w:t>：微生物在材料表面的附着与繁殖。</w:t>
      </w:r>
    </w:p>
    <w:p>
      <w:pPr>
        <w:pStyle w:val="Compact"/>
        <w:numPr>
          <w:ilvl w:val="0"/>
          <w:numId w:val="22"/>
        </w:numPr>
      </w:pPr>
      <w:r>
        <w:rPr>
          <w:b/>
          <w:bCs/>
        </w:rPr>
        <w:t>侵蚀阶段</w:t>
      </w:r>
      <w:r>
        <w:t>：微生物分泌的酶等代谢产物侵蚀材料表面。</w:t>
      </w:r>
    </w:p>
    <w:p>
      <w:pPr>
        <w:pStyle w:val="Compact"/>
        <w:numPr>
          <w:ilvl w:val="0"/>
          <w:numId w:val="22"/>
        </w:numPr>
      </w:pPr>
      <w:r>
        <w:rPr>
          <w:b/>
          <w:bCs/>
        </w:rPr>
        <w:t>分解阶段</w:t>
      </w:r>
      <w:r>
        <w:t>：高分子链被微生物分泌的酶断裂成低分子量的化合物。</w:t>
      </w:r>
    </w:p>
    <w:p>
      <w:pPr>
        <w:pStyle w:val="Compact"/>
        <w:numPr>
          <w:ilvl w:val="0"/>
          <w:numId w:val="22"/>
        </w:numPr>
      </w:pPr>
      <w:r>
        <w:rPr>
          <w:b/>
          <w:bCs/>
        </w:rPr>
        <w:t>矿化阶段</w:t>
      </w:r>
      <w:r>
        <w:t>：低分子化合物被微生物进一步分解为水、二氧化碳等无机小分子。</w:t>
      </w:r>
    </w:p>
    <w:bookmarkEnd w:id="10"/>
    <w:bookmarkStart w:id="11" w:name="生物降解评价方法"/>
    <w:p>
      <w:pPr>
        <w:pStyle w:val="Heading3"/>
      </w:pPr>
      <w:r>
        <w:t>3.2 生物降解评价方法</w:t>
      </w:r>
    </w:p>
    <w:p>
      <w:pPr>
        <w:pStyle w:val="FirstParagraph"/>
      </w:pPr>
      <w:r>
        <w:t>评价高分子材料的生物降解性通常有以下几种方法：</w:t>
      </w:r>
    </w:p>
    <w:p>
      <w:pPr>
        <w:pStyle w:val="Compact"/>
        <w:numPr>
          <w:ilvl w:val="0"/>
          <w:numId w:val="22"/>
        </w:numPr>
      </w:pPr>
      <w:r>
        <w:rPr>
          <w:b/>
          <w:bCs/>
        </w:rPr>
        <w:t>实验室模拟法</w:t>
      </w:r>
      <w:r>
        <w:t>：在实验室内模拟自然环境条件，对材料进行生物降解实验，通过测量材料质量损失、分子量变化等参数来评价其生物降解性。</w:t>
      </w:r>
    </w:p>
    <w:p>
      <w:pPr>
        <w:pStyle w:val="Compact"/>
        <w:numPr>
          <w:ilvl w:val="1"/>
          <w:numId w:val="19"/>
        </w:numPr>
        <w:sectPr>
          <w:type w:val="nextPage"/>
          <w:pgSz w:w="12240" w:h="15840"/>
          <w:pgMar w:top="1440" w:right="1800" w:bottom="1440" w:left="1800" w:header="720" w:footer="720" w:gutter="0"/>
          <w:pgNumType w:start="2"/>
          <w:cols w:space="720"/>
          <w:titlePg w:val="0"/>
        </w:sectPr>
      </w:pPr>
      <w:r>
        <w:t>常见的实验室模拟法包括：土壤掩埋法、活性污泥法、特定微生物接种法等。</w:t>
      </w:r>
    </w:p>
    <w:p>
      <w:pPr>
        <w:pStyle w:val="Compact"/>
        <w:numPr>
          <w:ilvl w:val="0"/>
          <w:numId w:val="22"/>
        </w:numPr>
      </w:pPr>
      <w:r>
        <w:rPr>
          <w:b/>
          <w:bCs/>
        </w:rPr>
        <w:t>生物降解率测定</w:t>
      </w:r>
      <w:r>
        <w:t>：通过测定材料在一定时间内生物降解的程度，通常以质量损失或二氧化碳生成量来表示。</w:t>
      </w:r>
    </w:p>
    <w:p>
      <w:pPr>
        <w:pStyle w:val="Compact"/>
        <w:numPr>
          <w:ilvl w:val="0"/>
          <w:numId w:val="22"/>
        </w:numPr>
      </w:pPr>
      <w:r>
        <w:rPr>
          <w:b/>
          <w:bCs/>
        </w:rPr>
        <w:t>分子量测定</w:t>
      </w:r>
      <w:r>
        <w:t>：通过GPC（凝胶渗透色谱）等方法测定材料降解过程中分子量的变化。</w:t>
      </w:r>
    </w:p>
    <w:bookmarkEnd w:id="11"/>
    <w:bookmarkStart w:id="12" w:name="生物降解性能影响因素"/>
    <w:p>
      <w:pPr>
        <w:pStyle w:val="Heading3"/>
      </w:pPr>
      <w:r>
        <w:t>3.3 生物降解性能影响因素</w:t>
      </w:r>
    </w:p>
    <w:p>
      <w:pPr>
        <w:pStyle w:val="FirstParagraph"/>
      </w:pPr>
      <w:r>
        <w:t>影响高分子材料生物降解性能的因素众多，主要包括：</w:t>
      </w:r>
    </w:p>
    <w:p>
      <w:pPr>
        <w:pStyle w:val="Compact"/>
        <w:numPr>
          <w:ilvl w:val="0"/>
          <w:numId w:val="22"/>
        </w:numPr>
      </w:pPr>
      <w:r>
        <w:rPr>
          <w:b/>
          <w:bCs/>
        </w:rPr>
        <w:t>材料本身的结构与性质</w:t>
      </w:r>
      <w:r>
        <w:t>：如分子量、结晶度、亲水性等。</w:t>
      </w:r>
    </w:p>
    <w:p>
      <w:pPr>
        <w:pStyle w:val="Compact"/>
        <w:numPr>
          <w:ilvl w:val="0"/>
          <w:numId w:val="22"/>
        </w:numPr>
      </w:pPr>
      <w:r>
        <w:rPr>
          <w:b/>
          <w:bCs/>
        </w:rPr>
        <w:t>环境条件</w:t>
      </w:r>
      <w:r>
        <w:t>：温度、湿度、pH值、氧含量等环境因素都会影响微生物的生长与代谢，进而影响材料的生物降解性。</w:t>
      </w:r>
    </w:p>
    <w:p>
      <w:pPr>
        <w:pStyle w:val="Compact"/>
        <w:numPr>
          <w:ilvl w:val="0"/>
          <w:numId w:val="22"/>
        </w:numPr>
      </w:pPr>
      <w:r>
        <w:rPr>
          <w:b/>
          <w:bCs/>
        </w:rPr>
        <w:t>微生物种类与活性</w:t>
      </w:r>
      <w:r>
        <w:t>：不同种类的微生物对不同类型的高分子材料具有选择性，其活性也直接影响生物降解速率。</w:t>
      </w:r>
    </w:p>
    <w:p>
      <w:pPr>
        <w:pStyle w:val="Compact"/>
        <w:numPr>
          <w:ilvl w:val="0"/>
          <w:numId w:val="22"/>
        </w:numPr>
      </w:pPr>
      <w:r>
        <w:rPr>
          <w:b/>
          <w:bCs/>
        </w:rPr>
        <w:t>添加剂</w:t>
      </w:r>
      <w:r>
        <w:t>：某些添加剂可以促进或抑制高分子材料的生物降解性。</w:t>
      </w:r>
    </w:p>
    <w:p>
      <w:pPr>
        <w:pStyle w:val="FirstParagraph"/>
      </w:pPr>
      <w:r>
        <w:t>以上就是关于高分子材料的生物降解机理与评价方法的详细描述。这些内容对于理解高分子材料在自然环境中的行为及其对环境的影响具有重要意义。</w:t>
      </w:r>
    </w:p>
    <w:bookmarkEnd w:id="12"/>
    <w:bookmarkEnd w:id="9"/>
    <w:bookmarkStart w:id="13" w:name="高分子材料生物降解性的研究进展"/>
    <w:p>
      <w:pPr>
        <w:pStyle w:val="Heading2"/>
      </w:pPr>
      <w:r>
        <w:t>4. 高分子材料生物降解性的研究进展</w:t>
      </w:r>
    </w:p>
    <w:bookmarkStart w:id="14" w:name="国内外研究现状"/>
    <w:p>
      <w:pPr>
        <w:pStyle w:val="Heading3"/>
      </w:pPr>
      <w:r>
        <w:t>4.1 国内外研究现状</w:t>
      </w:r>
    </w:p>
    <w:p>
      <w:pPr>
        <w:pStyle w:val="FirstParagraph"/>
      </w:pPr>
      <w:r>
        <w:t>近年来，随着环境问题的日益严重，高分子材料的生物降解性研究受到了广泛关注。国际上，许多国家和地区的研究机构和企业都在积极开展相关研究。目前，已经开发出多种生物降解高分子材料，如聚乳酸（PLA）、聚羟基烷酸（PHA）、聚丁二酸丁二醇酯（PBS）等。</w:t>
      </w:r>
    </w:p>
    <w:p>
      <w:pPr>
        <w:pStyle w:val="BodyText"/>
      </w:pPr>
      <w:r>
        <w:t>在国内，生物降解高分子材料的研究也取得了显著进展。众多高校、科研院所和企业纷纷加大研究力度，不断优化材料的合成工艺，提高材料的生物降解性能。同时，我国政府也出台了一系列政策，鼓励和支持生物降解高分子材料的研究与应用。</w:t>
      </w:r>
    </w:p>
    <w:bookmarkEnd w:id="14"/>
    <w:bookmarkStart w:id="15" w:name="生物降解性能改进策略"/>
    <w:p>
      <w:pPr>
        <w:pStyle w:val="Heading3"/>
      </w:pPr>
      <w:r>
        <w:t>4.2 生物降解性能改进策略</w:t>
      </w:r>
    </w:p>
    <w:p>
      <w:pPr>
        <w:pStyle w:val="FirstParagraph"/>
      </w:pPr>
      <w:r>
        <w:t>为了提高高分子材料的生物降解性能，研究者们采取了多种改进策略：</w:t>
      </w:r>
    </w:p>
    <w:p>
      <w:pPr>
        <w:pStyle w:val="Compact"/>
        <w:numPr>
          <w:ilvl w:val="0"/>
          <w:numId w:val="22"/>
        </w:numPr>
      </w:pPr>
      <w:r>
        <w:rPr>
          <w:b/>
          <w:bCs/>
        </w:rPr>
        <w:t>分子结构设计</w:t>
      </w:r>
      <w:r>
        <w:t>：通过引入含有易降解结构的单元，如酯、酰胺等，提高高分子材料的生物降解性能。</w:t>
      </w:r>
    </w:p>
    <w:p>
      <w:pPr>
        <w:pStyle w:val="Compact"/>
        <w:numPr>
          <w:ilvl w:val="0"/>
          <w:numId w:val="22"/>
        </w:numPr>
      </w:pPr>
      <w:r>
        <w:rPr>
          <w:b/>
          <w:bCs/>
        </w:rPr>
        <w:t>共聚改性</w:t>
      </w:r>
      <w:r>
        <w:t>：将具有生物降解性的单体与普通单体共聚，制备具有优良生物降解性能的高分子材料。</w:t>
      </w:r>
    </w:p>
    <w:p>
      <w:pPr>
        <w:pStyle w:val="Compact"/>
        <w:numPr>
          <w:ilvl w:val="0"/>
          <w:numId w:val="22"/>
        </w:numPr>
      </w:pPr>
      <w:r>
        <w:rPr>
          <w:b/>
          <w:bCs/>
        </w:rPr>
        <w:t>纳米复合材料</w:t>
      </w:r>
      <w:r>
        <w:t>：将纳米粒子引入高分子材料中，提高其力学性能和生物降解性能。</w:t>
      </w:r>
    </w:p>
    <w:p>
      <w:pPr>
        <w:pStyle w:val="Compact"/>
        <w:numPr>
          <w:ilvl w:val="0"/>
          <w:numId w:val="22"/>
        </w:numPr>
        <w:sectPr>
          <w:type w:val="nextPage"/>
          <w:pgSz w:w="12240" w:h="15840"/>
          <w:pgMar w:top="1440" w:right="1800" w:bottom="1440" w:left="1800" w:header="720" w:footer="720" w:gutter="0"/>
          <w:pgNumType w:start="3"/>
          <w:cols w:space="720"/>
          <w:titlePg w:val="0"/>
        </w:sectPr>
      </w:pPr>
      <w:r>
        <w:rPr>
          <w:b/>
          <w:bCs/>
        </w:rPr>
        <w:t>生物降解促进剂</w:t>
      </w:r>
      <w:r>
        <w:t>：添加生物降解促进剂，加速高分子材料的生物降解过程。</w:t>
      </w:r>
    </w:p>
    <w:bookmarkEnd w:id="15"/>
    <w:bookmarkStart w:id="16" w:name="存在的问题与挑战"/>
    <w:p>
      <w:pPr>
        <w:pStyle w:val="Heading3"/>
      </w:pPr>
      <w:r>
        <w:t>4.3 存在的问题与挑战</w:t>
      </w:r>
    </w:p>
    <w:p>
      <w:pPr>
        <w:pStyle w:val="FirstParagraph"/>
      </w:pPr>
      <w:r>
        <w:t>尽管生物降解高分子材料的研究取得了显著进展，但仍存在以下问题和挑战：</w:t>
      </w:r>
    </w:p>
    <w:p>
      <w:pPr>
        <w:pStyle w:val="Compact"/>
        <w:numPr>
          <w:ilvl w:val="0"/>
          <w:numId w:val="60"/>
        </w:numPr>
      </w:pPr>
      <w:r>
        <w:rPr>
          <w:b/>
          <w:bCs/>
        </w:rPr>
        <w:t>降解性能与力学性能的平衡</w:t>
      </w:r>
      <w:r>
        <w:t>：提高生物降解性能往往会牺牲材料的力学性能，如何在两者之间取得平衡是当前研究的一个重要方向。</w:t>
      </w:r>
    </w:p>
    <w:p>
      <w:pPr>
        <w:pStyle w:val="Compact"/>
        <w:numPr>
          <w:ilvl w:val="0"/>
          <w:numId w:val="60"/>
        </w:numPr>
      </w:pPr>
      <w:r>
        <w:rPr>
          <w:b/>
          <w:bCs/>
        </w:rPr>
        <w:t>降解速率的控制</w:t>
      </w:r>
      <w:r>
        <w:t>：不同应用场景对生物降解速率的需求不同，如何精确控制降解速率是一大挑战。</w:t>
      </w:r>
    </w:p>
    <w:p>
      <w:pPr>
        <w:pStyle w:val="Compact"/>
        <w:numPr>
          <w:ilvl w:val="0"/>
          <w:numId w:val="60"/>
        </w:numPr>
      </w:pPr>
      <w:r>
        <w:rPr>
          <w:b/>
          <w:bCs/>
        </w:rPr>
        <w:t>生产成本</w:t>
      </w:r>
      <w:r>
        <w:t>：生物降解高分子材料的生产成本相对较高，制约了其在市场上的广泛应用。</w:t>
      </w:r>
    </w:p>
    <w:p>
      <w:pPr>
        <w:pStyle w:val="Compact"/>
        <w:numPr>
          <w:ilvl w:val="0"/>
          <w:numId w:val="60"/>
        </w:numPr>
      </w:pPr>
      <w:r>
        <w:rPr>
          <w:b/>
          <w:bCs/>
        </w:rPr>
        <w:t>标准与法规</w:t>
      </w:r>
      <w:r>
        <w:t>：生物降解高分子材料的相关标准和法规尚不完善，需要进一步研究制定。</w:t>
      </w:r>
    </w:p>
    <w:p>
      <w:pPr>
        <w:pStyle w:val="FirstParagraph"/>
      </w:pPr>
      <w:r>
        <w:t>总之，生物降解高分子材料的研究仍需不断深入，以解决存在的问题，为环境保护事业做出更大贡献。</w:t>
      </w:r>
    </w:p>
    <w:bookmarkEnd w:id="16"/>
    <w:bookmarkEnd w:id="13"/>
    <w:bookmarkStart w:id="17" w:name="高分子材料的环境影响"/>
    <w:p>
      <w:pPr>
        <w:pStyle w:val="Heading2"/>
      </w:pPr>
      <w:r>
        <w:t>5. 高分子材料的环境影响</w:t>
      </w:r>
    </w:p>
    <w:bookmarkStart w:id="18" w:name="生命周期评估方法"/>
    <w:p>
      <w:pPr>
        <w:pStyle w:val="Heading3"/>
      </w:pPr>
      <w:r>
        <w:t>5.1 生命周期评估方法</w:t>
      </w:r>
    </w:p>
    <w:p>
      <w:pPr>
        <w:pStyle w:val="FirstParagraph"/>
      </w:pPr>
      <w:r>
        <w:t>生命周期评估（Life Cycle Assessment，简称LCA）是评估产品或服务从原材料采集、生产、使用直至废弃处理全过程的环境影响的工具。对于高分子材料而言，LCA可以全面考量其在生产、使用和废弃处理等阶段的环境负荷。</w:t>
      </w:r>
    </w:p>
    <w:p>
      <w:pPr>
        <w:pStyle w:val="BodyText"/>
      </w:pPr>
      <w:r>
        <w:t>在LCA方法中，通常包括以下四个阶段：</w:t>
      </w:r>
    </w:p>
    <w:p>
      <w:pPr>
        <w:pStyle w:val="Compact"/>
        <w:numPr>
          <w:ilvl w:val="0"/>
          <w:numId w:val="60"/>
        </w:numPr>
      </w:pPr>
      <w:r>
        <w:t>目标与范围定义：明确评估的目的、所研究的产品系统以及评估的生命周期阶段。</w:t>
      </w:r>
    </w:p>
    <w:p>
      <w:pPr>
        <w:pStyle w:val="Compact"/>
        <w:numPr>
          <w:ilvl w:val="0"/>
          <w:numId w:val="60"/>
        </w:numPr>
      </w:pPr>
      <w:r>
        <w:t>生命周期清单分析：收集和计算产品在整个生命周期内的资源消耗和环境污染。</w:t>
      </w:r>
    </w:p>
    <w:p>
      <w:pPr>
        <w:pStyle w:val="Compact"/>
        <w:numPr>
          <w:ilvl w:val="0"/>
          <w:numId w:val="60"/>
        </w:numPr>
      </w:pPr>
      <w:r>
        <w:t>生命周期影响评估：评价产品生命周期内各种环境影响的程度。</w:t>
      </w:r>
    </w:p>
    <w:p>
      <w:pPr>
        <w:pStyle w:val="Compact"/>
        <w:numPr>
          <w:ilvl w:val="0"/>
          <w:numId w:val="60"/>
        </w:numPr>
      </w:pPr>
      <w:r>
        <w:t>生命周期解释：对评估结果进行分析，提出改善建议。</w:t>
      </w:r>
    </w:p>
    <w:bookmarkEnd w:id="18"/>
    <w:bookmarkStart w:id="19" w:name="环境影响评价指标"/>
    <w:p>
      <w:pPr>
        <w:pStyle w:val="Heading3"/>
      </w:pPr>
      <w:r>
        <w:t>5.2 环境影响评价指标</w:t>
      </w:r>
    </w:p>
    <w:p>
      <w:pPr>
        <w:pStyle w:val="FirstParagraph"/>
      </w:pPr>
      <w:r>
        <w:t>环境影响评价指标主要包括全球变暖潜力（Global Warming Potential，GWP）、酸化潜力（Acidification Potential，AP）、富营养化潜力（Eutrophication Potential，EP）等。这些指标帮助量化高分子材料对环境的影响。</w:t>
      </w:r>
    </w:p>
    <w:p>
      <w:pPr>
        <w:pStyle w:val="Compact"/>
        <w:numPr>
          <w:ilvl w:val="0"/>
          <w:numId w:val="19"/>
        </w:numPr>
      </w:pPr>
      <w:r>
        <w:t>全球变暖潜力：评估材料释放的温室气体对全球气候变暖的潜在影响。</w:t>
      </w:r>
    </w:p>
    <w:p>
      <w:pPr>
        <w:pStyle w:val="Compact"/>
        <w:numPr>
          <w:ilvl w:val="0"/>
          <w:numId w:val="19"/>
        </w:numPr>
      </w:pPr>
      <w:r>
        <w:t>酸化潜力：评价材料排放对大气酸化的贡献。</w:t>
      </w:r>
    </w:p>
    <w:p>
      <w:pPr>
        <w:pStyle w:val="Compact"/>
        <w:numPr>
          <w:ilvl w:val="0"/>
          <w:numId w:val="19"/>
        </w:numPr>
        <w:sectPr>
          <w:type w:val="nextPage"/>
          <w:pgSz w:w="12240" w:h="15840"/>
          <w:pgMar w:top="1440" w:right="1800" w:bottom="1440" w:left="1800" w:header="720" w:footer="720" w:gutter="0"/>
          <w:pgNumType w:start="4"/>
          <w:cols w:space="720"/>
          <w:titlePg w:val="0"/>
        </w:sectPr>
      </w:pPr>
      <w:r>
        <w:t>富营养化潜力：衡量材料对水体富营养化的影响。</w:t>
      </w:r>
    </w:p>
    <w:bookmarkEnd w:id="19"/>
    <w:bookmarkStart w:id="20" w:name="生物降解高分子材料的环境优势"/>
    <w:p>
      <w:pPr>
        <w:pStyle w:val="Heading3"/>
      </w:pPr>
      <w:r>
        <w:t>5.3 生物降解高分子材料的环境优势</w:t>
      </w:r>
    </w:p>
    <w:p>
      <w:pPr>
        <w:pStyle w:val="FirstParagraph"/>
      </w:pPr>
      <w:r>
        <w:t>生物降解高分子材料相对于传统塑料等非降解材料，在环境影响方面具有明显优势：</w:t>
      </w:r>
    </w:p>
    <w:p>
      <w:pPr>
        <w:pStyle w:val="Compact"/>
        <w:numPr>
          <w:ilvl w:val="0"/>
          <w:numId w:val="61"/>
        </w:numPr>
      </w:pPr>
      <w:r>
        <w:rPr>
          <w:b/>
          <w:bCs/>
        </w:rPr>
        <w:t>降低温室气体排放</w:t>
      </w:r>
      <w:r>
        <w:t>：生物降解材料在分解过程中产生的二氧化碳，可通过植物光合作用重新被吸收，减少温室气体净排放。</w:t>
      </w:r>
    </w:p>
    <w:p>
      <w:pPr>
        <w:pStyle w:val="Compact"/>
        <w:numPr>
          <w:ilvl w:val="0"/>
          <w:numId w:val="61"/>
        </w:numPr>
      </w:pPr>
      <w:r>
        <w:rPr>
          <w:b/>
          <w:bCs/>
        </w:rPr>
        <w:t>减少白色污染</w:t>
      </w:r>
      <w:r>
        <w:t>：在自然环境中，生物降解材料可被微生物分解，避免形成长期存在的塑料垃圾。</w:t>
      </w:r>
    </w:p>
    <w:p>
      <w:pPr>
        <w:pStyle w:val="Compact"/>
        <w:numPr>
          <w:ilvl w:val="0"/>
          <w:numId w:val="61"/>
        </w:numPr>
      </w:pPr>
      <w:r>
        <w:rPr>
          <w:b/>
          <w:bCs/>
        </w:rPr>
        <w:t>降低生态风险</w:t>
      </w:r>
      <w:r>
        <w:t>：生物降解材料分解后的残留物对土壤和水体的毒性较低，对生态系统的影响较小。</w:t>
      </w:r>
    </w:p>
    <w:p>
      <w:pPr>
        <w:pStyle w:val="Compact"/>
        <w:numPr>
          <w:ilvl w:val="0"/>
          <w:numId w:val="61"/>
        </w:numPr>
      </w:pPr>
      <w:r>
        <w:rPr>
          <w:b/>
          <w:bCs/>
        </w:rPr>
        <w:t>促进循环经济</w:t>
      </w:r>
      <w:r>
        <w:t>：生物降解材料通常来源于可再生资源，有助于减少对化石燃料的依赖，促进资源的循环利用。</w:t>
      </w:r>
    </w:p>
    <w:p>
      <w:pPr>
        <w:pStyle w:val="FirstParagraph"/>
      </w:pPr>
      <w:r>
        <w:t>综上所述，生物降解高分子材料在环境保护方面具有显著的环境优势和潜在的应用价值。通过对这些材料的研发和应用，可以有效减轻传统高分子材料对环境的负面影响，促进可持续发展。</w:t>
      </w:r>
    </w:p>
    <w:bookmarkEnd w:id="20"/>
    <w:bookmarkEnd w:id="17"/>
    <w:bookmarkStart w:id="21" w:name="生物降解高分子材料在环境保护领域的应用"/>
    <w:p>
      <w:pPr>
        <w:pStyle w:val="Heading2"/>
      </w:pPr>
      <w:r>
        <w:t>6 生物降解高分子材料在环境保护领域的应用</w:t>
      </w:r>
    </w:p>
    <w:bookmarkStart w:id="22" w:name="生物降解塑料"/>
    <w:p>
      <w:pPr>
        <w:pStyle w:val="Heading3"/>
      </w:pPr>
      <w:r>
        <w:t>6.1 生物降解塑料</w:t>
      </w:r>
    </w:p>
    <w:p>
      <w:pPr>
        <w:pStyle w:val="FirstParagraph"/>
      </w:pPr>
      <w:r>
        <w:t>生物降解塑料是一类能够在自然环境中通过微生物的作用分解成水和二氧化碳的高分子材料。这类材料主要应用于以下几个方面：</w:t>
      </w:r>
    </w:p>
    <w:p>
      <w:pPr>
        <w:pStyle w:val="Compact"/>
        <w:numPr>
          <w:ilvl w:val="0"/>
          <w:numId w:val="61"/>
        </w:numPr>
      </w:pPr>
      <w:r>
        <w:rPr>
          <w:b/>
          <w:bCs/>
        </w:rPr>
        <w:t>包装材料</w:t>
      </w:r>
      <w:r>
        <w:t>：用于食品包装、购物袋等，可以减少白色污染问题。</w:t>
      </w:r>
    </w:p>
    <w:p>
      <w:pPr>
        <w:pStyle w:val="Compact"/>
        <w:numPr>
          <w:ilvl w:val="0"/>
          <w:numId w:val="61"/>
        </w:numPr>
      </w:pPr>
      <w:r>
        <w:rPr>
          <w:b/>
          <w:bCs/>
        </w:rPr>
        <w:t>农业地膜</w:t>
      </w:r>
      <w:r>
        <w:t>：在农业生产中，使用生物降解地膜可以避免传统塑料地膜带来的土壤污染问题。</w:t>
      </w:r>
    </w:p>
    <w:p>
      <w:pPr>
        <w:pStyle w:val="Compact"/>
        <w:numPr>
          <w:ilvl w:val="0"/>
          <w:numId w:val="61"/>
        </w:numPr>
      </w:pPr>
      <w:r>
        <w:rPr>
          <w:b/>
          <w:bCs/>
        </w:rPr>
        <w:t>一次性用品</w:t>
      </w:r>
      <w:r>
        <w:t>：如一次性餐具、杯子等，使用后可以安全降解，减少环境污染。</w:t>
      </w:r>
    </w:p>
    <w:bookmarkEnd w:id="22"/>
    <w:bookmarkStart w:id="23" w:name="生物降解纤维"/>
    <w:p>
      <w:pPr>
        <w:pStyle w:val="Heading3"/>
      </w:pPr>
      <w:r>
        <w:t>6.2 生物降解纤维</w:t>
      </w:r>
    </w:p>
    <w:p>
      <w:pPr>
        <w:pStyle w:val="FirstParagraph"/>
      </w:pPr>
      <w:r>
        <w:t>生物降解纤维主要指的是一些天然纤维和经过特殊处理的合成纤维，它们在自然条件下能够被微生物分解。</w:t>
      </w:r>
    </w:p>
    <w:p>
      <w:pPr>
        <w:pStyle w:val="Compact"/>
        <w:numPr>
          <w:ilvl w:val="0"/>
          <w:numId w:val="61"/>
        </w:numPr>
      </w:pPr>
      <w:r>
        <w:rPr>
          <w:b/>
          <w:bCs/>
        </w:rPr>
        <w:t>服装业</w:t>
      </w:r>
      <w:r>
        <w:t>：生物降解纤维如棉、麻等被广泛用于生产服装，减少对环境的影响。</w:t>
      </w:r>
    </w:p>
    <w:p>
      <w:pPr>
        <w:pStyle w:val="Compact"/>
        <w:numPr>
          <w:ilvl w:val="0"/>
          <w:numId w:val="61"/>
        </w:numPr>
      </w:pPr>
      <w:r>
        <w:rPr>
          <w:b/>
          <w:bCs/>
        </w:rPr>
        <w:t>医疗用品</w:t>
      </w:r>
      <w:r>
        <w:t>：在纱布、绷带等医疗用品中使用生物降解纤维，可以减少医疗废物处理的问题。</w:t>
      </w:r>
    </w:p>
    <w:p>
      <w:pPr>
        <w:pStyle w:val="Compact"/>
        <w:numPr>
          <w:ilvl w:val="0"/>
          <w:numId w:val="61"/>
        </w:numPr>
        <w:sectPr>
          <w:type w:val="nextPage"/>
          <w:pgSz w:w="12240" w:h="15840"/>
          <w:pgMar w:top="1440" w:right="1800" w:bottom="1440" w:left="1800" w:header="720" w:footer="720" w:gutter="0"/>
          <w:pgNumType w:start="5"/>
          <w:cols w:space="720"/>
          <w:titlePg w:val="0"/>
        </w:sectPr>
      </w:pPr>
      <w:r>
        <w:rPr>
          <w:b/>
          <w:bCs/>
        </w:rPr>
        <w:t>家居用品</w:t>
      </w:r>
      <w:r>
        <w:t>：如床上用品、毛巾等，使用生物降解纤维制作，提升产品环保性能。</w:t>
      </w:r>
    </w:p>
    <w:bookmarkEnd w:id="23"/>
    <w:bookmarkStart w:id="24" w:name="生物降解橡胶"/>
    <w:p>
      <w:pPr>
        <w:pStyle w:val="Heading3"/>
      </w:pPr>
      <w:r>
        <w:t>6.3 生物降解橡胶</w:t>
      </w:r>
    </w:p>
    <w:p>
      <w:pPr>
        <w:pStyle w:val="FirstParagraph"/>
      </w:pPr>
      <w:r>
        <w:t>生物降解橡胶是指那些可以在一定条件下被微生物分解的橡胶材料，主要应用于：</w:t>
      </w:r>
    </w:p>
    <w:p>
      <w:pPr>
        <w:pStyle w:val="Compact"/>
        <w:numPr>
          <w:ilvl w:val="0"/>
          <w:numId w:val="62"/>
        </w:numPr>
      </w:pPr>
      <w:r>
        <w:rPr>
          <w:b/>
          <w:bCs/>
        </w:rPr>
        <w:t>轮胎制造</w:t>
      </w:r>
      <w:r>
        <w:t>：开发生物降解橡胶轮胎，可以减少废旧轮胎对环境的污染。</w:t>
      </w:r>
    </w:p>
    <w:p>
      <w:pPr>
        <w:pStyle w:val="Compact"/>
        <w:numPr>
          <w:ilvl w:val="0"/>
          <w:numId w:val="62"/>
        </w:numPr>
      </w:pPr>
      <w:r>
        <w:rPr>
          <w:b/>
          <w:bCs/>
        </w:rPr>
        <w:t>儿童玩具</w:t>
      </w:r>
      <w:r>
        <w:t>：儿童玩具中的橡胶部分采用生物降解材料，提高产品的环保性和安全性。</w:t>
      </w:r>
    </w:p>
    <w:p>
      <w:pPr>
        <w:pStyle w:val="Compact"/>
        <w:numPr>
          <w:ilvl w:val="0"/>
          <w:numId w:val="62"/>
        </w:numPr>
      </w:pPr>
      <w:r>
        <w:rPr>
          <w:b/>
          <w:bCs/>
        </w:rPr>
        <w:t>运动器材</w:t>
      </w:r>
      <w:r>
        <w:t>：运动场地的橡胶跑道和运动器材中使用的橡胶部件，使用生物降解橡胶可以降低对环境的影响。</w:t>
      </w:r>
    </w:p>
    <w:p>
      <w:pPr>
        <w:pStyle w:val="FirstParagraph"/>
      </w:pPr>
      <w:r>
        <w:t>通过上述应用，生物降解高分子材料在环境保护领域发挥着重要作用，有助于减少环境污染，推动可持续发展。这些材料的应用与推广，对于改善环境质量、保护生态系统平衡具有重要意义。</w:t>
      </w:r>
    </w:p>
    <w:bookmarkEnd w:id="24"/>
    <w:bookmarkEnd w:id="21"/>
    <w:bookmarkStart w:id="25" w:name="发展趋势与政策建议"/>
    <w:p>
      <w:pPr>
        <w:pStyle w:val="Heading2"/>
      </w:pPr>
      <w:r>
        <w:t>7 发展趋势与政策建议</w:t>
      </w:r>
    </w:p>
    <w:bookmarkStart w:id="26" w:name="生物降解高分子材料的发展趋势"/>
    <w:p>
      <w:pPr>
        <w:pStyle w:val="Heading3"/>
      </w:pPr>
      <w:r>
        <w:t>7.1 生物降解高分子材料的发展趋势</w:t>
      </w:r>
    </w:p>
    <w:p>
      <w:pPr>
        <w:pStyle w:val="FirstParagraph"/>
      </w:pPr>
      <w:r>
        <w:t>近年来，随着全球环保意识的不断提高，生物降解高分子材料逐渐成为研究热点。这类材料具有可再生、可降解、环保等特点，有望解决传统高分子材料带来的环境问题。未来发展趋势主要体现在以下几个方面：</w:t>
      </w:r>
    </w:p>
    <w:p>
      <w:pPr>
        <w:numPr>
          <w:ilvl w:val="0"/>
          <w:numId w:val="22"/>
        </w:numPr>
      </w:pPr>
      <w:r>
        <w:t>材料种类多样化：研究者们正在不断开发新型生物降解高分子材料，以满足不同领域的应用需求。</w:t>
      </w:r>
    </w:p>
    <w:p>
      <w:pPr>
        <w:numPr>
          <w:ilvl w:val="0"/>
          <w:numId w:val="22"/>
        </w:numPr>
      </w:pPr>
      <w:r>
        <w:t>性能优化：通过分子设计、共混改性等手段，提高生物降解高分子材料的力学性能、热稳定性等，使其更具实用价值。</w:t>
      </w:r>
    </w:p>
    <w:p>
      <w:pPr>
        <w:numPr>
          <w:ilvl w:val="0"/>
          <w:numId w:val="22"/>
        </w:numPr>
      </w:pPr>
      <w:r>
        <w:t>产业化进程加速：随着技术的不断成熟，生物降解高分子材料的产业化进程正在逐步加快，有望在不久的将来实现大规模生产。</w:t>
      </w:r>
    </w:p>
    <w:p>
      <w:pPr>
        <w:numPr>
          <w:ilvl w:val="0"/>
          <w:numId w:val="22"/>
        </w:numPr>
      </w:pPr>
      <w:r>
        <w:t>应用领域拓展：除了传统的塑料、纤维、橡胶等领域外，生物降解高分子材料还将在医疗、农业、食品等行业得到广泛应用。</w:t>
      </w:r>
    </w:p>
    <w:bookmarkEnd w:id="26"/>
    <w:bookmarkStart w:id="27" w:name="政策与法规支持"/>
    <w:p>
      <w:pPr>
        <w:pStyle w:val="Heading3"/>
      </w:pPr>
      <w:r>
        <w:t>7.2 政策与法规支持</w:t>
      </w:r>
    </w:p>
    <w:p>
      <w:pPr>
        <w:pStyle w:val="FirstParagraph"/>
      </w:pPr>
      <w:r>
        <w:t>为了促进生物降解高分子材料的发展，我国政府出台了一系列政策和法规，主要包括：</w:t>
      </w:r>
    </w:p>
    <w:p>
      <w:pPr>
        <w:numPr>
          <w:ilvl w:val="0"/>
          <w:numId w:val="22"/>
        </w:numPr>
      </w:pPr>
      <w:r>
        <w:t>税收优惠政策：对生产生物降解高分子材料的企业给予税收减免，降低企业生产成本。</w:t>
      </w:r>
    </w:p>
    <w:p>
      <w:pPr>
        <w:numPr>
          <w:ilvl w:val="0"/>
          <w:numId w:val="22"/>
        </w:numPr>
        <w:sectPr>
          <w:type w:val="nextPage"/>
          <w:pgSz w:w="12240" w:h="15840"/>
          <w:pgMar w:top="1440" w:right="1800" w:bottom="1440" w:left="1800" w:header="720" w:footer="720" w:gutter="0"/>
          <w:pgNumType w:start="6"/>
          <w:cols w:space="720"/>
          <w:titlePg w:val="0"/>
        </w:sectPr>
      </w:pPr>
      <w:r>
        <w:t>政府采购支持：鼓励政府机关、事业单位等采购生物降解高分子材料产品，推动市场应用。</w:t>
      </w:r>
    </w:p>
    <w:p>
      <w:pPr>
        <w:numPr>
          <w:ilvl w:val="0"/>
          <w:numId w:val="22"/>
        </w:numPr>
      </w:pPr>
      <w:r>
        <w:t>研发资金支持：设立专项资金，支持生物降解高分子材料的研究与开发。</w:t>
      </w:r>
    </w:p>
    <w:p>
      <w:pPr>
        <w:numPr>
          <w:ilvl w:val="0"/>
          <w:numId w:val="22"/>
        </w:numPr>
      </w:pPr>
      <w:r>
        <w:t>环保法规要求：加强对传统高分子材料的环境监管，限制其使用，推动生物降解高分子材料的普及。</w:t>
      </w:r>
    </w:p>
    <w:bookmarkEnd w:id="27"/>
    <w:bookmarkStart w:id="28" w:name="产业现状与前景"/>
    <w:p>
      <w:pPr>
        <w:pStyle w:val="Heading3"/>
      </w:pPr>
      <w:r>
        <w:t>7.3 产业现状与前景</w:t>
      </w:r>
    </w:p>
    <w:p>
      <w:pPr>
        <w:pStyle w:val="FirstParagraph"/>
      </w:pPr>
      <w:r>
        <w:t>目前，我国生物降解高分子材料产业尚处于起步阶段，但发展势头迅猛。产业现状如下：</w:t>
      </w:r>
    </w:p>
    <w:p>
      <w:pPr>
        <w:numPr>
          <w:ilvl w:val="0"/>
          <w:numId w:val="22"/>
        </w:numPr>
      </w:pPr>
      <w:r>
        <w:t>企业数量逐年增加：越来越多的企业进入生物降解高分子材料领域，市场竞争日益激烈。</w:t>
      </w:r>
    </w:p>
    <w:p>
      <w:pPr>
        <w:numPr>
          <w:ilvl w:val="0"/>
          <w:numId w:val="22"/>
        </w:numPr>
      </w:pPr>
      <w:r>
        <w:t>产能不断扩大：随着市场需求逐步释放，企业纷纷扩大产能，以满足市场需求。</w:t>
      </w:r>
    </w:p>
    <w:p>
      <w:pPr>
        <w:numPr>
          <w:ilvl w:val="0"/>
          <w:numId w:val="22"/>
        </w:numPr>
      </w:pPr>
      <w:r>
        <w:t>技术水平不断提高：通过引进国外先进技术，我国生物降解高分子材料产业技术水平得到了显著提高。</w:t>
      </w:r>
    </w:p>
    <w:p>
      <w:pPr>
        <w:pStyle w:val="FirstParagraph"/>
      </w:pPr>
      <w:r>
        <w:t>展望未来，随着环保意识的不断提高，生物降解高分子材料市场需求将持续增长。在政策支持和产业技术进步的推动下，生物降解高分子材料产业将迎来广阔的发展空间。</w:t>
      </w:r>
    </w:p>
    <w:bookmarkEnd w:id="28"/>
    <w:bookmarkEnd w:id="25"/>
    <w:bookmarkStart w:id="29" w:name="结论"/>
    <w:p>
      <w:pPr>
        <w:pStyle w:val="Heading2"/>
      </w:pPr>
      <w:r>
        <w:t>8 结论</w:t>
      </w:r>
    </w:p>
    <w:bookmarkStart w:id="30" w:name="研究成果总结"/>
    <w:p>
      <w:pPr>
        <w:pStyle w:val="Heading3"/>
      </w:pPr>
      <w:r>
        <w:t>8.1 研究成果总结</w:t>
      </w:r>
    </w:p>
    <w:p>
      <w:pPr>
        <w:pStyle w:val="FirstParagraph"/>
      </w:pPr>
      <w:r>
        <w:t>本文通过对高分子材料的生物降解性与环境影响的研究，得出以下结论：</w:t>
      </w:r>
    </w:p>
    <w:p>
      <w:pPr>
        <w:pStyle w:val="Compact"/>
        <w:numPr>
          <w:ilvl w:val="0"/>
          <w:numId w:val="22"/>
        </w:numPr>
      </w:pPr>
      <w:r>
        <w:t>生物降解高分子材料相较于传统高分子材料，具有更好的环境友好性，能够有效减少白色污染，对环境保护具有重要意义。</w:t>
      </w:r>
    </w:p>
    <w:p>
      <w:pPr>
        <w:pStyle w:val="Compact"/>
        <w:numPr>
          <w:ilvl w:val="0"/>
          <w:numId w:val="22"/>
        </w:numPr>
      </w:pPr>
      <w:r>
        <w:t>生物降解机理的研究表明，微生物、温度、湿度等因素对高分子材料的生物降解性能具有显著影响。</w:t>
      </w:r>
    </w:p>
    <w:p>
      <w:pPr>
        <w:pStyle w:val="Compact"/>
        <w:numPr>
          <w:ilvl w:val="0"/>
          <w:numId w:val="22"/>
        </w:numPr>
      </w:pPr>
      <w:r>
        <w:t>生物降解评价方法不断完善，为研究者和企业提供了一种有效的手段来评估高分子材料的生物降解性能。</w:t>
      </w:r>
    </w:p>
    <w:p>
      <w:pPr>
        <w:pStyle w:val="Compact"/>
        <w:numPr>
          <w:ilvl w:val="0"/>
          <w:numId w:val="22"/>
        </w:numPr>
      </w:pPr>
      <w:r>
        <w:t>国内外在生物降解高分子材料领域的研究取得了一定的进展，生物降解性能改进策略逐渐成熟，但仍存在一些问题和挑战，如降解速率慢、成本高等。</w:t>
      </w:r>
    </w:p>
    <w:p>
      <w:pPr>
        <w:pStyle w:val="Compact"/>
        <w:numPr>
          <w:ilvl w:val="0"/>
          <w:numId w:val="22"/>
        </w:numPr>
      </w:pPr>
      <w:r>
        <w:t>生命周期评估方法和环境影响评价指标的建立，有助于全面了解高分子材料的环境影响，为政策制定和企业生产提供指导。</w:t>
      </w:r>
    </w:p>
    <w:p>
      <w:pPr>
        <w:pStyle w:val="Compact"/>
        <w:numPr>
          <w:ilvl w:val="0"/>
          <w:numId w:val="22"/>
        </w:numPr>
        <w:sectPr>
          <w:type w:val="nextPage"/>
          <w:pgSz w:w="12240" w:h="15840"/>
          <w:pgMar w:top="1440" w:right="1800" w:bottom="1440" w:left="1800" w:header="720" w:footer="720" w:gutter="0"/>
          <w:pgNumType w:start="7"/>
          <w:cols w:space="720"/>
          <w:titlePg w:val="0"/>
        </w:sectPr>
      </w:pPr>
      <w:r>
        <w:t>生物降解高分子材料在环境保护领域的应用广泛，包括生物降解塑料、纤维和橡胶等，为环境保护提供了有力支持。</w:t>
      </w:r>
    </w:p>
    <w:bookmarkEnd w:id="30"/>
    <w:bookmarkStart w:id="31" w:name="存在问题与展望"/>
    <w:p>
      <w:pPr>
        <w:pStyle w:val="Heading3"/>
      </w:pPr>
      <w:r>
        <w:t>8.2 存在问题与展望</w:t>
      </w:r>
    </w:p>
    <w:p>
      <w:pPr>
        <w:pStyle w:val="FirstParagraph"/>
      </w:pPr>
      <w:r>
        <w:t>尽管生物降解高分子材料在环境保护方面具有显著优势，但仍存在以下问题和挑战：</w:t>
      </w:r>
    </w:p>
    <w:p>
      <w:pPr>
        <w:pStyle w:val="Compact"/>
        <w:numPr>
          <w:ilvl w:val="0"/>
          <w:numId w:val="63"/>
        </w:numPr>
      </w:pPr>
      <w:r>
        <w:t>生物降解性能有待提高，特别是对于一些难降解的高分子材料。</w:t>
      </w:r>
    </w:p>
    <w:p>
      <w:pPr>
        <w:pStyle w:val="Compact"/>
        <w:numPr>
          <w:ilvl w:val="0"/>
          <w:numId w:val="63"/>
        </w:numPr>
      </w:pPr>
      <w:r>
        <w:t>生产成本较高，限制了其在市场上的广泛应用。</w:t>
      </w:r>
    </w:p>
    <w:p>
      <w:pPr>
        <w:pStyle w:val="Compact"/>
        <w:numPr>
          <w:ilvl w:val="0"/>
          <w:numId w:val="63"/>
        </w:numPr>
      </w:pPr>
      <w:r>
        <w:t>生物降解高分子材料的回收和再利用体系尚不完善，需要进一步研究。</w:t>
      </w:r>
    </w:p>
    <w:p>
      <w:pPr>
        <w:pStyle w:val="Compact"/>
        <w:numPr>
          <w:ilvl w:val="0"/>
          <w:numId w:val="63"/>
        </w:numPr>
      </w:pPr>
      <w:r>
        <w:t>相关政策和法规支持不足，制约了生物降解高分子材料产业的发展。</w:t>
      </w:r>
    </w:p>
    <w:p>
      <w:pPr>
        <w:pStyle w:val="FirstParagraph"/>
      </w:pPr>
      <w:r>
        <w:t>展望未来，可以从以下几个方面进行深入研究：</w:t>
      </w:r>
    </w:p>
    <w:p>
      <w:pPr>
        <w:pStyle w:val="Compact"/>
        <w:numPr>
          <w:ilvl w:val="0"/>
          <w:numId w:val="63"/>
        </w:numPr>
      </w:pPr>
      <w:r>
        <w:t>加强生物降解机理的基础研究，探索新型高效生物降解剂。</w:t>
      </w:r>
    </w:p>
    <w:p>
      <w:pPr>
        <w:pStyle w:val="Compact"/>
        <w:numPr>
          <w:ilvl w:val="0"/>
          <w:numId w:val="63"/>
        </w:numPr>
      </w:pPr>
      <w:r>
        <w:t>优化生物降解评价方法，提高评价结果的准确性和可靠性。</w:t>
      </w:r>
    </w:p>
    <w:p>
      <w:pPr>
        <w:pStyle w:val="Compact"/>
        <w:numPr>
          <w:ilvl w:val="0"/>
          <w:numId w:val="63"/>
        </w:numPr>
      </w:pPr>
      <w:r>
        <w:t>降低生物降解高分子材料的生产成本，提高其在市场上的竞争力。</w:t>
      </w:r>
    </w:p>
    <w:p>
      <w:pPr>
        <w:pStyle w:val="Compact"/>
        <w:numPr>
          <w:ilvl w:val="0"/>
          <w:numId w:val="63"/>
        </w:numPr>
      </w:pPr>
      <w:r>
        <w:t>建立完善的生物降解高分子材料回收和再利用体系，实现资源的循环利用。</w:t>
      </w:r>
    </w:p>
    <w:p>
      <w:pPr>
        <w:pStyle w:val="Compact"/>
        <w:numPr>
          <w:ilvl w:val="0"/>
          <w:numId w:val="63"/>
        </w:numPr>
      </w:pPr>
      <w:r>
        <w:t>加强政策支持和法规制定，推动生物降解高分子材料产业的健康发展。</w:t>
      </w:r>
    </w:p>
    <w:p>
      <w:pPr>
        <w:pStyle w:val="FirstParagraph"/>
        <w:sectPr>
          <w:type w:val="nextPage"/>
          <w:pgSz w:w="12240" w:h="15840"/>
          <w:pgMar w:top="1440" w:right="1800" w:bottom="1440" w:left="1800" w:header="720" w:footer="720" w:gutter="0"/>
          <w:pgNumType w:start="8"/>
          <w:cols w:space="720"/>
          <w:titlePg w:val="0"/>
        </w:sectPr>
      </w:pPr>
      <w:r>
        <w:t>通过以上研究，为我国高分子材料的生物降解性与环境影响提供理论支持和实践指导，为环境保护和可持续发展作出贡献。</w:t>
      </w:r>
    </w:p>
    <w:bookmarkEnd w:id="31"/>
    <w:bookmarkEnd w:id="29"/>
    <w:bookmarkEnd w:id="0"/>
    <w:p>
      <w:pPr>
        <w:pStyle w:val="Heading1"/>
      </w:pPr>
      <w:r>
        <w:t>高分子材料的生物降解性与环境影响</w:t>
      </w:r>
    </w:p>
    <w:bookmarkStart w:id="32" w:name="引言-1"/>
    <w:p>
      <w:pPr>
        <w:pStyle w:val="Heading2"/>
      </w:pPr>
      <w:r>
        <w:t>1 引言</w:t>
      </w:r>
    </w:p>
    <w:bookmarkStart w:id="33" w:name="研究背景与意义"/>
    <w:p>
      <w:pPr>
        <w:pStyle w:val="Heading3"/>
      </w:pPr>
      <w:r>
        <w:t>1.1 研究背景与意义</w:t>
      </w:r>
    </w:p>
    <w:p>
      <w:pPr>
        <w:pStyle w:val="FirstParagraph"/>
      </w:pPr>
      <w:r>
        <w:t>随着工业化和城市化进程的加快，传统石油基高分子材料的使用量激增，由此产生的环境污染和资源枯竭问题日益严重。高分子材料在自然环境中难以降解，长期累积会对土壤和水源造成污染，影响生态平衡。因此，研究高分子材料的生物降解性及其环境影响，对于解决当前环境问题，促进可持续发展具有重要意义。</w:t>
      </w:r>
    </w:p>
    <w:bookmarkEnd w:id="33"/>
    <w:bookmarkStart w:id="34" w:name="目的和内容"/>
    <w:p>
      <w:pPr>
        <w:pStyle w:val="Heading3"/>
      </w:pPr>
      <w:r>
        <w:t>1.2 目的和内容</w:t>
      </w:r>
    </w:p>
    <w:p>
      <w:pPr>
        <w:pStyle w:val="FirstParagraph"/>
      </w:pPr>
      <w:r>
        <w:t>本文旨在探讨高分子材料的生物降解性及其对环境的影响，分析生物降解高分子材料的特点、评估方法、影响因素以及环境效益。全文将从以下几个方面展开：</w:t>
      </w:r>
    </w:p>
    <w:p>
      <w:pPr>
        <w:pStyle w:val="Compact"/>
        <w:numPr>
          <w:ilvl w:val="0"/>
          <w:numId w:val="64"/>
        </w:numPr>
      </w:pPr>
      <w:r>
        <w:t>高分子材料的基本概念及其分类；</w:t>
      </w:r>
    </w:p>
    <w:p>
      <w:pPr>
        <w:pStyle w:val="Compact"/>
        <w:numPr>
          <w:ilvl w:val="0"/>
          <w:numId w:val="64"/>
        </w:numPr>
      </w:pPr>
      <w:r>
        <w:t>生物降解性评估方法及其优缺点；</w:t>
      </w:r>
    </w:p>
    <w:p>
      <w:pPr>
        <w:pStyle w:val="Compact"/>
        <w:numPr>
          <w:ilvl w:val="0"/>
          <w:numId w:val="64"/>
        </w:numPr>
      </w:pPr>
      <w:r>
        <w:t>影响高分子材料生物降解性的因素；</w:t>
      </w:r>
    </w:p>
    <w:p>
      <w:pPr>
        <w:pStyle w:val="Compact"/>
        <w:numPr>
          <w:ilvl w:val="0"/>
          <w:numId w:val="64"/>
        </w:numPr>
      </w:pPr>
      <w:r>
        <w:t>生物降解高分子材料的环境影响；</w:t>
      </w:r>
    </w:p>
    <w:p>
      <w:pPr>
        <w:pStyle w:val="Compact"/>
        <w:numPr>
          <w:ilvl w:val="0"/>
          <w:numId w:val="64"/>
        </w:numPr>
      </w:pPr>
      <w:r>
        <w:t>促进生物降解高分子材料发展的策略。</w:t>
      </w:r>
    </w:p>
    <w:bookmarkEnd w:id="34"/>
    <w:bookmarkStart w:id="35" w:name="研究方法与数据来源"/>
    <w:p>
      <w:pPr>
        <w:pStyle w:val="Heading3"/>
      </w:pPr>
      <w:r>
        <w:t>1.3 研究方法与数据来源</w:t>
      </w:r>
    </w:p>
    <w:p>
      <w:pPr>
        <w:pStyle w:val="FirstParagraph"/>
      </w:pPr>
      <w:r>
        <w:t>本文采用文献调研和实地考察相结合的方法，收集和分析了国内外关于高分子材料生物降解性的研究成果。数据来源主要包括：学术期刊、会议论文、专利、技术报告以及相关政策和标准文件。通过对比分析，总结现有研究进展，为我国生物降解高分子材料的发展提供参考。</w:t>
      </w:r>
    </w:p>
    <w:bookmarkEnd w:id="35"/>
    <w:bookmarkEnd w:id="32"/>
    <w:p>
      <w:pPr>
        <w:pStyle w:val="Heading2"/>
      </w:pPr>
      <w:r>
        <w:t>2. 高分子材料的基本概念</w:t>
      </w:r>
    </w:p>
    <w:bookmarkStart w:id="36" w:name="高分子材料的定义与分类"/>
    <w:p>
      <w:pPr>
        <w:pStyle w:val="Heading3"/>
      </w:pPr>
      <w:r>
        <w:t>2.1 高分子材料的定义与分类</w:t>
      </w:r>
    </w:p>
    <w:p>
      <w:pPr>
        <w:pStyle w:val="FirstParagraph"/>
      </w:pPr>
      <w:r>
        <w:t>高分子材料是由许多重复单元组成的大分子，具有轻质、耐磨、耐腐蚀等特性，被广泛应用于包装、建筑、医疗等众多领域。根据来源，高分子材料可分为天然高分子材料和合成高分子材料。天然高分子材料如淀粉、纤维素、蛋白质等，主要来源于动植物；而合成高分子材料如聚乙烯、聚丙烯、聚酯等，通过化学合成方法制得。</w:t>
      </w:r>
      <w:r>
        <w:br/>
      </w:r>
      <w:r>
        <w:br/>
      </w:r>
    </w:p>
    <w:p>
      <w:pPr>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https://d.book118.com/646102010202010101</w:t>
        </w:r>
      </w:hyperlink>
    </w:p>
    <w:bookmarkEnd w:id="36"/>
    <w:p>
      <w:pPr>
        <w:pStyle w:val="FirstParagraph"/>
      </w:pPr>
    </w:p>
    <w:sectPr>
      <w:type w:val="nextPage"/>
      <w:pgSz w:w="12240" w:h="15840"/>
      <w:pgMar w:top="1440" w:right="1800" w:bottom="1440" w:left="1800" w:header="720" w:footer="720" w:gutter="0"/>
      <w:pgNumType w:start="9"/>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Fira Code">
    <w:charset w:val="00"/>
    <w:family w:val="modern"/>
    <w:pitch w:val="fixed"/>
    <w:sig w:usb0="E00002EF" w:usb1="1200F8FB" w:usb2="00000008" w:usb3="00000000" w:csb0="0000009F" w:csb1="00000000"/>
  </w:font>
  <w:font w:name="Times New Roman (正文 CS 字体)">
    <w:altName w:val="宋体"/>
    <w:panose1 w:val="00000000000000000000"/>
    <w:charset w:val="86"/>
    <w:family w:val="roman"/>
    <w:notTrueType/>
    <w:pitch w:val="default"/>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01C2D5EE"/>
    <w:lvl w:ilvl="0">
      <w:start w:val="1"/>
      <w:numFmt w:val="decimal"/>
      <w:lvlText w:val="%1."/>
      <w:lvlJc w:val="left"/>
      <w:pPr>
        <w:tabs>
          <w:tab w:val="num" w:pos="2040"/>
        </w:tabs>
        <w:ind w:left="2040" w:hanging="360" w:leftChars="800" w:hangingChars="200"/>
      </w:pPr>
    </w:lvl>
  </w:abstractNum>
  <w:abstractNum w:abstractNumId="1">
    <w:nsid w:val="FFFFFF7D"/>
    <w:multiLevelType w:val="singleLevel"/>
    <w:tmpl w:val="AE7E8D6C"/>
    <w:lvl w:ilvl="0">
      <w:start w:val="1"/>
      <w:numFmt w:val="decimal"/>
      <w:lvlText w:val="%1."/>
      <w:lvlJc w:val="left"/>
      <w:pPr>
        <w:tabs>
          <w:tab w:val="num" w:pos="1620"/>
        </w:tabs>
        <w:ind w:left="1620" w:hanging="360" w:leftChars="600" w:hangingChars="200"/>
      </w:pPr>
    </w:lvl>
  </w:abstractNum>
  <w:abstractNum w:abstractNumId="2">
    <w:nsid w:val="FFFFFF7E"/>
    <w:multiLevelType w:val="singleLevel"/>
    <w:tmpl w:val="54F4A8E4"/>
    <w:lvl w:ilvl="0">
      <w:start w:val="1"/>
      <w:numFmt w:val="decimal"/>
      <w:lvlText w:val="%1."/>
      <w:lvlJc w:val="left"/>
      <w:pPr>
        <w:tabs>
          <w:tab w:val="num" w:pos="1200"/>
        </w:tabs>
        <w:ind w:left="1200" w:hanging="360" w:leftChars="400" w:hangingChars="200"/>
      </w:pPr>
    </w:lvl>
  </w:abstractNum>
  <w:abstractNum w:abstractNumId="3">
    <w:nsid w:val="FFFFFF7F"/>
    <w:multiLevelType w:val="singleLevel"/>
    <w:tmpl w:val="48E4A3D2"/>
    <w:lvl w:ilvl="0">
      <w:start w:val="1"/>
      <w:numFmt w:val="decimal"/>
      <w:lvlText w:val="%1."/>
      <w:lvlJc w:val="left"/>
      <w:pPr>
        <w:tabs>
          <w:tab w:val="num" w:pos="780"/>
        </w:tabs>
        <w:ind w:left="780" w:hanging="360" w:leftChars="200" w:hangingChars="200"/>
      </w:pPr>
    </w:lvl>
  </w:abstractNum>
  <w:abstractNum w:abstractNumId="4">
    <w:nsid w:val="FFFFFF80"/>
    <w:multiLevelType w:val="singleLevel"/>
    <w:tmpl w:val="774C1C1A"/>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5">
    <w:nsid w:val="FFFFFF81"/>
    <w:multiLevelType w:val="singleLevel"/>
    <w:tmpl w:val="10EC9FC2"/>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6">
    <w:nsid w:val="FFFFFF82"/>
    <w:multiLevelType w:val="singleLevel"/>
    <w:tmpl w:val="DBBA14C4"/>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7">
    <w:nsid w:val="FFFFFF83"/>
    <w:multiLevelType w:val="singleLevel"/>
    <w:tmpl w:val="B428EF1E"/>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8">
    <w:nsid w:val="FFFFFF88"/>
    <w:multiLevelType w:val="singleLevel"/>
    <w:tmpl w:val="DF24F268"/>
    <w:lvl w:ilvl="0">
      <w:start w:val="1"/>
      <w:numFmt w:val="decimal"/>
      <w:lvlText w:val="%1."/>
      <w:lvlJc w:val="left"/>
      <w:pPr>
        <w:tabs>
          <w:tab w:val="num" w:pos="360"/>
        </w:tabs>
        <w:ind w:left="360" w:hanging="360" w:hangingChars="200"/>
      </w:pPr>
    </w:lvl>
  </w:abstractNum>
  <w:abstractNum w:abstractNumId="9">
    <w:nsid w:val="FFFFFF89"/>
    <w:multiLevelType w:val="singleLevel"/>
    <w:tmpl w:val="BEE4A8C8"/>
    <w:lvl w:ilvl="0">
      <w:start w:val="1"/>
      <w:numFmt w:val="bullet"/>
      <w:lvlText w:val=""/>
      <w:lvlJc w:val="left"/>
      <w:pPr>
        <w:tabs>
          <w:tab w:val="num" w:pos="360"/>
        </w:tabs>
        <w:ind w:left="360" w:hanging="360" w:hangingChars="200"/>
      </w:pPr>
      <w:rPr>
        <w:rFonts w:ascii="Wingdings" w:hAnsi="Wingdings" w:hint="default"/>
      </w:rPr>
    </w:lvl>
  </w:abstractNum>
  <w:abstractNum w:abstractNumId="10">
    <w:nsid w:val="0000A990"/>
    <w:multiLevelType w:val="multilevel"/>
    <w:tmpl w:val="7472B000"/>
    <w:lvl w:ilvl="0">
      <w:start w:val="0"/>
      <w:numFmt w:val="bullet"/>
      <w:lvlText w:val=" "/>
      <w:lvlJc w:val="left"/>
      <w:pPr>
        <w:ind w:left="720" w:hanging="480"/>
      </w:pPr>
    </w:lvl>
    <w:lvl w:ilvl="1">
      <w:start w:val="0"/>
      <w:numFmt w:val="bullet"/>
      <w:lvlText w:val=" "/>
      <w:lvlJc w:val="left"/>
      <w:pPr>
        <w:ind w:left="1440" w:hanging="480"/>
      </w:pPr>
    </w:lvl>
    <w:lvl w:ilvl="2">
      <w:start w:val="0"/>
      <w:numFmt w:val="bullet"/>
      <w:lvlText w:val=" "/>
      <w:lvlJc w:val="left"/>
      <w:pPr>
        <w:ind w:left="2160" w:hanging="480"/>
      </w:pPr>
    </w:lvl>
    <w:lvl w:ilvl="3">
      <w:start w:val="0"/>
      <w:numFmt w:val="bullet"/>
      <w:lvlText w:val=" "/>
      <w:lvlJc w:val="left"/>
      <w:pPr>
        <w:ind w:left="2880" w:hanging="480"/>
      </w:pPr>
    </w:lvl>
    <w:lvl w:ilvl="4">
      <w:start w:val="0"/>
      <w:numFmt w:val="bullet"/>
      <w:lvlText w:val=" "/>
      <w:lvlJc w:val="left"/>
      <w:pPr>
        <w:ind w:left="3600" w:hanging="480"/>
      </w:pPr>
    </w:lvl>
    <w:lvl w:ilvl="5">
      <w:start w:val="0"/>
      <w:numFmt w:val="bullet"/>
      <w:lvlText w:val=" "/>
      <w:lvlJc w:val="left"/>
      <w:pPr>
        <w:ind w:left="4320" w:hanging="480"/>
      </w:pPr>
    </w:lvl>
    <w:lvl w:ilvl="6">
      <w:start w:val="0"/>
      <w:numFmt w:val="bullet"/>
      <w:lvlText w:val=" "/>
      <w:lvlJc w:val="left"/>
      <w:pPr>
        <w:ind w:left="5040" w:hanging="480"/>
      </w:pPr>
    </w:lvl>
    <w:lvl w:ilvl="7">
      <w:start w:val="0"/>
      <w:numFmt w:val="bullet"/>
      <w:lvlText w:val=" "/>
      <w:lvlJc w:val="left"/>
      <w:pPr>
        <w:ind w:left="5760" w:hanging="480"/>
      </w:pPr>
    </w:lvl>
    <w:lvl w:ilvl="8">
      <w:start w:val="0"/>
      <w:numFmt w:val="bullet"/>
      <w:lvlText w:val=" "/>
      <w:lvlJc w:val="left"/>
      <w:pPr>
        <w:ind w:left="6480" w:hanging="480"/>
      </w:pPr>
    </w:lvl>
  </w:abstractNum>
  <w:abstractNum w:abstractNumId="11">
    <w:nsid w:val="0000A991"/>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2">
    <w:nsid w:val="00A99411"/>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
    <w:nsid w:val="06884DDA"/>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
    <w:nsid w:val="0CE4B80C"/>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5">
    <w:nsid w:val="0E04727E"/>
    <w:multiLevelType w:val="multilevel"/>
    <w:tmpl w:val="E15AC8F6"/>
    <w:lvl w:ilvl="0">
      <w:start w:val="1"/>
      <w:numFmt w:val="decimal"/>
      <w:lvlText w:val="%1)"/>
      <w:lvlJc w:val="left"/>
      <w:pPr>
        <w:ind w:left="720" w:hanging="480"/>
      </w:pPr>
      <w:rPr>
        <w:rFonts w:hint="eastAsia"/>
      </w:rPr>
    </w:lvl>
    <w:lvl w:ilvl="1">
      <w:start w:val="1"/>
      <w:numFmt w:val="lowerLetter"/>
      <w:lvlText w:val="%2."/>
      <w:lvlJc w:val="left"/>
      <w:pPr>
        <w:ind w:left="1440" w:hanging="480"/>
      </w:pPr>
      <w:rPr>
        <w:rFonts w:hint="eastAsia"/>
      </w:rPr>
    </w:lvl>
    <w:lvl w:ilvl="2">
      <w:start w:val="1"/>
      <w:numFmt w:val="lowerRoman"/>
      <w:lvlText w:val="%3."/>
      <w:lvlJc w:val="left"/>
      <w:pPr>
        <w:ind w:left="2160" w:hanging="480"/>
      </w:pPr>
      <w:rPr>
        <w:rFonts w:hint="eastAsia"/>
      </w:rPr>
    </w:lvl>
    <w:lvl w:ilvl="3">
      <w:start w:val="1"/>
      <w:numFmt w:val="decimal"/>
      <w:lvlText w:val="%4."/>
      <w:lvlJc w:val="left"/>
      <w:pPr>
        <w:ind w:left="2880" w:hanging="480"/>
      </w:pPr>
      <w:rPr>
        <w:rFonts w:hint="eastAsia"/>
      </w:rPr>
    </w:lvl>
    <w:lvl w:ilvl="4">
      <w:start w:val="1"/>
      <w:numFmt w:val="decimal"/>
      <w:lvlText w:val="%5."/>
      <w:lvlJc w:val="left"/>
      <w:pPr>
        <w:ind w:left="3600" w:hanging="480"/>
      </w:pPr>
      <w:rPr>
        <w:rFonts w:hint="eastAsia"/>
      </w:rPr>
    </w:lvl>
    <w:lvl w:ilvl="5">
      <w:start w:val="1"/>
      <w:numFmt w:val="decimal"/>
      <w:lvlText w:val="%6."/>
      <w:lvlJc w:val="left"/>
      <w:pPr>
        <w:ind w:left="4320" w:hanging="480"/>
      </w:pPr>
      <w:rPr>
        <w:rFonts w:hint="eastAsia"/>
      </w:rPr>
    </w:lvl>
    <w:lvl w:ilvl="6">
      <w:start w:val="1"/>
      <w:numFmt w:val="decimal"/>
      <w:lvlText w:val="%7."/>
      <w:lvlJc w:val="left"/>
      <w:pPr>
        <w:ind w:left="5040" w:hanging="480"/>
      </w:pPr>
      <w:rPr>
        <w:rFonts w:hint="eastAsia"/>
      </w:rPr>
    </w:lvl>
    <w:lvl w:ilvl="7">
      <w:start w:val="1"/>
      <w:numFmt w:val="decimal"/>
      <w:lvlText w:val="%8."/>
      <w:lvlJc w:val="left"/>
      <w:pPr>
        <w:ind w:left="5760" w:hanging="480"/>
      </w:pPr>
      <w:rPr>
        <w:rFonts w:hint="eastAsia"/>
      </w:rPr>
    </w:lvl>
    <w:lvl w:ilvl="8">
      <w:start w:val="1"/>
      <w:numFmt w:val="decimal"/>
      <w:lvlText w:val="%9."/>
      <w:lvlJc w:val="left"/>
      <w:pPr>
        <w:ind w:left="6480" w:hanging="480"/>
      </w:pPr>
      <w:rPr>
        <w:rFonts w:hint="eastAsia"/>
      </w:rPr>
    </w:lvl>
  </w:abstractNum>
  <w:abstractNum w:abstractNumId="16">
    <w:nsid w:val="11CF6EE7"/>
    <w:multiLevelType w:val="multilevel"/>
    <w:tmpl w:val="A88EEDBC"/>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suff w:val="space"/>
      <w:lvlText w:val="%1.%2.%3.%4.%5"/>
      <w:lvlJc w:val="left"/>
      <w:pPr>
        <w:ind w:left="0" w:firstLine="0"/>
      </w:pPr>
      <w:rPr>
        <w:rFonts w:hint="eastAsia"/>
      </w:rPr>
    </w:lvl>
    <w:lvl w:ilvl="5">
      <w:start w:val="1"/>
      <w:numFmt w:val="decimal"/>
      <w:suff w:val="space"/>
      <w:lvlText w:val="%1.%2.%3.%4.%5.%6"/>
      <w:lvlJc w:val="left"/>
      <w:pPr>
        <w:ind w:left="0" w:firstLine="0"/>
      </w:pPr>
      <w:rPr>
        <w:rFonts w:hint="eastAsia"/>
      </w:rPr>
    </w:lvl>
    <w:lvl w:ilvl="6">
      <w:start w:val="1"/>
      <w:numFmt w:val="decimal"/>
      <w:suff w:val="space"/>
      <w:lvlText w:val="%1.%2.%3.%4.%5.%6.%7"/>
      <w:lvlJc w:val="left"/>
      <w:pPr>
        <w:ind w:left="0" w:firstLine="0"/>
      </w:pPr>
      <w:rPr>
        <w:rFonts w:hint="eastAsia"/>
      </w:rPr>
    </w:lvl>
    <w:lvl w:ilvl="7">
      <w:start w:val="1"/>
      <w:numFmt w:val="decimal"/>
      <w:suff w:val="space"/>
      <w:lvlText w:val="%1.%2.%3.%4.%5.%6.%7.%8"/>
      <w:lvlJc w:val="left"/>
      <w:pPr>
        <w:ind w:left="0" w:firstLine="0"/>
      </w:pPr>
      <w:rPr>
        <w:rFonts w:hint="eastAsia"/>
      </w:rPr>
    </w:lvl>
    <w:lvl w:ilvl="8">
      <w:start w:val="1"/>
      <w:numFmt w:val="decimal"/>
      <w:suff w:val="space"/>
      <w:lvlText w:val="%1.%2.%3.%4.%5.%6.%7.%8.%9"/>
      <w:lvlJc w:val="left"/>
      <w:pPr>
        <w:ind w:left="0" w:firstLine="0"/>
      </w:pPr>
      <w:rPr>
        <w:rFonts w:hint="eastAsia"/>
      </w:rPr>
    </w:lvl>
  </w:abstractNum>
  <w:abstractNum w:abstractNumId="17">
    <w:nsid w:val="3FBA70B3"/>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
    <w:nsid w:val="481BEE38"/>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9">
    <w:nsid w:val="6116F045"/>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0">
    <w:nsid w:val="64DE5E58"/>
    <w:multiLevelType w:val="multilevel"/>
    <w:tmpl w:val="C2B2AA22"/>
    <w:lvl w:ilvl="0">
      <w:start w:val="1"/>
      <w:numFmt w:val="bullet"/>
      <w:lvlText w:val=""/>
      <w:lvlJc w:val="center"/>
      <w:pPr>
        <w:ind w:left="720" w:hanging="480"/>
      </w:pPr>
      <w:rPr>
        <w:rFonts w:ascii="Wingdings" w:hAnsi="Wingdings" w:hint="default"/>
      </w:r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num w:numId="1" w16cid:durableId="1844514363">
    <w:abstractNumId w:val="10"/>
  </w:num>
  <w:num w:numId="2" w16cid:durableId="1305817760">
    <w:abstractNumId w:val="11"/>
  </w:num>
  <w:num w:numId="3" w16cid:durableId="702247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88088830">
    <w:abstractNumId w:val="11"/>
  </w:num>
  <w:num w:numId="5" w16cid:durableId="343823731">
    <w:abstractNumId w:val="8"/>
  </w:num>
  <w:num w:numId="6" w16cid:durableId="67509249">
    <w:abstractNumId w:val="3"/>
  </w:num>
  <w:num w:numId="7" w16cid:durableId="1439447107">
    <w:abstractNumId w:val="2"/>
  </w:num>
  <w:num w:numId="8" w16cid:durableId="1845440163">
    <w:abstractNumId w:val="1"/>
  </w:num>
  <w:num w:numId="9" w16cid:durableId="731200114">
    <w:abstractNumId w:val="0"/>
  </w:num>
  <w:num w:numId="10" w16cid:durableId="1151336791">
    <w:abstractNumId w:val="9"/>
  </w:num>
  <w:num w:numId="11" w16cid:durableId="1082801689">
    <w:abstractNumId w:val="7"/>
  </w:num>
  <w:num w:numId="12" w16cid:durableId="814644599">
    <w:abstractNumId w:val="6"/>
  </w:num>
  <w:num w:numId="13" w16cid:durableId="1335958112">
    <w:abstractNumId w:val="5"/>
  </w:num>
  <w:num w:numId="14" w16cid:durableId="348022997">
    <w:abstractNumId w:val="4"/>
  </w:num>
  <w:num w:numId="15" w16cid:durableId="1312171763">
    <w:abstractNumId w:val="15"/>
  </w:num>
  <w:num w:numId="16" w16cid:durableId="1782609997">
    <w:abstractNumId w:val="20"/>
  </w:num>
  <w:num w:numId="17" w16cid:durableId="160001286">
    <w:abstractNumId w:val="16"/>
  </w:num>
  <w:num w:numId="18">
    <w:abstractNumId w:val="10"/>
  </w:num>
  <w:num w:numId="19">
    <w:abstractNumId w:val="11"/>
  </w:num>
  <w:num w:numId="20">
    <w:abstractNumId w:val="11"/>
  </w:num>
  <w:num w:numId="21">
    <w:abstractNumId w:val="11"/>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11"/>
  </w:num>
  <w:num w:numId="31">
    <w:abstractNumId w:val="11"/>
  </w:num>
  <w:num w:numId="32">
    <w:abstractNumId w:val="11"/>
  </w:num>
  <w:num w:numId="33">
    <w:abstractNumId w:val="11"/>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num>
  <w:num w:numId="44">
    <w:abstractNumId w:val="11"/>
  </w:num>
  <w:num w:numId="45">
    <w:abstractNumId w:val="11"/>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1"/>
  </w:num>
  <w:num w:numId="50">
    <w:abstractNumId w:val="11"/>
  </w:num>
  <w:num w:numId="51">
    <w:abstractNumId w:val="11"/>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num>
  <w:num w:numId="55">
    <w:abstractNumId w:val="11"/>
  </w:num>
  <w:num w:numId="56">
    <w:abstractNumId w:val="11"/>
  </w:num>
  <w:num w:numId="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4"/>
  </w:num>
  <w:num w:numId="62">
    <w:abstractNumId w:val="18"/>
  </w:num>
  <w:num w:numId="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0004"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isibleStyles="0"/>
  <w:doNotTrackMove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DDE"/>
    <w:rsid w:val="00057430"/>
    <w:rsid w:val="00083A05"/>
    <w:rsid w:val="00090279"/>
    <w:rsid w:val="000915A7"/>
    <w:rsid w:val="001912E9"/>
    <w:rsid w:val="001B2928"/>
    <w:rsid w:val="001F3289"/>
    <w:rsid w:val="00227FCA"/>
    <w:rsid w:val="00312938"/>
    <w:rsid w:val="00365D4F"/>
    <w:rsid w:val="003A401E"/>
    <w:rsid w:val="003C2D5C"/>
    <w:rsid w:val="003C33F8"/>
    <w:rsid w:val="003D1DDE"/>
    <w:rsid w:val="00446E08"/>
    <w:rsid w:val="004C1B52"/>
    <w:rsid w:val="00513E5E"/>
    <w:rsid w:val="00553978"/>
    <w:rsid w:val="0056461B"/>
    <w:rsid w:val="005B4EFC"/>
    <w:rsid w:val="005E0D36"/>
    <w:rsid w:val="005F7817"/>
    <w:rsid w:val="00666710"/>
    <w:rsid w:val="0067144A"/>
    <w:rsid w:val="00697CE1"/>
    <w:rsid w:val="006F367C"/>
    <w:rsid w:val="00756227"/>
    <w:rsid w:val="007F612A"/>
    <w:rsid w:val="008803E1"/>
    <w:rsid w:val="00885E58"/>
    <w:rsid w:val="008E0E2E"/>
    <w:rsid w:val="008F24D2"/>
    <w:rsid w:val="0095500F"/>
    <w:rsid w:val="00960F71"/>
    <w:rsid w:val="00991F08"/>
    <w:rsid w:val="009F49BA"/>
    <w:rsid w:val="00B10F95"/>
    <w:rsid w:val="00B65C77"/>
    <w:rsid w:val="00B966D1"/>
    <w:rsid w:val="00B967C9"/>
    <w:rsid w:val="00BD6163"/>
    <w:rsid w:val="00C16290"/>
    <w:rsid w:val="00C24453"/>
    <w:rsid w:val="00C40A8F"/>
    <w:rsid w:val="00D72DD5"/>
    <w:rsid w:val="00E07D1D"/>
    <w:rsid w:val="00E463AB"/>
    <w:rsid w:val="00E7492F"/>
    <w:rsid w:val="00F52B7B"/>
    <w:rsid w:val="00F909F9"/>
    <w:rsid w:val="00F96E7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56227"/>
    <w:rPr>
      <w:rFonts w:ascii="Times New Roman" w:hAnsi="Times New Roman"/>
    </w:rPr>
  </w:style>
  <w:style w:type="paragraph" w:styleId="Heading1">
    <w:name w:val="heading 1"/>
    <w:next w:val="BodyText"/>
    <w:uiPriority w:val="9"/>
    <w:qFormat/>
    <w:rsid w:val="00B10F95"/>
    <w:pPr>
      <w:keepNext/>
      <w:keepLines/>
      <w:pageBreakBefore/>
      <w:spacing w:before="480" w:after="0" w:line="360" w:lineRule="auto"/>
      <w:jc w:val="center"/>
      <w:outlineLvl w:val="0"/>
    </w:pPr>
    <w:rPr>
      <w:rFonts w:ascii="Times New Roman" w:eastAsia="黑体" w:hAnsi="Times New Roman" w:cstheme="majorBidi"/>
      <w:b/>
      <w:bCs/>
      <w:sz w:val="36"/>
      <w:szCs w:val="32"/>
    </w:rPr>
  </w:style>
  <w:style w:type="paragraph" w:styleId="Heading2">
    <w:name w:val="heading 2"/>
    <w:next w:val="BodyText"/>
    <w:uiPriority w:val="9"/>
    <w:unhideWhenUsed/>
    <w:qFormat/>
    <w:rsid w:val="00E463AB"/>
    <w:pPr>
      <w:keepNext/>
      <w:keepLines/>
      <w:spacing w:before="200" w:after="0"/>
      <w:outlineLvl w:val="1"/>
    </w:pPr>
    <w:rPr>
      <w:rFonts w:ascii="Times New Roman" w:eastAsia="黑体" w:hAnsi="Times New Roman" w:cstheme="majorBidi"/>
      <w:b/>
      <w:bCs/>
      <w:sz w:val="30"/>
      <w:szCs w:val="28"/>
    </w:rPr>
  </w:style>
  <w:style w:type="paragraph" w:styleId="Heading3">
    <w:name w:val="heading 3"/>
    <w:next w:val="BodyText"/>
    <w:uiPriority w:val="9"/>
    <w:unhideWhenUsed/>
    <w:qFormat/>
    <w:rsid w:val="00E463AB"/>
    <w:pPr>
      <w:keepNext/>
      <w:keepLines/>
      <w:spacing w:before="100" w:beforeLines="100" w:after="0" w:line="360" w:lineRule="auto"/>
      <w:outlineLvl w:val="2"/>
    </w:pPr>
    <w:rPr>
      <w:rFonts w:ascii="Times New Roman" w:eastAsia="黑体" w:hAnsi="Times New Roman" w:cstheme="majorBidi"/>
      <w:b/>
      <w:bCs/>
    </w:rPr>
  </w:style>
  <w:style w:type="paragraph" w:styleId="Heading4">
    <w:name w:val="heading 4"/>
    <w:basedOn w:val="Normal"/>
    <w:next w:val="BodyText"/>
    <w:uiPriority w:val="9"/>
    <w:unhideWhenUsed/>
    <w:qFormat/>
    <w:rsid w:val="00E463AB"/>
    <w:pPr>
      <w:keepNext/>
      <w:keepLines/>
      <w:spacing w:before="200" w:after="0" w:line="360" w:lineRule="auto"/>
      <w:outlineLvl w:val="3"/>
    </w:pPr>
    <w:rPr>
      <w:rFonts w:eastAsia="黑体" w:cstheme="majorBidi"/>
      <w:bCs/>
      <w:iCs/>
      <w:lang w:eastAsia="zh-CN"/>
    </w:rPr>
  </w:style>
  <w:style w:type="paragraph" w:styleId="Heading5">
    <w:name w:val="heading 5"/>
    <w:basedOn w:val="Normal"/>
    <w:next w:val="BodyText"/>
    <w:uiPriority w:val="9"/>
    <w:unhideWhenUsed/>
    <w:qFormat/>
    <w:rsid w:val="00E463AB"/>
    <w:pPr>
      <w:keepNext/>
      <w:keepLines/>
      <w:spacing w:before="200" w:after="0" w:line="360" w:lineRule="auto"/>
      <w:outlineLvl w:val="4"/>
    </w:pPr>
    <w:rPr>
      <w:rFonts w:eastAsia="黑体" w:cstheme="majorBidi"/>
      <w:bCs/>
      <w:iCs/>
      <w:lang w:eastAsia="zh-CN"/>
    </w:rPr>
  </w:style>
  <w:style w:type="paragraph" w:styleId="Heading6">
    <w:name w:val="heading 6"/>
    <w:basedOn w:val="Normal"/>
    <w:next w:val="BodyText"/>
    <w:uiPriority w:val="9"/>
    <w:unhideWhenUsed/>
    <w:qFormat/>
    <w:rsid w:val="00E463AB"/>
    <w:pPr>
      <w:keepNext/>
      <w:keepLines/>
      <w:spacing w:before="200" w:after="0" w:line="360" w:lineRule="auto"/>
      <w:outlineLvl w:val="5"/>
    </w:pPr>
    <w:rPr>
      <w:rFonts w:eastAsia="黑体" w:cstheme="majorBidi"/>
      <w:bCs/>
      <w:lang w:eastAsia="zh-CN"/>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3"/>
    <w:qFormat/>
    <w:pPr>
      <w:spacing w:before="180" w:after="180"/>
    </w:pPr>
  </w:style>
  <w:style w:type="paragraph" w:customStyle="1" w:styleId="FirstParagraph">
    <w:name w:val="First Paragraph"/>
    <w:basedOn w:val="BodyText"/>
    <w:next w:val="BodyText"/>
    <w:qFormat/>
    <w:rsid w:val="001B2928"/>
    <w:pPr>
      <w:ind w:firstLine="200" w:firstLineChars="200"/>
    </w:pPr>
  </w:style>
  <w:style w:type="paragraph" w:customStyle="1" w:styleId="Compact">
    <w:name w:val="Compact"/>
    <w:basedOn w:val="BodyText"/>
    <w:qFormat/>
    <w:rsid w:val="009F49BA"/>
    <w:pPr>
      <w:spacing w:before="36" w:after="36"/>
    </w:pPr>
  </w:style>
  <w:style w:type="paragraph" w:styleId="Title">
    <w:name w:val="Title"/>
    <w:basedOn w:val="Normal"/>
    <w:next w:val="BodyText"/>
    <w:qFormat/>
    <w:rsid w:val="00227FCA"/>
    <w:pPr>
      <w:keepNext/>
      <w:keepLines/>
      <w:spacing w:before="480" w:after="240"/>
      <w:jc w:val="center"/>
    </w:pPr>
    <w:rPr>
      <w:rFonts w:eastAsia="黑体"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553978"/>
    <w:pPr>
      <w:keepNext/>
      <w:keepLines/>
      <w:jc w:val="center"/>
    </w:pPr>
    <w:rPr>
      <w:rFonts w:ascii="Times New Roman" w:hAnsi="Times New Roman"/>
    </w:r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rsid w:val="00057430"/>
    <w:pPr>
      <w:pBdr>
        <w:top w:val="single" w:sz="8" w:space="1" w:color="auto" w:shadow="1"/>
        <w:left w:val="single" w:sz="8" w:space="4" w:color="auto" w:shadow="1"/>
        <w:bottom w:val="single" w:sz="8" w:space="1" w:color="auto" w:shadow="1"/>
        <w:right w:val="single" w:sz="8" w:space="4" w:color="auto" w:shadow="1"/>
      </w:pBdr>
      <w:shd w:val="clear" w:color="auto" w:fill="D9D9D9" w:themeFill="background1" w:themeFillShade="D9"/>
      <w:spacing w:before="100" w:after="100"/>
      <w:ind w:left="57" w:right="482"/>
    </w:pPr>
  </w:style>
  <w:style w:type="paragraph" w:styleId="FootnoteText">
    <w:name w:val="footnote text"/>
    <w:basedOn w:val="Normal"/>
    <w:uiPriority w:val="9"/>
    <w:unhideWhenUsed/>
    <w:qFormat/>
  </w:style>
  <w:style w:type="table" w:customStyle="1" w:styleId="Table">
    <w:name w:val="Table"/>
    <w:semiHidden/>
    <w:unhideWhenUsed/>
    <w:qFormat/>
    <w:rsid w:val="00697CE1"/>
    <w:pPr>
      <w:jc w:val="center"/>
    </w:pPr>
    <w:rPr>
      <w:rFonts w:ascii="Times New Roman" w:hAnsi="Times New Roman"/>
      <w:sz w:val="20"/>
      <w:szCs w:val="20"/>
      <w:lang w:eastAsia="zh-CN"/>
    </w:rPr>
    <w:tblPr>
      <w:jc w:val="center"/>
      <w:tblInd w:w="0" w:type="dxa"/>
      <w:tblBorders>
        <w:top w:val="single" w:sz="12" w:space="0" w:color="auto"/>
        <w:bottom w:val="single" w:sz="12" w:space="0" w:color="auto"/>
      </w:tblBorders>
      <w:tblCellMar>
        <w:top w:w="0" w:type="dxa"/>
        <w:left w:w="108" w:type="dxa"/>
        <w:bottom w:w="0" w:type="dxa"/>
        <w:right w:w="108" w:type="dxa"/>
      </w:tblCellMar>
    </w:tblPr>
    <w:trPr>
      <w:jc w:val="center"/>
    </w:trPr>
    <w:tcPr>
      <w:shd w:val="clear" w:color="auto" w:fill="auto"/>
      <w:vAlign w:val="center"/>
    </w:tcPr>
    <w:tblStylePr w:type="firstRow">
      <w:pPr>
        <w:jc w:val="center"/>
      </w:pPr>
      <w:rPr>
        <w:rFonts w:ascii="Times New Roman" w:eastAsia="黑体" w:hAnsi="Times New Roman"/>
        <w:b/>
      </w:rPr>
      <w:tblPr/>
      <w:tcPr>
        <w:tcBorders>
          <w:bottom w:val="single" w:sz="0" w:space="0" w:color="auto"/>
        </w:tcBorders>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next w:val="FirstParagraph"/>
    <w:link w:val="a"/>
    <w:autoRedefine/>
    <w:rsid w:val="00090279"/>
    <w:pPr>
      <w:spacing w:after="120"/>
      <w:ind w:left="240" w:right="100" w:leftChars="100" w:rightChars="100"/>
      <w:jc w:val="center"/>
    </w:pPr>
    <w:rPr>
      <w:rFonts w:ascii="Times New Roman" w:hAnsi="Times New Roman"/>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rsid w:val="007F612A"/>
    <w:pPr>
      <w:jc w:val="center"/>
    </w:pPr>
  </w:style>
  <w:style w:type="paragraph" w:customStyle="1" w:styleId="CaptionedFigure">
    <w:name w:val="Captioned Figure"/>
    <w:basedOn w:val="Figure"/>
    <w:pPr>
      <w:keepNext/>
    </w:pPr>
  </w:style>
  <w:style w:type="character" w:customStyle="1" w:styleId="a">
    <w:name w:val="题注 字符"/>
    <w:basedOn w:val="DefaultParagraphFont"/>
    <w:link w:val="Caption"/>
    <w:rsid w:val="00090279"/>
    <w:rPr>
      <w:rFonts w:ascii="Times New Roman" w:hAnsi="Times New Roman"/>
    </w:rPr>
  </w:style>
  <w:style w:type="character" w:customStyle="1" w:styleId="VerbatimChar">
    <w:name w:val="Verbatim Char"/>
    <w:basedOn w:val="a"/>
    <w:link w:val="SourceCode"/>
    <w:rsid w:val="00365D4F"/>
    <w:rPr>
      <w:rFonts w:ascii="Fira Code" w:eastAsia="宋体" w:hAnsi="Fira Code" w:cs="Times New Roman (正文 CS 字体)"/>
      <w:color w:val="404040" w:themeColor="text1" w:themeTint="BF"/>
      <w:sz w:val="21"/>
      <w:shd w:val="pct5" w:color="auto" w:fill="auto"/>
      <w:lang w:eastAsia="zh-CN"/>
    </w:rPr>
  </w:style>
  <w:style w:type="character" w:customStyle="1" w:styleId="SectionNumber">
    <w:name w:val="Section Number"/>
    <w:basedOn w:val="a"/>
    <w:rPr>
      <w:rFonts w:ascii="Times New Roman" w:hAnsi="Times New Roman"/>
    </w:rPr>
  </w:style>
  <w:style w:type="character" w:styleId="FootnoteReference">
    <w:name w:val="footnote reference"/>
    <w:basedOn w:val="a"/>
    <w:rPr>
      <w:rFonts w:ascii="Times New Roman" w:hAnsi="Times New Roman"/>
      <w:vertAlign w:val="superscript"/>
    </w:rPr>
  </w:style>
  <w:style w:type="character" w:styleId="Hyperlink">
    <w:name w:val="Hyperlink"/>
    <w:basedOn w:val="a"/>
    <w:uiPriority w:val="99"/>
    <w:rsid w:val="00D72DD5"/>
    <w:rPr>
      <w:rFonts w:ascii="Times New Roman" w:hAnsi="Times New Roman"/>
      <w:color w:val="4F81BD" w:themeColor="accent1"/>
      <w:u w:val="none"/>
    </w:rPr>
  </w:style>
  <w:style w:type="paragraph" w:styleId="TOCHeading">
    <w:name w:val="TOC Heading"/>
    <w:basedOn w:val="Title"/>
    <w:next w:val="BodyText"/>
    <w:uiPriority w:val="39"/>
    <w:unhideWhenUsed/>
    <w:qFormat/>
    <w:rsid w:val="008F24D2"/>
    <w:pPr>
      <w:spacing w:before="240"/>
    </w:pPr>
    <w:rPr>
      <w:b w:val="0"/>
      <w:bCs w:val="0"/>
    </w:rPr>
  </w:style>
  <w:style w:type="paragraph" w:customStyle="1" w:styleId="SourceCode">
    <w:name w:val="Source Code"/>
    <w:basedOn w:val="Normal"/>
    <w:link w:val="VerbatimChar"/>
    <w:autoRedefine/>
    <w:qFormat/>
    <w:rsid w:val="00365D4F"/>
    <w:pPr>
      <w:pBdr>
        <w:top w:val="single" w:sz="8" w:space="10" w:color="BFBFBF" w:themeColor="background1" w:themeShade="BF"/>
        <w:left w:val="single" w:sz="8" w:space="10" w:color="BFBFBF" w:themeColor="background1" w:themeShade="BF"/>
        <w:bottom w:val="single" w:sz="8" w:space="10" w:color="BFBFBF" w:themeColor="background1" w:themeShade="BF"/>
        <w:right w:val="single" w:sz="8" w:space="10" w:color="BFBFBF" w:themeColor="background1" w:themeShade="BF"/>
      </w:pBdr>
      <w:shd w:val="pct5" w:color="auto" w:fill="auto"/>
      <w:wordWrap w:val="0"/>
    </w:pPr>
    <w:rPr>
      <w:rFonts w:ascii="Fira Code" w:eastAsia="宋体" w:hAnsi="Fira Code" w:cs="Times New Roman (正文 CS 字体)"/>
      <w:color w:val="404040" w:themeColor="text1" w:themeTint="BF"/>
      <w:sz w:val="21"/>
      <w:shd w:val="pct5" w:color="auto" w:fill="auto"/>
      <w:lang w:eastAsia="zh-CN"/>
    </w:rPr>
  </w:style>
  <w:style w:type="character" w:customStyle="1" w:styleId="KeywordTok">
    <w:name w:val="KeywordTok"/>
    <w:basedOn w:val="VerbatimChar"/>
    <w:rPr>
      <w:rFonts w:ascii="Fira Code" w:eastAsia="宋体" w:hAnsi="Fira Code" w:cs="Times New Roman (正文 CS 字体)"/>
      <w:color w:val="D73A49"/>
      <w:sz w:val="21"/>
      <w:shd w:val="pct5" w:color="auto" w:fill="auto"/>
      <w:lang w:eastAsia="zh-CN"/>
    </w:rPr>
  </w:style>
  <w:style w:type="character" w:customStyle="1" w:styleId="DataTypeTok">
    <w:name w:val="DataTypeTok"/>
    <w:basedOn w:val="VerbatimChar"/>
    <w:rPr>
      <w:rFonts w:ascii="Fira Code" w:eastAsia="宋体" w:hAnsi="Fira Code" w:cs="Times New Roman (正文 CS 字体)"/>
      <w:color w:val="D73A49"/>
      <w:sz w:val="21"/>
      <w:shd w:val="pct5" w:color="auto" w:fill="auto"/>
      <w:lang w:eastAsia="zh-CN"/>
    </w:rPr>
  </w:style>
  <w:style w:type="character" w:customStyle="1" w:styleId="DecValTok">
    <w:name w:val="DecValTok"/>
    <w:basedOn w:val="VerbatimChar"/>
    <w:rPr>
      <w:rFonts w:ascii="Fira Code" w:eastAsia="宋体" w:hAnsi="Fira Code" w:cs="Times New Roman (正文 CS 字体)"/>
      <w:color w:val="005CC5"/>
      <w:sz w:val="21"/>
      <w:shd w:val="pct5" w:color="auto" w:fill="auto"/>
      <w:lang w:eastAsia="zh-CN"/>
    </w:rPr>
  </w:style>
  <w:style w:type="character" w:customStyle="1" w:styleId="BaseNTok">
    <w:name w:val="BaseNTok"/>
    <w:basedOn w:val="VerbatimChar"/>
    <w:rPr>
      <w:rFonts w:ascii="Fira Code" w:eastAsia="宋体" w:hAnsi="Fira Code" w:cs="Times New Roman (正文 CS 字体)"/>
      <w:color w:val="005CC5"/>
      <w:sz w:val="21"/>
      <w:shd w:val="pct5" w:color="auto" w:fill="auto"/>
      <w:lang w:eastAsia="zh-CN"/>
    </w:rPr>
  </w:style>
  <w:style w:type="character" w:customStyle="1" w:styleId="FloatTok">
    <w:name w:val="FloatTok"/>
    <w:basedOn w:val="VerbatimChar"/>
    <w:rPr>
      <w:rFonts w:ascii="Fira Code" w:eastAsia="宋体" w:hAnsi="Fira Code" w:cs="Times New Roman (正文 CS 字体)"/>
      <w:color w:val="005CC5"/>
      <w:sz w:val="21"/>
      <w:shd w:val="pct5" w:color="auto" w:fill="auto"/>
      <w:lang w:eastAsia="zh-CN"/>
    </w:rPr>
  </w:style>
  <w:style w:type="character" w:customStyle="1" w:styleId="ConstantTok">
    <w:name w:val="ConstantTok"/>
    <w:basedOn w:val="VerbatimChar"/>
    <w:rPr>
      <w:rFonts w:ascii="Fira Code" w:eastAsia="宋体" w:hAnsi="Fira Code" w:cs="Times New Roman (正文 CS 字体)"/>
      <w:color w:val="005CC5"/>
      <w:sz w:val="21"/>
      <w:shd w:val="pct5" w:color="auto" w:fill="auto"/>
      <w:lang w:eastAsia="zh-CN"/>
    </w:rPr>
  </w:style>
  <w:style w:type="character" w:customStyle="1" w:styleId="CharTok">
    <w:name w:val="CharTok"/>
    <w:basedOn w:val="VerbatimChar"/>
    <w:rPr>
      <w:rFonts w:ascii="Fira Code" w:eastAsia="宋体" w:hAnsi="Fira Code" w:cs="Times New Roman (正文 CS 字体)"/>
      <w:color w:val="032F62"/>
      <w:sz w:val="21"/>
      <w:shd w:val="pct5" w:color="auto" w:fill="auto"/>
      <w:lang w:eastAsia="zh-CN"/>
    </w:rPr>
  </w:style>
  <w:style w:type="character" w:customStyle="1" w:styleId="SpecialCharTok">
    <w:name w:val="SpecialCharTok"/>
    <w:basedOn w:val="VerbatimChar"/>
    <w:rPr>
      <w:rFonts w:ascii="Fira Code" w:eastAsia="宋体" w:hAnsi="Fira Code" w:cs="Times New Roman (正文 CS 字体)"/>
      <w:color w:val="005CC5"/>
      <w:sz w:val="21"/>
      <w:shd w:val="pct5" w:color="auto" w:fill="auto"/>
      <w:lang w:eastAsia="zh-CN"/>
    </w:rPr>
  </w:style>
  <w:style w:type="character" w:customStyle="1" w:styleId="StringTok">
    <w:name w:val="StringTok"/>
    <w:basedOn w:val="VerbatimChar"/>
    <w:rPr>
      <w:rFonts w:ascii="Fira Code" w:eastAsia="宋体" w:hAnsi="Fira Code" w:cs="Times New Roman (正文 CS 字体)"/>
      <w:color w:val="032F62"/>
      <w:sz w:val="21"/>
      <w:shd w:val="pct5" w:color="auto" w:fill="auto"/>
      <w:lang w:eastAsia="zh-CN"/>
    </w:rPr>
  </w:style>
  <w:style w:type="character" w:customStyle="1" w:styleId="VerbatimStringTok">
    <w:name w:val="VerbatimStringTok"/>
    <w:basedOn w:val="VerbatimChar"/>
    <w:rPr>
      <w:rFonts w:ascii="Fira Code" w:eastAsia="宋体" w:hAnsi="Fira Code" w:cs="Times New Roman (正文 CS 字体)"/>
      <w:color w:val="032F62"/>
      <w:sz w:val="21"/>
      <w:shd w:val="pct5" w:color="auto" w:fill="auto"/>
      <w:lang w:eastAsia="zh-CN"/>
    </w:rPr>
  </w:style>
  <w:style w:type="character" w:customStyle="1" w:styleId="SpecialStringTok">
    <w:name w:val="SpecialStringTok"/>
    <w:basedOn w:val="VerbatimChar"/>
    <w:rPr>
      <w:rFonts w:ascii="Fira Code" w:eastAsia="宋体" w:hAnsi="Fira Code" w:cs="Times New Roman (正文 CS 字体)"/>
      <w:color w:val="032F62"/>
      <w:sz w:val="21"/>
      <w:shd w:val="pct5" w:color="auto" w:fill="auto"/>
      <w:lang w:eastAsia="zh-CN"/>
    </w:rPr>
  </w:style>
  <w:style w:type="character" w:customStyle="1" w:styleId="ImportTok">
    <w:name w:val="ImportTok"/>
    <w:basedOn w:val="VerbatimChar"/>
    <w:rPr>
      <w:rFonts w:ascii="Fira Code" w:eastAsia="宋体" w:hAnsi="Fira Code" w:cs="Times New Roman (正文 CS 字体)"/>
      <w:color w:val="032F62"/>
      <w:sz w:val="21"/>
      <w:shd w:val="pct5" w:color="auto" w:fill="auto"/>
      <w:lang w:eastAsia="zh-CN"/>
    </w:rPr>
  </w:style>
  <w:style w:type="character" w:customStyle="1" w:styleId="CommentTok">
    <w:name w:val="CommentTok"/>
    <w:basedOn w:val="VerbatimChar"/>
    <w:rPr>
      <w:rFonts w:ascii="Fira Code" w:eastAsia="宋体" w:hAnsi="Fira Code" w:cs="Times New Roman (正文 CS 字体)"/>
      <w:color w:val="6A737D"/>
      <w:sz w:val="21"/>
      <w:shd w:val="pct5" w:color="auto" w:fill="auto"/>
      <w:lang w:eastAsia="zh-CN"/>
    </w:rPr>
  </w:style>
  <w:style w:type="character" w:customStyle="1" w:styleId="DocumentationTok">
    <w:name w:val="DocumentationTok"/>
    <w:basedOn w:val="VerbatimChar"/>
    <w:rPr>
      <w:rFonts w:ascii="Fira Code" w:eastAsia="宋体" w:hAnsi="Fira Code" w:cs="Times New Roman (正文 CS 字体)"/>
      <w:color w:val="6A737D"/>
      <w:sz w:val="21"/>
      <w:shd w:val="pct5" w:color="auto" w:fill="auto"/>
      <w:lang w:eastAsia="zh-CN"/>
    </w:rPr>
  </w:style>
  <w:style w:type="character" w:customStyle="1" w:styleId="AnnotationTok">
    <w:name w:val="AnnotationTok"/>
    <w:basedOn w:val="VerbatimChar"/>
    <w:rPr>
      <w:rFonts w:ascii="Fira Code" w:eastAsia="宋体" w:hAnsi="Fira Code" w:cs="Times New Roman (正文 CS 字体)"/>
      <w:color w:val="6A737D"/>
      <w:sz w:val="21"/>
      <w:shd w:val="pct5" w:color="auto" w:fill="auto"/>
      <w:lang w:eastAsia="zh-CN"/>
    </w:rPr>
  </w:style>
  <w:style w:type="character" w:customStyle="1" w:styleId="CommentVarTok">
    <w:name w:val="CommentVarTok"/>
    <w:basedOn w:val="VerbatimChar"/>
    <w:rPr>
      <w:rFonts w:ascii="Fira Code" w:eastAsia="宋体" w:hAnsi="Fira Code" w:cs="Times New Roman (正文 CS 字体)"/>
      <w:color w:val="6A737D"/>
      <w:sz w:val="21"/>
      <w:shd w:val="pct5" w:color="auto" w:fill="auto"/>
      <w:lang w:eastAsia="zh-CN"/>
    </w:rPr>
  </w:style>
  <w:style w:type="character" w:customStyle="1" w:styleId="OtherTok">
    <w:name w:val="OtherTok"/>
    <w:basedOn w:val="VerbatimChar"/>
    <w:rPr>
      <w:rFonts w:ascii="Fira Code" w:eastAsia="宋体" w:hAnsi="Fira Code" w:cs="Times New Roman (正文 CS 字体)"/>
      <w:color w:val="6F42C1"/>
      <w:sz w:val="21"/>
      <w:shd w:val="pct5" w:color="auto" w:fill="auto"/>
      <w:lang w:eastAsia="zh-CN"/>
    </w:rPr>
  </w:style>
  <w:style w:type="character" w:customStyle="1" w:styleId="FunctionTok">
    <w:name w:val="FunctionTok"/>
    <w:basedOn w:val="VerbatimChar"/>
    <w:rPr>
      <w:rFonts w:ascii="Fira Code" w:eastAsia="宋体" w:hAnsi="Fira Code" w:cs="Times New Roman (正文 CS 字体)"/>
      <w:color w:val="6F42C1"/>
      <w:sz w:val="21"/>
      <w:shd w:val="pct5" w:color="auto" w:fill="auto"/>
      <w:lang w:eastAsia="zh-CN"/>
    </w:rPr>
  </w:style>
  <w:style w:type="character" w:customStyle="1" w:styleId="VariableTok">
    <w:name w:val="VariableTok"/>
    <w:basedOn w:val="VerbatimChar"/>
    <w:rPr>
      <w:rFonts w:ascii="Fira Code" w:eastAsia="宋体" w:hAnsi="Fira Code" w:cs="Times New Roman (正文 CS 字体)"/>
      <w:color w:val="E36209"/>
      <w:sz w:val="21"/>
      <w:shd w:val="pct5" w:color="auto" w:fill="auto"/>
      <w:lang w:eastAsia="zh-CN"/>
    </w:rPr>
  </w:style>
  <w:style w:type="character" w:customStyle="1" w:styleId="ControlFlowTok">
    <w:name w:val="ControlFlowTok"/>
    <w:basedOn w:val="VerbatimChar"/>
    <w:rPr>
      <w:rFonts w:ascii="Fira Code" w:eastAsia="宋体" w:hAnsi="Fira Code" w:cs="Times New Roman (正文 CS 字体)"/>
      <w:color w:val="D73A49"/>
      <w:sz w:val="21"/>
      <w:shd w:val="pct5" w:color="auto" w:fill="auto"/>
      <w:lang w:eastAsia="zh-CN"/>
    </w:rPr>
  </w:style>
  <w:style w:type="character" w:customStyle="1" w:styleId="OperatorTok">
    <w:name w:val="OperatorTok"/>
    <w:basedOn w:val="VerbatimChar"/>
    <w:rPr>
      <w:rFonts w:ascii="Fira Code" w:eastAsia="宋体" w:hAnsi="Fira Code" w:cs="Times New Roman (正文 CS 字体)"/>
      <w:color w:val="24292E"/>
      <w:sz w:val="21"/>
      <w:shd w:val="pct5" w:color="auto" w:fill="auto"/>
      <w:lang w:eastAsia="zh-CN"/>
    </w:rPr>
  </w:style>
  <w:style w:type="character" w:customStyle="1" w:styleId="BuiltInTok">
    <w:name w:val="BuiltInTok"/>
    <w:basedOn w:val="VerbatimChar"/>
    <w:rPr>
      <w:rFonts w:ascii="Fira Code" w:eastAsia="宋体" w:hAnsi="Fira Code" w:cs="Times New Roman (正文 CS 字体)"/>
      <w:color w:val="D73A49"/>
      <w:sz w:val="21"/>
      <w:shd w:val="pct5" w:color="auto" w:fill="auto"/>
      <w:lang w:eastAsia="zh-CN"/>
    </w:rPr>
  </w:style>
  <w:style w:type="character" w:customStyle="1" w:styleId="ExtensionTok">
    <w:name w:val="ExtensionTok"/>
    <w:basedOn w:val="VerbatimChar"/>
    <w:rPr>
      <w:rFonts w:ascii="Fira Code" w:eastAsia="宋体" w:hAnsi="Fira Code" w:cs="Times New Roman (正文 CS 字体)"/>
      <w:b/>
      <w:color w:val="D73A49"/>
      <w:sz w:val="21"/>
      <w:shd w:val="pct5" w:color="auto" w:fill="auto"/>
      <w:lang w:eastAsia="zh-CN"/>
    </w:rPr>
  </w:style>
  <w:style w:type="character" w:customStyle="1" w:styleId="PreprocessorTok">
    <w:name w:val="PreprocessorTok"/>
    <w:basedOn w:val="VerbatimChar"/>
    <w:rPr>
      <w:rFonts w:ascii="Fira Code" w:eastAsia="宋体" w:hAnsi="Fira Code" w:cs="Times New Roman (正文 CS 字体)"/>
      <w:color w:val="D73A49"/>
      <w:sz w:val="21"/>
      <w:shd w:val="pct5" w:color="auto" w:fill="auto"/>
      <w:lang w:eastAsia="zh-CN"/>
    </w:rPr>
  </w:style>
  <w:style w:type="character" w:customStyle="1" w:styleId="AttributeTok">
    <w:name w:val="AttributeTok"/>
    <w:basedOn w:val="VerbatimChar"/>
    <w:rPr>
      <w:rFonts w:ascii="Fira Code" w:eastAsia="宋体" w:hAnsi="Fira Code" w:cs="Times New Roman (正文 CS 字体)"/>
      <w:color w:val="D73A49"/>
      <w:sz w:val="21"/>
      <w:shd w:val="pct5" w:color="auto" w:fill="auto"/>
      <w:lang w:eastAsia="zh-CN"/>
    </w:rPr>
  </w:style>
  <w:style w:type="character" w:customStyle="1" w:styleId="RegionMarkerTok">
    <w:name w:val="RegionMarkerTok"/>
    <w:basedOn w:val="VerbatimChar"/>
    <w:rPr>
      <w:rFonts w:ascii="Fira Code" w:eastAsia="宋体" w:hAnsi="Fira Code" w:cs="Times New Roman (正文 CS 字体)"/>
      <w:color w:val="6A737D"/>
      <w:sz w:val="21"/>
      <w:shd w:val="pct5" w:color="auto" w:fill="auto"/>
      <w:lang w:eastAsia="zh-CN"/>
    </w:rPr>
  </w:style>
  <w:style w:type="character" w:customStyle="1" w:styleId="InformationTok">
    <w:name w:val="InformationTok"/>
    <w:basedOn w:val="VerbatimChar"/>
    <w:rPr>
      <w:rFonts w:ascii="Fira Code" w:eastAsia="宋体" w:hAnsi="Fira Code" w:cs="Times New Roman (正文 CS 字体)"/>
      <w:color w:val="6A737D"/>
      <w:sz w:val="21"/>
      <w:shd w:val="pct5" w:color="auto" w:fill="auto"/>
      <w:lang w:eastAsia="zh-CN"/>
    </w:rPr>
  </w:style>
  <w:style w:type="character" w:customStyle="1" w:styleId="WarningTok">
    <w:name w:val="WarningTok"/>
    <w:basedOn w:val="VerbatimChar"/>
    <w:rPr>
      <w:rFonts w:ascii="Fira Code" w:eastAsia="宋体" w:hAnsi="Fira Code" w:cs="Times New Roman (正文 CS 字体)"/>
      <w:color w:val="FF5555"/>
      <w:sz w:val="21"/>
      <w:shd w:val="pct5" w:color="auto" w:fill="auto"/>
      <w:lang w:eastAsia="zh-CN"/>
    </w:rPr>
  </w:style>
  <w:style w:type="character" w:customStyle="1" w:styleId="AlertTok">
    <w:name w:val="AlertTok"/>
    <w:basedOn w:val="VerbatimChar"/>
    <w:rPr>
      <w:rFonts w:ascii="Fira Code" w:eastAsia="宋体" w:hAnsi="Fira Code" w:cs="Times New Roman (正文 CS 字体)"/>
      <w:b/>
      <w:color w:val="FF5555"/>
      <w:sz w:val="21"/>
      <w:shd w:val="pct5" w:color="auto" w:fill="auto"/>
      <w:lang w:eastAsia="zh-CN"/>
    </w:rPr>
  </w:style>
  <w:style w:type="character" w:customStyle="1" w:styleId="ErrorTok">
    <w:name w:val="ErrorTok"/>
    <w:basedOn w:val="VerbatimChar"/>
    <w:rPr>
      <w:rFonts w:ascii="Fira Code" w:eastAsia="宋体" w:hAnsi="Fira Code" w:cs="Times New Roman (正文 CS 字体)"/>
      <w:color w:val="FF5555"/>
      <w:sz w:val="21"/>
      <w:shd w:val="pct5" w:color="auto" w:fill="auto"/>
      <w:lang w:eastAsia="zh-CN"/>
    </w:rPr>
  </w:style>
  <w:style w:type="character" w:customStyle="1" w:styleId="NormalTok">
    <w:name w:val="NormalTok"/>
    <w:basedOn w:val="VerbatimChar"/>
    <w:rPr>
      <w:rFonts w:ascii="Fira Code" w:eastAsia="宋体" w:hAnsi="Fira Code" w:cs="Times New Roman (正文 CS 字体)"/>
      <w:color w:val="24292E"/>
      <w:sz w:val="21"/>
      <w:shd w:val="pct5" w:color="auto" w:fill="auto"/>
      <w:lang w:eastAsia="zh-CN"/>
    </w:rPr>
  </w:style>
  <w:style w:type="paragraph" w:styleId="TOC1">
    <w:name w:val="toc 1"/>
    <w:basedOn w:val="Normal"/>
    <w:next w:val="Normal"/>
    <w:autoRedefine/>
    <w:uiPriority w:val="39"/>
    <w:unhideWhenUsed/>
    <w:rsid w:val="0056461B"/>
    <w:rPr>
      <w:b/>
    </w:rPr>
  </w:style>
  <w:style w:type="paragraph" w:styleId="TOC2">
    <w:name w:val="toc 2"/>
    <w:basedOn w:val="Normal"/>
    <w:next w:val="Normal"/>
    <w:autoRedefine/>
    <w:uiPriority w:val="39"/>
    <w:unhideWhenUsed/>
    <w:rsid w:val="00365D4F"/>
    <w:pPr>
      <w:ind w:left="420" w:leftChars="200"/>
    </w:pPr>
  </w:style>
  <w:style w:type="paragraph" w:styleId="TOC3">
    <w:name w:val="toc 3"/>
    <w:basedOn w:val="Normal"/>
    <w:next w:val="Normal"/>
    <w:autoRedefine/>
    <w:uiPriority w:val="39"/>
    <w:unhideWhenUsed/>
    <w:rsid w:val="00365D4F"/>
    <w:pPr>
      <w:ind w:left="840" w:leftChars="400"/>
    </w:pPr>
  </w:style>
  <w:style w:type="paragraph" w:styleId="Header">
    <w:name w:val="header"/>
    <w:basedOn w:val="Normal"/>
    <w:link w:val="a0"/>
    <w:unhideWhenUsed/>
    <w:rsid w:val="00365D4F"/>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rsid w:val="00365D4F"/>
    <w:rPr>
      <w:sz w:val="18"/>
      <w:szCs w:val="18"/>
    </w:rPr>
  </w:style>
  <w:style w:type="paragraph" w:styleId="Footer">
    <w:name w:val="footer"/>
    <w:basedOn w:val="Normal"/>
    <w:link w:val="a1"/>
    <w:unhideWhenUsed/>
    <w:rsid w:val="00365D4F"/>
    <w:pPr>
      <w:tabs>
        <w:tab w:val="center" w:pos="4153"/>
        <w:tab w:val="right" w:pos="8306"/>
      </w:tabs>
      <w:snapToGrid w:val="0"/>
    </w:pPr>
    <w:rPr>
      <w:sz w:val="18"/>
      <w:szCs w:val="18"/>
    </w:rPr>
  </w:style>
  <w:style w:type="character" w:customStyle="1" w:styleId="a1">
    <w:name w:val="页脚 字符"/>
    <w:basedOn w:val="DefaultParagraphFont"/>
    <w:link w:val="Footer"/>
    <w:rsid w:val="00365D4F"/>
    <w:rPr>
      <w:sz w:val="18"/>
      <w:szCs w:val="18"/>
    </w:rPr>
  </w:style>
  <w:style w:type="table" w:customStyle="1" w:styleId="a2">
    <w:name w:val="三线表"/>
    <w:basedOn w:val="TableNormal"/>
    <w:uiPriority w:val="99"/>
    <w:rsid w:val="00B966D1"/>
    <w:pPr>
      <w:spacing w:after="0"/>
      <w:jc w:val="center"/>
    </w:pPr>
    <w:rPr>
      <w:rFonts w:ascii="Times New Roman" w:hAnsi="Times New Roman"/>
    </w:rPr>
    <w:tblPr>
      <w:tblBorders>
        <w:top w:val="single" w:sz="12" w:space="0" w:color="auto"/>
        <w:bottom w:val="single" w:sz="12" w:space="0" w:color="auto"/>
      </w:tblBorders>
    </w:tblPr>
    <w:tcPr>
      <w:vAlign w:val="center"/>
    </w:tcPr>
    <w:tblStylePr w:type="firstRow">
      <w:pPr>
        <w:jc w:val="center"/>
      </w:pPr>
      <w:rPr>
        <w:rFonts w:ascii="Times New Roman" w:hAnsi="Times New Roman" w:eastAsiaTheme="minorEastAsia"/>
        <w:b/>
      </w:rPr>
      <w:tblPr/>
      <w:tcPr>
        <w:tcBorders>
          <w:bottom w:val="single" w:sz="4" w:space="0" w:color="auto"/>
        </w:tcBorders>
        <w:vAlign w:val="center"/>
      </w:tcPr>
    </w:tblStylePr>
  </w:style>
  <w:style w:type="character" w:customStyle="1" w:styleId="a3">
    <w:name w:val="正文文本 字符"/>
    <w:basedOn w:val="DefaultParagraphFont"/>
    <w:link w:val="BodyText"/>
    <w:rsid w:val="00365D4F"/>
  </w:style>
  <w:style w:type="table" w:styleId="TableGrid">
    <w:name w:val="Table Grid"/>
    <w:basedOn w:val="TableNormal"/>
    <w:rsid w:val="00B966D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6102010202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9</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2024-03-13T23:21:11Z</dcterms:created>
  <dcterms:modified xsi:type="dcterms:W3CDTF">2024-03-13T23:21:11Z</dcterms:modified>
</cp:coreProperties>
</file>