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58" w:line="224" w:lineRule="auto"/>
        <w:ind w:left="451"/>
        <w:outlineLvl w:val="0"/>
        <w:rPr>
          <w:sz w:val="31"/>
          <w:szCs w:val="31"/>
        </w:rPr>
      </w:pPr>
      <w:r>
        <w:rPr>
          <w:b/>
          <w:bCs/>
          <w:spacing w:val="4"/>
          <w:sz w:val="31"/>
          <w:szCs w:val="31"/>
        </w:rPr>
        <w:t>《有机酸质量要求</w:t>
      </w:r>
      <w:r>
        <w:rPr>
          <w:spacing w:val="4"/>
          <w:sz w:val="31"/>
          <w:szCs w:val="31"/>
        </w:rPr>
        <w:t xml:space="preserve"> </w:t>
      </w:r>
      <w:r>
        <w:rPr>
          <w:b/>
          <w:bCs/>
          <w:spacing w:val="4"/>
          <w:sz w:val="31"/>
          <w:szCs w:val="31"/>
        </w:rPr>
        <w:t>第</w:t>
      </w:r>
      <w:r>
        <w:rPr>
          <w:spacing w:val="-44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31"/>
          <w:szCs w:val="31"/>
        </w:rPr>
        <w:t xml:space="preserve">1 </w:t>
      </w:r>
      <w:r>
        <w:rPr>
          <w:b/>
          <w:bCs/>
          <w:spacing w:val="4"/>
          <w:sz w:val="31"/>
          <w:szCs w:val="31"/>
        </w:rPr>
        <w:t>部分：柠檬酸》</w:t>
      </w:r>
      <w:r>
        <w:rPr>
          <w:spacing w:val="9"/>
          <w:sz w:val="31"/>
          <w:szCs w:val="31"/>
        </w:rPr>
        <w:t xml:space="preserve">        </w:t>
      </w:r>
      <w:r>
        <w:rPr>
          <w:b/>
          <w:bCs/>
          <w:spacing w:val="4"/>
          <w:sz w:val="31"/>
          <w:szCs w:val="31"/>
        </w:rPr>
        <w:t>编制说明</w:t>
      </w:r>
    </w:p>
    <w:p>
      <w:pPr>
        <w:pStyle w:val="BodyText"/>
        <w:spacing w:before="139" w:line="225" w:lineRule="auto"/>
        <w:ind w:left="3430"/>
        <w:rPr>
          <w:sz w:val="31"/>
          <w:szCs w:val="31"/>
        </w:rPr>
      </w:pPr>
      <w:r>
        <w:rPr>
          <w:b/>
          <w:bCs/>
          <w:spacing w:val="1"/>
          <w:sz w:val="31"/>
          <w:szCs w:val="31"/>
        </w:rPr>
        <w:t>（征求意见稿）</w:t>
      </w:r>
    </w:p>
    <w:p>
      <w:pPr>
        <w:spacing w:before="164" w:line="222" w:lineRule="auto"/>
        <w:ind w:left="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一、工作简况</w:t>
      </w:r>
    </w:p>
    <w:p>
      <w:pPr>
        <w:pStyle w:val="BodyText"/>
        <w:spacing w:before="202" w:line="219" w:lineRule="auto"/>
        <w:ind w:left="10"/>
      </w:pPr>
      <w:r>
        <w:rPr>
          <w:rFonts w:ascii="Times New Roman" w:eastAsia="Times New Roman" w:hAnsi="Times New Roman" w:cs="Times New Roman"/>
          <w:b/>
          <w:bCs/>
          <w:spacing w:val="-9"/>
        </w:rPr>
        <w:t>1</w:t>
      </w:r>
      <w:r>
        <w:rPr>
          <w:rFonts w:ascii="Times New Roman" w:eastAsia="Times New Roman" w:hAnsi="Times New Roman" w:cs="Times New Roman"/>
          <w:b/>
          <w:bCs/>
          <w:spacing w:val="-31"/>
        </w:rPr>
        <w:t xml:space="preserve"> </w:t>
      </w:r>
      <w:r>
        <w:rPr>
          <w:b/>
          <w:bCs/>
          <w:spacing w:val="-9"/>
        </w:rPr>
        <w:t>、任务来源</w:t>
      </w:r>
    </w:p>
    <w:p>
      <w:pPr>
        <w:pStyle w:val="BodyText"/>
        <w:spacing w:before="259" w:line="360" w:lineRule="auto"/>
        <w:ind w:left="3" w:right="61" w:firstLine="480"/>
        <w:jc w:val="both"/>
      </w:pPr>
      <w:r>
        <w:rPr>
          <w:spacing w:val="1"/>
        </w:rPr>
        <w:t>根据国家标准化管理委员会《关于下达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 xml:space="preserve">2022 </w:t>
      </w:r>
      <w:r>
        <w:rPr>
          <w:spacing w:val="1"/>
        </w:rPr>
        <w:t>年第一批准推荐性国家标准计划及相</w:t>
      </w:r>
      <w:r>
        <w:t xml:space="preserve"> </w:t>
      </w:r>
      <w:r>
        <w:rPr>
          <w:spacing w:val="-3"/>
        </w:rPr>
        <w:t>关标准外文版计划的通知》（国标委发〔</w:t>
      </w:r>
      <w:r>
        <w:rPr>
          <w:rFonts w:ascii="Times New Roman" w:eastAsia="Times New Roman" w:hAnsi="Times New Roman" w:cs="Times New Roman"/>
          <w:spacing w:val="-3"/>
        </w:rPr>
        <w:t>2022</w:t>
      </w:r>
      <w:r>
        <w:rPr>
          <w:spacing w:val="-3"/>
        </w:rPr>
        <w:t>〕</w:t>
      </w:r>
      <w:r>
        <w:rPr>
          <w:rFonts w:ascii="Times New Roman" w:eastAsia="Times New Roman" w:hAnsi="Times New Roman" w:cs="Times New Roman"/>
          <w:spacing w:val="-3"/>
        </w:rPr>
        <w:t>17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3"/>
        </w:rPr>
        <w:t>号</w:t>
      </w:r>
      <w:r>
        <w:rPr>
          <w:spacing w:val="-10"/>
        </w:rPr>
        <w:t>），</w:t>
      </w:r>
      <w:r>
        <w:rPr>
          <w:spacing w:val="-3"/>
        </w:rPr>
        <w:t>本标准由全国食品工业标准化</w:t>
      </w:r>
      <w:r>
        <w:t xml:space="preserve"> </w:t>
      </w:r>
      <w:r>
        <w:t>技术委员会工业发酵分委会（</w:t>
      </w:r>
      <w:r>
        <w:rPr>
          <w:rFonts w:ascii="Times New Roman" w:eastAsia="Times New Roman" w:hAnsi="Times New Roman" w:cs="Times New Roman"/>
        </w:rPr>
        <w:t>TC64/SC5</w:t>
      </w:r>
      <w:r>
        <w:t>）上报，被列入国家标</w:t>
      </w:r>
      <w:r>
        <w:rPr>
          <w:spacing w:val="-1"/>
        </w:rPr>
        <w:t>准化管理委员会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2022 </w:t>
      </w:r>
      <w:r>
        <w:rPr>
          <w:spacing w:val="-1"/>
        </w:rPr>
        <w:t>年</w:t>
      </w:r>
      <w:r>
        <w:t xml:space="preserve"> </w:t>
      </w:r>
      <w:r>
        <w:rPr>
          <w:spacing w:val="-2"/>
        </w:rPr>
        <w:t>推荐性国家标准制修订计划，项目编号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20220120-T-469</w:t>
      </w:r>
      <w:r>
        <w:rPr>
          <w:spacing w:val="-2"/>
        </w:rPr>
        <w:t>。全国食品工业标准化技术委员</w:t>
      </w:r>
    </w:p>
    <w:p>
      <w:pPr>
        <w:pStyle w:val="BodyText"/>
        <w:spacing w:before="1" w:line="218" w:lineRule="auto"/>
        <w:ind w:left="2"/>
      </w:pPr>
      <w:r>
        <w:rPr>
          <w:spacing w:val="-1"/>
        </w:rPr>
        <w:t>会工业发酵分委会（</w:t>
      </w:r>
      <w:r>
        <w:rPr>
          <w:rFonts w:ascii="Times New Roman" w:eastAsia="Times New Roman" w:hAnsi="Times New Roman" w:cs="Times New Roman"/>
          <w:spacing w:val="-1"/>
        </w:rPr>
        <w:t>TC64/SC5</w:t>
      </w:r>
      <w:r>
        <w:rPr>
          <w:spacing w:val="-1"/>
        </w:rPr>
        <w:t>）归口。</w:t>
      </w:r>
    </w:p>
    <w:p>
      <w:pPr>
        <w:pStyle w:val="BodyText"/>
        <w:spacing w:before="216" w:line="219" w:lineRule="auto"/>
      </w:pPr>
      <w:r>
        <w:rPr>
          <w:rFonts w:ascii="Times New Roman" w:eastAsia="Times New Roman" w:hAnsi="Times New Roman" w:cs="Times New Roman"/>
          <w:b/>
          <w:bCs/>
          <w:spacing w:val="-6"/>
        </w:rPr>
        <w:t>2</w:t>
      </w:r>
      <w:r>
        <w:rPr>
          <w:rFonts w:ascii="Times New Roman" w:eastAsia="Times New Roman" w:hAnsi="Times New Roman" w:cs="Times New Roman"/>
          <w:b/>
          <w:bCs/>
          <w:spacing w:val="-32"/>
        </w:rPr>
        <w:t xml:space="preserve"> </w:t>
      </w:r>
      <w:r>
        <w:rPr>
          <w:b/>
          <w:bCs/>
          <w:spacing w:val="-6"/>
        </w:rPr>
        <w:t>、简要起草过程</w:t>
      </w:r>
    </w:p>
    <w:p>
      <w:pPr>
        <w:pStyle w:val="BodyText"/>
        <w:spacing w:before="124" w:line="360" w:lineRule="auto"/>
        <w:ind w:left="3" w:right="61" w:firstLine="479"/>
        <w:jc w:val="both"/>
      </w:pPr>
      <w:r>
        <w:rPr>
          <w:rFonts w:ascii="Times New Roman" w:eastAsia="Times New Roman" w:hAnsi="Times New Roman" w:cs="Times New Roman"/>
          <w:spacing w:val="-1"/>
        </w:rPr>
        <w:t>GB/T 8269-2006</w:t>
      </w:r>
      <w:r>
        <w:rPr>
          <w:spacing w:val="-1"/>
        </w:rPr>
        <w:t>《柠檬酸》国家标准自发布以来已实施多年，柠檬酸产品已成为我</w:t>
      </w:r>
      <w:r>
        <w:rPr>
          <w:spacing w:val="16"/>
        </w:rPr>
        <w:t xml:space="preserve"> </w:t>
      </w:r>
      <w:r>
        <w:rPr>
          <w:spacing w:val="-2"/>
        </w:rPr>
        <w:t>国有机酸行业的重要品类，柠檬酸是一种重要的有机酸，又名枸橼酸，</w:t>
      </w:r>
      <w:r>
        <w:rPr>
          <w:spacing w:val="-3"/>
        </w:rPr>
        <w:t>化学名称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2-</w:t>
      </w:r>
      <w:r>
        <w:rPr>
          <w:spacing w:val="-3"/>
        </w:rPr>
        <w:t>羟基</w:t>
      </w:r>
      <w:r>
        <w:t xml:space="preserve"> </w:t>
      </w:r>
      <w:r>
        <w:t>丙烷</w:t>
      </w:r>
      <w:r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rFonts w:ascii="Times New Roman" w:eastAsia="Times New Roman" w:hAnsi="Times New Roman" w:cs="Times New Roman"/>
        </w:rPr>
        <w:t>1,2,3-</w:t>
      </w:r>
      <w:r>
        <w:t>三羧酸，根据其含水量的不同，可分为无水柠檬酸和一水</w:t>
      </w:r>
      <w:r>
        <w:rPr>
          <w:spacing w:val="-1"/>
        </w:rPr>
        <w:t>柠檬酸，随着产品</w:t>
      </w:r>
      <w:r>
        <w:t xml:space="preserve"> </w:t>
      </w:r>
      <w:r>
        <w:rPr>
          <w:spacing w:val="-2"/>
        </w:rPr>
        <w:t>种类创新和质量提升，现有标准中某些指标、方法不再适应市场需求。为了规范行业生</w:t>
      </w:r>
    </w:p>
    <w:p>
      <w:pPr>
        <w:pStyle w:val="BodyText"/>
        <w:spacing w:before="1" w:line="219" w:lineRule="auto"/>
        <w:ind w:left="3"/>
      </w:pPr>
      <w:r>
        <w:t>产、引导行业健康发展，根据行业需要，对柠</w:t>
      </w:r>
      <w:r>
        <w:rPr>
          <w:spacing w:val="-1"/>
        </w:rPr>
        <w:t>檬酸国家标准进行修订。</w:t>
      </w:r>
    </w:p>
    <w:p>
      <w:pPr>
        <w:pStyle w:val="BodyText"/>
        <w:spacing w:before="104" w:line="219" w:lineRule="auto"/>
        <w:ind w:left="495"/>
      </w:pPr>
      <w:r>
        <w:rPr>
          <w:b/>
          <w:bCs/>
          <w:spacing w:val="-5"/>
        </w:rPr>
        <w:t>（</w:t>
      </w:r>
      <w:r>
        <w:rPr>
          <w:rFonts w:ascii="Calibri" w:eastAsia="Calibri" w:hAnsi="Calibri" w:cs="Calibri"/>
          <w:b/>
          <w:bCs/>
          <w:spacing w:val="-5"/>
        </w:rPr>
        <w:t>1</w:t>
      </w:r>
      <w:r>
        <w:rPr>
          <w:b/>
          <w:bCs/>
          <w:spacing w:val="-5"/>
        </w:rPr>
        <w:t>）起草阶段：</w:t>
      </w:r>
    </w:p>
    <w:p>
      <w:pPr>
        <w:pStyle w:val="BodyText"/>
        <w:spacing w:before="259" w:line="360" w:lineRule="auto"/>
        <w:ind w:left="3" w:right="61" w:firstLine="480"/>
      </w:pPr>
      <w:r>
        <w:rPr>
          <w:spacing w:val="-2"/>
        </w:rPr>
        <w:t>标准任务下达后，中国食品发酵工业研究院有限公司开展了柠檬酸关键技术标准化</w:t>
      </w:r>
      <w:r>
        <w:rPr>
          <w:spacing w:val="10"/>
        </w:rPr>
        <w:t xml:space="preserve"> </w:t>
      </w:r>
      <w:r>
        <w:rPr>
          <w:spacing w:val="-2"/>
        </w:rPr>
        <w:t>基础研究攻关，整理国内外相关标准的技术内容，组织行业企业共同开展国家标准的起</w:t>
      </w:r>
    </w:p>
    <w:p>
      <w:pPr>
        <w:pStyle w:val="BodyText"/>
        <w:spacing w:before="1" w:line="219" w:lineRule="auto"/>
        <w:ind w:left="5"/>
      </w:pPr>
      <w:r>
        <w:rPr>
          <w:spacing w:val="-3"/>
        </w:rPr>
        <w:t>草工作。</w:t>
      </w:r>
    </w:p>
    <w:p>
      <w:pPr>
        <w:pStyle w:val="BodyText"/>
        <w:spacing w:before="183" w:line="468" w:lineRule="exact"/>
        <w:ind w:right="61"/>
        <w:jc w:val="right"/>
      </w:pPr>
      <w:r>
        <w:rPr>
          <w:rFonts w:ascii="Times New Roman" w:eastAsia="Times New Roman" w:hAnsi="Times New Roman" w:cs="Times New Roman"/>
          <w:spacing w:val="-4"/>
          <w:position w:val="17"/>
        </w:rPr>
        <w:t xml:space="preserve">2022 </w:t>
      </w:r>
      <w:r>
        <w:rPr>
          <w:spacing w:val="-4"/>
          <w:position w:val="17"/>
        </w:rPr>
        <w:t>年</w:t>
      </w:r>
      <w:r>
        <w:rPr>
          <w:spacing w:val="-36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</w:rPr>
        <w:t>5</w:t>
      </w:r>
      <w:r>
        <w:rPr>
          <w:rFonts w:ascii="Times New Roman" w:eastAsia="Times New Roman" w:hAnsi="Times New Roman" w:cs="Times New Roman"/>
          <w:spacing w:val="15"/>
          <w:position w:val="17"/>
        </w:rPr>
        <w:t xml:space="preserve"> </w:t>
      </w:r>
      <w:r>
        <w:rPr>
          <w:spacing w:val="-4"/>
          <w:position w:val="17"/>
        </w:rPr>
        <w:t>月，牵头单位公开发文征集起草单位、调研行业情况，组建了标准起草工</w:t>
      </w:r>
    </w:p>
    <w:p>
      <w:pPr>
        <w:pStyle w:val="BodyText"/>
        <w:spacing w:line="220" w:lineRule="auto"/>
        <w:ind w:left="4"/>
      </w:pPr>
      <w:r>
        <w:rPr>
          <w:spacing w:val="-4"/>
        </w:rPr>
        <w:t>作组。</w:t>
      </w:r>
    </w:p>
    <w:p>
      <w:pPr>
        <w:pStyle w:val="BodyText"/>
        <w:spacing w:before="182" w:line="360" w:lineRule="auto"/>
        <w:ind w:left="3" w:right="61" w:firstLine="475"/>
      </w:pPr>
      <w:r>
        <w:rPr>
          <w:rFonts w:ascii="Times New Roman" w:eastAsia="Times New Roman" w:hAnsi="Times New Roman" w:cs="Times New Roman"/>
          <w:spacing w:val="-4"/>
        </w:rPr>
        <w:t xml:space="preserve">2023 </w:t>
      </w:r>
      <w:r>
        <w:rPr>
          <w:spacing w:val="-4"/>
        </w:rPr>
        <w:t>年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5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4"/>
        </w:rPr>
        <w:t>月，牵头单位组织在安徽蚌埠召开第一次起草工作组会议，汇报标准研究</w:t>
      </w:r>
      <w:r>
        <w:t xml:space="preserve"> </w:t>
      </w:r>
      <w:r>
        <w:rPr>
          <w:spacing w:val="-2"/>
        </w:rPr>
        <w:t>立项背景，结合国内外研究进展及行业需求，共同探讨本标准的修订方向及思路，初步</w:t>
      </w:r>
    </w:p>
    <w:p>
      <w:pPr>
        <w:pStyle w:val="BodyText"/>
        <w:spacing w:line="219" w:lineRule="auto"/>
        <w:ind w:left="6"/>
      </w:pPr>
      <w:r>
        <w:rPr>
          <w:spacing w:val="-1"/>
        </w:rPr>
        <w:t>形成修订意见并确定后续工作安排。</w:t>
      </w:r>
    </w:p>
    <w:p>
      <w:pPr>
        <w:pStyle w:val="BodyText"/>
        <w:spacing w:before="183" w:line="468" w:lineRule="exact"/>
        <w:ind w:right="61"/>
        <w:jc w:val="right"/>
      </w:pPr>
      <w:r>
        <w:rPr>
          <w:rFonts w:ascii="Times New Roman" w:eastAsia="Times New Roman" w:hAnsi="Times New Roman" w:cs="Times New Roman"/>
          <w:spacing w:val="-4"/>
          <w:position w:val="17"/>
        </w:rPr>
        <w:t xml:space="preserve">2023 </w:t>
      </w:r>
      <w:r>
        <w:rPr>
          <w:spacing w:val="-4"/>
          <w:position w:val="17"/>
        </w:rPr>
        <w:t>年</w:t>
      </w:r>
      <w:r>
        <w:rPr>
          <w:spacing w:val="-36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</w:rPr>
        <w:t>6</w:t>
      </w:r>
      <w:r>
        <w:rPr>
          <w:rFonts w:ascii="Times New Roman" w:eastAsia="Times New Roman" w:hAnsi="Times New Roman" w:cs="Times New Roman"/>
          <w:spacing w:val="15"/>
          <w:position w:val="17"/>
        </w:rPr>
        <w:t xml:space="preserve"> </w:t>
      </w:r>
      <w:r>
        <w:rPr>
          <w:spacing w:val="-4"/>
          <w:position w:val="17"/>
        </w:rPr>
        <w:t>月，面向行业征集柠檬酸产品及各批次检验报告，组织开展行业产品信息</w:t>
      </w:r>
    </w:p>
    <w:p>
      <w:pPr>
        <w:pStyle w:val="BodyText"/>
        <w:spacing w:line="219" w:lineRule="auto"/>
        <w:ind w:left="5"/>
      </w:pPr>
      <w:r>
        <w:rPr>
          <w:spacing w:val="-2"/>
        </w:rPr>
        <w:t>调研及普查工作。</w:t>
      </w:r>
    </w:p>
    <w:p>
      <w:pPr>
        <w:pStyle w:val="BodyText"/>
        <w:spacing w:before="183" w:line="468" w:lineRule="exact"/>
        <w:ind w:right="61"/>
        <w:jc w:val="right"/>
      </w:pPr>
      <w:r>
        <w:rPr>
          <w:rFonts w:ascii="Times New Roman" w:eastAsia="Times New Roman" w:hAnsi="Times New Roman" w:cs="Times New Roman"/>
          <w:spacing w:val="-4"/>
          <w:position w:val="17"/>
        </w:rPr>
        <w:t xml:space="preserve">2023 </w:t>
      </w:r>
      <w:r>
        <w:rPr>
          <w:spacing w:val="-4"/>
          <w:position w:val="17"/>
        </w:rPr>
        <w:t>年</w:t>
      </w:r>
      <w:r>
        <w:rPr>
          <w:spacing w:val="-36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</w:rPr>
        <w:t>8</w:t>
      </w:r>
      <w:r>
        <w:rPr>
          <w:rFonts w:ascii="Times New Roman" w:eastAsia="Times New Roman" w:hAnsi="Times New Roman" w:cs="Times New Roman"/>
          <w:spacing w:val="15"/>
          <w:position w:val="17"/>
        </w:rPr>
        <w:t xml:space="preserve"> </w:t>
      </w:r>
      <w:r>
        <w:rPr>
          <w:spacing w:val="-4"/>
          <w:position w:val="17"/>
        </w:rPr>
        <w:t>月，根据征集行业样品及信息普查情况，汇总起草工作组意见，整理修改</w:t>
      </w:r>
    </w:p>
    <w:p>
      <w:pPr>
        <w:pStyle w:val="BodyText"/>
        <w:spacing w:before="1" w:line="218" w:lineRule="auto"/>
        <w:ind w:left="6"/>
      </w:pPr>
      <w:r>
        <w:rPr>
          <w:spacing w:val="-2"/>
        </w:rPr>
        <w:t>形成标准文本讨论稿。</w:t>
      </w:r>
    </w:p>
    <w:p>
      <w:pPr>
        <w:pStyle w:val="BodyText"/>
        <w:spacing w:before="183" w:line="219" w:lineRule="auto"/>
        <w:jc w:val="right"/>
      </w:pPr>
      <w:r>
        <w:rPr>
          <w:rFonts w:ascii="Times New Roman" w:eastAsia="Times New Roman" w:hAnsi="Times New Roman" w:cs="Times New Roman"/>
          <w:spacing w:val="-8"/>
        </w:rPr>
        <w:t xml:space="preserve">2024 </w:t>
      </w:r>
      <w:r>
        <w:rPr>
          <w:spacing w:val="-8"/>
        </w:rPr>
        <w:t>年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1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8"/>
        </w:rPr>
        <w:t>月，牵头单位在北京组织召开第</w:t>
      </w:r>
      <w:r>
        <w:rPr>
          <w:spacing w:val="-9"/>
        </w:rPr>
        <w:t>二次工作组会议，交流总结前期工作内容，</w:t>
      </w:r>
    </w:p>
    <w:p>
      <w:pPr>
        <w:spacing w:line="219" w:lineRule="auto"/>
        <w:sectPr>
          <w:pgSz w:w="11906" w:h="16839"/>
          <w:pgMar w:top="1431" w:right="1356" w:bottom="0" w:left="1424" w:header="0" w:footer="0" w:gutter="0"/>
          <w:cols w:space="708"/>
        </w:sectPr>
      </w:pPr>
    </w:p>
    <w:p>
      <w:pPr>
        <w:pStyle w:val="BodyText"/>
        <w:spacing w:before="101" w:line="468" w:lineRule="exact"/>
        <w:jc w:val="right"/>
      </w:pPr>
      <w:r>
        <w:rPr>
          <w:spacing w:val="-2"/>
          <w:position w:val="17"/>
        </w:rPr>
        <w:t>结合样品数据讨论完善标准技术要求内容，根据会上起草工作组单位意见，会后修改文</w:t>
      </w:r>
    </w:p>
    <w:p>
      <w:pPr>
        <w:pStyle w:val="BodyText"/>
        <w:spacing w:line="218" w:lineRule="auto"/>
        <w:ind w:left="6"/>
      </w:pPr>
      <w:r>
        <w:rPr>
          <w:spacing w:val="-1"/>
        </w:rPr>
        <w:t>本形成国家标准征求意见稿。</w:t>
      </w:r>
    </w:p>
    <w:p>
      <w:pPr>
        <w:pStyle w:val="BodyText"/>
        <w:spacing w:before="105" w:line="219" w:lineRule="auto"/>
        <w:ind w:left="496"/>
      </w:pPr>
      <w:r>
        <w:rPr>
          <w:b/>
          <w:bCs/>
          <w:spacing w:val="-4"/>
        </w:rPr>
        <w:t>（</w:t>
      </w:r>
      <w:r>
        <w:rPr>
          <w:rFonts w:ascii="Calibri" w:eastAsia="Calibri" w:hAnsi="Calibri" w:cs="Calibri"/>
          <w:b/>
          <w:bCs/>
          <w:spacing w:val="-4"/>
        </w:rPr>
        <w:t>2</w:t>
      </w:r>
      <w:r>
        <w:rPr>
          <w:b/>
          <w:bCs/>
          <w:spacing w:val="-4"/>
        </w:rPr>
        <w:t>）征求意见阶段：</w:t>
      </w:r>
    </w:p>
    <w:p>
      <w:pPr>
        <w:pStyle w:val="BodyText"/>
        <w:spacing w:before="180" w:line="220" w:lineRule="auto"/>
        <w:ind w:left="492"/>
      </w:pPr>
      <w:r>
        <w:rPr>
          <w:spacing w:val="-6"/>
        </w:rPr>
        <w:t>暂略。</w:t>
      </w:r>
    </w:p>
    <w:p>
      <w:pPr>
        <w:pStyle w:val="BodyText"/>
        <w:spacing w:before="182" w:line="220" w:lineRule="auto"/>
        <w:ind w:left="496"/>
      </w:pPr>
      <w:r>
        <w:rPr>
          <w:b/>
          <w:bCs/>
          <w:spacing w:val="-5"/>
        </w:rPr>
        <w:t>（</w:t>
      </w:r>
      <w:r>
        <w:rPr>
          <w:rFonts w:ascii="Calibri" w:eastAsia="Calibri" w:hAnsi="Calibri" w:cs="Calibri"/>
          <w:b/>
          <w:bCs/>
          <w:spacing w:val="-5"/>
        </w:rPr>
        <w:t>3</w:t>
      </w:r>
      <w:r>
        <w:rPr>
          <w:b/>
          <w:bCs/>
          <w:spacing w:val="-5"/>
        </w:rPr>
        <w:t>）审查阶段：</w:t>
      </w:r>
    </w:p>
    <w:p>
      <w:pPr>
        <w:pStyle w:val="BodyText"/>
        <w:spacing w:before="181" w:line="220" w:lineRule="auto"/>
        <w:ind w:left="492"/>
      </w:pPr>
      <w:r>
        <w:rPr>
          <w:spacing w:val="-6"/>
        </w:rPr>
        <w:t>暂略。</w:t>
      </w:r>
    </w:p>
    <w:p>
      <w:pPr>
        <w:pStyle w:val="BodyText"/>
        <w:spacing w:before="180" w:line="219" w:lineRule="auto"/>
        <w:ind w:left="496"/>
      </w:pPr>
      <w:r>
        <w:rPr>
          <w:b/>
          <w:bCs/>
          <w:spacing w:val="-5"/>
        </w:rPr>
        <w:t>（</w:t>
      </w:r>
      <w:r>
        <w:rPr>
          <w:rFonts w:ascii="Calibri" w:eastAsia="Calibri" w:hAnsi="Calibri" w:cs="Calibri"/>
          <w:b/>
          <w:bCs/>
          <w:spacing w:val="-5"/>
        </w:rPr>
        <w:t>4</w:t>
      </w:r>
      <w:r>
        <w:rPr>
          <w:b/>
          <w:bCs/>
          <w:spacing w:val="-5"/>
        </w:rPr>
        <w:t>）报批阶段：</w:t>
      </w:r>
    </w:p>
    <w:p>
      <w:pPr>
        <w:pStyle w:val="BodyText"/>
        <w:spacing w:before="183" w:line="220" w:lineRule="auto"/>
        <w:ind w:left="492"/>
      </w:pPr>
      <w:r>
        <w:rPr>
          <w:spacing w:val="-6"/>
        </w:rPr>
        <w:t>暂略。</w:t>
      </w:r>
    </w:p>
    <w:p>
      <w:pPr>
        <w:pStyle w:val="BodyText"/>
        <w:spacing w:before="293" w:line="219" w:lineRule="auto"/>
        <w:outlineLvl w:val="0"/>
      </w:pPr>
      <w:r>
        <w:rPr>
          <w:rFonts w:ascii="Times New Roman" w:eastAsia="Times New Roman" w:hAnsi="Times New Roman" w:cs="Times New Roman"/>
          <w:b/>
          <w:bCs/>
          <w:spacing w:val="-5"/>
        </w:rPr>
        <w:t>3</w:t>
      </w:r>
      <w:r>
        <w:rPr>
          <w:rFonts w:ascii="Times New Roman" w:eastAsia="Times New Roman" w:hAnsi="Times New Roman" w:cs="Times New Roman"/>
          <w:b/>
          <w:bCs/>
          <w:spacing w:val="-23"/>
        </w:rPr>
        <w:t xml:space="preserve"> </w:t>
      </w:r>
      <w:r>
        <w:rPr>
          <w:b/>
          <w:bCs/>
          <w:spacing w:val="-5"/>
        </w:rPr>
        <w:t>、主要起草单位及起草人</w:t>
      </w:r>
    </w:p>
    <w:p>
      <w:pPr>
        <w:pStyle w:val="BodyText"/>
        <w:spacing w:before="154" w:line="219" w:lineRule="auto"/>
        <w:ind w:left="486"/>
      </w:pPr>
      <w:r>
        <w:rPr>
          <w:spacing w:val="-2"/>
        </w:rPr>
        <w:t>起草单位：暂略。</w:t>
      </w:r>
    </w:p>
    <w:p>
      <w:pPr>
        <w:pStyle w:val="BodyText"/>
        <w:spacing w:before="154" w:line="491" w:lineRule="exact"/>
        <w:ind w:left="486"/>
      </w:pPr>
      <w:r>
        <w:rPr>
          <w:spacing w:val="-1"/>
          <w:position w:val="19"/>
        </w:rPr>
        <w:t>本标准主要起草人：暂略。</w:t>
      </w:r>
    </w:p>
    <w:p>
      <w:pPr>
        <w:spacing w:line="221" w:lineRule="auto"/>
        <w:ind w:left="1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二．标准编制原则</w:t>
      </w:r>
    </w:p>
    <w:p>
      <w:pPr>
        <w:pStyle w:val="BodyText"/>
        <w:spacing w:before="203" w:line="219" w:lineRule="auto"/>
        <w:ind w:left="11"/>
        <w:outlineLvl w:val="0"/>
      </w:pPr>
      <w:r>
        <w:rPr>
          <w:rFonts w:ascii="Times New Roman" w:eastAsia="Times New Roman" w:hAnsi="Times New Roman" w:cs="Times New Roman"/>
          <w:b/>
          <w:bCs/>
          <w:spacing w:val="-7"/>
        </w:rPr>
        <w:t>1</w:t>
      </w:r>
      <w:r>
        <w:rPr>
          <w:rFonts w:ascii="Times New Roman" w:eastAsia="Times New Roman" w:hAnsi="Times New Roman" w:cs="Times New Roman"/>
          <w:b/>
          <w:bCs/>
          <w:spacing w:val="-34"/>
        </w:rPr>
        <w:t xml:space="preserve"> </w:t>
      </w:r>
      <w:r>
        <w:rPr>
          <w:b/>
          <w:bCs/>
          <w:spacing w:val="-7"/>
        </w:rPr>
        <w:t>、以科学为依据</w:t>
      </w:r>
    </w:p>
    <w:p>
      <w:pPr>
        <w:pStyle w:val="BodyText"/>
        <w:spacing w:before="183" w:line="359" w:lineRule="auto"/>
        <w:ind w:left="5" w:firstLine="507"/>
        <w:jc w:val="both"/>
      </w:pPr>
      <w:r>
        <w:rPr>
          <w:spacing w:val="-2"/>
        </w:rPr>
        <w:t>以科学技术和实验数据为依据，采用统计评估</w:t>
      </w:r>
      <w:r>
        <w:rPr>
          <w:spacing w:val="-3"/>
        </w:rPr>
        <w:t>方法，结合行业情况和企业生产检测</w:t>
      </w:r>
      <w:r>
        <w:t xml:space="preserve"> </w:t>
      </w:r>
      <w:r>
        <w:rPr>
          <w:spacing w:val="-3"/>
        </w:rPr>
        <w:t>数据，参考了中国药典、美国药典、欧洲药典、美国食品化学品法典（</w:t>
      </w:r>
      <w:r>
        <w:rPr>
          <w:rFonts w:ascii="Times New Roman" w:eastAsia="Times New Roman" w:hAnsi="Times New Roman" w:cs="Times New Roman"/>
          <w:spacing w:val="-3"/>
        </w:rPr>
        <w:t>FCC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12</w:t>
      </w:r>
      <w:r>
        <w:rPr>
          <w:spacing w:val="-4"/>
        </w:rPr>
        <w:t>）、欧盟</w:t>
      </w:r>
      <w:r>
        <w:t xml:space="preserve"> </w:t>
      </w:r>
      <w:r>
        <w:rPr>
          <w:spacing w:val="-2"/>
        </w:rPr>
        <w:t>食品添加剂法典、</w:t>
      </w:r>
      <w:r>
        <w:rPr>
          <w:spacing w:val="-72"/>
        </w:rPr>
        <w:t xml:space="preserve"> </w:t>
      </w:r>
      <w:r>
        <w:rPr>
          <w:spacing w:val="-2"/>
        </w:rPr>
        <w:t>日本食品添加物公定书（</w:t>
      </w:r>
      <w:r>
        <w:rPr>
          <w:rFonts w:ascii="Times New Roman" w:eastAsia="Times New Roman" w:hAnsi="Times New Roman" w:cs="Times New Roman"/>
          <w:spacing w:val="-2"/>
        </w:rPr>
        <w:t>JSFA 9</w:t>
      </w:r>
      <w:r>
        <w:rPr>
          <w:spacing w:val="-2"/>
        </w:rPr>
        <w:t>）</w:t>
      </w:r>
      <w:r>
        <w:rPr>
          <w:spacing w:val="-3"/>
        </w:rPr>
        <w:t>、韩国食品添加剂法典（</w:t>
      </w:r>
      <w:r>
        <w:rPr>
          <w:rFonts w:ascii="Times New Roman" w:eastAsia="Times New Roman" w:hAnsi="Times New Roman" w:cs="Times New Roman"/>
          <w:spacing w:val="-3"/>
        </w:rPr>
        <w:t>2021</w:t>
      </w:r>
      <w:r>
        <w:rPr>
          <w:spacing w:val="-3"/>
        </w:rPr>
        <w:t>）等</w:t>
      </w:r>
    </w:p>
    <w:p>
      <w:pPr>
        <w:pStyle w:val="BodyText"/>
        <w:spacing w:before="1" w:line="218" w:lineRule="auto"/>
        <w:ind w:left="6"/>
      </w:pPr>
      <w:r>
        <w:rPr>
          <w:spacing w:val="-1"/>
        </w:rPr>
        <w:t>标准法规，经过科学研究而修订。</w:t>
      </w:r>
    </w:p>
    <w:p>
      <w:pPr>
        <w:pStyle w:val="BodyText"/>
        <w:spacing w:before="184" w:line="219" w:lineRule="auto"/>
        <w:ind w:left="1"/>
        <w:outlineLvl w:val="0"/>
      </w:pPr>
      <w:r>
        <w:rPr>
          <w:rFonts w:ascii="Times New Roman" w:eastAsia="Times New Roman" w:hAnsi="Times New Roman" w:cs="Times New Roman"/>
          <w:b/>
          <w:bCs/>
          <w:spacing w:val="-4"/>
        </w:rPr>
        <w:t>2</w:t>
      </w:r>
      <w:r>
        <w:rPr>
          <w:rFonts w:ascii="Times New Roman" w:eastAsia="Times New Roman" w:hAnsi="Times New Roman" w:cs="Times New Roman"/>
          <w:b/>
          <w:bCs/>
          <w:spacing w:val="-20"/>
        </w:rPr>
        <w:t xml:space="preserve"> </w:t>
      </w:r>
      <w:r>
        <w:rPr>
          <w:b/>
          <w:bCs/>
          <w:spacing w:val="-4"/>
        </w:rPr>
        <w:t>、以保证食品安全、保护人民健康为原则</w:t>
      </w:r>
    </w:p>
    <w:p>
      <w:pPr>
        <w:pStyle w:val="BodyText"/>
        <w:spacing w:before="181" w:line="359" w:lineRule="auto"/>
        <w:ind w:left="6" w:firstLine="480"/>
        <w:jc w:val="both"/>
      </w:pPr>
      <w:r>
        <w:rPr>
          <w:spacing w:val="-2"/>
        </w:rPr>
        <w:t>标准的制定以保证食品安全、保护人民健康为基本原则。制定产品标准可规范产品</w:t>
      </w:r>
      <w:r>
        <w:rPr>
          <w:spacing w:val="10"/>
        </w:rPr>
        <w:t xml:space="preserve"> </w:t>
      </w:r>
      <w:r>
        <w:rPr>
          <w:spacing w:val="-2"/>
        </w:rPr>
        <w:t>质量，引导行业健康发展，对项目设置和指标进行认真研究，最大限度地保证产品的安</w:t>
      </w:r>
    </w:p>
    <w:p>
      <w:pPr>
        <w:pStyle w:val="BodyText"/>
        <w:spacing w:line="219" w:lineRule="auto"/>
        <w:ind w:left="5"/>
      </w:pPr>
      <w:r>
        <w:rPr>
          <w:spacing w:val="-2"/>
        </w:rPr>
        <w:t>全和质量水平。</w:t>
      </w:r>
    </w:p>
    <w:p>
      <w:pPr>
        <w:pStyle w:val="BodyText"/>
        <w:spacing w:before="183" w:line="220" w:lineRule="auto"/>
        <w:outlineLvl w:val="0"/>
      </w:pPr>
      <w:r>
        <w:rPr>
          <w:rFonts w:ascii="Times New Roman" w:eastAsia="Times New Roman" w:hAnsi="Times New Roman" w:cs="Times New Roman"/>
          <w:b/>
          <w:bCs/>
          <w:spacing w:val="-5"/>
        </w:rPr>
        <w:t>3</w:t>
      </w:r>
      <w:r>
        <w:rPr>
          <w:rFonts w:ascii="Times New Roman" w:eastAsia="Times New Roman" w:hAnsi="Times New Roman" w:cs="Times New Roman"/>
          <w:b/>
          <w:bCs/>
          <w:spacing w:val="-33"/>
        </w:rPr>
        <w:t xml:space="preserve"> </w:t>
      </w:r>
      <w:r>
        <w:rPr>
          <w:b/>
          <w:bCs/>
          <w:spacing w:val="-5"/>
        </w:rPr>
        <w:t>、与国际标准接轨</w:t>
      </w:r>
    </w:p>
    <w:p>
      <w:pPr>
        <w:pStyle w:val="BodyText"/>
        <w:spacing w:before="181" w:line="359" w:lineRule="auto"/>
        <w:ind w:left="5" w:firstLine="481"/>
        <w:jc w:val="both"/>
      </w:pPr>
      <w:r>
        <w:t>我国加入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WTO </w:t>
      </w:r>
      <w:r>
        <w:t>后，与国际贸易接轨，向世界先进水</w:t>
      </w:r>
      <w:r>
        <w:rPr>
          <w:spacing w:val="-1"/>
        </w:rPr>
        <w:t>平靠拢是国内生产企业发展的</w:t>
      </w:r>
      <w:r>
        <w:t xml:space="preserve"> </w:t>
      </w:r>
      <w:r>
        <w:rPr>
          <w:spacing w:val="-2"/>
        </w:rPr>
        <w:t>必经之路。起草工作组通过对相关的国内外标准、技术资料的分析，结合国内产品的生</w:t>
      </w:r>
      <w:r>
        <w:rPr>
          <w:spacing w:val="15"/>
        </w:rPr>
        <w:t xml:space="preserve"> </w:t>
      </w:r>
      <w:r>
        <w:rPr>
          <w:spacing w:val="-2"/>
        </w:rPr>
        <w:t>产工艺、质量水平及检验水平的实际情况，本着使标准趋向科学性、先进性及合理适用</w:t>
      </w:r>
    </w:p>
    <w:p>
      <w:pPr>
        <w:pStyle w:val="BodyText"/>
        <w:spacing w:before="1" w:line="219" w:lineRule="auto"/>
        <w:ind w:left="25"/>
      </w:pPr>
      <w:r>
        <w:rPr>
          <w:spacing w:val="-3"/>
        </w:rPr>
        <w:t>的原则进行标准修订工作。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91" w:line="223" w:lineRule="auto"/>
        <w:ind w:left="12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三．主要内容</w:t>
      </w:r>
    </w:p>
    <w:p>
      <w:pPr>
        <w:pStyle w:val="BodyText"/>
        <w:spacing w:before="199" w:line="219" w:lineRule="auto"/>
        <w:ind w:right="2"/>
        <w:jc w:val="right"/>
      </w:pPr>
      <w:r>
        <w:rPr>
          <w:spacing w:val="-1"/>
        </w:rPr>
        <w:t>本标准编写符合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GB/T</w:t>
      </w:r>
      <w:r>
        <w:rPr>
          <w:rFonts w:ascii="Times New Roman" w:eastAsia="Times New Roman" w:hAnsi="Times New Roman" w:cs="Times New Roman"/>
          <w:spacing w:val="25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1.1-2020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-1"/>
        </w:rPr>
        <w:t>的规定</w:t>
      </w:r>
      <w:r>
        <w:rPr>
          <w:spacing w:val="-2"/>
        </w:rPr>
        <w:t>，在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GB/T 8269-2006</w:t>
      </w:r>
      <w:r>
        <w:rPr>
          <w:spacing w:val="-2"/>
        </w:rPr>
        <w:t>《柠檬酸》（以下简称</w:t>
      </w:r>
    </w:p>
    <w:p>
      <w:pPr>
        <w:pStyle w:val="BodyText"/>
        <w:spacing w:before="184" w:line="219" w:lineRule="auto"/>
        <w:ind w:left="11"/>
      </w:pPr>
      <w:r>
        <w:rPr>
          <w:spacing w:val="-1"/>
        </w:rPr>
        <w:t>原标准）基础上修订，与原标准相比主要技术变化如下：</w:t>
      </w:r>
    </w:p>
    <w:p>
      <w:pPr>
        <w:spacing w:line="219" w:lineRule="auto"/>
        <w:sectPr>
          <w:pgSz w:w="11906" w:h="16839"/>
          <w:pgMar w:top="1431" w:right="1417" w:bottom="0" w:left="1422" w:header="0" w:footer="0" w:gutter="0"/>
          <w:pgNumType w:start="2"/>
          <w:cols w:space="708"/>
        </w:sectPr>
      </w:pPr>
    </w:p>
    <w:p>
      <w:pPr>
        <w:pStyle w:val="BodyText"/>
        <w:spacing w:before="48" w:line="220" w:lineRule="auto"/>
        <w:ind w:left="488"/>
        <w:outlineLvl w:val="6"/>
      </w:pPr>
      <w:r>
        <w:rPr>
          <w:rFonts w:ascii="Times New Roman" w:eastAsia="Times New Roman" w:hAnsi="Times New Roman" w:cs="Times New Roman"/>
          <w:b/>
          <w:bCs/>
          <w:spacing w:val="-9"/>
        </w:rPr>
        <w:t>1</w:t>
      </w:r>
      <w:r>
        <w:rPr>
          <w:rFonts w:ascii="Times New Roman" w:eastAsia="Times New Roman" w:hAnsi="Times New Roman" w:cs="Times New Roman"/>
          <w:b/>
          <w:bCs/>
          <w:spacing w:val="-34"/>
        </w:rPr>
        <w:t xml:space="preserve"> </w:t>
      </w:r>
      <w:r>
        <w:rPr>
          <w:b/>
          <w:bCs/>
          <w:spacing w:val="-9"/>
        </w:rPr>
        <w:t>、标准名称</w:t>
      </w:r>
    </w:p>
    <w:p>
      <w:pPr>
        <w:pStyle w:val="BodyText"/>
        <w:spacing w:before="181" w:line="359" w:lineRule="auto"/>
        <w:ind w:left="2" w:firstLine="479"/>
        <w:jc w:val="both"/>
      </w:pPr>
      <w:r>
        <w:rPr>
          <w:spacing w:val="1"/>
        </w:rPr>
        <w:t>根据《国家标准化管理委员会秘书处关于征求对</w:t>
      </w:r>
      <w:r>
        <w:rPr>
          <w:rFonts w:ascii="Times New Roman" w:eastAsia="Times New Roman" w:hAnsi="Times New Roman" w:cs="Times New Roman"/>
          <w:spacing w:val="1"/>
        </w:rPr>
        <w:t>&lt;</w:t>
      </w:r>
      <w:r>
        <w:rPr>
          <w:spacing w:val="1"/>
        </w:rPr>
        <w:t>食品质量国家标准清理结论（征</w:t>
      </w:r>
      <w:r>
        <w:rPr>
          <w:spacing w:val="7"/>
        </w:rPr>
        <w:t xml:space="preserve"> </w:t>
      </w:r>
      <w:r>
        <w:rPr>
          <w:spacing w:val="-1"/>
        </w:rPr>
        <w:t>求意见稿）</w:t>
      </w:r>
      <w:r>
        <w:rPr>
          <w:rFonts w:ascii="Times New Roman" w:eastAsia="Times New Roman" w:hAnsi="Times New Roman" w:cs="Times New Roman"/>
          <w:spacing w:val="-1"/>
        </w:rPr>
        <w:t>&gt;</w:t>
      </w:r>
      <w:r>
        <w:rPr>
          <w:spacing w:val="-1"/>
        </w:rPr>
        <w:t>意见的函（标委秘函（</w:t>
      </w:r>
      <w:r>
        <w:rPr>
          <w:rFonts w:ascii="Times New Roman" w:eastAsia="Times New Roman" w:hAnsi="Times New Roman" w:cs="Times New Roman"/>
          <w:spacing w:val="-1"/>
        </w:rPr>
        <w:t>2019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32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1"/>
        </w:rPr>
        <w:t>号</w:t>
      </w:r>
      <w:r>
        <w:rPr>
          <w:spacing w:val="8"/>
        </w:rPr>
        <w:t>），</w:t>
      </w:r>
      <w:r>
        <w:rPr>
          <w:spacing w:val="-1"/>
        </w:rPr>
        <w:t>市场监管总</w:t>
      </w:r>
      <w:r>
        <w:rPr>
          <w:spacing w:val="-2"/>
        </w:rPr>
        <w:t>局为厘清食品质量标准</w:t>
      </w:r>
      <w:r>
        <w:t xml:space="preserve"> </w:t>
      </w:r>
      <w:r>
        <w:rPr>
          <w:spacing w:val="-2"/>
        </w:rPr>
        <w:t>和食品安全标准的关系，开展了我国食品质量国家标准清理工作。全国食品工业标准化</w:t>
      </w:r>
      <w:r>
        <w:rPr>
          <w:spacing w:val="14"/>
        </w:rPr>
        <w:t xml:space="preserve"> </w:t>
      </w:r>
      <w:r>
        <w:rPr>
          <w:spacing w:val="2"/>
        </w:rPr>
        <w:t>技术委员会工业发酵分技术委员会秘书处（</w:t>
      </w:r>
      <w:r>
        <w:rPr>
          <w:rFonts w:ascii="Times New Roman" w:eastAsia="Times New Roman" w:hAnsi="Times New Roman" w:cs="Times New Roman"/>
        </w:rPr>
        <w:t>SAC</w:t>
      </w:r>
      <w:r>
        <w:rPr>
          <w:rFonts w:ascii="Times New Roman" w:eastAsia="Times New Roman" w:hAnsi="Times New Roman" w:cs="Times New Roman"/>
          <w:spacing w:val="1"/>
        </w:rPr>
        <w:t>/</w:t>
      </w:r>
      <w:r>
        <w:rPr>
          <w:rFonts w:ascii="Times New Roman" w:eastAsia="Times New Roman" w:hAnsi="Times New Roman" w:cs="Times New Roman"/>
        </w:rPr>
        <w:t>TC</w:t>
      </w:r>
      <w:r>
        <w:rPr>
          <w:rFonts w:ascii="Times New Roman" w:eastAsia="Times New Roman" w:hAnsi="Times New Roman" w:cs="Times New Roman"/>
          <w:spacing w:val="1"/>
        </w:rPr>
        <w:t>64/</w:t>
      </w:r>
      <w:r>
        <w:rPr>
          <w:rFonts w:ascii="Times New Roman" w:eastAsia="Times New Roman" w:hAnsi="Times New Roman" w:cs="Times New Roman"/>
        </w:rPr>
        <w:t>SC</w:t>
      </w:r>
      <w:r>
        <w:rPr>
          <w:rFonts w:ascii="Times New Roman" w:eastAsia="Times New Roman" w:hAnsi="Times New Roman" w:cs="Times New Roman"/>
          <w:spacing w:val="1"/>
        </w:rPr>
        <w:t>5</w:t>
      </w:r>
      <w:r>
        <w:rPr>
          <w:spacing w:val="1"/>
        </w:rPr>
        <w:t>）为落实有关归口标准的清</w:t>
      </w:r>
      <w:r>
        <w:t xml:space="preserve"> </w:t>
      </w:r>
      <w:r>
        <w:rPr>
          <w:spacing w:val="-15"/>
        </w:rPr>
        <w:t xml:space="preserve">理结论，组织对《柠檬酸》等 </w:t>
      </w:r>
      <w:r>
        <w:rPr>
          <w:rFonts w:ascii="Times New Roman" w:eastAsia="Times New Roman" w:hAnsi="Times New Roman" w:cs="Times New Roman"/>
          <w:spacing w:val="-15"/>
        </w:rPr>
        <w:t>10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-15"/>
        </w:rPr>
        <w:t>项国家标准制修订计划征求意见（工业发酵分标委〔</w:t>
      </w:r>
      <w:r>
        <w:rPr>
          <w:rFonts w:ascii="Times New Roman" w:eastAsia="Times New Roman" w:hAnsi="Times New Roman" w:cs="Times New Roman"/>
          <w:spacing w:val="-15"/>
        </w:rPr>
        <w:t>2020</w:t>
      </w:r>
      <w:r>
        <w:rPr>
          <w:spacing w:val="-15"/>
        </w:rPr>
        <w:t>〕</w:t>
      </w:r>
    </w:p>
    <w:p>
      <w:pPr>
        <w:pStyle w:val="BodyText"/>
        <w:spacing w:line="218" w:lineRule="auto"/>
        <w:ind w:left="20"/>
      </w:pPr>
      <w:r>
        <w:rPr>
          <w:rFonts w:ascii="Times New Roman" w:eastAsia="Times New Roman" w:hAnsi="Times New Roman" w:cs="Times New Roman"/>
          <w:spacing w:val="-2"/>
        </w:rPr>
        <w:t>13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2"/>
        </w:rPr>
        <w:t>号</w:t>
      </w:r>
      <w:r>
        <w:rPr>
          <w:spacing w:val="4"/>
        </w:rPr>
        <w:t>），</w:t>
      </w:r>
      <w:r>
        <w:rPr>
          <w:spacing w:val="-2"/>
        </w:rPr>
        <w:t>确定了本标准计划名称修改为《有机酸质量要求 第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 </w:t>
      </w:r>
      <w:r>
        <w:rPr>
          <w:spacing w:val="-3"/>
        </w:rPr>
        <w:t>部分：柠檬酸》。</w:t>
      </w:r>
    </w:p>
    <w:p>
      <w:pPr>
        <w:pStyle w:val="BodyText"/>
        <w:spacing w:before="183" w:line="220" w:lineRule="auto"/>
        <w:ind w:left="478"/>
        <w:outlineLvl w:val="6"/>
      </w:pPr>
      <w:r>
        <w:rPr>
          <w:rFonts w:ascii="Times New Roman" w:eastAsia="Times New Roman" w:hAnsi="Times New Roman" w:cs="Times New Roman"/>
          <w:b/>
          <w:bCs/>
          <w:spacing w:val="-10"/>
        </w:rPr>
        <w:t>2</w:t>
      </w:r>
      <w:r>
        <w:rPr>
          <w:rFonts w:ascii="Times New Roman" w:eastAsia="Times New Roman" w:hAnsi="Times New Roman" w:cs="Times New Roman"/>
          <w:b/>
          <w:bCs/>
          <w:spacing w:val="-34"/>
        </w:rPr>
        <w:t xml:space="preserve"> </w:t>
      </w:r>
      <w:r>
        <w:rPr>
          <w:b/>
          <w:bCs/>
          <w:spacing w:val="-10"/>
        </w:rPr>
        <w:t>、范围</w:t>
      </w:r>
    </w:p>
    <w:p>
      <w:pPr>
        <w:pStyle w:val="BodyText"/>
        <w:spacing w:before="179" w:line="468" w:lineRule="exact"/>
        <w:ind w:left="482"/>
      </w:pPr>
      <w:r>
        <w:rPr>
          <w:spacing w:val="1"/>
          <w:position w:val="17"/>
        </w:rPr>
        <w:t>本标准根据柠檬酸产品的实际生产情况，沿用</w:t>
      </w:r>
      <w:r>
        <w:rPr>
          <w:spacing w:val="-43"/>
          <w:position w:val="17"/>
        </w:rPr>
        <w:t xml:space="preserve"> </w:t>
      </w:r>
      <w:r>
        <w:rPr>
          <w:rFonts w:ascii="Times New Roman" w:eastAsia="Times New Roman" w:hAnsi="Times New Roman" w:cs="Times New Roman"/>
          <w:position w:val="17"/>
        </w:rPr>
        <w:t>GB</w:t>
      </w:r>
      <w:r>
        <w:rPr>
          <w:rFonts w:ascii="Times New Roman" w:eastAsia="Times New Roman" w:hAnsi="Times New Roman" w:cs="Times New Roman"/>
          <w:spacing w:val="1"/>
          <w:position w:val="17"/>
        </w:rPr>
        <w:t>/T 8269-2006</w:t>
      </w:r>
      <w:r>
        <w:rPr>
          <w:rFonts w:ascii="Times New Roman" w:eastAsia="Times New Roman" w:hAnsi="Times New Roman" w:cs="Times New Roman"/>
          <w:spacing w:val="34"/>
          <w:w w:val="101"/>
          <w:position w:val="17"/>
        </w:rPr>
        <w:t xml:space="preserve"> </w:t>
      </w:r>
      <w:r>
        <w:rPr>
          <w:spacing w:val="1"/>
          <w:position w:val="17"/>
        </w:rPr>
        <w:t>的适用范围，对其</w:t>
      </w:r>
    </w:p>
    <w:p>
      <w:pPr>
        <w:pStyle w:val="BodyText"/>
        <w:spacing w:before="1" w:line="218" w:lineRule="auto"/>
        <w:ind w:left="3"/>
      </w:pPr>
      <w:r>
        <w:t>生产原料和基本工艺进行了规定，并根据标准书写规范</w:t>
      </w:r>
      <w:r>
        <w:rPr>
          <w:spacing w:val="-1"/>
        </w:rPr>
        <w:t>修改了标准规定的相关内容。</w:t>
      </w:r>
    </w:p>
    <w:p>
      <w:pPr>
        <w:pStyle w:val="BodyText"/>
        <w:spacing w:before="182" w:line="219" w:lineRule="auto"/>
        <w:ind w:left="478"/>
        <w:outlineLvl w:val="6"/>
      </w:pPr>
      <w:r>
        <w:rPr>
          <w:rFonts w:ascii="Times New Roman" w:eastAsia="Times New Roman" w:hAnsi="Times New Roman" w:cs="Times New Roman"/>
          <w:b/>
          <w:bCs/>
          <w:spacing w:val="-5"/>
        </w:rPr>
        <w:t>2</w:t>
      </w:r>
      <w:r>
        <w:rPr>
          <w:rFonts w:ascii="Times New Roman" w:eastAsia="Times New Roman" w:hAnsi="Times New Roman" w:cs="Times New Roman"/>
          <w:b/>
          <w:bCs/>
          <w:spacing w:val="-34"/>
        </w:rPr>
        <w:t xml:space="preserve"> </w:t>
      </w:r>
      <w:r>
        <w:rPr>
          <w:b/>
          <w:bCs/>
          <w:spacing w:val="-5"/>
        </w:rPr>
        <w:t>、规范性引用文件</w:t>
      </w:r>
    </w:p>
    <w:p>
      <w:pPr>
        <w:pStyle w:val="BodyText"/>
        <w:spacing w:before="183" w:line="219" w:lineRule="auto"/>
        <w:ind w:left="481"/>
      </w:pPr>
      <w:r>
        <w:t>根据标准中技术要求和试验方法等引用文件</w:t>
      </w:r>
      <w:r>
        <w:rPr>
          <w:spacing w:val="-1"/>
        </w:rPr>
        <w:t>更新了规范性引用文件。</w:t>
      </w:r>
    </w:p>
    <w:p>
      <w:pPr>
        <w:pStyle w:val="BodyText"/>
        <w:spacing w:before="180" w:line="220" w:lineRule="auto"/>
        <w:ind w:left="476"/>
        <w:outlineLvl w:val="6"/>
      </w:pPr>
      <w:r>
        <w:rPr>
          <w:rFonts w:ascii="Times New Roman" w:eastAsia="Times New Roman" w:hAnsi="Times New Roman" w:cs="Times New Roman"/>
          <w:b/>
          <w:bCs/>
          <w:spacing w:val="-3"/>
        </w:rPr>
        <w:t>3</w:t>
      </w:r>
      <w:r>
        <w:rPr>
          <w:rFonts w:ascii="Times New Roman" w:eastAsia="Times New Roman" w:hAnsi="Times New Roman" w:cs="Times New Roman"/>
          <w:b/>
          <w:bCs/>
          <w:spacing w:val="-34"/>
        </w:rPr>
        <w:t xml:space="preserve"> </w:t>
      </w:r>
      <w:r>
        <w:rPr>
          <w:b/>
          <w:bCs/>
          <w:spacing w:val="-3"/>
        </w:rPr>
        <w:t>、化学名称、分子式、结构式和相对分子</w:t>
      </w:r>
      <w:r>
        <w:rPr>
          <w:b/>
          <w:bCs/>
          <w:spacing w:val="-4"/>
        </w:rPr>
        <w:t>质量</w:t>
      </w:r>
    </w:p>
    <w:p>
      <w:pPr>
        <w:pStyle w:val="BodyText"/>
        <w:spacing w:before="183" w:line="359" w:lineRule="auto"/>
        <w:ind w:right="75" w:firstLine="481"/>
        <w:jc w:val="both"/>
      </w:pPr>
      <w:r>
        <w:rPr>
          <w:spacing w:val="-1"/>
        </w:rPr>
        <w:t>本标准沿用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GB/T 8269-2006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spacing w:val="-2"/>
        </w:rPr>
        <w:t>的化学名称、分子式，按照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2021 </w:t>
      </w:r>
      <w:r>
        <w:rPr>
          <w:spacing w:val="-2"/>
        </w:rPr>
        <w:t>年国际相对原子质量</w:t>
      </w:r>
      <w:r>
        <w:t xml:space="preserve"> </w:t>
      </w:r>
      <w:r>
        <w:rPr>
          <w:spacing w:val="-2"/>
        </w:rPr>
        <w:t>表更新了无水柠檬酸的相对分子质量为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192.13</w:t>
      </w:r>
      <w:r>
        <w:rPr>
          <w:spacing w:val="-2"/>
        </w:rPr>
        <w:t>，并对无水柠檬酸和一水柠</w:t>
      </w:r>
      <w:r>
        <w:rPr>
          <w:spacing w:val="-3"/>
        </w:rPr>
        <w:t>檬酸的结构式</w:t>
      </w:r>
    </w:p>
    <w:p>
      <w:pPr>
        <w:pStyle w:val="BodyText"/>
        <w:spacing w:line="220" w:lineRule="auto"/>
      </w:pPr>
      <w:r>
        <w:rPr>
          <w:spacing w:val="-2"/>
        </w:rPr>
        <w:t>进行了更新。</w:t>
      </w:r>
    </w:p>
    <w:p>
      <w:pPr>
        <w:pStyle w:val="BodyText"/>
        <w:spacing w:before="182" w:line="219" w:lineRule="auto"/>
        <w:ind w:left="478"/>
        <w:outlineLvl w:val="6"/>
      </w:pPr>
      <w:r>
        <w:rPr>
          <w:rFonts w:ascii="Times New Roman" w:eastAsia="Times New Roman" w:hAnsi="Times New Roman" w:cs="Times New Roman"/>
          <w:b/>
          <w:bCs/>
          <w:spacing w:val="-7"/>
        </w:rPr>
        <w:t>4</w:t>
      </w:r>
      <w:r>
        <w:rPr>
          <w:rFonts w:ascii="Times New Roman" w:eastAsia="Times New Roman" w:hAnsi="Times New Roman" w:cs="Times New Roman"/>
          <w:b/>
          <w:bCs/>
          <w:spacing w:val="-33"/>
        </w:rPr>
        <w:t xml:space="preserve"> </w:t>
      </w:r>
      <w:r>
        <w:rPr>
          <w:b/>
          <w:bCs/>
          <w:spacing w:val="-7"/>
        </w:rPr>
        <w:t>、产品分类</w:t>
      </w:r>
    </w:p>
    <w:p>
      <w:pPr>
        <w:pStyle w:val="BodyText"/>
        <w:spacing w:before="182" w:line="359" w:lineRule="auto"/>
        <w:ind w:right="75" w:firstLine="480"/>
        <w:jc w:val="both"/>
      </w:pPr>
      <w:r>
        <w:rPr>
          <w:spacing w:val="-2"/>
        </w:rPr>
        <w:t>柠檬酸根据产品是否含有结晶水，可以分为无水柠檬酸和一水柠檬酸，这两种形式</w:t>
      </w:r>
      <w:r>
        <w:rPr>
          <w:spacing w:val="11"/>
        </w:rPr>
        <w:t xml:space="preserve"> </w:t>
      </w:r>
      <w:r>
        <w:rPr>
          <w:spacing w:val="-2"/>
        </w:rPr>
        <w:t>在化学结构和性质上有所不同。无水柠檬酸需要在高温高压下进行反应，一水柠檬酸则</w:t>
      </w:r>
      <w:r>
        <w:rPr>
          <w:spacing w:val="16"/>
        </w:rPr>
        <w:t xml:space="preserve"> </w:t>
      </w:r>
      <w:r>
        <w:rPr>
          <w:spacing w:val="-2"/>
        </w:rPr>
        <w:t>需要在常温常压下进行，同时在结晶过程中，无水柠檬酸需要加入晶种进行结晶，而一</w:t>
      </w:r>
    </w:p>
    <w:p>
      <w:pPr>
        <w:pStyle w:val="BodyText"/>
        <w:spacing w:line="219" w:lineRule="auto"/>
        <w:ind w:left="4"/>
      </w:pPr>
      <w:r>
        <w:rPr>
          <w:spacing w:val="-2"/>
        </w:rPr>
        <w:t>水柠檬酸则不需要。</w:t>
      </w:r>
    </w:p>
    <w:p>
      <w:pPr>
        <w:pStyle w:val="BodyText"/>
        <w:spacing w:before="181" w:line="468" w:lineRule="exact"/>
        <w:ind w:left="480"/>
      </w:pPr>
      <w:r>
        <w:rPr>
          <w:rFonts w:ascii="Times New Roman" w:eastAsia="Times New Roman" w:hAnsi="Times New Roman" w:cs="Times New Roman"/>
          <w:b/>
          <w:bCs/>
          <w:spacing w:val="-10"/>
          <w:position w:val="17"/>
        </w:rPr>
        <w:t>5</w:t>
      </w:r>
      <w:r>
        <w:rPr>
          <w:rFonts w:ascii="Times New Roman" w:eastAsia="Times New Roman" w:hAnsi="Times New Roman" w:cs="Times New Roman"/>
          <w:b/>
          <w:bCs/>
          <w:spacing w:val="-34"/>
          <w:position w:val="17"/>
        </w:rPr>
        <w:t xml:space="preserve"> </w:t>
      </w:r>
      <w:r>
        <w:rPr>
          <w:b/>
          <w:bCs/>
          <w:spacing w:val="-10"/>
          <w:position w:val="17"/>
        </w:rPr>
        <w:t>、要求</w:t>
      </w:r>
    </w:p>
    <w:p>
      <w:pPr>
        <w:pStyle w:val="BodyText"/>
        <w:spacing w:line="220" w:lineRule="auto"/>
        <w:ind w:left="480"/>
      </w:pPr>
      <w:r>
        <w:rPr>
          <w:rFonts w:ascii="Times New Roman" w:eastAsia="Times New Roman" w:hAnsi="Times New Roman" w:cs="Times New Roman"/>
          <w:b/>
          <w:bCs/>
          <w:spacing w:val="-6"/>
        </w:rPr>
        <w:t>5.1</w:t>
      </w:r>
      <w:r>
        <w:rPr>
          <w:rFonts w:ascii="Times New Roman" w:eastAsia="Times New Roman" w:hAnsi="Times New Roman" w:cs="Times New Roman"/>
          <w:b/>
          <w:bCs/>
          <w:spacing w:val="15"/>
          <w:w w:val="101"/>
        </w:rPr>
        <w:t xml:space="preserve"> </w:t>
      </w:r>
      <w:r>
        <w:rPr>
          <w:b/>
          <w:bCs/>
          <w:spacing w:val="-6"/>
        </w:rPr>
        <w:t>鉴别</w:t>
      </w:r>
    </w:p>
    <w:p>
      <w:pPr>
        <w:pStyle w:val="BodyText"/>
        <w:spacing w:before="179" w:line="468" w:lineRule="exact"/>
        <w:jc w:val="right"/>
      </w:pPr>
      <w:r>
        <w:rPr>
          <w:spacing w:val="-3"/>
          <w:position w:val="17"/>
        </w:rPr>
        <w:t>本标准修改了</w:t>
      </w:r>
      <w:r>
        <w:rPr>
          <w:spacing w:val="-50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7"/>
        </w:rPr>
        <w:t>GB/T 8269-2006</w:t>
      </w:r>
      <w:r>
        <w:rPr>
          <w:rFonts w:ascii="Times New Roman" w:eastAsia="Times New Roman" w:hAnsi="Times New Roman" w:cs="Times New Roman"/>
          <w:spacing w:val="32"/>
          <w:position w:val="17"/>
        </w:rPr>
        <w:t xml:space="preserve"> </w:t>
      </w:r>
      <w:r>
        <w:rPr>
          <w:spacing w:val="-3"/>
          <w:position w:val="17"/>
        </w:rPr>
        <w:t>中鉴别实验的检验方法，采用红外光谱仪进行扫描，</w:t>
      </w:r>
    </w:p>
    <w:p>
      <w:pPr>
        <w:pStyle w:val="BodyText"/>
        <w:spacing w:before="1" w:line="219" w:lineRule="auto"/>
        <w:ind w:left="7"/>
      </w:pPr>
      <w:r>
        <w:rPr>
          <w:spacing w:val="-1"/>
        </w:rPr>
        <w:t>并与柠檬酸标准红外吸收光谱图进行比较，保持一致即可。</w:t>
      </w:r>
    </w:p>
    <w:p>
      <w:pPr>
        <w:spacing w:line="219" w:lineRule="auto"/>
        <w:sectPr>
          <w:pgSz w:w="11906" w:h="16839"/>
          <w:pgMar w:top="1405" w:right="1342" w:bottom="0" w:left="1425" w:header="0" w:footer="0" w:gutter="0"/>
          <w:pgNumType w:start="3"/>
          <w:cols w:space="708"/>
        </w:sectPr>
      </w:pPr>
    </w:p>
    <w:p>
      <w:pPr>
        <w:spacing w:line="2297" w:lineRule="exact"/>
        <w:ind w:firstLine="1069"/>
      </w:pPr>
      <w: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page">
                  <wp:posOffset>1394880</wp:posOffset>
                </wp:positionH>
                <wp:positionV relativeFrom="page">
                  <wp:posOffset>1530185</wp:posOffset>
                </wp:positionV>
                <wp:extent cx="284479" cy="123189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394880" y="1530185"/>
                          <a:ext cx="284479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0" w:line="223" w:lineRule="auto"/>
                              <w:ind w:left="20"/>
                              <w:rPr>
                                <w:rFonts w:ascii="FangSong" w:eastAsia="FangSong" w:hAnsi="FangSong" w:cs="FangSong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FangSong" w:eastAsia="FangSong" w:hAnsi="FangSong" w:cs="FangSong"/>
                                <w:spacing w:val="-7"/>
                                <w:sz w:val="11"/>
                                <w:szCs w:val="11"/>
                              </w:rPr>
                              <w:t>遗过率儿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5" type="#_x0000_t202" style="width:22.4pt;height:9.7pt;margin-top:120.49pt;margin-left:109.83pt;mso-position-horizontal-relative:page;mso-position-vertical-relative:page;mso-wrap-distance-bottom:0;mso-wrap-distance-left:0;mso-wrap-distance-right:0;mso-wrap-distance-top:0;position:absolute;rotation:270;v-text-anchor:top;z-index:251658240" o:allowincell="f" filled="f" fillcolor="this" stroked="f">
                <v:textbox inset="0,0,0,0">
                  <w:txbxContent>
                    <w:p>
                      <w:pPr>
                        <w:spacing w:before="40" w:line="223" w:lineRule="auto"/>
                        <w:ind w:left="20"/>
                        <w:rPr>
                          <w:rFonts w:ascii="FangSong" w:eastAsia="FangSong" w:hAnsi="FangSong" w:cs="FangSong"/>
                          <w:sz w:val="11"/>
                          <w:szCs w:val="11"/>
                        </w:rPr>
                      </w:pPr>
                      <w:r>
                        <w:rPr>
                          <w:rFonts w:ascii="FangSong" w:eastAsia="FangSong" w:hAnsi="FangSong" w:cs="FangSong"/>
                          <w:spacing w:val="-7"/>
                          <w:sz w:val="11"/>
                          <w:szCs w:val="11"/>
                        </w:rPr>
                        <w:t>遗过率儿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45"/>
        </w:rPr>
        <w:drawing>
          <wp:inline distT="0" distB="0" distL="0" distR="0">
            <wp:extent cx="4470400" cy="145863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0400" cy="1458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18" w:lineRule="auto"/>
        <w:ind w:left="4459"/>
        <w:rPr>
          <w:rFonts w:ascii="Calibri" w:eastAsia="Calibri" w:hAnsi="Calibri" w:cs="Calibri"/>
          <w:sz w:val="11"/>
          <w:szCs w:val="11"/>
        </w:rPr>
      </w:pPr>
      <w:r>
        <w:rPr>
          <w:rFonts w:ascii="FangSong" w:eastAsia="FangSong" w:hAnsi="FangSong" w:cs="FangSong"/>
          <w:spacing w:val="-3"/>
          <w:sz w:val="11"/>
          <w:szCs w:val="11"/>
        </w:rPr>
        <w:t>波数</w:t>
      </w:r>
      <w:r>
        <w:rPr>
          <w:spacing w:val="-3"/>
          <w:sz w:val="11"/>
          <w:szCs w:val="11"/>
        </w:rPr>
        <w:t>km</w:t>
      </w:r>
      <w:r>
        <w:rPr>
          <w:rFonts w:ascii="Calibri" w:eastAsia="Calibri" w:hAnsi="Calibri" w:cs="Calibri"/>
          <w:spacing w:val="-3"/>
          <w:sz w:val="11"/>
          <w:szCs w:val="11"/>
        </w:rPr>
        <w:t>⁴</w:t>
      </w:r>
    </w:p>
    <w:p>
      <w:pPr>
        <w:spacing w:before="120" w:line="221" w:lineRule="auto"/>
        <w:ind w:left="313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19"/>
          <w:sz w:val="23"/>
          <w:szCs w:val="23"/>
        </w:rPr>
        <w:t>图1柠檬酸标准红外吸收光谱图</w:t>
      </w:r>
    </w:p>
    <w:p>
      <w:pPr>
        <w:pStyle w:val="BodyText"/>
        <w:spacing w:before="58" w:line="221" w:lineRule="auto"/>
        <w:ind w:left="479"/>
        <w:rPr>
          <w:sz w:val="23"/>
          <w:szCs w:val="23"/>
        </w:rPr>
      </w:pPr>
      <w:r>
        <w:rPr>
          <w:spacing w:val="-1"/>
          <w:sz w:val="23"/>
          <w:szCs w:val="23"/>
        </w:rPr>
        <w:t>5.1</w:t>
      </w:r>
      <w:r>
        <w:rPr>
          <w:spacing w:val="-44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感官要求</w:t>
      </w:r>
    </w:p>
    <w:p>
      <w:pPr>
        <w:pStyle w:val="BodyText"/>
        <w:spacing w:before="183" w:line="219" w:lineRule="auto"/>
        <w:ind w:left="509"/>
        <w:rPr>
          <w:sz w:val="23"/>
          <w:szCs w:val="23"/>
        </w:rPr>
      </w:pPr>
      <w:r>
        <w:rPr>
          <w:spacing w:val="7"/>
          <w:sz w:val="23"/>
          <w:szCs w:val="23"/>
        </w:rPr>
        <w:t>色泽、状态、气味、杂质保持不变，调整到表格中，删除了味道及溶解性表述。</w:t>
      </w:r>
    </w:p>
    <w:p>
      <w:pPr>
        <w:pStyle w:val="BodyText"/>
        <w:spacing w:before="197" w:line="220" w:lineRule="auto"/>
        <w:ind w:left="449"/>
        <w:rPr>
          <w:sz w:val="23"/>
          <w:szCs w:val="23"/>
        </w:rPr>
      </w:pPr>
      <w:r>
        <w:rPr>
          <w:spacing w:val="7"/>
          <w:sz w:val="23"/>
          <w:szCs w:val="23"/>
        </w:rPr>
        <w:t>5.2理化指标</w:t>
      </w:r>
    </w:p>
    <w:p>
      <w:pPr>
        <w:pStyle w:val="BodyText"/>
        <w:spacing w:before="190" w:line="375" w:lineRule="auto"/>
        <w:ind w:firstLine="499"/>
        <w:rPr>
          <w:sz w:val="23"/>
          <w:szCs w:val="23"/>
        </w:rPr>
      </w:pPr>
      <w:r>
        <w:rPr>
          <w:spacing w:val="7"/>
          <w:sz w:val="23"/>
          <w:szCs w:val="23"/>
        </w:rPr>
        <w:t>随着行业技术发展，柠檬酸生产工艺得到了进一步提升，原标准中对于无水柠檬酸</w:t>
      </w:r>
      <w:r>
        <w:rPr>
          <w:spacing w:val="6"/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和一水柠檬酸的分级要求已经不适用目前行业的发展需求。对比分析国内外相关</w:t>
      </w:r>
      <w:r>
        <w:rPr>
          <w:spacing w:val="7"/>
          <w:sz w:val="23"/>
          <w:szCs w:val="23"/>
        </w:rPr>
        <w:t>标准及</w:t>
      </w:r>
      <w:r>
        <w:rPr>
          <w:sz w:val="23"/>
          <w:szCs w:val="23"/>
        </w:rPr>
        <w:t xml:space="preserve"> </w:t>
      </w:r>
      <w:r>
        <w:rPr>
          <w:spacing w:val="14"/>
          <w:sz w:val="23"/>
          <w:szCs w:val="23"/>
        </w:rPr>
        <w:t>法规文件，具体内容见附表1,其中中国药典、美国药典和欧洲药典对于柠檬酸的透光</w:t>
      </w:r>
      <w:r>
        <w:rPr>
          <w:spacing w:val="7"/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率指标仅规定了符合定性要求即可，同时国内外添加剂相关标准未对柠檬酸的透光率指</w:t>
      </w:r>
      <w:r>
        <w:rPr>
          <w:spacing w:val="9"/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标进行规定。本标准中对于柠檬酸作为食品原料或其他原料使用时，明确了产品的透光</w:t>
      </w:r>
      <w:r>
        <w:rPr>
          <w:spacing w:val="5"/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率作为特色的产品分级要求，同时根据调研行业产品及样品普查情况，将优级无水柠檬</w:t>
      </w:r>
      <w:r>
        <w:rPr>
          <w:spacing w:val="4"/>
          <w:sz w:val="23"/>
          <w:szCs w:val="23"/>
        </w:rPr>
        <w:t xml:space="preserve"> </w:t>
      </w:r>
      <w:r>
        <w:rPr>
          <w:spacing w:val="12"/>
          <w:sz w:val="23"/>
          <w:szCs w:val="23"/>
        </w:rPr>
        <w:t>酸透光率指标提升至99.0%、 一级无水柠檬酸透光率指标提升至97.0%,优级一水柠檬</w:t>
      </w:r>
      <w:r>
        <w:rPr>
          <w:spacing w:val="2"/>
          <w:sz w:val="23"/>
          <w:szCs w:val="23"/>
        </w:rPr>
        <w:t xml:space="preserve"> </w:t>
      </w:r>
      <w:r>
        <w:rPr>
          <w:spacing w:val="10"/>
          <w:sz w:val="23"/>
          <w:szCs w:val="23"/>
        </w:rPr>
        <w:t>酸透光率指标提升至99.0%、 一级一水柠檬酸透光率指标提升</w:t>
      </w:r>
      <w:r>
        <w:rPr>
          <w:spacing w:val="9"/>
          <w:sz w:val="23"/>
          <w:szCs w:val="23"/>
        </w:rPr>
        <w:t>至97.0%。根据推荐性国</w:t>
      </w:r>
      <w:r>
        <w:rPr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家标准的相关管理规定，不在对产品安全性指标进行规定，故删除原标准中砷盐和重金</w:t>
      </w:r>
    </w:p>
    <w:p>
      <w:pPr>
        <w:pStyle w:val="BodyText"/>
        <w:spacing w:line="219" w:lineRule="auto"/>
        <w:ind w:left="30"/>
        <w:rPr>
          <w:sz w:val="23"/>
          <w:szCs w:val="23"/>
        </w:rPr>
      </w:pPr>
      <w:r>
        <w:rPr>
          <w:spacing w:val="4"/>
          <w:sz w:val="23"/>
          <w:szCs w:val="23"/>
        </w:rPr>
        <w:t>属指标。其他指标维持原标准不变。</w:t>
      </w:r>
    </w:p>
    <w:p>
      <w:pPr>
        <w:pStyle w:val="BodyText"/>
        <w:spacing w:before="198" w:line="221" w:lineRule="auto"/>
        <w:ind w:left="459"/>
        <w:rPr>
          <w:sz w:val="23"/>
          <w:szCs w:val="23"/>
        </w:rPr>
      </w:pPr>
      <w:r>
        <w:rPr>
          <w:spacing w:val="-1"/>
          <w:sz w:val="23"/>
          <w:szCs w:val="23"/>
        </w:rPr>
        <w:t>6、</w:t>
      </w:r>
      <w:r>
        <w:rPr>
          <w:spacing w:val="-47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试验方法</w:t>
      </w:r>
    </w:p>
    <w:p>
      <w:pPr>
        <w:pStyle w:val="BodyText"/>
        <w:spacing w:before="195" w:line="373" w:lineRule="auto"/>
        <w:ind w:left="10" w:firstLine="489"/>
        <w:rPr>
          <w:sz w:val="23"/>
          <w:szCs w:val="23"/>
        </w:rPr>
      </w:pPr>
      <w:r>
        <w:rPr>
          <w:spacing w:val="7"/>
          <w:sz w:val="23"/>
          <w:szCs w:val="23"/>
        </w:rPr>
        <w:t xml:space="preserve">修改感官要求试验方法为“称取适量试样，在自然光线下，用肉眼观察样品的色泽 </w:t>
      </w:r>
      <w:r>
        <w:rPr>
          <w:spacing w:val="11"/>
          <w:sz w:val="23"/>
          <w:szCs w:val="23"/>
        </w:rPr>
        <w:t>和状态，检查有无杂质，闻其气味”;修改鉴定试验方法为红外光谱法，并与标准红外</w:t>
      </w:r>
      <w:r>
        <w:rPr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光谱图进行比较；水分含量测定方法为</w:t>
      </w:r>
      <w:r>
        <w:rPr>
          <w:sz w:val="23"/>
          <w:szCs w:val="23"/>
        </w:rPr>
        <w:t>GB</w:t>
      </w:r>
      <w:r>
        <w:rPr>
          <w:spacing w:val="69"/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5009.3</w:t>
      </w:r>
      <w:r>
        <w:rPr>
          <w:spacing w:val="-49"/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中的第四法(卡尔</w:t>
      </w:r>
      <w:r>
        <w:rPr>
          <w:spacing w:val="7"/>
          <w:sz w:val="23"/>
          <w:szCs w:val="23"/>
        </w:rPr>
        <w:t xml:space="preserve"> ·</w:t>
      </w:r>
      <w:r>
        <w:rPr>
          <w:spacing w:val="-67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费休法)测定，</w:t>
      </w:r>
      <w:r>
        <w:rPr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与原标准检测方法原理保持一致；水不溶物测定方法根据实际情况，删除</w:t>
      </w:r>
      <w:r>
        <w:rPr>
          <w:spacing w:val="7"/>
          <w:sz w:val="23"/>
          <w:szCs w:val="23"/>
        </w:rPr>
        <w:t>检测环境及检</w:t>
      </w:r>
    </w:p>
    <w:p>
      <w:pPr>
        <w:pStyle w:val="BodyText"/>
        <w:spacing w:line="219" w:lineRule="auto"/>
        <w:ind w:left="20"/>
        <w:rPr>
          <w:sz w:val="23"/>
          <w:szCs w:val="23"/>
        </w:rPr>
      </w:pPr>
      <w:r>
        <w:rPr>
          <w:spacing w:val="7"/>
          <w:sz w:val="23"/>
          <w:szCs w:val="23"/>
        </w:rPr>
        <w:t>测时间的要求。其余指标检验方法维持原标准不变。</w:t>
      </w:r>
    </w:p>
    <w:p>
      <w:pPr>
        <w:pStyle w:val="BodyText"/>
        <w:spacing w:before="197" w:line="219" w:lineRule="auto"/>
        <w:ind w:left="489"/>
        <w:rPr>
          <w:sz w:val="23"/>
          <w:szCs w:val="23"/>
        </w:rPr>
      </w:pPr>
      <w:r>
        <w:rPr>
          <w:spacing w:val="-3"/>
          <w:sz w:val="23"/>
          <w:szCs w:val="23"/>
        </w:rPr>
        <w:t>7、</w:t>
      </w:r>
      <w:r>
        <w:rPr>
          <w:spacing w:val="-63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检验规则</w:t>
      </w:r>
    </w:p>
    <w:p>
      <w:pPr>
        <w:pStyle w:val="BodyText"/>
        <w:spacing w:before="197" w:line="219" w:lineRule="auto"/>
        <w:ind w:left="509"/>
        <w:rPr>
          <w:sz w:val="23"/>
          <w:szCs w:val="23"/>
        </w:rPr>
      </w:pPr>
      <w:r>
        <w:rPr>
          <w:spacing w:val="4"/>
          <w:sz w:val="23"/>
          <w:szCs w:val="23"/>
        </w:rPr>
        <w:t>根据有关法规要求更新了检验规则。</w:t>
      </w:r>
    </w:p>
    <w:p>
      <w:pPr>
        <w:pStyle w:val="BodyText"/>
        <w:spacing w:before="187" w:line="219" w:lineRule="auto"/>
        <w:ind w:left="489"/>
        <w:rPr>
          <w:sz w:val="23"/>
          <w:szCs w:val="23"/>
        </w:rPr>
      </w:pPr>
      <w:r>
        <w:rPr>
          <w:spacing w:val="8"/>
          <w:sz w:val="23"/>
          <w:szCs w:val="23"/>
        </w:rPr>
        <w:t>8、标志、包装、运输及贮存</w:t>
      </w:r>
    </w:p>
    <w:p>
      <w:pPr>
        <w:pStyle w:val="BodyText"/>
        <w:spacing w:before="197" w:line="462" w:lineRule="exact"/>
        <w:ind w:right="16"/>
        <w:jc w:val="right"/>
        <w:rPr>
          <w:sz w:val="23"/>
          <w:szCs w:val="23"/>
        </w:rPr>
      </w:pPr>
      <w:r>
        <w:rPr>
          <w:spacing w:val="8"/>
          <w:position w:val="17"/>
          <w:sz w:val="23"/>
          <w:szCs w:val="23"/>
        </w:rPr>
        <w:t>根据有关法规要求更新了标志、包装、运输及贮存规则，</w:t>
      </w:r>
      <w:r>
        <w:rPr>
          <w:spacing w:val="7"/>
          <w:position w:val="17"/>
          <w:sz w:val="23"/>
          <w:szCs w:val="23"/>
        </w:rPr>
        <w:t>明确预包装产品标签应符</w:t>
      </w:r>
    </w:p>
    <w:p>
      <w:pPr>
        <w:pStyle w:val="BodyText"/>
        <w:spacing w:before="1" w:line="220" w:lineRule="auto"/>
        <w:ind w:left="20"/>
        <w:rPr>
          <w:sz w:val="23"/>
          <w:szCs w:val="23"/>
        </w:rPr>
      </w:pPr>
      <w:r>
        <w:rPr>
          <w:spacing w:val="2"/>
          <w:sz w:val="23"/>
          <w:szCs w:val="23"/>
        </w:rPr>
        <w:t>合</w:t>
      </w:r>
      <w:r>
        <w:rPr>
          <w:rFonts w:ascii="Times New Roman" w:eastAsia="Times New Roman" w:hAnsi="Times New Roman" w:cs="Times New Roman"/>
          <w:sz w:val="23"/>
          <w:szCs w:val="23"/>
        </w:rPr>
        <w:t>GB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7718 </w:t>
      </w:r>
      <w:r>
        <w:rPr>
          <w:spacing w:val="2"/>
          <w:sz w:val="23"/>
          <w:szCs w:val="23"/>
        </w:rPr>
        <w:t>要求。</w:t>
      </w:r>
    </w:p>
    <w:p>
      <w:pPr>
        <w:spacing w:line="220" w:lineRule="auto"/>
        <w:rPr>
          <w:sz w:val="23"/>
          <w:szCs w:val="23"/>
        </w:rPr>
        <w:sectPr>
          <w:pgSz w:w="11910" w:h="16840"/>
          <w:pgMar w:top="1389" w:right="1445" w:bottom="0" w:left="1410" w:header="0" w:footer="0" w:gutter="0"/>
          <w:pgNumType w:start="4"/>
          <w:cols w:space="708"/>
        </w:sectPr>
      </w:pPr>
    </w:p>
    <w:p>
      <w:pPr>
        <w:spacing w:before="52" w:line="221" w:lineRule="auto"/>
        <w:ind w:left="118"/>
        <w:outlineLvl w:val="0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29"/>
          <w:sz w:val="26"/>
          <w:szCs w:val="26"/>
        </w:rPr>
        <w:t>四</w:t>
      </w:r>
      <w:r>
        <w:rPr>
          <w:rFonts w:ascii="SimHei" w:eastAsia="SimHei" w:hAnsi="SimHei" w:cs="SimHei"/>
          <w:spacing w:val="-52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29"/>
          <w:sz w:val="26"/>
          <w:szCs w:val="26"/>
        </w:rPr>
        <w:t>.</w:t>
      </w:r>
      <w:r>
        <w:rPr>
          <w:rFonts w:ascii="SimHei" w:eastAsia="SimHei" w:hAnsi="SimHei" w:cs="SimHei"/>
          <w:spacing w:val="-29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29"/>
          <w:sz w:val="26"/>
          <w:szCs w:val="26"/>
        </w:rPr>
        <w:t>主要试验(或验证)分析</w:t>
      </w:r>
    </w:p>
    <w:p>
      <w:pPr>
        <w:pStyle w:val="BodyText"/>
        <w:spacing w:before="310" w:line="219" w:lineRule="auto"/>
        <w:ind w:left="118"/>
        <w:outlineLvl w:val="1"/>
        <w:rPr>
          <w:sz w:val="22"/>
          <w:szCs w:val="22"/>
        </w:rPr>
      </w:pPr>
      <w:r>
        <w:rPr>
          <w:b/>
          <w:bCs/>
          <w:spacing w:val="9"/>
          <w:sz w:val="22"/>
          <w:szCs w:val="22"/>
        </w:rPr>
        <w:t>1、样品征集</w:t>
      </w:r>
    </w:p>
    <w:p>
      <w:pPr>
        <w:pStyle w:val="BodyText"/>
        <w:spacing w:before="201" w:line="500" w:lineRule="exact"/>
        <w:ind w:left="595"/>
        <w:rPr>
          <w:sz w:val="22"/>
          <w:szCs w:val="22"/>
        </w:rPr>
      </w:pPr>
      <w:r>
        <w:rPr>
          <w:spacing w:val="20"/>
          <w:position w:val="21"/>
          <w:sz w:val="22"/>
          <w:szCs w:val="22"/>
        </w:rPr>
        <w:t>起草工作组共征集78份柠檬酸样品，包含优级无水柠檬酸、</w:t>
      </w:r>
      <w:r>
        <w:rPr>
          <w:spacing w:val="70"/>
          <w:position w:val="21"/>
          <w:sz w:val="22"/>
          <w:szCs w:val="22"/>
        </w:rPr>
        <w:t xml:space="preserve"> </w:t>
      </w:r>
      <w:r>
        <w:rPr>
          <w:spacing w:val="20"/>
          <w:position w:val="21"/>
          <w:sz w:val="22"/>
          <w:szCs w:val="22"/>
        </w:rPr>
        <w:t>一级无水柠檬酸</w:t>
      </w:r>
      <w:r>
        <w:rPr>
          <w:spacing w:val="19"/>
          <w:position w:val="21"/>
          <w:sz w:val="22"/>
          <w:szCs w:val="22"/>
        </w:rPr>
        <w:t>、优</w:t>
      </w:r>
    </w:p>
    <w:p>
      <w:pPr>
        <w:pStyle w:val="BodyText"/>
        <w:spacing w:line="219" w:lineRule="auto"/>
        <w:ind w:left="115"/>
        <w:rPr>
          <w:sz w:val="22"/>
          <w:szCs w:val="22"/>
        </w:rPr>
      </w:pPr>
      <w:r>
        <w:rPr>
          <w:spacing w:val="21"/>
          <w:sz w:val="22"/>
          <w:szCs w:val="22"/>
        </w:rPr>
        <w:t>级一水柠檬酸、</w:t>
      </w:r>
      <w:r>
        <w:rPr>
          <w:spacing w:val="81"/>
          <w:sz w:val="22"/>
          <w:szCs w:val="22"/>
        </w:rPr>
        <w:t xml:space="preserve"> </w:t>
      </w:r>
      <w:r>
        <w:rPr>
          <w:spacing w:val="21"/>
          <w:sz w:val="22"/>
          <w:szCs w:val="22"/>
        </w:rPr>
        <w:t>一级一水柠檬酸和未知等级5类来自5家国内外生产企业，见表1。</w:t>
      </w:r>
    </w:p>
    <w:p>
      <w:pPr>
        <w:pStyle w:val="BodyText"/>
        <w:spacing w:before="99" w:line="213" w:lineRule="auto"/>
        <w:ind w:left="3764"/>
        <w:rPr>
          <w:sz w:val="23"/>
          <w:szCs w:val="23"/>
        </w:rPr>
      </w:pPr>
      <w:r>
        <w:rPr>
          <w:spacing w:val="-1"/>
          <w:sz w:val="23"/>
          <w:szCs w:val="23"/>
        </w:rPr>
        <w:t>表1样品征集情况</w:t>
      </w:r>
    </w:p>
    <w:tbl>
      <w:tblPr>
        <w:tblStyle w:val="TableNormal0"/>
        <w:tblW w:w="92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092"/>
        <w:gridCol w:w="3096"/>
        <w:gridCol w:w="3092"/>
      </w:tblGrid>
      <w:tr>
        <w:tblPrEx>
          <w:tblW w:w="92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63"/>
        </w:trPr>
        <w:tc>
          <w:tcPr>
            <w:tcW w:w="3092" w:type="dxa"/>
            <w:vAlign w:val="top"/>
          </w:tcPr>
          <w:p>
            <w:pPr>
              <w:pStyle w:val="TableText"/>
              <w:spacing w:before="124" w:line="219" w:lineRule="auto"/>
              <w:ind w:left="1304"/>
            </w:pPr>
            <w:r>
              <w:rPr>
                <w:spacing w:val="-3"/>
              </w:rPr>
              <w:t>种类</w:t>
            </w:r>
          </w:p>
        </w:tc>
        <w:tc>
          <w:tcPr>
            <w:tcW w:w="3096" w:type="dxa"/>
            <w:vAlign w:val="top"/>
          </w:tcPr>
          <w:p>
            <w:pPr>
              <w:pStyle w:val="TableText"/>
              <w:spacing w:before="124" w:line="219" w:lineRule="auto"/>
              <w:ind w:left="1313"/>
            </w:pPr>
            <w:r>
              <w:rPr>
                <w:spacing w:val="-3"/>
              </w:rPr>
              <w:t>数量</w:t>
            </w:r>
          </w:p>
        </w:tc>
        <w:tc>
          <w:tcPr>
            <w:tcW w:w="3092" w:type="dxa"/>
            <w:vAlign w:val="top"/>
          </w:tcPr>
          <w:p>
            <w:pPr>
              <w:pStyle w:val="TableText"/>
              <w:spacing w:before="125" w:line="221" w:lineRule="auto"/>
              <w:ind w:left="1306"/>
            </w:pPr>
            <w:r>
              <w:rPr>
                <w:spacing w:val="24"/>
              </w:rPr>
              <w:t>占比</w:t>
            </w:r>
          </w:p>
        </w:tc>
      </w:tr>
      <w:tr>
        <w:tblPrEx>
          <w:tblW w:w="9280" w:type="dxa"/>
          <w:tblInd w:w="5" w:type="dxa"/>
          <w:tblLayout w:type="fixed"/>
        </w:tblPrEx>
        <w:trPr>
          <w:trHeight w:val="468"/>
        </w:trPr>
        <w:tc>
          <w:tcPr>
            <w:tcW w:w="3092" w:type="dxa"/>
            <w:vAlign w:val="top"/>
          </w:tcPr>
          <w:p>
            <w:pPr>
              <w:pStyle w:val="TableText"/>
              <w:spacing w:before="121" w:line="219" w:lineRule="auto"/>
              <w:ind w:left="734"/>
            </w:pPr>
            <w:r>
              <w:rPr>
                <w:spacing w:val="-1"/>
              </w:rPr>
              <w:t>优级无水柠檬酸</w:t>
            </w:r>
          </w:p>
        </w:tc>
        <w:tc>
          <w:tcPr>
            <w:tcW w:w="3096" w:type="dxa"/>
            <w:vAlign w:val="top"/>
          </w:tcPr>
          <w:p>
            <w:pPr>
              <w:pStyle w:val="TableText"/>
              <w:spacing w:before="179" w:line="184" w:lineRule="auto"/>
              <w:ind w:left="1422"/>
            </w:pPr>
            <w:r>
              <w:rPr>
                <w:spacing w:val="-7"/>
              </w:rPr>
              <w:t>17</w:t>
            </w:r>
          </w:p>
        </w:tc>
        <w:tc>
          <w:tcPr>
            <w:tcW w:w="3092" w:type="dxa"/>
            <w:vAlign w:val="top"/>
          </w:tcPr>
          <w:p>
            <w:pPr>
              <w:pStyle w:val="TableText"/>
              <w:spacing w:before="179" w:line="184" w:lineRule="auto"/>
              <w:ind w:left="1197"/>
            </w:pPr>
            <w:r>
              <w:rPr>
                <w:spacing w:val="-2"/>
              </w:rPr>
              <w:t>21.79%</w:t>
            </w:r>
          </w:p>
        </w:tc>
      </w:tr>
      <w:tr>
        <w:tblPrEx>
          <w:tblW w:w="9280" w:type="dxa"/>
          <w:tblInd w:w="5" w:type="dxa"/>
          <w:tblLayout w:type="fixed"/>
        </w:tblPrEx>
        <w:trPr>
          <w:trHeight w:val="458"/>
        </w:trPr>
        <w:tc>
          <w:tcPr>
            <w:tcW w:w="3092" w:type="dxa"/>
            <w:vAlign w:val="top"/>
          </w:tcPr>
          <w:p>
            <w:pPr>
              <w:pStyle w:val="TableText"/>
              <w:spacing w:before="123" w:line="219" w:lineRule="auto"/>
              <w:ind w:left="734"/>
            </w:pPr>
            <w:r>
              <w:rPr>
                <w:spacing w:val="1"/>
              </w:rPr>
              <w:t>一级无水柠檬酸</w:t>
            </w:r>
          </w:p>
        </w:tc>
        <w:tc>
          <w:tcPr>
            <w:tcW w:w="3096" w:type="dxa"/>
            <w:vAlign w:val="top"/>
          </w:tcPr>
          <w:p>
            <w:pPr>
              <w:pStyle w:val="TableText"/>
              <w:spacing w:before="181" w:line="184" w:lineRule="auto"/>
              <w:ind w:left="1422"/>
            </w:pPr>
            <w:r>
              <w:rPr>
                <w:spacing w:val="-7"/>
              </w:rPr>
              <w:t>11</w:t>
            </w:r>
          </w:p>
        </w:tc>
        <w:tc>
          <w:tcPr>
            <w:tcW w:w="3092" w:type="dxa"/>
            <w:vAlign w:val="top"/>
          </w:tcPr>
          <w:p>
            <w:pPr>
              <w:pStyle w:val="TableText"/>
              <w:spacing w:before="181" w:line="184" w:lineRule="auto"/>
              <w:ind w:left="1197"/>
            </w:pPr>
            <w:r>
              <w:rPr>
                <w:spacing w:val="-5"/>
              </w:rPr>
              <w:t>14.10%</w:t>
            </w:r>
          </w:p>
        </w:tc>
      </w:tr>
      <w:tr>
        <w:tblPrEx>
          <w:tblW w:w="9280" w:type="dxa"/>
          <w:tblInd w:w="5" w:type="dxa"/>
          <w:tblLayout w:type="fixed"/>
        </w:tblPrEx>
        <w:trPr>
          <w:trHeight w:val="478"/>
        </w:trPr>
        <w:tc>
          <w:tcPr>
            <w:tcW w:w="3092" w:type="dxa"/>
            <w:vAlign w:val="top"/>
          </w:tcPr>
          <w:p>
            <w:pPr>
              <w:pStyle w:val="TableText"/>
              <w:spacing w:before="135" w:line="219" w:lineRule="auto"/>
              <w:ind w:left="734"/>
            </w:pPr>
            <w:r>
              <w:rPr>
                <w:spacing w:val="-2"/>
              </w:rPr>
              <w:t>优级一水柠檬酸</w:t>
            </w:r>
          </w:p>
        </w:tc>
        <w:tc>
          <w:tcPr>
            <w:tcW w:w="3096" w:type="dxa"/>
            <w:vAlign w:val="top"/>
          </w:tcPr>
          <w:p>
            <w:pPr>
              <w:pStyle w:val="TableText"/>
              <w:spacing w:before="193" w:line="184" w:lineRule="auto"/>
              <w:ind w:left="1422"/>
            </w:pPr>
            <w:r>
              <w:rPr>
                <w:spacing w:val="-7"/>
              </w:rPr>
              <w:t>17</w:t>
            </w:r>
          </w:p>
        </w:tc>
        <w:tc>
          <w:tcPr>
            <w:tcW w:w="3092" w:type="dxa"/>
            <w:vAlign w:val="top"/>
          </w:tcPr>
          <w:p>
            <w:pPr>
              <w:pStyle w:val="TableText"/>
              <w:spacing w:before="193" w:line="184" w:lineRule="auto"/>
              <w:ind w:left="1197"/>
            </w:pPr>
            <w:r>
              <w:rPr>
                <w:spacing w:val="-2"/>
              </w:rPr>
              <w:t>21.79%</w:t>
            </w:r>
          </w:p>
        </w:tc>
      </w:tr>
      <w:tr>
        <w:tblPrEx>
          <w:tblW w:w="9280" w:type="dxa"/>
          <w:tblInd w:w="5" w:type="dxa"/>
          <w:tblLayout w:type="fixed"/>
        </w:tblPrEx>
        <w:trPr>
          <w:trHeight w:val="459"/>
        </w:trPr>
        <w:tc>
          <w:tcPr>
            <w:tcW w:w="3092" w:type="dxa"/>
            <w:vAlign w:val="top"/>
          </w:tcPr>
          <w:p>
            <w:pPr>
              <w:pStyle w:val="TableText"/>
              <w:spacing w:before="127" w:line="219" w:lineRule="auto"/>
              <w:ind w:left="734"/>
            </w:pPr>
            <w:r>
              <w:rPr>
                <w:spacing w:val="1"/>
              </w:rPr>
              <w:t>一级一水柠檬酸</w:t>
            </w:r>
          </w:p>
        </w:tc>
        <w:tc>
          <w:tcPr>
            <w:tcW w:w="3096" w:type="dxa"/>
            <w:vAlign w:val="top"/>
          </w:tcPr>
          <w:p>
            <w:pPr>
              <w:pStyle w:val="TableText"/>
              <w:spacing w:before="185" w:line="184" w:lineRule="auto"/>
              <w:ind w:left="1422"/>
            </w:pPr>
            <w:r>
              <w:rPr>
                <w:spacing w:val="-7"/>
              </w:rPr>
              <w:t>10</w:t>
            </w:r>
          </w:p>
        </w:tc>
        <w:tc>
          <w:tcPr>
            <w:tcW w:w="3092" w:type="dxa"/>
            <w:vAlign w:val="top"/>
          </w:tcPr>
          <w:p>
            <w:pPr>
              <w:pStyle w:val="TableText"/>
              <w:spacing w:before="185" w:line="184" w:lineRule="auto"/>
              <w:ind w:left="1197"/>
            </w:pPr>
            <w:r>
              <w:rPr>
                <w:spacing w:val="-5"/>
              </w:rPr>
              <w:t>12.82%</w:t>
            </w:r>
          </w:p>
        </w:tc>
      </w:tr>
      <w:tr>
        <w:tblPrEx>
          <w:tblW w:w="9280" w:type="dxa"/>
          <w:tblInd w:w="5" w:type="dxa"/>
          <w:tblLayout w:type="fixed"/>
        </w:tblPrEx>
        <w:trPr>
          <w:trHeight w:val="473"/>
        </w:trPr>
        <w:tc>
          <w:tcPr>
            <w:tcW w:w="3092" w:type="dxa"/>
            <w:vAlign w:val="top"/>
          </w:tcPr>
          <w:p>
            <w:pPr>
              <w:pStyle w:val="TableText"/>
              <w:spacing w:before="128" w:line="219" w:lineRule="auto"/>
              <w:ind w:left="1074"/>
            </w:pPr>
            <w:r>
              <w:rPr>
                <w:spacing w:val="3"/>
              </w:rPr>
              <w:t>未知等级</w:t>
            </w:r>
          </w:p>
        </w:tc>
        <w:tc>
          <w:tcPr>
            <w:tcW w:w="3096" w:type="dxa"/>
            <w:vAlign w:val="top"/>
          </w:tcPr>
          <w:p>
            <w:pPr>
              <w:pStyle w:val="TableText"/>
              <w:spacing w:before="187" w:line="183" w:lineRule="auto"/>
              <w:ind w:left="1422"/>
            </w:pPr>
            <w:r>
              <w:rPr>
                <w:spacing w:val="-3"/>
              </w:rPr>
              <w:t>23</w:t>
            </w:r>
          </w:p>
        </w:tc>
        <w:tc>
          <w:tcPr>
            <w:tcW w:w="3092" w:type="dxa"/>
            <w:vAlign w:val="top"/>
          </w:tcPr>
          <w:p>
            <w:pPr>
              <w:pStyle w:val="TableText"/>
              <w:spacing w:before="187" w:line="183" w:lineRule="auto"/>
              <w:ind w:left="1197"/>
            </w:pPr>
            <w:r>
              <w:rPr>
                <w:spacing w:val="-2"/>
              </w:rPr>
              <w:t>29.49%</w:t>
            </w:r>
          </w:p>
        </w:tc>
      </w:tr>
    </w:tbl>
    <w:p>
      <w:pPr>
        <w:pStyle w:val="BodyText"/>
        <w:spacing w:before="141" w:line="390" w:lineRule="exact"/>
        <w:ind w:left="118"/>
        <w:rPr>
          <w:sz w:val="22"/>
          <w:szCs w:val="22"/>
        </w:rPr>
      </w:pPr>
      <w:r>
        <w:rPr>
          <w:b/>
          <w:bCs/>
          <w:spacing w:val="10"/>
          <w:position w:val="12"/>
          <w:sz w:val="22"/>
          <w:szCs w:val="22"/>
        </w:rPr>
        <w:t>2、</w:t>
      </w:r>
      <w:r>
        <w:rPr>
          <w:spacing w:val="-38"/>
          <w:position w:val="12"/>
          <w:sz w:val="22"/>
          <w:szCs w:val="22"/>
        </w:rPr>
        <w:t xml:space="preserve"> </w:t>
      </w:r>
      <w:r>
        <w:rPr>
          <w:b/>
          <w:bCs/>
          <w:spacing w:val="10"/>
          <w:position w:val="12"/>
          <w:sz w:val="22"/>
          <w:szCs w:val="22"/>
        </w:rPr>
        <w:t>柠檬酸批次产品质量分析</w:t>
      </w:r>
    </w:p>
    <w:p>
      <w:pPr>
        <w:pStyle w:val="BodyText"/>
        <w:spacing w:line="219" w:lineRule="auto"/>
        <w:ind w:left="117"/>
        <w:rPr>
          <w:sz w:val="22"/>
          <w:szCs w:val="22"/>
        </w:rPr>
      </w:pPr>
      <w:r>
        <w:rPr>
          <w:b/>
          <w:bCs/>
          <w:spacing w:val="2"/>
          <w:sz w:val="22"/>
          <w:szCs w:val="22"/>
        </w:rPr>
        <w:t>2.1</w:t>
      </w:r>
      <w:r>
        <w:rPr>
          <w:spacing w:val="27"/>
          <w:sz w:val="22"/>
          <w:szCs w:val="22"/>
        </w:rPr>
        <w:t xml:space="preserve"> </w:t>
      </w:r>
      <w:r>
        <w:rPr>
          <w:b/>
          <w:bCs/>
          <w:spacing w:val="2"/>
          <w:sz w:val="22"/>
          <w:szCs w:val="22"/>
        </w:rPr>
        <w:t>柠檬酸含量</w:t>
      </w:r>
    </w:p>
    <w:p>
      <w:pPr>
        <w:pStyle w:val="BodyText"/>
        <w:spacing w:before="271" w:line="403" w:lineRule="auto"/>
        <w:ind w:left="115" w:right="162" w:firstLine="479"/>
        <w:jc w:val="both"/>
        <w:rPr>
          <w:sz w:val="22"/>
          <w:szCs w:val="22"/>
        </w:rPr>
      </w:pPr>
      <w:r>
        <w:rPr>
          <w:spacing w:val="20"/>
          <w:sz w:val="22"/>
          <w:szCs w:val="22"/>
        </w:rPr>
        <w:t>通过对征集的78批次产品的柠檬酸含量开展分析，其</w:t>
      </w:r>
      <w:r>
        <w:rPr>
          <w:spacing w:val="19"/>
          <w:sz w:val="22"/>
          <w:szCs w:val="22"/>
        </w:rPr>
        <w:t>中无水柠檬酸(优级、</w:t>
      </w:r>
      <w:r>
        <w:rPr>
          <w:spacing w:val="69"/>
          <w:sz w:val="22"/>
          <w:szCs w:val="22"/>
        </w:rPr>
        <w:t xml:space="preserve"> </w:t>
      </w:r>
      <w:r>
        <w:rPr>
          <w:spacing w:val="19"/>
          <w:sz w:val="22"/>
          <w:szCs w:val="22"/>
        </w:rPr>
        <w:t>一级)</w:t>
      </w:r>
      <w:r>
        <w:rPr>
          <w:sz w:val="22"/>
          <w:szCs w:val="22"/>
        </w:rPr>
        <w:t xml:space="preserve"> </w:t>
      </w:r>
      <w:r>
        <w:rPr>
          <w:spacing w:val="18"/>
          <w:sz w:val="22"/>
          <w:szCs w:val="22"/>
        </w:rPr>
        <w:t>和一水柠檬酸(优级、</w:t>
      </w:r>
      <w:r>
        <w:rPr>
          <w:spacing w:val="72"/>
          <w:sz w:val="22"/>
          <w:szCs w:val="22"/>
        </w:rPr>
        <w:t xml:space="preserve"> </w:t>
      </w:r>
      <w:r>
        <w:rPr>
          <w:spacing w:val="18"/>
          <w:sz w:val="22"/>
          <w:szCs w:val="22"/>
        </w:rPr>
        <w:t>一级)的柠檬酸含量全部都在99.5-100.5%之间，100%符合优级</w:t>
      </w:r>
    </w:p>
    <w:p>
      <w:pPr>
        <w:pStyle w:val="BodyText"/>
        <w:spacing w:before="1" w:line="219" w:lineRule="auto"/>
        <w:ind w:left="115"/>
        <w:rPr>
          <w:sz w:val="22"/>
          <w:szCs w:val="22"/>
        </w:rPr>
      </w:pPr>
      <w:r>
        <w:rPr>
          <w:spacing w:val="25"/>
          <w:sz w:val="22"/>
          <w:szCs w:val="22"/>
        </w:rPr>
        <w:t>或一级质量要求，具体见图1和图2。</w:t>
      </w:r>
    </w:p>
    <w:p>
      <w:pPr>
        <w:spacing w:before="50" w:line="3129" w:lineRule="exact"/>
        <w:ind w:firstLine="65"/>
      </w:pPr>
      <w:r>
        <w:rPr>
          <w:position w:val="-62"/>
        </w:rPr>
        <w:drawing>
          <wp:inline distT="0" distB="0" distL="0" distR="0">
            <wp:extent cx="5835646" cy="198747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35646" cy="198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0" w:line="219" w:lineRule="auto"/>
        <w:ind w:left="3425"/>
        <w:rPr>
          <w:sz w:val="22"/>
          <w:szCs w:val="22"/>
        </w:rPr>
        <w:sectPr>
          <w:pgSz w:w="11910" w:h="16840"/>
          <w:pgMar w:top="1412" w:right="1249" w:bottom="0" w:left="1294" w:header="0" w:footer="0" w:gutter="0"/>
          <w:pgNumType w:start="5"/>
          <w:cols w:space="708"/>
        </w:sectPr>
      </w:pPr>
      <w:r>
        <w:rPr>
          <w:spacing w:val="-5"/>
          <w:sz w:val="22"/>
          <w:szCs w:val="22"/>
        </w:rPr>
        <w:t>图</w:t>
      </w:r>
      <w:r>
        <w:rPr>
          <w:spacing w:val="-21"/>
          <w:sz w:val="22"/>
          <w:szCs w:val="22"/>
        </w:rPr>
        <w:t xml:space="preserve"> </w:t>
      </w:r>
      <w:r>
        <w:rPr>
          <w:spacing w:val="-5"/>
          <w:sz w:val="22"/>
          <w:szCs w:val="22"/>
        </w:rPr>
        <w:t>1 无水柠檬酸含量数据</w:t>
      </w:r>
    </w:p>
    <w:p>
      <w:pPr>
        <w:spacing w:before="70" w:line="2939" w:lineRule="exact"/>
        <w:ind w:firstLine="65"/>
      </w:pPr>
      <w:r>
        <w:rPr>
          <w:position w:val="-58"/>
        </w:rPr>
        <w:drawing>
          <wp:inline distT="0" distB="0" distL="0" distR="0">
            <wp:extent cx="5905526" cy="186685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05526" cy="1866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39" w:lineRule="exact"/>
        <w:sectPr>
          <w:type w:val="nextPage"/>
          <w:pgSz w:w="11910" w:h="16840"/>
          <w:pgMar w:top="1412" w:right="1249" w:bottom="0" w:left="1294" w:header="0" w:footer="0" w:gutter="0"/>
          <w:pgNumType w:start="6"/>
          <w:cols w:space="708"/>
          <w:titlePg w:val="0"/>
        </w:sectPr>
      </w:pPr>
    </w:p>
    <w:p>
      <w:pPr>
        <w:pStyle w:val="BodyText"/>
        <w:spacing w:before="48" w:line="219" w:lineRule="auto"/>
        <w:ind w:left="3360"/>
      </w:pPr>
      <w:r>
        <w:rPr>
          <w:spacing w:val="-17"/>
        </w:rPr>
        <w:t>图2 一水柠檬酸含量数据</w:t>
      </w:r>
    </w:p>
    <w:p>
      <w:pPr>
        <w:pStyle w:val="BodyText"/>
        <w:spacing w:before="51" w:line="219" w:lineRule="auto"/>
        <w:ind w:left="32"/>
        <w:outlineLvl w:val="1"/>
      </w:pPr>
      <w:r>
        <w:rPr>
          <w:b/>
          <w:bCs/>
          <w:spacing w:val="-14"/>
        </w:rPr>
        <w:t>2.2</w:t>
      </w:r>
      <w:r>
        <w:rPr>
          <w:spacing w:val="24"/>
        </w:rPr>
        <w:t xml:space="preserve"> </w:t>
      </w:r>
      <w:r>
        <w:rPr>
          <w:b/>
          <w:bCs/>
          <w:spacing w:val="-14"/>
        </w:rPr>
        <w:t>透光率指标</w:t>
      </w:r>
    </w:p>
    <w:p>
      <w:pPr>
        <w:pStyle w:val="BodyText"/>
        <w:spacing w:before="257" w:line="356" w:lineRule="auto"/>
        <w:ind w:left="30" w:right="159" w:firstLine="519"/>
        <w:jc w:val="both"/>
      </w:pPr>
      <w:r>
        <w:rPr>
          <w:spacing w:val="3"/>
        </w:rPr>
        <w:t>本次共征集78批次产品，其中有23批次产品执行</w:t>
      </w:r>
      <w:r>
        <w:t>GB</w:t>
      </w:r>
      <w:r>
        <w:rPr>
          <w:spacing w:val="3"/>
        </w:rPr>
        <w:t xml:space="preserve"> 1886.235-2016《食品安全国</w:t>
      </w:r>
      <w:r>
        <w:rPr>
          <w:spacing w:val="10"/>
        </w:rPr>
        <w:t xml:space="preserve"> </w:t>
      </w:r>
      <w:r>
        <w:rPr>
          <w:spacing w:val="14"/>
        </w:rPr>
        <w:t>家标准食品添加剂柠檬酸》,未检测透光率指标。针对剩余55批</w:t>
      </w:r>
      <w:r>
        <w:rPr>
          <w:spacing w:val="13"/>
        </w:rPr>
        <w:t>次产品开展透光率</w:t>
      </w:r>
      <w:r>
        <w:t xml:space="preserve"> </w:t>
      </w:r>
      <w:r>
        <w:rPr>
          <w:spacing w:val="7"/>
        </w:rPr>
        <w:t>分析，其中17批次优级无水柠檬酸透光率指标均满</w:t>
      </w:r>
      <w:r>
        <w:rPr>
          <w:spacing w:val="6"/>
        </w:rPr>
        <w:t>足≥99.0%,6批次一级无水柠檬酸</w:t>
      </w:r>
      <w:r>
        <w:t xml:space="preserve"> </w:t>
      </w:r>
      <w:r>
        <w:rPr>
          <w:spacing w:val="4"/>
        </w:rPr>
        <w:t>透光率指标满足≥99.0%、5批次一级无水</w:t>
      </w:r>
      <w:r>
        <w:rPr>
          <w:spacing w:val="3"/>
        </w:rPr>
        <w:t>柠檬酸透光率指标满足≥97.0%;16批次优级</w:t>
      </w:r>
      <w:r>
        <w:t xml:space="preserve"> </w:t>
      </w:r>
      <w:r>
        <w:rPr>
          <w:spacing w:val="9"/>
        </w:rPr>
        <w:t>一水柠檬酸透光率指标满足≥99.0%、1批次优级一水柠檬酸透光率指标为98.39%,8</w:t>
      </w:r>
      <w:r>
        <w:rPr>
          <w:spacing w:val="6"/>
        </w:rPr>
        <w:t xml:space="preserve"> </w:t>
      </w:r>
      <w:r>
        <w:rPr>
          <w:spacing w:val="7"/>
        </w:rPr>
        <w:t>批次一级一水柠檬酸透光率指标满足≥99.0%,2批次一级一</w:t>
      </w:r>
      <w:r>
        <w:rPr>
          <w:spacing w:val="6"/>
        </w:rPr>
        <w:t>水柠檬酸透光率指标满足</w:t>
      </w:r>
    </w:p>
    <w:p>
      <w:pPr>
        <w:pStyle w:val="BodyText"/>
        <w:spacing w:line="216" w:lineRule="auto"/>
        <w:ind w:left="30"/>
      </w:pPr>
      <w:r>
        <w:rPr>
          <w:spacing w:val="14"/>
        </w:rPr>
        <w:t>≥97.0%,具体见图3和图4。</w:t>
      </w:r>
    </w:p>
    <w:p>
      <w:pPr>
        <w:pStyle w:val="BodyText"/>
        <w:spacing w:before="190" w:line="358" w:lineRule="auto"/>
        <w:ind w:left="30" w:right="175" w:firstLine="489"/>
        <w:jc w:val="both"/>
      </w:pPr>
      <w:r>
        <w:rPr>
          <w:spacing w:val="4"/>
        </w:rPr>
        <w:t>通过对55批次市售产品分析结果可知，目前调研产品中市售优级无水柠檬酸产品</w:t>
      </w:r>
      <w:r>
        <w:rPr>
          <w:spacing w:val="9"/>
        </w:rPr>
        <w:t xml:space="preserve"> </w:t>
      </w:r>
      <w:r>
        <w:rPr>
          <w:spacing w:val="10"/>
        </w:rPr>
        <w:t xml:space="preserve">100%满足≥99.0%,一级无水柠檬酸产品100%满足≥97.0%,其中有54.5%的一级无水 </w:t>
      </w:r>
      <w:r>
        <w:rPr>
          <w:spacing w:val="6"/>
        </w:rPr>
        <w:t>柠檬酸也符合优级要求；市售优级一水柠檬酸产品94.1%满足≥99.0%,一级无水柠檬</w:t>
      </w:r>
      <w:r>
        <w:rPr>
          <w:spacing w:val="17"/>
        </w:rPr>
        <w:t xml:space="preserve"> </w:t>
      </w:r>
      <w:r>
        <w:rPr>
          <w:spacing w:val="6"/>
        </w:rPr>
        <w:t>酸产品100%满足≥97.0%,其中有80%的一级无水柠檬酸也符合优级要求。为了保证指</w:t>
      </w:r>
      <w:r>
        <w:rPr>
          <w:spacing w:val="17"/>
        </w:rPr>
        <w:t xml:space="preserve"> </w:t>
      </w:r>
      <w:r>
        <w:rPr>
          <w:spacing w:val="-2"/>
        </w:rPr>
        <w:t>标设置的科学性，符合我国对于食品原料国家标准的</w:t>
      </w:r>
      <w:r>
        <w:rPr>
          <w:spacing w:val="-3"/>
        </w:rPr>
        <w:t>质量提升要求，现将优级无水柠檬</w:t>
      </w:r>
      <w:r>
        <w:t xml:space="preserve"> </w:t>
      </w:r>
      <w:r>
        <w:rPr>
          <w:spacing w:val="4"/>
        </w:rPr>
        <w:t>酸透光率指标提升至99.0%、 一级无水</w:t>
      </w:r>
      <w:r>
        <w:rPr>
          <w:spacing w:val="3"/>
        </w:rPr>
        <w:t>柠檬酸透光率指标提升至97.0%,优级一水柠檬</w:t>
      </w:r>
    </w:p>
    <w:p>
      <w:pPr>
        <w:pStyle w:val="BodyText"/>
        <w:spacing w:before="1" w:line="219" w:lineRule="auto"/>
        <w:ind w:left="30"/>
      </w:pPr>
      <w:r>
        <w:rPr>
          <w:spacing w:val="1"/>
        </w:rPr>
        <w:t>酸透光率指标提升至99.0%、 一级一水柠檬酸透</w:t>
      </w:r>
      <w:r>
        <w:t>光率指标提升至97.0%</w:t>
      </w:r>
    </w:p>
    <w:p>
      <w:pPr>
        <w:spacing w:before="105" w:line="3120" w:lineRule="exact"/>
      </w:pPr>
      <w:r>
        <w:rPr>
          <w:position w:val="-62"/>
        </w:rPr>
        <w:drawing>
          <wp:inline distT="0" distB="0" distL="0" distR="0">
            <wp:extent cx="5873763" cy="198116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73763" cy="198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0" w:line="219" w:lineRule="auto"/>
        <w:ind w:left="3260"/>
      </w:pPr>
      <w:r>
        <w:rPr>
          <w:spacing w:val="-19"/>
        </w:rPr>
        <w:t>图3</w:t>
      </w:r>
      <w:r>
        <w:rPr>
          <w:spacing w:val="30"/>
        </w:rPr>
        <w:t xml:space="preserve"> </w:t>
      </w:r>
      <w:r>
        <w:rPr>
          <w:spacing w:val="-19"/>
        </w:rPr>
        <w:t>无水柠檬酸透光率数据</w:t>
      </w:r>
    </w:p>
    <w:p>
      <w:pPr>
        <w:spacing w:before="35" w:line="2570" w:lineRule="exact"/>
        <w:ind w:firstLine="90"/>
      </w:pPr>
      <w:r>
        <w:rPr>
          <w:position w:val="-51"/>
        </w:rPr>
        <w:drawing>
          <wp:inline distT="0" distB="0" distL="0" distR="0">
            <wp:extent cx="5810234" cy="163191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10234" cy="163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0" w:line="219" w:lineRule="auto"/>
        <w:ind w:left="3260"/>
      </w:pPr>
      <w:r>
        <w:rPr>
          <w:spacing w:val="-19"/>
        </w:rPr>
        <w:t>图4</w:t>
      </w:r>
      <w:r>
        <w:rPr>
          <w:spacing w:val="29"/>
        </w:rPr>
        <w:t xml:space="preserve"> </w:t>
      </w:r>
      <w:r>
        <w:rPr>
          <w:spacing w:val="-19"/>
        </w:rPr>
        <w:t>一水柠檬酸透光率数据</w:t>
      </w:r>
    </w:p>
    <w:p>
      <w:pPr>
        <w:spacing w:line="219" w:lineRule="auto"/>
        <w:sectPr>
          <w:pgSz w:w="11910" w:h="16840"/>
          <w:pgMar w:top="1391" w:right="1289" w:bottom="0" w:left="1370" w:header="0" w:footer="0" w:gutter="0"/>
          <w:pgNumType w:start="7"/>
          <w:cols w:space="708"/>
        </w:sectPr>
      </w:pPr>
    </w:p>
    <w:p>
      <w:pPr>
        <w:pStyle w:val="BodyText"/>
        <w:spacing w:before="101" w:line="219" w:lineRule="auto"/>
        <w:outlineLvl w:val="1"/>
      </w:pPr>
      <w:r>
        <w:rPr>
          <w:rFonts w:ascii="Times New Roman" w:eastAsia="Times New Roman" w:hAnsi="Times New Roman" w:cs="Times New Roman"/>
          <w:b/>
          <w:bCs/>
          <w:spacing w:val="-6"/>
        </w:rPr>
        <w:t>3</w:t>
      </w:r>
      <w:r>
        <w:rPr>
          <w:rFonts w:ascii="Times New Roman" w:eastAsia="Times New Roman" w:hAnsi="Times New Roman" w:cs="Times New Roman"/>
          <w:b/>
          <w:bCs/>
          <w:spacing w:val="-30"/>
        </w:rPr>
        <w:t xml:space="preserve"> </w:t>
      </w:r>
      <w:r>
        <w:rPr>
          <w:b/>
          <w:bCs/>
          <w:spacing w:val="-6"/>
        </w:rPr>
        <w:t>、样品普查数据</w:t>
      </w:r>
    </w:p>
    <w:p>
      <w:pPr>
        <w:pStyle w:val="BodyText"/>
        <w:spacing w:before="182" w:line="468" w:lineRule="exact"/>
        <w:jc w:val="right"/>
      </w:pPr>
      <w:r>
        <w:rPr>
          <w:position w:val="17"/>
        </w:rPr>
        <w:t>采用标准中方法对征集的样品进行检测，无水柠檬酸样品普查数据结果</w:t>
      </w:r>
      <w:r>
        <w:rPr>
          <w:spacing w:val="-1"/>
          <w:position w:val="17"/>
        </w:rPr>
        <w:t>见附表</w:t>
      </w:r>
      <w:r>
        <w:rPr>
          <w:spacing w:val="-55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7"/>
        </w:rPr>
        <w:t>2</w:t>
      </w:r>
      <w:r>
        <w:rPr>
          <w:spacing w:val="-1"/>
          <w:position w:val="17"/>
        </w:rPr>
        <w:t>，</w:t>
      </w:r>
    </w:p>
    <w:p>
      <w:pPr>
        <w:pStyle w:val="BodyText"/>
        <w:spacing w:line="218" w:lineRule="auto"/>
        <w:ind w:left="9"/>
      </w:pPr>
      <w:r>
        <w:rPr>
          <w:spacing w:val="-2"/>
        </w:rPr>
        <w:t>一水柠檬酸样品普查数据结果见附表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2"/>
        </w:rPr>
        <w:t>，所有指标均符合标准相关要求。</w:t>
      </w:r>
    </w:p>
    <w:p>
      <w:pPr>
        <w:spacing w:before="265" w:line="222" w:lineRule="auto"/>
        <w:ind w:left="1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五．产业化水平及预期的经济效果</w:t>
      </w:r>
    </w:p>
    <w:p>
      <w:pPr>
        <w:pStyle w:val="BodyText"/>
        <w:spacing w:before="283" w:line="468" w:lineRule="exact"/>
        <w:jc w:val="right"/>
      </w:pPr>
      <w:r>
        <w:rPr>
          <w:spacing w:val="2"/>
          <w:position w:val="17"/>
        </w:rPr>
        <w:t>本标准符合国内外产品的要求，在市场经济中占有十</w:t>
      </w:r>
      <w:r>
        <w:rPr>
          <w:spacing w:val="1"/>
          <w:position w:val="17"/>
        </w:rPr>
        <w:t>分重要的地位。该标准的实</w:t>
      </w:r>
    </w:p>
    <w:p>
      <w:pPr>
        <w:pStyle w:val="BodyText"/>
        <w:spacing w:before="1" w:line="218" w:lineRule="auto"/>
        <w:ind w:left="4"/>
      </w:pPr>
      <w:r>
        <w:t>施，将规范柠檬酸行业生产，为国内外销售及开展对外技术</w:t>
      </w:r>
      <w:r>
        <w:rPr>
          <w:spacing w:val="-1"/>
        </w:rPr>
        <w:t>交流提供了法规依据。</w:t>
      </w:r>
    </w:p>
    <w:p>
      <w:pPr>
        <w:spacing w:before="266" w:line="223" w:lineRule="auto"/>
        <w:ind w:left="1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六．采用国际标准和国外先进标准的情况</w: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5" w:firstLine="742"/>
        <w:jc w:val="both"/>
      </w:pPr>
      <w:r>
        <w:rPr>
          <w:spacing w:val="-4"/>
        </w:rPr>
        <w:t>中国药典、美国药典、欧洲药典、美国食品化学品法典（</w:t>
      </w:r>
      <w:r>
        <w:rPr>
          <w:rFonts w:ascii="Times New Roman" w:eastAsia="Times New Roman" w:hAnsi="Times New Roman" w:cs="Times New Roman"/>
          <w:spacing w:val="-4"/>
        </w:rPr>
        <w:t>FCC</w:t>
      </w:r>
      <w:r>
        <w:rPr>
          <w:rFonts w:ascii="Times New Roman" w:eastAsia="Times New Roman" w:hAnsi="Times New Roman" w:cs="Times New Roman"/>
          <w:spacing w:val="3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12</w:t>
      </w:r>
      <w:r>
        <w:rPr>
          <w:spacing w:val="-4"/>
        </w:rPr>
        <w:t>）、欧盟食品添</w:t>
      </w:r>
      <w:r>
        <w:t xml:space="preserve"> </w:t>
      </w:r>
      <w:r>
        <w:rPr>
          <w:spacing w:val="-1"/>
        </w:rPr>
        <w:t>加剂法典、日本食品添加物公定书（</w:t>
      </w:r>
      <w:r>
        <w:rPr>
          <w:rFonts w:ascii="Times New Roman" w:eastAsia="Times New Roman" w:hAnsi="Times New Roman" w:cs="Times New Roman"/>
          <w:spacing w:val="-1"/>
        </w:rPr>
        <w:t>JSFA 9</w:t>
      </w:r>
      <w:r>
        <w:rPr>
          <w:spacing w:val="-1"/>
        </w:rPr>
        <w:t>）、韩国食品添加剂</w:t>
      </w:r>
      <w:r>
        <w:rPr>
          <w:spacing w:val="-2"/>
        </w:rPr>
        <w:t>法典（</w:t>
      </w:r>
      <w:r>
        <w:rPr>
          <w:rFonts w:ascii="Times New Roman" w:eastAsia="Times New Roman" w:hAnsi="Times New Roman" w:cs="Times New Roman"/>
          <w:spacing w:val="-2"/>
        </w:rPr>
        <w:t>2021</w:t>
      </w:r>
      <w:r>
        <w:rPr>
          <w:spacing w:val="-2"/>
        </w:rPr>
        <w:t>）等标准法</w:t>
      </w:r>
      <w:r>
        <w:t xml:space="preserve"> </w:t>
      </w:r>
      <w:r>
        <w:rPr>
          <w:spacing w:val="-2"/>
        </w:rPr>
        <w:t>规均公布了柠檬酸的技术指标及检验方法。本标准修订过程中参考上述国内外标准法规</w:t>
      </w:r>
    </w:p>
    <w:p>
      <w:pPr>
        <w:pStyle w:val="BodyText"/>
        <w:spacing w:line="218" w:lineRule="auto"/>
        <w:ind w:left="6"/>
      </w:pPr>
      <w:r>
        <w:rPr>
          <w:spacing w:val="-2"/>
        </w:rPr>
        <w:t>开展相关研究工作。</w:t>
      </w:r>
    </w:p>
    <w:p>
      <w:pPr>
        <w:spacing w:before="267" w:line="222" w:lineRule="auto"/>
        <w:ind w:left="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七．与有关的现行法律、法规和强制性标准的关系</w:t>
      </w:r>
    </w:p>
    <w:p>
      <w:pPr>
        <w:pStyle w:val="BodyText"/>
        <w:spacing w:before="281" w:line="551" w:lineRule="exact"/>
        <w:ind w:left="486"/>
      </w:pPr>
      <w:r>
        <w:rPr>
          <w:position w:val="23"/>
        </w:rPr>
        <w:t>本标准与现行法律、法规、规章和政策以及有关</w:t>
      </w:r>
      <w:r>
        <w:rPr>
          <w:spacing w:val="-1"/>
          <w:position w:val="23"/>
        </w:rPr>
        <w:t>基础和强制性标准不矛盾。</w:t>
      </w:r>
    </w:p>
    <w:p>
      <w:pPr>
        <w:spacing w:before="1" w:line="221" w:lineRule="auto"/>
        <w:ind w:left="7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八．重大分歧意见的处理经过和依据</w:t>
      </w:r>
    </w:p>
    <w:p>
      <w:pPr>
        <w:pStyle w:val="BodyText"/>
        <w:spacing w:before="282" w:line="550" w:lineRule="exact"/>
        <w:ind w:left="486"/>
      </w:pPr>
      <w:r>
        <w:rPr>
          <w:spacing w:val="-1"/>
          <w:position w:val="23"/>
        </w:rPr>
        <w:t>本标准未产生重大分歧意见。</w:t>
      </w:r>
    </w:p>
    <w:p>
      <w:pPr>
        <w:spacing w:before="1" w:line="222" w:lineRule="auto"/>
        <w:ind w:left="1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九．标准性质的建议</w:t>
      </w:r>
    </w:p>
    <w:p>
      <w:pPr>
        <w:pStyle w:val="BodyText"/>
        <w:spacing w:before="281" w:line="550" w:lineRule="exact"/>
        <w:ind w:left="486"/>
      </w:pPr>
      <w:r>
        <w:rPr>
          <w:spacing w:val="-1"/>
          <w:position w:val="23"/>
        </w:rPr>
        <w:t>本标准可作为推荐性国家标准。</w:t>
      </w:r>
    </w:p>
    <w:p>
      <w:pPr>
        <w:spacing w:before="1" w:line="222" w:lineRule="auto"/>
        <w:ind w:left="1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十．贯彻标准要求和措施建议</w:t>
      </w:r>
    </w:p>
    <w:p>
      <w:pPr>
        <w:pStyle w:val="BodyText"/>
        <w:spacing w:before="281" w:line="551" w:lineRule="exact"/>
        <w:ind w:left="486"/>
      </w:pPr>
      <w:r>
        <w:rPr>
          <w:spacing w:val="-1"/>
          <w:position w:val="23"/>
        </w:rPr>
        <w:t>本标准代替</w:t>
      </w:r>
      <w:r>
        <w:rPr>
          <w:spacing w:val="-52"/>
          <w:position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</w:rPr>
        <w:t>GB/T 8269-2006</w:t>
      </w:r>
      <w:r>
        <w:rPr>
          <w:spacing w:val="-1"/>
          <w:position w:val="23"/>
        </w:rPr>
        <w:t>《柠檬酸》。</w:t>
      </w:r>
    </w:p>
    <w:p>
      <w:pPr>
        <w:spacing w:line="222" w:lineRule="auto"/>
        <w:ind w:left="1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十一．废止现行有关标准的建议</w:t>
      </w:r>
    </w:p>
    <w:p>
      <w:pPr>
        <w:pStyle w:val="BodyText"/>
        <w:spacing w:before="278" w:line="219" w:lineRule="auto"/>
        <w:ind w:left="486"/>
      </w:pPr>
      <w:r>
        <w:rPr>
          <w:spacing w:val="-3"/>
        </w:rPr>
        <w:t>本标准自实施之日起，</w:t>
      </w:r>
      <w:r>
        <w:rPr>
          <w:rFonts w:ascii="Times New Roman" w:eastAsia="Times New Roman" w:hAnsi="Times New Roman" w:cs="Times New Roman"/>
          <w:spacing w:val="-3"/>
        </w:rPr>
        <w:t xml:space="preserve">GB/T 8269-2006  </w:t>
      </w:r>
      <w:r>
        <w:rPr>
          <w:spacing w:val="-3"/>
        </w:rPr>
        <w:t>自行废止。</w:t>
      </w:r>
    </w:p>
    <w:p>
      <w:pPr>
        <w:spacing w:line="219" w:lineRule="auto"/>
        <w:sectPr>
          <w:pgSz w:w="11906" w:h="16839"/>
          <w:pgMar w:top="1431" w:right="1418" w:bottom="0" w:left="1422" w:header="0" w:footer="0" w:gutter="0"/>
          <w:pgNumType w:start="8"/>
          <w:cols w:space="708"/>
        </w:sectPr>
      </w:pPr>
    </w:p>
    <w:p>
      <w:pPr>
        <w:spacing w:line="385" w:lineRule="auto"/>
        <w:rPr>
          <w:rFonts w:ascii="Arial"/>
          <w:sz w:val="21"/>
        </w:rPr>
      </w:pPr>
    </w:p>
    <w:p>
      <w:pPr>
        <w:spacing w:before="78" w:line="222" w:lineRule="auto"/>
        <w:ind w:left="5288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3"/>
          <w:sz w:val="24"/>
          <w:szCs w:val="24"/>
        </w:rPr>
        <w:t>附表</w:t>
      </w:r>
      <w:r>
        <w:rPr>
          <w:rFonts w:ascii="SimHei" w:eastAsia="SimHei" w:hAnsi="SimHei" w:cs="SimHei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1  </w:t>
      </w:r>
      <w:r>
        <w:rPr>
          <w:rFonts w:ascii="SimHei" w:eastAsia="SimHei" w:hAnsi="SimHei" w:cs="SimHei"/>
          <w:spacing w:val="-3"/>
          <w:sz w:val="24"/>
          <w:szCs w:val="24"/>
        </w:rPr>
        <w:t>国内外相关产品规格理化指标对比</w:t>
      </w:r>
    </w:p>
    <w:p>
      <w:pPr>
        <w:spacing w:before="56"/>
      </w:pPr>
    </w:p>
    <w:tbl>
      <w:tblPr>
        <w:tblStyle w:val="TableNormal1"/>
        <w:tblW w:w="14898" w:type="dxa"/>
        <w:tblInd w:w="7" w:type="dxa"/>
        <w:tblBorders>
          <w:top w:val="single" w:sz="6" w:space="0" w:color="080000"/>
          <w:left w:val="single" w:sz="6" w:space="0" w:color="080000"/>
          <w:bottom w:val="single" w:sz="6" w:space="0" w:color="080000"/>
          <w:right w:val="single" w:sz="6" w:space="0" w:color="080000"/>
          <w:insideH w:val="single" w:sz="6" w:space="0" w:color="080000"/>
          <w:insideV w:val="single" w:sz="6" w:space="0" w:color="080000"/>
        </w:tblBorders>
        <w:tblLayout w:type="fixed"/>
      </w:tblPr>
      <w:tblGrid>
        <w:gridCol w:w="1082"/>
        <w:gridCol w:w="446"/>
        <w:gridCol w:w="446"/>
        <w:gridCol w:w="446"/>
        <w:gridCol w:w="446"/>
        <w:gridCol w:w="450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4"/>
        <w:gridCol w:w="736"/>
      </w:tblGrid>
      <w:tr>
        <w:tblPrEx>
          <w:tblW w:w="14898" w:type="dxa"/>
          <w:tblInd w:w="7" w:type="dxa"/>
          <w:tblBorders>
            <w:top w:val="single" w:sz="6" w:space="0" w:color="080000"/>
            <w:left w:val="single" w:sz="6" w:space="0" w:color="080000"/>
            <w:bottom w:val="single" w:sz="6" w:space="0" w:color="080000"/>
            <w:right w:val="single" w:sz="6" w:space="0" w:color="080000"/>
            <w:insideH w:val="single" w:sz="6" w:space="0" w:color="080000"/>
            <w:insideV w:val="single" w:sz="6" w:space="0" w:color="080000"/>
          </w:tblBorders>
          <w:tblLayout w:type="fixed"/>
        </w:tblPrEx>
        <w:trPr>
          <w:trHeight w:val="302"/>
        </w:trPr>
        <w:tc>
          <w:tcPr>
            <w:tcW w:w="10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4" w:type="dxa"/>
            <w:gridSpan w:val="5"/>
            <w:vAlign w:val="top"/>
          </w:tcPr>
          <w:p>
            <w:pPr>
              <w:pStyle w:val="TableText"/>
              <w:spacing w:before="68" w:line="220" w:lineRule="auto"/>
              <w:ind w:left="86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本标准</w:t>
            </w:r>
          </w:p>
        </w:tc>
        <w:tc>
          <w:tcPr>
            <w:tcW w:w="1446" w:type="dxa"/>
            <w:gridSpan w:val="2"/>
            <w:vAlign w:val="top"/>
          </w:tcPr>
          <w:p>
            <w:pPr>
              <w:pStyle w:val="TableText"/>
              <w:spacing w:before="68" w:line="220" w:lineRule="auto"/>
              <w:ind w:left="410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中国药典</w:t>
            </w:r>
          </w:p>
        </w:tc>
        <w:tc>
          <w:tcPr>
            <w:tcW w:w="1446" w:type="dxa"/>
            <w:gridSpan w:val="2"/>
            <w:vAlign w:val="top"/>
          </w:tcPr>
          <w:p>
            <w:pPr>
              <w:pStyle w:val="TableText"/>
              <w:spacing w:before="68" w:line="220" w:lineRule="auto"/>
              <w:ind w:left="40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美国药典</w:t>
            </w:r>
          </w:p>
        </w:tc>
        <w:tc>
          <w:tcPr>
            <w:tcW w:w="1446" w:type="dxa"/>
            <w:gridSpan w:val="2"/>
            <w:vAlign w:val="top"/>
          </w:tcPr>
          <w:p>
            <w:pPr>
              <w:pStyle w:val="TableText"/>
              <w:spacing w:before="68" w:line="220" w:lineRule="auto"/>
              <w:ind w:left="40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欧洲药典</w:t>
            </w:r>
          </w:p>
        </w:tc>
        <w:tc>
          <w:tcPr>
            <w:tcW w:w="1446" w:type="dxa"/>
            <w:gridSpan w:val="2"/>
            <w:vAlign w:val="top"/>
          </w:tcPr>
          <w:p>
            <w:pPr>
              <w:spacing w:before="96" w:line="189" w:lineRule="auto"/>
              <w:ind w:left="2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1886.235</w:t>
            </w:r>
          </w:p>
        </w:tc>
        <w:tc>
          <w:tcPr>
            <w:tcW w:w="1446" w:type="dxa"/>
            <w:gridSpan w:val="2"/>
            <w:vAlign w:val="top"/>
          </w:tcPr>
          <w:p>
            <w:pPr>
              <w:spacing w:before="96" w:line="189" w:lineRule="auto"/>
              <w:ind w:left="56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FCC</w:t>
            </w:r>
          </w:p>
        </w:tc>
        <w:tc>
          <w:tcPr>
            <w:tcW w:w="1446" w:type="dxa"/>
            <w:gridSpan w:val="2"/>
            <w:vAlign w:val="top"/>
          </w:tcPr>
          <w:p>
            <w:pPr>
              <w:pStyle w:val="TableText"/>
              <w:spacing w:before="68" w:line="220" w:lineRule="auto"/>
              <w:ind w:left="354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日本添加剂</w:t>
            </w:r>
          </w:p>
        </w:tc>
        <w:tc>
          <w:tcPr>
            <w:tcW w:w="1446" w:type="dxa"/>
            <w:gridSpan w:val="2"/>
            <w:vAlign w:val="top"/>
          </w:tcPr>
          <w:p>
            <w:pPr>
              <w:pStyle w:val="TableText"/>
              <w:spacing w:before="51" w:line="220" w:lineRule="auto"/>
              <w:ind w:left="32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韩国添加剂</w:t>
            </w:r>
          </w:p>
        </w:tc>
        <w:tc>
          <w:tcPr>
            <w:tcW w:w="1460" w:type="dxa"/>
            <w:gridSpan w:val="2"/>
            <w:vAlign w:val="top"/>
          </w:tcPr>
          <w:p>
            <w:pPr>
              <w:pStyle w:val="TableText"/>
              <w:spacing w:before="51" w:line="220" w:lineRule="auto"/>
              <w:ind w:left="33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欧盟添加剂</w:t>
            </w:r>
          </w:p>
        </w:tc>
      </w:tr>
      <w:tr>
        <w:tblPrEx>
          <w:tblW w:w="14898" w:type="dxa"/>
          <w:tblInd w:w="7" w:type="dxa"/>
          <w:tblLayout w:type="fixed"/>
        </w:tblPrEx>
        <w:trPr>
          <w:trHeight w:val="484"/>
        </w:trPr>
        <w:tc>
          <w:tcPr>
            <w:tcW w:w="1082" w:type="dxa"/>
            <w:vMerge w:val="restart"/>
            <w:tcBorders>
              <w:bottom w:val="nil"/>
            </w:tcBorders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221" w:lineRule="auto"/>
              <w:ind w:left="260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项</w:t>
            </w:r>
            <w:r>
              <w:rPr>
                <w:spacing w:val="11"/>
                <w:sz w:val="16"/>
                <w:szCs w:val="16"/>
              </w:rPr>
              <w:t xml:space="preserve">   </w:t>
            </w:r>
            <w:r>
              <w:rPr>
                <w:spacing w:val="-4"/>
                <w:sz w:val="16"/>
                <w:szCs w:val="16"/>
              </w:rPr>
              <w:t>目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pStyle w:val="TableText"/>
              <w:spacing w:before="35" w:line="249" w:lineRule="auto"/>
              <w:ind w:left="359" w:right="123" w:hanging="23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无水柠檬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酸</w:t>
            </w:r>
          </w:p>
        </w:tc>
        <w:tc>
          <w:tcPr>
            <w:tcW w:w="1342" w:type="dxa"/>
            <w:gridSpan w:val="3"/>
            <w:vAlign w:val="top"/>
          </w:tcPr>
          <w:p>
            <w:pPr>
              <w:pStyle w:val="TableText"/>
              <w:spacing w:before="155" w:line="220" w:lineRule="auto"/>
              <w:ind w:left="26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一水柠檬酸</w:t>
            </w:r>
          </w:p>
        </w:tc>
        <w:tc>
          <w:tcPr>
            <w:tcW w:w="7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192" w:right="119" w:hanging="7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无水柠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  <w:tc>
          <w:tcPr>
            <w:tcW w:w="7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194" w:right="120" w:hanging="7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一水柠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  <w:tc>
          <w:tcPr>
            <w:tcW w:w="7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193" w:right="118" w:hanging="7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无水柠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  <w:tc>
          <w:tcPr>
            <w:tcW w:w="7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195" w:right="116" w:hanging="7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一水柠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  <w:tc>
          <w:tcPr>
            <w:tcW w:w="7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197" w:right="117" w:hanging="7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无水柠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  <w:tc>
          <w:tcPr>
            <w:tcW w:w="7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196" w:right="115" w:hanging="7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一水柠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  <w:tc>
          <w:tcPr>
            <w:tcW w:w="7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198" w:right="113" w:hanging="7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无水柠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  <w:tc>
          <w:tcPr>
            <w:tcW w:w="7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200" w:right="114" w:hanging="7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一水柠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  <w:tc>
          <w:tcPr>
            <w:tcW w:w="7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199" w:right="112" w:hanging="7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无水柠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  <w:tc>
          <w:tcPr>
            <w:tcW w:w="7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201" w:right="110" w:hanging="7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一水柠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  <w:tc>
          <w:tcPr>
            <w:tcW w:w="7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203" w:right="111" w:hanging="7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无水柠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  <w:tc>
          <w:tcPr>
            <w:tcW w:w="7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202" w:right="109" w:hanging="7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一水柠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  <w:tc>
          <w:tcPr>
            <w:tcW w:w="7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204" w:right="107" w:hanging="7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无水柠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  <w:tc>
          <w:tcPr>
            <w:tcW w:w="7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206" w:right="108" w:hanging="7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一水柠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205" w:right="107" w:hanging="7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无水柠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  <w:tc>
          <w:tcPr>
            <w:tcW w:w="73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6" w:line="249" w:lineRule="auto"/>
              <w:ind w:left="206" w:right="118" w:hanging="7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一水柠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檬酸</w:t>
            </w:r>
          </w:p>
        </w:tc>
      </w:tr>
      <w:tr>
        <w:tblPrEx>
          <w:tblW w:w="14898" w:type="dxa"/>
          <w:tblInd w:w="7" w:type="dxa"/>
          <w:tblLayout w:type="fixed"/>
        </w:tblPrEx>
        <w:trPr>
          <w:trHeight w:val="484"/>
        </w:trPr>
        <w:tc>
          <w:tcPr>
            <w:tcW w:w="108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" w:type="dxa"/>
            <w:textDirection w:val="tbRlV"/>
            <w:vAlign w:val="top"/>
          </w:tcPr>
          <w:p>
            <w:pPr>
              <w:pStyle w:val="TableText"/>
              <w:spacing w:before="140" w:line="210" w:lineRule="auto"/>
              <w:ind w:left="3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优 级</w:t>
            </w:r>
          </w:p>
        </w:tc>
        <w:tc>
          <w:tcPr>
            <w:tcW w:w="446" w:type="dxa"/>
            <w:vAlign w:val="top"/>
          </w:tcPr>
          <w:p>
            <w:pPr>
              <w:pStyle w:val="TableText"/>
              <w:spacing w:before="276" w:line="223" w:lineRule="auto"/>
              <w:ind w:left="136"/>
              <w:rPr>
                <w:sz w:val="16"/>
                <w:szCs w:val="16"/>
              </w:rPr>
            </w:pPr>
            <w: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rightMargin">
                    <wp:posOffset>-187163</wp:posOffset>
                  </wp:positionH>
                  <wp:positionV relativeFrom="topMargin">
                    <wp:posOffset>62023</wp:posOffset>
                  </wp:positionV>
                  <wp:extent cx="96612" cy="10734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612" cy="10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6"/>
                <w:szCs w:val="16"/>
              </w:rPr>
              <w:t>级</w:t>
            </w:r>
          </w:p>
        </w:tc>
        <w:tc>
          <w:tcPr>
            <w:tcW w:w="446" w:type="dxa"/>
            <w:textDirection w:val="tbRlV"/>
            <w:vAlign w:val="top"/>
          </w:tcPr>
          <w:p>
            <w:pPr>
              <w:pStyle w:val="TableText"/>
              <w:spacing w:before="141" w:line="210" w:lineRule="auto"/>
              <w:ind w:left="3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优 级</w:t>
            </w:r>
          </w:p>
        </w:tc>
        <w:tc>
          <w:tcPr>
            <w:tcW w:w="446" w:type="dxa"/>
            <w:vAlign w:val="top"/>
          </w:tcPr>
          <w:p>
            <w:pPr>
              <w:pStyle w:val="TableText"/>
              <w:spacing w:before="276" w:line="223" w:lineRule="auto"/>
              <w:ind w:left="137"/>
              <w:rPr>
                <w:sz w:val="16"/>
                <w:szCs w:val="16"/>
              </w:rPr>
            </w:pPr>
            <w: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rightMargin">
                    <wp:posOffset>-186655</wp:posOffset>
                  </wp:positionH>
                  <wp:positionV relativeFrom="topMargin">
                    <wp:posOffset>62023</wp:posOffset>
                  </wp:positionV>
                  <wp:extent cx="96612" cy="10734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612" cy="10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6"/>
                <w:szCs w:val="16"/>
              </w:rPr>
              <w:t>级</w:t>
            </w:r>
          </w:p>
        </w:tc>
        <w:tc>
          <w:tcPr>
            <w:tcW w:w="450" w:type="dxa"/>
            <w:textDirection w:val="tbRlV"/>
            <w:vAlign w:val="top"/>
          </w:tcPr>
          <w:p>
            <w:pPr>
              <w:pStyle w:val="TableText"/>
              <w:spacing w:before="143" w:line="208" w:lineRule="auto"/>
              <w:ind w:left="67"/>
              <w:rPr>
                <w:sz w:val="16"/>
                <w:szCs w:val="16"/>
              </w:rPr>
            </w:pPr>
            <w:r>
              <w:rPr>
                <w:spacing w:val="-28"/>
                <w:sz w:val="16"/>
                <w:szCs w:val="16"/>
              </w:rPr>
              <w:t>二</w:t>
            </w:r>
            <w:r>
              <w:rPr>
                <w:spacing w:val="26"/>
                <w:sz w:val="16"/>
                <w:szCs w:val="16"/>
              </w:rPr>
              <w:t xml:space="preserve"> </w:t>
            </w:r>
            <w:r>
              <w:rPr>
                <w:spacing w:val="-28"/>
                <w:sz w:val="16"/>
                <w:szCs w:val="16"/>
              </w:rPr>
              <w:t>级</w:t>
            </w:r>
          </w:p>
        </w:tc>
        <w:tc>
          <w:tcPr>
            <w:tcW w:w="7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898" w:type="dxa"/>
          <w:tblInd w:w="7" w:type="dxa"/>
          <w:tblLayout w:type="fixed"/>
        </w:tblPrEx>
        <w:trPr>
          <w:trHeight w:val="484"/>
        </w:trPr>
        <w:tc>
          <w:tcPr>
            <w:tcW w:w="1082" w:type="dxa"/>
            <w:vAlign w:val="top"/>
          </w:tcPr>
          <w:p>
            <w:pPr>
              <w:pStyle w:val="TableText"/>
              <w:spacing w:before="157" w:line="221" w:lineRule="auto"/>
              <w:ind w:left="21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鉴别试验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pStyle w:val="TableText"/>
              <w:spacing w:before="157" w:line="220" w:lineRule="auto"/>
              <w:ind w:left="12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符合试验</w:t>
            </w:r>
          </w:p>
        </w:tc>
        <w:tc>
          <w:tcPr>
            <w:tcW w:w="1342" w:type="dxa"/>
            <w:gridSpan w:val="3"/>
            <w:vAlign w:val="top"/>
          </w:tcPr>
          <w:p>
            <w:pPr>
              <w:pStyle w:val="TableText"/>
              <w:spacing w:before="157" w:line="220" w:lineRule="auto"/>
              <w:ind w:left="34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符合试验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37" w:line="251" w:lineRule="auto"/>
              <w:ind w:left="271" w:right="119" w:hanging="15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符合试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验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37" w:line="251" w:lineRule="auto"/>
              <w:ind w:left="273" w:right="120" w:hanging="15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符合试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验</w:t>
            </w:r>
          </w:p>
        </w:tc>
        <w:tc>
          <w:tcPr>
            <w:tcW w:w="723" w:type="dxa"/>
            <w:vAlign w:val="top"/>
          </w:tcPr>
          <w:p>
            <w:pPr>
              <w:spacing w:before="182" w:line="193" w:lineRule="auto"/>
              <w:ind w:left="32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2" w:line="193" w:lineRule="auto"/>
              <w:ind w:left="32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37" w:line="251" w:lineRule="auto"/>
              <w:ind w:left="276" w:right="117" w:hanging="15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符合试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验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37" w:line="251" w:lineRule="auto"/>
              <w:ind w:left="277" w:right="115" w:hanging="15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符合试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验</w:t>
            </w:r>
          </w:p>
        </w:tc>
        <w:tc>
          <w:tcPr>
            <w:tcW w:w="723" w:type="dxa"/>
            <w:vAlign w:val="top"/>
          </w:tcPr>
          <w:p>
            <w:pPr>
              <w:spacing w:before="182" w:line="193" w:lineRule="auto"/>
              <w:ind w:left="3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2" w:line="193" w:lineRule="auto"/>
              <w:ind w:left="3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2" w:line="193" w:lineRule="auto"/>
              <w:ind w:left="33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2" w:line="193" w:lineRule="auto"/>
              <w:ind w:left="33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37" w:line="251" w:lineRule="auto"/>
              <w:ind w:left="282" w:right="111" w:hanging="15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符合试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验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37" w:line="251" w:lineRule="auto"/>
              <w:ind w:left="283" w:right="109" w:hanging="15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符合试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验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37" w:line="251" w:lineRule="auto"/>
              <w:ind w:left="283" w:right="107" w:hanging="15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符合试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验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37" w:line="251" w:lineRule="auto"/>
              <w:ind w:left="285" w:right="108" w:hanging="15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符合试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验</w:t>
            </w:r>
          </w:p>
        </w:tc>
        <w:tc>
          <w:tcPr>
            <w:tcW w:w="724" w:type="dxa"/>
            <w:vAlign w:val="top"/>
          </w:tcPr>
          <w:p>
            <w:pPr>
              <w:spacing w:before="182" w:line="193" w:lineRule="auto"/>
              <w:ind w:left="33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36" w:type="dxa"/>
            <w:vAlign w:val="top"/>
          </w:tcPr>
          <w:p>
            <w:pPr>
              <w:spacing w:before="182" w:line="193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</w:tr>
      <w:tr>
        <w:tblPrEx>
          <w:tblW w:w="14898" w:type="dxa"/>
          <w:tblInd w:w="7" w:type="dxa"/>
          <w:tblLayout w:type="fixed"/>
        </w:tblPrEx>
        <w:trPr>
          <w:trHeight w:val="484"/>
        </w:trPr>
        <w:tc>
          <w:tcPr>
            <w:tcW w:w="1082" w:type="dxa"/>
            <w:vAlign w:val="top"/>
          </w:tcPr>
          <w:p>
            <w:pPr>
              <w:pStyle w:val="TableText"/>
              <w:spacing w:before="37" w:line="252" w:lineRule="auto"/>
              <w:ind w:left="428" w:right="133" w:hanging="29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柠檬酸含量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w w:val="143"/>
                <w:sz w:val="16"/>
                <w:szCs w:val="16"/>
              </w:rPr>
              <w:t>/</w:t>
            </w:r>
            <w:r>
              <w:rPr>
                <w:spacing w:val="2"/>
                <w:w w:val="143"/>
                <w:sz w:val="16"/>
                <w:szCs w:val="16"/>
              </w:rPr>
              <w:t>%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65" w:line="242" w:lineRule="exact"/>
              <w:ind w:left="11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8"/>
                <w:sz w:val="16"/>
                <w:szCs w:val="16"/>
              </w:rPr>
              <w:t>99.5~</w:t>
            </w:r>
            <w:r>
              <w:rPr>
                <w:rFonts w:ascii="Times New Roman" w:eastAsia="Times New Roman" w:hAnsi="Times New Roman" w:cs="Times New Roman"/>
                <w:spacing w:val="-19"/>
                <w:position w:val="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8"/>
                <w:sz w:val="16"/>
                <w:szCs w:val="16"/>
              </w:rPr>
              <w:t>100.</w:t>
            </w:r>
          </w:p>
          <w:p>
            <w:pPr>
              <w:spacing w:line="186" w:lineRule="auto"/>
              <w:ind w:left="39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65" w:line="242" w:lineRule="exact"/>
              <w:ind w:left="11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8"/>
                <w:sz w:val="16"/>
                <w:szCs w:val="16"/>
              </w:rPr>
              <w:t>99.5~</w:t>
            </w:r>
            <w:r>
              <w:rPr>
                <w:rFonts w:ascii="Times New Roman" w:eastAsia="Times New Roman" w:hAnsi="Times New Roman" w:cs="Times New Roman"/>
                <w:spacing w:val="-20"/>
                <w:position w:val="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8"/>
                <w:sz w:val="16"/>
                <w:szCs w:val="16"/>
              </w:rPr>
              <w:t>100.</w:t>
            </w:r>
          </w:p>
          <w:p>
            <w:pPr>
              <w:spacing w:line="186" w:lineRule="auto"/>
              <w:ind w:left="39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50" w:type="dxa"/>
            <w:vAlign w:val="top"/>
          </w:tcPr>
          <w:p>
            <w:pPr>
              <w:spacing w:before="65" w:line="240" w:lineRule="exact"/>
              <w:ind w:left="12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≥9</w:t>
            </w:r>
          </w:p>
          <w:p>
            <w:pPr>
              <w:spacing w:line="189" w:lineRule="auto"/>
              <w:ind w:left="11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9.0</w:t>
            </w:r>
          </w:p>
        </w:tc>
        <w:tc>
          <w:tcPr>
            <w:tcW w:w="723" w:type="dxa"/>
            <w:vAlign w:val="top"/>
          </w:tcPr>
          <w:p>
            <w:pPr>
              <w:spacing w:before="65" w:line="240" w:lineRule="exact"/>
              <w:ind w:left="12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99.5~</w:t>
            </w:r>
            <w:r>
              <w:rPr>
                <w:rFonts w:ascii="Times New Roman" w:eastAsia="Times New Roman" w:hAnsi="Times New Roman" w:cs="Times New Roman"/>
                <w:spacing w:val="-22"/>
                <w:position w:val="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1</w:t>
            </w:r>
          </w:p>
          <w:p>
            <w:pPr>
              <w:spacing w:line="189" w:lineRule="auto"/>
              <w:ind w:left="21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00.5</w:t>
            </w:r>
          </w:p>
        </w:tc>
        <w:tc>
          <w:tcPr>
            <w:tcW w:w="723" w:type="dxa"/>
            <w:vAlign w:val="top"/>
          </w:tcPr>
          <w:p>
            <w:pPr>
              <w:spacing w:before="65" w:line="240" w:lineRule="exact"/>
              <w:ind w:left="1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99.5~</w:t>
            </w:r>
            <w:r>
              <w:rPr>
                <w:rFonts w:ascii="Times New Roman" w:eastAsia="Times New Roman" w:hAnsi="Times New Roman" w:cs="Times New Roman"/>
                <w:spacing w:val="-22"/>
                <w:position w:val="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1</w:t>
            </w:r>
          </w:p>
          <w:p>
            <w:pPr>
              <w:spacing w:line="189" w:lineRule="auto"/>
              <w:ind w:left="21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00.5</w:t>
            </w:r>
          </w:p>
        </w:tc>
        <w:tc>
          <w:tcPr>
            <w:tcW w:w="723" w:type="dxa"/>
            <w:vAlign w:val="top"/>
          </w:tcPr>
          <w:p>
            <w:pPr>
              <w:spacing w:before="65" w:line="240" w:lineRule="exact"/>
              <w:ind w:left="1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99.5~</w:t>
            </w:r>
            <w:r>
              <w:rPr>
                <w:rFonts w:ascii="Times New Roman" w:eastAsia="Times New Roman" w:hAnsi="Times New Roman" w:cs="Times New Roman"/>
                <w:spacing w:val="-22"/>
                <w:position w:val="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1</w:t>
            </w:r>
          </w:p>
          <w:p>
            <w:pPr>
              <w:spacing w:line="189" w:lineRule="auto"/>
              <w:ind w:left="21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00.5</w:t>
            </w:r>
          </w:p>
        </w:tc>
        <w:tc>
          <w:tcPr>
            <w:tcW w:w="723" w:type="dxa"/>
            <w:vAlign w:val="top"/>
          </w:tcPr>
          <w:p>
            <w:pPr>
              <w:spacing w:before="65" w:line="240" w:lineRule="exact"/>
              <w:ind w:left="1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99.5~</w:t>
            </w:r>
            <w:r>
              <w:rPr>
                <w:rFonts w:ascii="Times New Roman" w:eastAsia="Times New Roman" w:hAnsi="Times New Roman" w:cs="Times New Roman"/>
                <w:spacing w:val="-22"/>
                <w:position w:val="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1</w:t>
            </w:r>
          </w:p>
          <w:p>
            <w:pPr>
              <w:spacing w:line="189" w:lineRule="auto"/>
              <w:ind w:left="21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00.5</w:t>
            </w:r>
          </w:p>
        </w:tc>
        <w:tc>
          <w:tcPr>
            <w:tcW w:w="723" w:type="dxa"/>
            <w:vAlign w:val="top"/>
          </w:tcPr>
          <w:p>
            <w:pPr>
              <w:spacing w:before="65" w:line="240" w:lineRule="exact"/>
              <w:ind w:left="13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99.5~</w:t>
            </w:r>
            <w:r>
              <w:rPr>
                <w:rFonts w:ascii="Times New Roman" w:eastAsia="Times New Roman" w:hAnsi="Times New Roman" w:cs="Times New Roman"/>
                <w:spacing w:val="-22"/>
                <w:position w:val="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1</w:t>
            </w:r>
          </w:p>
          <w:p>
            <w:pPr>
              <w:spacing w:line="189" w:lineRule="auto"/>
              <w:ind w:left="21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00.5</w:t>
            </w:r>
          </w:p>
        </w:tc>
        <w:tc>
          <w:tcPr>
            <w:tcW w:w="723" w:type="dxa"/>
            <w:vAlign w:val="top"/>
          </w:tcPr>
          <w:p>
            <w:pPr>
              <w:spacing w:before="65" w:line="240" w:lineRule="exact"/>
              <w:ind w:left="13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99.5~</w:t>
            </w:r>
            <w:r>
              <w:rPr>
                <w:rFonts w:ascii="Times New Roman" w:eastAsia="Times New Roman" w:hAnsi="Times New Roman" w:cs="Times New Roman"/>
                <w:spacing w:val="-22"/>
                <w:position w:val="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1</w:t>
            </w:r>
          </w:p>
          <w:p>
            <w:pPr>
              <w:spacing w:line="189" w:lineRule="auto"/>
              <w:ind w:left="21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00.5</w:t>
            </w:r>
          </w:p>
        </w:tc>
        <w:tc>
          <w:tcPr>
            <w:tcW w:w="723" w:type="dxa"/>
            <w:vAlign w:val="top"/>
          </w:tcPr>
          <w:p>
            <w:pPr>
              <w:spacing w:before="65" w:line="240" w:lineRule="exact"/>
              <w:ind w:left="13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99.5~</w:t>
            </w:r>
            <w:r>
              <w:rPr>
                <w:rFonts w:ascii="Times New Roman" w:eastAsia="Times New Roman" w:hAnsi="Times New Roman" w:cs="Times New Roman"/>
                <w:spacing w:val="-22"/>
                <w:position w:val="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1</w:t>
            </w:r>
          </w:p>
          <w:p>
            <w:pPr>
              <w:spacing w:line="189" w:lineRule="auto"/>
              <w:ind w:left="21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00.5</w:t>
            </w:r>
          </w:p>
        </w:tc>
        <w:tc>
          <w:tcPr>
            <w:tcW w:w="723" w:type="dxa"/>
            <w:vAlign w:val="top"/>
          </w:tcPr>
          <w:p>
            <w:pPr>
              <w:spacing w:before="65" w:line="240" w:lineRule="exact"/>
              <w:ind w:left="1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99.5~</w:t>
            </w:r>
            <w:r>
              <w:rPr>
                <w:rFonts w:ascii="Times New Roman" w:eastAsia="Times New Roman" w:hAnsi="Times New Roman" w:cs="Times New Roman"/>
                <w:spacing w:val="-22"/>
                <w:position w:val="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1</w:t>
            </w:r>
          </w:p>
          <w:p>
            <w:pPr>
              <w:spacing w:line="189" w:lineRule="auto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00.5</w:t>
            </w:r>
          </w:p>
        </w:tc>
        <w:tc>
          <w:tcPr>
            <w:tcW w:w="723" w:type="dxa"/>
            <w:vAlign w:val="top"/>
          </w:tcPr>
          <w:p>
            <w:pPr>
              <w:spacing w:before="65" w:line="240" w:lineRule="exact"/>
              <w:ind w:left="13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99.5~</w:t>
            </w:r>
            <w:r>
              <w:rPr>
                <w:rFonts w:ascii="Times New Roman" w:eastAsia="Times New Roman" w:hAnsi="Times New Roman" w:cs="Times New Roman"/>
                <w:spacing w:val="-22"/>
                <w:position w:val="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1</w:t>
            </w:r>
          </w:p>
          <w:p>
            <w:pPr>
              <w:spacing w:line="189" w:lineRule="auto"/>
              <w:ind w:left="22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00.5</w:t>
            </w:r>
          </w:p>
        </w:tc>
        <w:tc>
          <w:tcPr>
            <w:tcW w:w="723" w:type="dxa"/>
            <w:vAlign w:val="top"/>
          </w:tcPr>
          <w:p>
            <w:pPr>
              <w:spacing w:before="65" w:line="240" w:lineRule="exact"/>
              <w:ind w:left="13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99.5~</w:t>
            </w:r>
            <w:r>
              <w:rPr>
                <w:rFonts w:ascii="Times New Roman" w:eastAsia="Times New Roman" w:hAnsi="Times New Roman" w:cs="Times New Roman"/>
                <w:spacing w:val="-22"/>
                <w:position w:val="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6"/>
                <w:szCs w:val="16"/>
              </w:rPr>
              <w:t>1</w:t>
            </w:r>
          </w:p>
          <w:p>
            <w:pPr>
              <w:spacing w:line="189" w:lineRule="auto"/>
              <w:ind w:left="22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00.5</w:t>
            </w:r>
          </w:p>
        </w:tc>
        <w:tc>
          <w:tcPr>
            <w:tcW w:w="723" w:type="dxa"/>
            <w:vAlign w:val="top"/>
          </w:tcPr>
          <w:p>
            <w:pPr>
              <w:spacing w:before="185" w:line="189" w:lineRule="auto"/>
              <w:ind w:left="17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≥99.5</w:t>
            </w:r>
          </w:p>
        </w:tc>
        <w:tc>
          <w:tcPr>
            <w:tcW w:w="723" w:type="dxa"/>
            <w:vAlign w:val="top"/>
          </w:tcPr>
          <w:p>
            <w:pPr>
              <w:spacing w:before="185" w:line="189" w:lineRule="auto"/>
              <w:ind w:left="17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≥99.5</w:t>
            </w:r>
          </w:p>
        </w:tc>
        <w:tc>
          <w:tcPr>
            <w:tcW w:w="723" w:type="dxa"/>
            <w:vAlign w:val="top"/>
          </w:tcPr>
          <w:p>
            <w:pPr>
              <w:spacing w:before="185" w:line="189" w:lineRule="auto"/>
              <w:ind w:left="17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≥99.5</w:t>
            </w:r>
          </w:p>
        </w:tc>
        <w:tc>
          <w:tcPr>
            <w:tcW w:w="723" w:type="dxa"/>
            <w:vAlign w:val="top"/>
          </w:tcPr>
          <w:p>
            <w:pPr>
              <w:spacing w:before="185" w:line="189" w:lineRule="auto"/>
              <w:ind w:left="17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≥99.5</w:t>
            </w:r>
          </w:p>
        </w:tc>
        <w:tc>
          <w:tcPr>
            <w:tcW w:w="724" w:type="dxa"/>
            <w:vAlign w:val="top"/>
          </w:tcPr>
          <w:p>
            <w:pPr>
              <w:spacing w:before="185" w:line="189" w:lineRule="auto"/>
              <w:ind w:left="17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≥99.5</w:t>
            </w:r>
          </w:p>
        </w:tc>
        <w:tc>
          <w:tcPr>
            <w:tcW w:w="736" w:type="dxa"/>
            <w:vAlign w:val="top"/>
          </w:tcPr>
          <w:p>
            <w:pPr>
              <w:spacing w:before="185" w:line="189" w:lineRule="auto"/>
              <w:ind w:left="17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≥99.5</w:t>
            </w:r>
          </w:p>
        </w:tc>
      </w:tr>
      <w:tr>
        <w:tblPrEx>
          <w:tblW w:w="14898" w:type="dxa"/>
          <w:tblInd w:w="7" w:type="dxa"/>
          <w:tblLayout w:type="fixed"/>
        </w:tblPrEx>
        <w:trPr>
          <w:trHeight w:val="484"/>
        </w:trPr>
        <w:tc>
          <w:tcPr>
            <w:tcW w:w="1082" w:type="dxa"/>
            <w:vAlign w:val="top"/>
          </w:tcPr>
          <w:p>
            <w:pPr>
              <w:pStyle w:val="TableText"/>
              <w:spacing w:before="40" w:line="279" w:lineRule="exact"/>
              <w:ind w:left="194"/>
              <w:rPr>
                <w:sz w:val="16"/>
                <w:szCs w:val="16"/>
              </w:rPr>
            </w:pPr>
            <w:r>
              <w:rPr>
                <w:spacing w:val="10"/>
                <w:position w:val="9"/>
                <w:sz w:val="16"/>
                <w:szCs w:val="16"/>
              </w:rPr>
              <w:t>透光率</w:t>
            </w:r>
            <w:r>
              <w:rPr>
                <w:rFonts w:ascii="Times New Roman" w:eastAsia="Times New Roman" w:hAnsi="Times New Roman" w:cs="Times New Roman"/>
                <w:spacing w:val="10"/>
                <w:position w:val="9"/>
                <w:sz w:val="16"/>
                <w:szCs w:val="16"/>
              </w:rPr>
              <w:t>/</w:t>
            </w:r>
            <w:r>
              <w:rPr>
                <w:spacing w:val="10"/>
                <w:position w:val="9"/>
                <w:sz w:val="16"/>
                <w:szCs w:val="16"/>
              </w:rPr>
              <w:t>%</w:t>
            </w:r>
          </w:p>
          <w:p>
            <w:pPr>
              <w:spacing w:line="174" w:lineRule="auto"/>
              <w:ind w:left="48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≥</w:t>
            </w:r>
          </w:p>
        </w:tc>
        <w:tc>
          <w:tcPr>
            <w:tcW w:w="446" w:type="dxa"/>
            <w:vAlign w:val="top"/>
          </w:tcPr>
          <w:p>
            <w:pPr>
              <w:spacing w:before="188" w:line="189" w:lineRule="auto"/>
              <w:ind w:left="13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99</w:t>
            </w:r>
          </w:p>
        </w:tc>
        <w:tc>
          <w:tcPr>
            <w:tcW w:w="446" w:type="dxa"/>
            <w:vAlign w:val="top"/>
          </w:tcPr>
          <w:p>
            <w:pPr>
              <w:spacing w:before="188" w:line="189" w:lineRule="auto"/>
              <w:ind w:left="13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97</w:t>
            </w:r>
          </w:p>
        </w:tc>
        <w:tc>
          <w:tcPr>
            <w:tcW w:w="446" w:type="dxa"/>
            <w:vAlign w:val="top"/>
          </w:tcPr>
          <w:p>
            <w:pPr>
              <w:spacing w:before="188" w:line="189" w:lineRule="auto"/>
              <w:ind w:left="13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99</w:t>
            </w:r>
          </w:p>
        </w:tc>
        <w:tc>
          <w:tcPr>
            <w:tcW w:w="446" w:type="dxa"/>
            <w:vAlign w:val="top"/>
          </w:tcPr>
          <w:p>
            <w:pPr>
              <w:spacing w:before="188" w:line="189" w:lineRule="auto"/>
              <w:ind w:left="13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97</w:t>
            </w:r>
          </w:p>
        </w:tc>
        <w:tc>
          <w:tcPr>
            <w:tcW w:w="450" w:type="dxa"/>
            <w:vAlign w:val="top"/>
          </w:tcPr>
          <w:p>
            <w:pPr>
              <w:tabs>
                <w:tab w:val="left" w:pos="292"/>
              </w:tabs>
              <w:spacing w:before="62" w:line="242" w:lineRule="exact"/>
              <w:ind w:left="12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40" w:line="250" w:lineRule="auto"/>
              <w:ind w:left="274" w:right="119" w:hanging="156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定性比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色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40" w:line="250" w:lineRule="auto"/>
              <w:ind w:left="275" w:right="120" w:hanging="158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定性比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色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40" w:line="250" w:lineRule="auto"/>
              <w:ind w:left="277" w:right="118" w:hanging="158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定性比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色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40" w:line="250" w:lineRule="auto"/>
              <w:ind w:left="277" w:right="116" w:hanging="156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定性比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色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40" w:line="250" w:lineRule="auto"/>
              <w:ind w:left="278" w:right="117" w:hanging="158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定性比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色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40" w:line="250" w:lineRule="auto"/>
              <w:ind w:left="280" w:right="115" w:hanging="158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定性比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色</w:t>
            </w:r>
          </w:p>
        </w:tc>
        <w:tc>
          <w:tcPr>
            <w:tcW w:w="723" w:type="dxa"/>
            <w:vAlign w:val="top"/>
          </w:tcPr>
          <w:p>
            <w:pPr>
              <w:spacing w:before="185" w:line="193" w:lineRule="auto"/>
              <w:ind w:left="3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5" w:line="193" w:lineRule="auto"/>
              <w:ind w:left="3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5" w:line="193" w:lineRule="auto"/>
              <w:ind w:left="33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5" w:line="193" w:lineRule="auto"/>
              <w:ind w:left="33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5" w:line="193" w:lineRule="auto"/>
              <w:ind w:left="33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5" w:line="193" w:lineRule="auto"/>
              <w:ind w:left="3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5" w:line="193" w:lineRule="auto"/>
              <w:ind w:left="33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5" w:line="193" w:lineRule="auto"/>
              <w:ind w:left="33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4" w:type="dxa"/>
            <w:vAlign w:val="top"/>
          </w:tcPr>
          <w:p>
            <w:pPr>
              <w:spacing w:before="185" w:line="193" w:lineRule="auto"/>
              <w:ind w:left="33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36" w:type="dxa"/>
            <w:vAlign w:val="top"/>
          </w:tcPr>
          <w:p>
            <w:pPr>
              <w:spacing w:before="185" w:line="193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</w:tr>
      <w:tr>
        <w:tblPrEx>
          <w:tblW w:w="14898" w:type="dxa"/>
          <w:tblInd w:w="7" w:type="dxa"/>
          <w:tblLayout w:type="fixed"/>
        </w:tblPrEx>
        <w:trPr>
          <w:trHeight w:val="293"/>
        </w:trPr>
        <w:tc>
          <w:tcPr>
            <w:tcW w:w="1082" w:type="dxa"/>
            <w:vAlign w:val="top"/>
          </w:tcPr>
          <w:p>
            <w:pPr>
              <w:pStyle w:val="TableText"/>
              <w:spacing w:before="64" w:line="220" w:lineRule="auto"/>
              <w:ind w:left="276"/>
              <w:rPr>
                <w:sz w:val="16"/>
                <w:szCs w:val="16"/>
              </w:rPr>
            </w:pPr>
            <w:r>
              <w:rPr>
                <w:spacing w:val="12"/>
                <w:sz w:val="16"/>
                <w:szCs w:val="16"/>
              </w:rPr>
              <w:t>水分</w:t>
            </w:r>
            <w:r>
              <w:rPr>
                <w:rFonts w:ascii="Times New Roman" w:eastAsia="Times New Roman" w:hAnsi="Times New Roman" w:cs="Times New Roman"/>
                <w:spacing w:val="12"/>
                <w:sz w:val="16"/>
                <w:szCs w:val="16"/>
              </w:rPr>
              <w:t>/</w:t>
            </w:r>
            <w:r>
              <w:rPr>
                <w:spacing w:val="12"/>
                <w:sz w:val="16"/>
                <w:szCs w:val="16"/>
              </w:rPr>
              <w:t>%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92" w:line="189" w:lineRule="auto"/>
              <w:ind w:left="2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≤0.5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92" w:line="189" w:lineRule="auto"/>
              <w:ind w:left="19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7.5~9.0</w:t>
            </w:r>
          </w:p>
        </w:tc>
        <w:tc>
          <w:tcPr>
            <w:tcW w:w="450" w:type="dxa"/>
            <w:vAlign w:val="top"/>
          </w:tcPr>
          <w:p>
            <w:pPr>
              <w:tabs>
                <w:tab w:val="left" w:pos="292"/>
              </w:tabs>
              <w:spacing w:line="208" w:lineRule="exact"/>
              <w:ind w:left="12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723" w:type="dxa"/>
            <w:vAlign w:val="top"/>
          </w:tcPr>
          <w:p>
            <w:pPr>
              <w:spacing w:before="92" w:line="189" w:lineRule="auto"/>
              <w:ind w:left="20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≤0.5</w:t>
            </w:r>
          </w:p>
        </w:tc>
        <w:tc>
          <w:tcPr>
            <w:tcW w:w="723" w:type="dxa"/>
            <w:vAlign w:val="top"/>
          </w:tcPr>
          <w:p>
            <w:pPr>
              <w:spacing w:before="92" w:line="189" w:lineRule="auto"/>
              <w:ind w:left="11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7.5~9.0</w:t>
            </w:r>
          </w:p>
        </w:tc>
        <w:tc>
          <w:tcPr>
            <w:tcW w:w="723" w:type="dxa"/>
            <w:vAlign w:val="top"/>
          </w:tcPr>
          <w:p>
            <w:pPr>
              <w:spacing w:before="92" w:line="189" w:lineRule="auto"/>
              <w:ind w:left="20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≤0.5</w:t>
            </w:r>
          </w:p>
        </w:tc>
        <w:tc>
          <w:tcPr>
            <w:tcW w:w="723" w:type="dxa"/>
            <w:vAlign w:val="top"/>
          </w:tcPr>
          <w:p>
            <w:pPr>
              <w:spacing w:before="92" w:line="189" w:lineRule="auto"/>
              <w:ind w:left="11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7.5~9.0</w:t>
            </w:r>
          </w:p>
        </w:tc>
        <w:tc>
          <w:tcPr>
            <w:tcW w:w="723" w:type="dxa"/>
            <w:vAlign w:val="top"/>
          </w:tcPr>
          <w:p>
            <w:pPr>
              <w:spacing w:before="92" w:line="189" w:lineRule="auto"/>
              <w:ind w:left="26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≤1</w:t>
            </w:r>
          </w:p>
        </w:tc>
        <w:tc>
          <w:tcPr>
            <w:tcW w:w="723" w:type="dxa"/>
            <w:vAlign w:val="top"/>
          </w:tcPr>
          <w:p>
            <w:pPr>
              <w:spacing w:before="92" w:line="189" w:lineRule="auto"/>
              <w:ind w:lef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7.5~9.0</w:t>
            </w:r>
          </w:p>
        </w:tc>
        <w:tc>
          <w:tcPr>
            <w:tcW w:w="723" w:type="dxa"/>
            <w:vAlign w:val="top"/>
          </w:tcPr>
          <w:p>
            <w:pPr>
              <w:spacing w:before="92" w:line="189" w:lineRule="auto"/>
              <w:ind w:left="21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≤0.5</w:t>
            </w:r>
          </w:p>
        </w:tc>
        <w:tc>
          <w:tcPr>
            <w:tcW w:w="723" w:type="dxa"/>
            <w:vAlign w:val="top"/>
          </w:tcPr>
          <w:p>
            <w:pPr>
              <w:spacing w:before="92" w:line="189" w:lineRule="auto"/>
              <w:ind w:left="11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7.5~9.0</w:t>
            </w:r>
          </w:p>
        </w:tc>
        <w:tc>
          <w:tcPr>
            <w:tcW w:w="723" w:type="dxa"/>
            <w:vAlign w:val="top"/>
          </w:tcPr>
          <w:p>
            <w:pPr>
              <w:spacing w:before="92" w:line="189" w:lineRule="auto"/>
              <w:ind w:left="2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≤0.5</w:t>
            </w:r>
          </w:p>
        </w:tc>
        <w:tc>
          <w:tcPr>
            <w:tcW w:w="723" w:type="dxa"/>
            <w:vAlign w:val="top"/>
          </w:tcPr>
          <w:p>
            <w:pPr>
              <w:spacing w:before="92" w:line="189" w:lineRule="auto"/>
              <w:ind w:left="21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≤8.8</w:t>
            </w:r>
          </w:p>
        </w:tc>
        <w:tc>
          <w:tcPr>
            <w:tcW w:w="723" w:type="dxa"/>
            <w:vAlign w:val="top"/>
          </w:tcPr>
          <w:p>
            <w:pPr>
              <w:spacing w:before="92" w:line="189" w:lineRule="auto"/>
              <w:ind w:left="21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≤0.5</w:t>
            </w:r>
          </w:p>
        </w:tc>
        <w:tc>
          <w:tcPr>
            <w:tcW w:w="723" w:type="dxa"/>
            <w:vAlign w:val="top"/>
          </w:tcPr>
          <w:p>
            <w:pPr>
              <w:spacing w:before="92" w:line="189" w:lineRule="auto"/>
              <w:ind w:left="21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≤8.8</w:t>
            </w:r>
          </w:p>
        </w:tc>
        <w:tc>
          <w:tcPr>
            <w:tcW w:w="723" w:type="dxa"/>
            <w:vAlign w:val="top"/>
          </w:tcPr>
          <w:p>
            <w:pPr>
              <w:spacing w:before="92" w:line="189" w:lineRule="auto"/>
              <w:ind w:left="21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≤0.5</w:t>
            </w:r>
          </w:p>
        </w:tc>
        <w:tc>
          <w:tcPr>
            <w:tcW w:w="723" w:type="dxa"/>
            <w:vAlign w:val="top"/>
          </w:tcPr>
          <w:p>
            <w:pPr>
              <w:spacing w:before="92" w:line="189" w:lineRule="auto"/>
              <w:ind w:left="21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≤8.8</w:t>
            </w:r>
          </w:p>
        </w:tc>
        <w:tc>
          <w:tcPr>
            <w:tcW w:w="724" w:type="dxa"/>
            <w:vAlign w:val="top"/>
          </w:tcPr>
          <w:p>
            <w:pPr>
              <w:spacing w:before="92" w:line="189" w:lineRule="auto"/>
              <w:ind w:left="21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≤0.5</w:t>
            </w:r>
          </w:p>
        </w:tc>
        <w:tc>
          <w:tcPr>
            <w:tcW w:w="736" w:type="dxa"/>
            <w:vAlign w:val="top"/>
          </w:tcPr>
          <w:p>
            <w:pPr>
              <w:spacing w:before="92" w:line="189" w:lineRule="auto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≤8.8</w:t>
            </w:r>
          </w:p>
        </w:tc>
      </w:tr>
      <w:tr>
        <w:tblPrEx>
          <w:tblW w:w="14898" w:type="dxa"/>
          <w:tblInd w:w="7" w:type="dxa"/>
          <w:tblLayout w:type="fixed"/>
        </w:tblPrEx>
        <w:trPr>
          <w:trHeight w:val="484"/>
        </w:trPr>
        <w:tc>
          <w:tcPr>
            <w:tcW w:w="1082" w:type="dxa"/>
            <w:vAlign w:val="top"/>
          </w:tcPr>
          <w:p>
            <w:pPr>
              <w:pStyle w:val="TableText"/>
              <w:spacing w:before="39" w:line="265" w:lineRule="exact"/>
              <w:ind w:left="227"/>
              <w:rPr>
                <w:sz w:val="16"/>
                <w:szCs w:val="16"/>
              </w:rPr>
            </w:pPr>
            <w:r>
              <w:rPr>
                <w:spacing w:val="-4"/>
                <w:position w:val="7"/>
                <w:sz w:val="16"/>
                <w:szCs w:val="16"/>
              </w:rPr>
              <w:t>易炭化物</w:t>
            </w:r>
          </w:p>
          <w:p>
            <w:pPr>
              <w:spacing w:line="192" w:lineRule="auto"/>
              <w:ind w:left="39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/%≤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187" w:line="189" w:lineRule="auto"/>
              <w:ind w:left="40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187" w:line="189" w:lineRule="auto"/>
              <w:ind w:left="41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50" w:type="dxa"/>
            <w:vAlign w:val="top"/>
          </w:tcPr>
          <w:p>
            <w:pPr>
              <w:tabs>
                <w:tab w:val="left" w:pos="292"/>
              </w:tabs>
              <w:spacing w:before="62" w:line="241" w:lineRule="exact"/>
              <w:ind w:left="12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59" w:line="221" w:lineRule="auto"/>
              <w:ind w:left="197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59" w:line="221" w:lineRule="auto"/>
              <w:ind w:left="19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59" w:line="221" w:lineRule="auto"/>
              <w:ind w:left="198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59" w:line="221" w:lineRule="auto"/>
              <w:ind w:left="20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spacing w:before="184" w:line="193" w:lineRule="auto"/>
              <w:ind w:left="32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4" w:line="193" w:lineRule="auto"/>
              <w:ind w:left="3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7" w:line="189" w:lineRule="auto"/>
              <w:ind w:left="3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3" w:type="dxa"/>
            <w:vAlign w:val="top"/>
          </w:tcPr>
          <w:p>
            <w:pPr>
              <w:spacing w:before="187" w:line="189" w:lineRule="auto"/>
              <w:ind w:left="33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59" w:line="221" w:lineRule="auto"/>
              <w:ind w:left="204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59" w:line="221" w:lineRule="auto"/>
              <w:ind w:left="206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59" w:line="221" w:lineRule="auto"/>
              <w:ind w:left="208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59" w:line="221" w:lineRule="auto"/>
              <w:ind w:left="207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59" w:line="221" w:lineRule="auto"/>
              <w:ind w:left="20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59" w:line="221" w:lineRule="auto"/>
              <w:ind w:left="211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4" w:type="dxa"/>
            <w:vAlign w:val="top"/>
          </w:tcPr>
          <w:p>
            <w:pPr>
              <w:pStyle w:val="TableText"/>
              <w:spacing w:before="159" w:line="221" w:lineRule="auto"/>
              <w:ind w:left="21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36" w:type="dxa"/>
            <w:vAlign w:val="top"/>
          </w:tcPr>
          <w:p>
            <w:pPr>
              <w:pStyle w:val="TableText"/>
              <w:spacing w:before="159" w:line="221" w:lineRule="auto"/>
              <w:ind w:left="211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</w:tr>
      <w:tr>
        <w:tblPrEx>
          <w:tblW w:w="14898" w:type="dxa"/>
          <w:tblInd w:w="7" w:type="dxa"/>
          <w:tblLayout w:type="fixed"/>
        </w:tblPrEx>
        <w:trPr>
          <w:trHeight w:val="427"/>
        </w:trPr>
        <w:tc>
          <w:tcPr>
            <w:tcW w:w="1082" w:type="dxa"/>
            <w:vAlign w:val="top"/>
          </w:tcPr>
          <w:p>
            <w:pPr>
              <w:pStyle w:val="TableText"/>
              <w:spacing w:before="133" w:line="220" w:lineRule="auto"/>
              <w:ind w:left="14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硫酸灰分</w:t>
            </w: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/≤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161" w:line="189" w:lineRule="auto"/>
              <w:ind w:left="29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0.05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161" w:line="189" w:lineRule="auto"/>
              <w:ind w:left="29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0.05</w:t>
            </w:r>
          </w:p>
        </w:tc>
        <w:tc>
          <w:tcPr>
            <w:tcW w:w="450" w:type="dxa"/>
            <w:vAlign w:val="top"/>
          </w:tcPr>
          <w:p>
            <w:pPr>
              <w:spacing w:before="161" w:line="189" w:lineRule="auto"/>
              <w:ind w:left="11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0.1</w:t>
            </w:r>
          </w:p>
        </w:tc>
        <w:tc>
          <w:tcPr>
            <w:tcW w:w="723" w:type="dxa"/>
            <w:vAlign w:val="top"/>
          </w:tcPr>
          <w:p>
            <w:pPr>
              <w:spacing w:before="161" w:line="189" w:lineRule="auto"/>
              <w:ind w:left="25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0.1</w:t>
            </w:r>
          </w:p>
        </w:tc>
        <w:tc>
          <w:tcPr>
            <w:tcW w:w="723" w:type="dxa"/>
            <w:vAlign w:val="top"/>
          </w:tcPr>
          <w:p>
            <w:pPr>
              <w:spacing w:before="161" w:line="189" w:lineRule="auto"/>
              <w:ind w:left="25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0.1</w:t>
            </w:r>
          </w:p>
        </w:tc>
        <w:tc>
          <w:tcPr>
            <w:tcW w:w="723" w:type="dxa"/>
            <w:vAlign w:val="top"/>
          </w:tcPr>
          <w:p>
            <w:pPr>
              <w:spacing w:before="161" w:line="189" w:lineRule="auto"/>
              <w:ind w:left="21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0.05</w:t>
            </w:r>
          </w:p>
        </w:tc>
        <w:tc>
          <w:tcPr>
            <w:tcW w:w="723" w:type="dxa"/>
            <w:vAlign w:val="top"/>
          </w:tcPr>
          <w:p>
            <w:pPr>
              <w:spacing w:before="161" w:line="189" w:lineRule="auto"/>
              <w:ind w:left="25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0.1</w:t>
            </w:r>
          </w:p>
        </w:tc>
        <w:tc>
          <w:tcPr>
            <w:tcW w:w="723" w:type="dxa"/>
            <w:vAlign w:val="top"/>
          </w:tcPr>
          <w:p>
            <w:pPr>
              <w:spacing w:before="161" w:line="189" w:lineRule="auto"/>
              <w:ind w:left="25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0.1</w:t>
            </w:r>
          </w:p>
        </w:tc>
        <w:tc>
          <w:tcPr>
            <w:tcW w:w="723" w:type="dxa"/>
            <w:vAlign w:val="top"/>
          </w:tcPr>
          <w:p>
            <w:pPr>
              <w:spacing w:before="161" w:line="189" w:lineRule="auto"/>
              <w:ind w:left="25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0.1</w:t>
            </w:r>
          </w:p>
        </w:tc>
        <w:tc>
          <w:tcPr>
            <w:tcW w:w="723" w:type="dxa"/>
            <w:vAlign w:val="top"/>
          </w:tcPr>
          <w:p>
            <w:pPr>
              <w:spacing w:before="161" w:line="189" w:lineRule="auto"/>
              <w:ind w:left="21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0.05</w:t>
            </w:r>
          </w:p>
        </w:tc>
        <w:tc>
          <w:tcPr>
            <w:tcW w:w="723" w:type="dxa"/>
            <w:vAlign w:val="top"/>
          </w:tcPr>
          <w:p>
            <w:pPr>
              <w:spacing w:before="161" w:line="189" w:lineRule="auto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0.05</w:t>
            </w:r>
          </w:p>
        </w:tc>
        <w:tc>
          <w:tcPr>
            <w:tcW w:w="723" w:type="dxa"/>
            <w:vAlign w:val="top"/>
          </w:tcPr>
          <w:p>
            <w:pPr>
              <w:spacing w:before="161" w:line="189" w:lineRule="auto"/>
              <w:ind w:left="22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0.05</w:t>
            </w:r>
          </w:p>
        </w:tc>
        <w:tc>
          <w:tcPr>
            <w:tcW w:w="723" w:type="dxa"/>
            <w:vAlign w:val="top"/>
          </w:tcPr>
          <w:p>
            <w:pPr>
              <w:spacing w:before="161" w:line="189" w:lineRule="auto"/>
              <w:ind w:left="22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0.05</w:t>
            </w:r>
          </w:p>
        </w:tc>
        <w:tc>
          <w:tcPr>
            <w:tcW w:w="723" w:type="dxa"/>
            <w:vAlign w:val="top"/>
          </w:tcPr>
          <w:p>
            <w:pPr>
              <w:spacing w:before="161" w:line="189" w:lineRule="auto"/>
              <w:ind w:left="26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0.1</w:t>
            </w:r>
          </w:p>
        </w:tc>
        <w:tc>
          <w:tcPr>
            <w:tcW w:w="723" w:type="dxa"/>
            <w:vAlign w:val="top"/>
          </w:tcPr>
          <w:p>
            <w:pPr>
              <w:spacing w:before="161" w:line="189" w:lineRule="auto"/>
              <w:ind w:left="26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0.1</w:t>
            </w:r>
          </w:p>
        </w:tc>
        <w:tc>
          <w:tcPr>
            <w:tcW w:w="723" w:type="dxa"/>
            <w:vAlign w:val="top"/>
          </w:tcPr>
          <w:p>
            <w:pPr>
              <w:spacing w:before="161" w:line="189" w:lineRule="auto"/>
              <w:ind w:left="22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0.05</w:t>
            </w:r>
          </w:p>
        </w:tc>
        <w:tc>
          <w:tcPr>
            <w:tcW w:w="723" w:type="dxa"/>
            <w:vAlign w:val="top"/>
          </w:tcPr>
          <w:p>
            <w:pPr>
              <w:spacing w:before="161" w:line="189" w:lineRule="auto"/>
              <w:ind w:left="22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0.05</w:t>
            </w:r>
          </w:p>
        </w:tc>
        <w:tc>
          <w:tcPr>
            <w:tcW w:w="724" w:type="dxa"/>
            <w:vAlign w:val="top"/>
          </w:tcPr>
          <w:p>
            <w:pPr>
              <w:spacing w:before="161" w:line="189" w:lineRule="auto"/>
              <w:ind w:left="22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0.05</w:t>
            </w:r>
          </w:p>
        </w:tc>
        <w:tc>
          <w:tcPr>
            <w:tcW w:w="736" w:type="dxa"/>
            <w:vAlign w:val="top"/>
          </w:tcPr>
          <w:p>
            <w:pPr>
              <w:spacing w:before="161" w:line="189" w:lineRule="auto"/>
              <w:ind w:left="22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0.05</w:t>
            </w:r>
          </w:p>
        </w:tc>
      </w:tr>
      <w:tr>
        <w:tblPrEx>
          <w:tblW w:w="14898" w:type="dxa"/>
          <w:tblInd w:w="7" w:type="dxa"/>
          <w:tblLayout w:type="fixed"/>
        </w:tblPrEx>
        <w:trPr>
          <w:trHeight w:val="484"/>
        </w:trPr>
        <w:tc>
          <w:tcPr>
            <w:tcW w:w="1082" w:type="dxa"/>
            <w:vAlign w:val="top"/>
          </w:tcPr>
          <w:p>
            <w:pPr>
              <w:pStyle w:val="TableText"/>
              <w:spacing w:before="161" w:line="222" w:lineRule="auto"/>
              <w:ind w:left="15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spacing w:val="11"/>
                <w:sz w:val="16"/>
                <w:szCs w:val="16"/>
              </w:rPr>
              <w:t>氯化物</w:t>
            </w:r>
            <w:r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>/</w:t>
            </w:r>
            <w:r>
              <w:rPr>
                <w:spacing w:val="11"/>
                <w:sz w:val="16"/>
                <w:szCs w:val="16"/>
              </w:rPr>
              <w:t>%</w:t>
            </w:r>
            <w:r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>≤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189" w:line="189" w:lineRule="auto"/>
              <w:ind w:left="25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0.005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189" w:line="189" w:lineRule="auto"/>
              <w:ind w:left="25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0.005</w:t>
            </w:r>
          </w:p>
        </w:tc>
        <w:tc>
          <w:tcPr>
            <w:tcW w:w="450" w:type="dxa"/>
            <w:vAlign w:val="top"/>
          </w:tcPr>
          <w:p>
            <w:pPr>
              <w:spacing w:before="69" w:line="240" w:lineRule="exact"/>
              <w:ind w:left="11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6"/>
                <w:szCs w:val="16"/>
              </w:rPr>
              <w:t>0.0</w:t>
            </w:r>
          </w:p>
          <w:p>
            <w:pPr>
              <w:spacing w:line="189" w:lineRule="auto"/>
              <w:ind w:left="18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3" w:type="dxa"/>
            <w:vAlign w:val="top"/>
          </w:tcPr>
          <w:p>
            <w:pPr>
              <w:spacing w:before="189" w:line="189" w:lineRule="auto"/>
              <w:ind w:left="17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0.005</w:t>
            </w:r>
          </w:p>
        </w:tc>
        <w:tc>
          <w:tcPr>
            <w:tcW w:w="723" w:type="dxa"/>
            <w:vAlign w:val="top"/>
          </w:tcPr>
          <w:p>
            <w:pPr>
              <w:spacing w:before="189" w:line="189" w:lineRule="auto"/>
              <w:ind w:left="17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0.005</w:t>
            </w:r>
          </w:p>
        </w:tc>
        <w:tc>
          <w:tcPr>
            <w:tcW w:w="723" w:type="dxa"/>
            <w:vAlign w:val="top"/>
          </w:tcPr>
          <w:p>
            <w:pPr>
              <w:spacing w:before="186" w:line="193" w:lineRule="auto"/>
              <w:ind w:left="32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6" w:line="193" w:lineRule="auto"/>
              <w:ind w:left="32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6" w:line="193" w:lineRule="auto"/>
              <w:ind w:left="32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6" w:line="193" w:lineRule="auto"/>
              <w:ind w:left="3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9" w:line="189" w:lineRule="auto"/>
              <w:ind w:left="17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0.005</w:t>
            </w:r>
          </w:p>
        </w:tc>
        <w:tc>
          <w:tcPr>
            <w:tcW w:w="723" w:type="dxa"/>
            <w:vAlign w:val="top"/>
          </w:tcPr>
          <w:p>
            <w:pPr>
              <w:spacing w:before="189" w:line="189" w:lineRule="auto"/>
              <w:ind w:left="17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0.005</w:t>
            </w:r>
          </w:p>
        </w:tc>
        <w:tc>
          <w:tcPr>
            <w:tcW w:w="723" w:type="dxa"/>
            <w:vAlign w:val="top"/>
          </w:tcPr>
          <w:p>
            <w:pPr>
              <w:spacing w:before="186" w:line="193" w:lineRule="auto"/>
              <w:ind w:left="33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6" w:line="193" w:lineRule="auto"/>
              <w:ind w:left="33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6" w:line="193" w:lineRule="auto"/>
              <w:ind w:left="33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6" w:line="193" w:lineRule="auto"/>
              <w:ind w:left="3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6" w:line="193" w:lineRule="auto"/>
              <w:ind w:left="33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6" w:line="193" w:lineRule="auto"/>
              <w:ind w:left="33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4" w:type="dxa"/>
            <w:vAlign w:val="top"/>
          </w:tcPr>
          <w:p>
            <w:pPr>
              <w:spacing w:before="186" w:line="193" w:lineRule="auto"/>
              <w:ind w:left="33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36" w:type="dxa"/>
            <w:vAlign w:val="top"/>
          </w:tcPr>
          <w:p>
            <w:pPr>
              <w:spacing w:before="186" w:line="193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</w:tr>
      <w:tr>
        <w:tblPrEx>
          <w:tblW w:w="14898" w:type="dxa"/>
          <w:tblInd w:w="7" w:type="dxa"/>
          <w:tblLayout w:type="fixed"/>
        </w:tblPrEx>
        <w:trPr>
          <w:trHeight w:val="484"/>
        </w:trPr>
        <w:tc>
          <w:tcPr>
            <w:tcW w:w="1082" w:type="dxa"/>
            <w:vAlign w:val="top"/>
          </w:tcPr>
          <w:p>
            <w:pPr>
              <w:pStyle w:val="TableText"/>
              <w:spacing w:before="164" w:line="222" w:lineRule="auto"/>
              <w:ind w:left="11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spacing w:val="8"/>
                <w:sz w:val="16"/>
                <w:szCs w:val="16"/>
              </w:rPr>
              <w:t>硫酸盐</w:t>
            </w:r>
            <w:r>
              <w:rPr>
                <w:rFonts w:ascii="Times New Roman" w:eastAsia="Times New Roman" w:hAnsi="Times New Roman" w:cs="Times New Roman"/>
                <w:spacing w:val="8"/>
                <w:sz w:val="16"/>
                <w:szCs w:val="16"/>
              </w:rPr>
              <w:t>/</w:t>
            </w:r>
            <w:r>
              <w:rPr>
                <w:spacing w:val="8"/>
                <w:sz w:val="16"/>
                <w:szCs w:val="16"/>
              </w:rPr>
              <w:t>%</w:t>
            </w:r>
            <w:r>
              <w:rPr>
                <w:spacing w:val="26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16"/>
                <w:szCs w:val="16"/>
              </w:rPr>
              <w:t>≤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192" w:line="189" w:lineRule="auto"/>
              <w:ind w:left="29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0.01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192" w:line="189" w:lineRule="auto"/>
              <w:ind w:left="25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0.015</w:t>
            </w:r>
          </w:p>
        </w:tc>
        <w:tc>
          <w:tcPr>
            <w:tcW w:w="450" w:type="dxa"/>
            <w:vAlign w:val="top"/>
          </w:tcPr>
          <w:p>
            <w:pPr>
              <w:spacing w:before="72" w:line="242" w:lineRule="exact"/>
              <w:ind w:left="11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6"/>
                <w:szCs w:val="16"/>
              </w:rPr>
              <w:t>0.0</w:t>
            </w:r>
          </w:p>
          <w:p>
            <w:pPr>
              <w:spacing w:line="186" w:lineRule="auto"/>
              <w:ind w:left="17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23" w:type="dxa"/>
            <w:vAlign w:val="top"/>
          </w:tcPr>
          <w:p>
            <w:pPr>
              <w:spacing w:before="192" w:line="189" w:lineRule="auto"/>
              <w:ind w:left="17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0.015</w:t>
            </w:r>
          </w:p>
        </w:tc>
        <w:tc>
          <w:tcPr>
            <w:tcW w:w="723" w:type="dxa"/>
            <w:vAlign w:val="top"/>
          </w:tcPr>
          <w:p>
            <w:pPr>
              <w:spacing w:before="192" w:line="189" w:lineRule="auto"/>
              <w:ind w:left="17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0.015</w:t>
            </w:r>
          </w:p>
        </w:tc>
        <w:tc>
          <w:tcPr>
            <w:tcW w:w="723" w:type="dxa"/>
            <w:vAlign w:val="top"/>
          </w:tcPr>
          <w:p>
            <w:pPr>
              <w:spacing w:before="192" w:line="189" w:lineRule="auto"/>
              <w:ind w:left="17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0.015</w:t>
            </w:r>
          </w:p>
        </w:tc>
        <w:tc>
          <w:tcPr>
            <w:tcW w:w="723" w:type="dxa"/>
            <w:vAlign w:val="top"/>
          </w:tcPr>
          <w:p>
            <w:pPr>
              <w:spacing w:before="192" w:line="189" w:lineRule="auto"/>
              <w:ind w:left="17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0.015</w:t>
            </w:r>
          </w:p>
        </w:tc>
        <w:tc>
          <w:tcPr>
            <w:tcW w:w="723" w:type="dxa"/>
            <w:vAlign w:val="top"/>
          </w:tcPr>
          <w:p>
            <w:pPr>
              <w:spacing w:before="192" w:line="189" w:lineRule="auto"/>
              <w:ind w:left="17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0.015</w:t>
            </w:r>
          </w:p>
        </w:tc>
        <w:tc>
          <w:tcPr>
            <w:tcW w:w="723" w:type="dxa"/>
            <w:vAlign w:val="top"/>
          </w:tcPr>
          <w:p>
            <w:pPr>
              <w:spacing w:before="192" w:line="189" w:lineRule="auto"/>
              <w:ind w:left="17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0.015</w:t>
            </w:r>
          </w:p>
        </w:tc>
        <w:tc>
          <w:tcPr>
            <w:tcW w:w="723" w:type="dxa"/>
            <w:vAlign w:val="top"/>
          </w:tcPr>
          <w:p>
            <w:pPr>
              <w:spacing w:before="192" w:line="189" w:lineRule="auto"/>
              <w:ind w:left="21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</w:t>
            </w:r>
          </w:p>
        </w:tc>
        <w:tc>
          <w:tcPr>
            <w:tcW w:w="723" w:type="dxa"/>
            <w:vAlign w:val="top"/>
          </w:tcPr>
          <w:p>
            <w:pPr>
              <w:spacing w:before="192" w:line="189" w:lineRule="auto"/>
              <w:ind w:left="17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0.015</w:t>
            </w:r>
          </w:p>
        </w:tc>
        <w:tc>
          <w:tcPr>
            <w:tcW w:w="723" w:type="dxa"/>
            <w:vAlign w:val="top"/>
          </w:tcPr>
          <w:p>
            <w:pPr>
              <w:spacing w:before="189" w:line="193" w:lineRule="auto"/>
              <w:ind w:left="33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9" w:line="193" w:lineRule="auto"/>
              <w:ind w:left="33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92" w:line="189" w:lineRule="auto"/>
              <w:ind w:left="18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0.048</w:t>
            </w:r>
          </w:p>
        </w:tc>
        <w:tc>
          <w:tcPr>
            <w:tcW w:w="723" w:type="dxa"/>
            <w:vAlign w:val="top"/>
          </w:tcPr>
          <w:p>
            <w:pPr>
              <w:spacing w:before="192" w:line="189" w:lineRule="auto"/>
              <w:ind w:left="18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0.048</w:t>
            </w:r>
          </w:p>
        </w:tc>
        <w:tc>
          <w:tcPr>
            <w:tcW w:w="723" w:type="dxa"/>
            <w:vAlign w:val="top"/>
          </w:tcPr>
          <w:p>
            <w:pPr>
              <w:spacing w:before="189" w:line="193" w:lineRule="auto"/>
              <w:ind w:left="33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89" w:line="193" w:lineRule="auto"/>
              <w:ind w:left="33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4" w:type="dxa"/>
            <w:vAlign w:val="top"/>
          </w:tcPr>
          <w:p>
            <w:pPr>
              <w:spacing w:before="189" w:line="193" w:lineRule="auto"/>
              <w:ind w:left="33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36" w:type="dxa"/>
            <w:vAlign w:val="top"/>
          </w:tcPr>
          <w:p>
            <w:pPr>
              <w:spacing w:before="189" w:line="193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</w:tr>
      <w:tr>
        <w:tblPrEx>
          <w:tblW w:w="14898" w:type="dxa"/>
          <w:tblInd w:w="7" w:type="dxa"/>
          <w:tblLayout w:type="fixed"/>
        </w:tblPrEx>
        <w:trPr>
          <w:trHeight w:val="427"/>
        </w:trPr>
        <w:tc>
          <w:tcPr>
            <w:tcW w:w="1082" w:type="dxa"/>
            <w:vAlign w:val="top"/>
          </w:tcPr>
          <w:p>
            <w:pPr>
              <w:pStyle w:val="TableText"/>
              <w:spacing w:before="136" w:line="220" w:lineRule="auto"/>
              <w:ind w:left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spacing w:val="12"/>
                <w:sz w:val="16"/>
                <w:szCs w:val="16"/>
              </w:rPr>
              <w:t>草酸盐</w:t>
            </w:r>
            <w:r>
              <w:rPr>
                <w:rFonts w:ascii="Times New Roman" w:eastAsia="Times New Roman" w:hAnsi="Times New Roman" w:cs="Times New Roman"/>
                <w:spacing w:val="12"/>
                <w:sz w:val="16"/>
                <w:szCs w:val="16"/>
              </w:rPr>
              <w:t>/</w:t>
            </w:r>
            <w:r>
              <w:rPr>
                <w:spacing w:val="12"/>
                <w:sz w:val="16"/>
                <w:szCs w:val="16"/>
              </w:rPr>
              <w:t>%</w:t>
            </w:r>
            <w:r>
              <w:rPr>
                <w:rFonts w:ascii="Times New Roman" w:eastAsia="Times New Roman" w:hAnsi="Times New Roman" w:cs="Times New Roman"/>
                <w:spacing w:val="12"/>
                <w:sz w:val="16"/>
                <w:szCs w:val="16"/>
              </w:rPr>
              <w:t>≤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163" w:line="189" w:lineRule="auto"/>
              <w:ind w:left="29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0.01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163" w:line="189" w:lineRule="auto"/>
              <w:ind w:left="29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</w:t>
            </w:r>
          </w:p>
        </w:tc>
        <w:tc>
          <w:tcPr>
            <w:tcW w:w="450" w:type="dxa"/>
            <w:vAlign w:val="top"/>
          </w:tcPr>
          <w:p>
            <w:pPr>
              <w:tabs>
                <w:tab w:val="left" w:pos="292"/>
              </w:tabs>
              <w:spacing w:before="38" w:line="241" w:lineRule="exact"/>
              <w:ind w:left="12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36" w:line="221" w:lineRule="auto"/>
              <w:ind w:left="197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36" w:line="221" w:lineRule="auto"/>
              <w:ind w:left="19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spacing w:before="163" w:line="189" w:lineRule="auto"/>
              <w:ind w:left="17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0.036</w:t>
            </w:r>
          </w:p>
        </w:tc>
        <w:tc>
          <w:tcPr>
            <w:tcW w:w="723" w:type="dxa"/>
            <w:vAlign w:val="top"/>
          </w:tcPr>
          <w:p>
            <w:pPr>
              <w:spacing w:before="163" w:line="189" w:lineRule="auto"/>
              <w:ind w:left="17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0.036</w:t>
            </w:r>
          </w:p>
        </w:tc>
        <w:tc>
          <w:tcPr>
            <w:tcW w:w="723" w:type="dxa"/>
            <w:vAlign w:val="top"/>
          </w:tcPr>
          <w:p>
            <w:pPr>
              <w:spacing w:before="163" w:line="189" w:lineRule="auto"/>
              <w:ind w:left="17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0.036</w:t>
            </w:r>
          </w:p>
        </w:tc>
        <w:tc>
          <w:tcPr>
            <w:tcW w:w="723" w:type="dxa"/>
            <w:vAlign w:val="top"/>
          </w:tcPr>
          <w:p>
            <w:pPr>
              <w:spacing w:before="163" w:line="189" w:lineRule="auto"/>
              <w:ind w:left="17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0.036</w:t>
            </w:r>
          </w:p>
        </w:tc>
        <w:tc>
          <w:tcPr>
            <w:tcW w:w="723" w:type="dxa"/>
            <w:vAlign w:val="top"/>
          </w:tcPr>
          <w:p>
            <w:pPr>
              <w:spacing w:before="163" w:line="189" w:lineRule="auto"/>
              <w:ind w:left="21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</w:t>
            </w:r>
          </w:p>
        </w:tc>
        <w:tc>
          <w:tcPr>
            <w:tcW w:w="723" w:type="dxa"/>
            <w:vAlign w:val="top"/>
          </w:tcPr>
          <w:p>
            <w:pPr>
              <w:spacing w:before="163" w:line="189" w:lineRule="auto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</w:t>
            </w:r>
          </w:p>
        </w:tc>
        <w:tc>
          <w:tcPr>
            <w:tcW w:w="723" w:type="dxa"/>
            <w:vAlign w:val="top"/>
          </w:tcPr>
          <w:p>
            <w:pPr>
              <w:spacing w:before="163" w:line="189" w:lineRule="auto"/>
              <w:ind w:left="22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</w:t>
            </w:r>
          </w:p>
        </w:tc>
        <w:tc>
          <w:tcPr>
            <w:tcW w:w="723" w:type="dxa"/>
            <w:vAlign w:val="top"/>
          </w:tcPr>
          <w:p>
            <w:pPr>
              <w:spacing w:before="163" w:line="189" w:lineRule="auto"/>
              <w:ind w:left="22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36" w:line="221" w:lineRule="auto"/>
              <w:ind w:left="208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36" w:line="221" w:lineRule="auto"/>
              <w:ind w:left="207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36" w:line="221" w:lineRule="auto"/>
              <w:ind w:left="20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36" w:line="221" w:lineRule="auto"/>
              <w:ind w:left="211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4" w:type="dxa"/>
            <w:vAlign w:val="top"/>
          </w:tcPr>
          <w:p>
            <w:pPr>
              <w:spacing w:before="163" w:line="189" w:lineRule="auto"/>
              <w:ind w:left="22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</w:t>
            </w:r>
          </w:p>
        </w:tc>
        <w:tc>
          <w:tcPr>
            <w:tcW w:w="736" w:type="dxa"/>
            <w:vAlign w:val="top"/>
          </w:tcPr>
          <w:p>
            <w:pPr>
              <w:spacing w:before="163" w:line="189" w:lineRule="auto"/>
              <w:ind w:left="22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0.01</w:t>
            </w:r>
          </w:p>
        </w:tc>
      </w:tr>
      <w:tr>
        <w:tblPrEx>
          <w:tblW w:w="14898" w:type="dxa"/>
          <w:tblInd w:w="7" w:type="dxa"/>
          <w:tblLayout w:type="fixed"/>
        </w:tblPrEx>
        <w:trPr>
          <w:trHeight w:val="427"/>
        </w:trPr>
        <w:tc>
          <w:tcPr>
            <w:tcW w:w="1082" w:type="dxa"/>
            <w:vAlign w:val="top"/>
          </w:tcPr>
          <w:p>
            <w:pPr>
              <w:pStyle w:val="TableText"/>
              <w:spacing w:before="135" w:line="223" w:lineRule="auto"/>
              <w:ind w:left="18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spacing w:val="10"/>
                <w:sz w:val="16"/>
                <w:szCs w:val="16"/>
              </w:rPr>
              <w:t>钙盐</w:t>
            </w:r>
            <w:r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>/</w:t>
            </w:r>
            <w:r>
              <w:rPr>
                <w:spacing w:val="10"/>
                <w:sz w:val="16"/>
                <w:szCs w:val="16"/>
              </w:rPr>
              <w:t>%</w:t>
            </w:r>
            <w:r>
              <w:rPr>
                <w:spacing w:val="25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>≤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163" w:line="189" w:lineRule="auto"/>
              <w:ind w:left="29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0.02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163" w:line="189" w:lineRule="auto"/>
              <w:ind w:left="29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0.02</w:t>
            </w:r>
          </w:p>
        </w:tc>
        <w:tc>
          <w:tcPr>
            <w:tcW w:w="450" w:type="dxa"/>
            <w:vAlign w:val="top"/>
          </w:tcPr>
          <w:p>
            <w:pPr>
              <w:tabs>
                <w:tab w:val="left" w:pos="292"/>
              </w:tabs>
              <w:spacing w:before="38" w:line="241" w:lineRule="exact"/>
              <w:ind w:left="12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35" w:line="221" w:lineRule="auto"/>
              <w:ind w:left="197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35" w:line="221" w:lineRule="auto"/>
              <w:ind w:left="19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spacing w:before="160" w:line="193" w:lineRule="auto"/>
              <w:ind w:left="32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60" w:line="193" w:lineRule="auto"/>
              <w:ind w:left="32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60" w:line="193" w:lineRule="auto"/>
              <w:ind w:left="32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60" w:line="193" w:lineRule="auto"/>
              <w:ind w:left="3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63" w:line="189" w:lineRule="auto"/>
              <w:ind w:left="21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0.02</w:t>
            </w:r>
          </w:p>
        </w:tc>
        <w:tc>
          <w:tcPr>
            <w:tcW w:w="723" w:type="dxa"/>
            <w:vAlign w:val="top"/>
          </w:tcPr>
          <w:p>
            <w:pPr>
              <w:spacing w:before="163" w:line="189" w:lineRule="auto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0.02</w:t>
            </w:r>
          </w:p>
        </w:tc>
        <w:tc>
          <w:tcPr>
            <w:tcW w:w="723" w:type="dxa"/>
            <w:vAlign w:val="top"/>
          </w:tcPr>
          <w:p>
            <w:pPr>
              <w:spacing w:before="160" w:line="193" w:lineRule="auto"/>
              <w:ind w:left="33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160" w:line="193" w:lineRule="auto"/>
              <w:ind w:left="33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35" w:line="221" w:lineRule="auto"/>
              <w:ind w:left="208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35" w:line="221" w:lineRule="auto"/>
              <w:ind w:left="207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35" w:line="221" w:lineRule="auto"/>
              <w:ind w:left="209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3" w:type="dxa"/>
            <w:vAlign w:val="top"/>
          </w:tcPr>
          <w:p>
            <w:pPr>
              <w:pStyle w:val="TableText"/>
              <w:spacing w:before="135" w:line="221" w:lineRule="auto"/>
              <w:ind w:left="211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定性</w:t>
            </w:r>
          </w:p>
        </w:tc>
        <w:tc>
          <w:tcPr>
            <w:tcW w:w="724" w:type="dxa"/>
            <w:vAlign w:val="top"/>
          </w:tcPr>
          <w:p>
            <w:pPr>
              <w:spacing w:before="160" w:line="193" w:lineRule="auto"/>
              <w:ind w:left="33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36" w:type="dxa"/>
            <w:vAlign w:val="top"/>
          </w:tcPr>
          <w:p>
            <w:pPr>
              <w:spacing w:before="160" w:line="193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</w:tr>
      <w:tr>
        <w:tblPrEx>
          <w:tblW w:w="14898" w:type="dxa"/>
          <w:tblInd w:w="7" w:type="dxa"/>
          <w:tblLayout w:type="fixed"/>
        </w:tblPrEx>
        <w:trPr>
          <w:trHeight w:val="631"/>
        </w:trPr>
        <w:tc>
          <w:tcPr>
            <w:tcW w:w="1082" w:type="dxa"/>
            <w:vAlign w:val="top"/>
          </w:tcPr>
          <w:p>
            <w:pPr>
              <w:pStyle w:val="TableText"/>
              <w:spacing w:before="120" w:line="253" w:lineRule="auto"/>
              <w:ind w:left="488" w:right="41" w:hanging="38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铁</w:t>
            </w: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/</w:t>
            </w:r>
            <w:r>
              <w:rPr>
                <w:spacing w:val="-2"/>
                <w:sz w:val="16"/>
                <w:szCs w:val="16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mg/kg</w:t>
            </w:r>
            <w:r>
              <w:rPr>
                <w:spacing w:val="-2"/>
                <w:sz w:val="16"/>
                <w:szCs w:val="16"/>
              </w:rPr>
              <w:t>）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≤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270" w:line="186" w:lineRule="auto"/>
              <w:ind w:left="39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92" w:type="dxa"/>
            <w:gridSpan w:val="2"/>
            <w:vAlign w:val="top"/>
          </w:tcPr>
          <w:p>
            <w:pPr>
              <w:spacing w:before="270" w:line="186" w:lineRule="auto"/>
              <w:ind w:left="39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50" w:type="dxa"/>
            <w:vAlign w:val="top"/>
          </w:tcPr>
          <w:p>
            <w:pPr>
              <w:tabs>
                <w:tab w:val="left" w:pos="292"/>
              </w:tabs>
              <w:spacing w:before="143" w:line="241" w:lineRule="exact"/>
              <w:ind w:left="12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723" w:type="dxa"/>
            <w:vAlign w:val="top"/>
          </w:tcPr>
          <w:p>
            <w:pPr>
              <w:spacing w:before="268" w:line="189" w:lineRule="auto"/>
              <w:ind w:left="28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6"/>
                <w:szCs w:val="16"/>
              </w:rPr>
              <w:t>10</w:t>
            </w:r>
          </w:p>
        </w:tc>
        <w:tc>
          <w:tcPr>
            <w:tcW w:w="723" w:type="dxa"/>
            <w:vAlign w:val="top"/>
          </w:tcPr>
          <w:p>
            <w:pPr>
              <w:spacing w:before="268" w:line="189" w:lineRule="auto"/>
              <w:ind w:left="28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16"/>
                <w:szCs w:val="16"/>
              </w:rPr>
              <w:t>10</w:t>
            </w:r>
          </w:p>
        </w:tc>
        <w:tc>
          <w:tcPr>
            <w:tcW w:w="723" w:type="dxa"/>
            <w:vAlign w:val="top"/>
          </w:tcPr>
          <w:p>
            <w:pPr>
              <w:spacing w:before="265" w:line="193" w:lineRule="auto"/>
              <w:ind w:left="32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265" w:line="193" w:lineRule="auto"/>
              <w:ind w:left="32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265" w:line="193" w:lineRule="auto"/>
              <w:ind w:left="32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265" w:line="193" w:lineRule="auto"/>
              <w:ind w:left="3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265" w:line="193" w:lineRule="auto"/>
              <w:ind w:left="3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265" w:line="193" w:lineRule="auto"/>
              <w:ind w:left="3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265" w:line="193" w:lineRule="auto"/>
              <w:ind w:left="33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265" w:line="193" w:lineRule="auto"/>
              <w:ind w:left="33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265" w:line="193" w:lineRule="auto"/>
              <w:ind w:left="33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265" w:line="193" w:lineRule="auto"/>
              <w:ind w:left="3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265" w:line="193" w:lineRule="auto"/>
              <w:ind w:left="33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3" w:type="dxa"/>
            <w:vAlign w:val="top"/>
          </w:tcPr>
          <w:p>
            <w:pPr>
              <w:spacing w:before="265" w:line="193" w:lineRule="auto"/>
              <w:ind w:left="33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24" w:type="dxa"/>
            <w:vAlign w:val="top"/>
          </w:tcPr>
          <w:p>
            <w:pPr>
              <w:spacing w:before="265" w:line="193" w:lineRule="auto"/>
              <w:ind w:left="33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736" w:type="dxa"/>
            <w:vAlign w:val="top"/>
          </w:tcPr>
          <w:p>
            <w:pPr>
              <w:spacing w:before="265" w:line="193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https://d.book118.com/646210221141010033</w:t>
        </w:r>
      </w:hyperlink>
    </w:p>
    <w:p/>
    <w:sectPr>
      <w:pgSz w:w="16839" w:h="11906"/>
      <w:pgMar w:top="1012" w:right="962" w:bottom="0" w:left="962" w:header="0" w:footer="0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6210221141010033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2024-01-12T15:55:39Z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2024-01-12T15:55:44Z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65a0f07898caa6001fee528cwl</vt:lpwstr>
  </property>
</Properties>
</file>