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蝇蚴病防治药项目可行性建设方案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1469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_Toc11469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213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_Toc9213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01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_Toc28001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7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_Toc2187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8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_Toc1148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82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_Toc19982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8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_Toc2068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880" w:history="1">
        <w:r>
          <w:rPr>
            <w:rFonts w:ascii="仿宋" w:eastAsia="仿宋" w:hAnsi="仿宋" w:cs="仿宋" w:hint="eastAsia"/>
            <w:lang w:eastAsia="zh-CN"/>
          </w:rPr>
          <w:t>二、经济影响分析</w:t>
        </w:r>
        <w:r>
          <w:tab/>
        </w:r>
        <w:r>
          <w:fldChar w:fldCharType="begin"/>
        </w:r>
        <w:r>
          <w:instrText xml:space="preserve"> PAGEREF _Toc26880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98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_Toc24498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53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_Toc7153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_Toc35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81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_Toc23281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204" w:history="1">
        <w:r>
          <w:rPr>
            <w:rFonts w:ascii="仿宋" w:eastAsia="仿宋" w:hAnsi="仿宋" w:cs="仿宋" w:hint="eastAsia"/>
            <w:lang w:eastAsia="zh-CN"/>
          </w:rPr>
          <w:t>三、建设风险评估分析</w:t>
        </w:r>
        <w:r>
          <w:tab/>
        </w:r>
        <w:r>
          <w:fldChar w:fldCharType="begin"/>
        </w:r>
        <w:r>
          <w:instrText xml:space="preserve"> PAGEREF _Toc32204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46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_Toc24346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12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_Toc29312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10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_Toc5010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93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_Toc23293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71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_Toc3971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68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_Toc29068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74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_Toc11474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87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_Toc30287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5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_Toc2465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971" w:history="1">
        <w:r>
          <w:rPr>
            <w:rFonts w:ascii="仿宋" w:eastAsia="仿宋" w:hAnsi="仿宋" w:cs="仿宋" w:hint="eastAsia"/>
            <w:lang w:eastAsia="zh-CN"/>
          </w:rPr>
          <w:t>四、项目选址研究</w:t>
        </w:r>
        <w:r>
          <w:tab/>
        </w:r>
        <w:r>
          <w:fldChar w:fldCharType="begin"/>
        </w:r>
        <w:r>
          <w:instrText xml:space="preserve"> PAGEREF _Toc6971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16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_Toc29416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64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_Toc14564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76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_Toc26776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55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_Toc23155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34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_Toc12334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18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_Toc25218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51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_Toc20651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454" w:history="1">
        <w:r>
          <w:rPr>
            <w:rFonts w:ascii="仿宋" w:eastAsia="仿宋" w:hAnsi="仿宋" w:cs="仿宋" w:hint="eastAsia"/>
            <w:lang w:eastAsia="zh-CN"/>
          </w:rPr>
          <w:t>五、发展规划、产业政策和行业准入分析</w:t>
        </w:r>
        <w:r>
          <w:tab/>
        </w:r>
        <w:r>
          <w:fldChar w:fldCharType="begin"/>
        </w:r>
        <w:r>
          <w:instrText xml:space="preserve"> PAGEREF _Toc22454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43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_Toc27443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15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_Toc8015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62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_Toc15862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809" w:history="1">
        <w:r>
          <w:rPr>
            <w:rFonts w:ascii="仿宋" w:eastAsia="仿宋" w:hAnsi="仿宋" w:cs="仿宋" w:hint="eastAsia"/>
            <w:lang w:eastAsia="zh-CN"/>
          </w:rPr>
          <w:t>六、背景、必要性分析</w:t>
        </w:r>
        <w:r>
          <w:tab/>
        </w:r>
        <w:r>
          <w:fldChar w:fldCharType="begin"/>
        </w:r>
        <w:r>
          <w:instrText xml:space="preserve"> PAGEREF _Toc23809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11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_Toc19211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68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_Toc10968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03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_Toc11103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532" w:history="1">
        <w:r>
          <w:rPr>
            <w:rFonts w:ascii="仿宋" w:eastAsia="仿宋" w:hAnsi="仿宋" w:cs="仿宋" w:hint="eastAsia"/>
            <w:lang w:eastAsia="zh-CN"/>
          </w:rPr>
          <w:t>七、环境保护与绿色发展</w:t>
        </w:r>
        <w:r>
          <w:tab/>
        </w:r>
        <w:r>
          <w:fldChar w:fldCharType="begin"/>
        </w:r>
        <w:r>
          <w:instrText xml:space="preserve"> PAGEREF _Toc12532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10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_Toc5610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04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_Toc9304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9674" w:history="1">
        <w:r>
          <w:rPr>
            <w:rFonts w:ascii="仿宋" w:eastAsia="仿宋" w:hAnsi="仿宋" w:cs="仿宋" w:hint="eastAsia"/>
            <w:lang w:eastAsia="zh-CN"/>
          </w:rPr>
          <w:t>八、安全与应急管理</w:t>
        </w:r>
        <w:r>
          <w:tab/>
        </w:r>
        <w:r>
          <w:fldChar w:fldCharType="begin"/>
        </w:r>
        <w:r>
          <w:instrText xml:space="preserve"> PAGEREF _Toc9674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70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_Toc11570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42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_Toc32242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776" w:history="1">
        <w:r>
          <w:rPr>
            <w:rFonts w:ascii="仿宋" w:eastAsia="仿宋" w:hAnsi="仿宋" w:cs="仿宋" w:hint="eastAsia"/>
            <w:lang w:eastAsia="zh-CN"/>
          </w:rPr>
          <w:t>九、资金管理与财务规划</w:t>
        </w:r>
        <w:r>
          <w:tab/>
        </w:r>
        <w:r>
          <w:fldChar w:fldCharType="begin"/>
        </w:r>
        <w:r>
          <w:instrText xml:space="preserve"> PAGEREF _Toc30776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76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_Toc8076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31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_Toc5131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60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_Toc12360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22" w:history="1">
        <w:r>
          <w:rPr>
            <w:rFonts w:ascii="仿宋" w:eastAsia="仿宋" w:hAnsi="仿宋" w:cs="仿宋" w:hint="eastAsia"/>
            <w:lang w:eastAsia="zh-CN"/>
          </w:rPr>
          <w:t>十、项目质量与标准</w:t>
        </w:r>
        <w:r>
          <w:tab/>
        </w:r>
        <w:r>
          <w:fldChar w:fldCharType="begin"/>
        </w:r>
        <w:r>
          <w:instrText xml:space="preserve"> PAGEREF _Toc722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78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_Toc6178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69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_Toc26969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49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_Toc23149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02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_Toc20602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684" w:history="1">
        <w:r>
          <w:rPr>
            <w:rFonts w:ascii="仿宋" w:eastAsia="仿宋" w:hAnsi="仿宋" w:cs="仿宋" w:hint="eastAsia"/>
            <w:lang w:eastAsia="zh-CN"/>
          </w:rPr>
          <w:t>十一、土地利用与规划方案</w:t>
        </w:r>
        <w:r>
          <w:tab/>
        </w:r>
        <w:r>
          <w:fldChar w:fldCharType="begin"/>
        </w:r>
        <w:r>
          <w:instrText xml:space="preserve"> PAGEREF _Toc27684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59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_Toc21159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04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_Toc6604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871" w:history="1">
        <w:r>
          <w:rPr>
            <w:rFonts w:ascii="仿宋" w:eastAsia="仿宋" w:hAnsi="仿宋" w:cs="仿宋" w:hint="eastAsia"/>
            <w:lang w:eastAsia="zh-CN"/>
          </w:rPr>
          <w:t>十二、环境保护与治理方案</w:t>
        </w:r>
        <w:r>
          <w:tab/>
        </w:r>
        <w:r>
          <w:fldChar w:fldCharType="begin"/>
        </w:r>
        <w:r>
          <w:instrText xml:space="preserve"> PAGEREF _Toc7871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48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_Toc24948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49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_Toc17049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47" w:history="1">
        <w:r>
          <w:rPr>
            <w:rFonts w:ascii="仿宋" w:eastAsia="仿宋" w:hAnsi="仿宋" w:cs="仿宋" w:hint="eastAsia"/>
            <w:lang w:eastAsia="zh-CN"/>
          </w:rPr>
          <w:t>十三、项目施工方案</w:t>
        </w:r>
        <w:r>
          <w:tab/>
        </w:r>
        <w:r>
          <w:fldChar w:fldCharType="begin"/>
        </w:r>
        <w:r>
          <w:instrText xml:space="preserve"> PAGEREF _Toc2447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0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_Toc750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39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_Toc17339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76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_Toc29576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71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_Toc25271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000" w:history="1">
        <w:r>
          <w:rPr>
            <w:rFonts w:ascii="仿宋" w:eastAsia="仿宋" w:hAnsi="仿宋" w:cs="仿宋" w:hint="eastAsia"/>
            <w:lang w:eastAsia="zh-CN"/>
          </w:rPr>
          <w:t>十四、知识产权管理与保护</w:t>
        </w:r>
        <w:r>
          <w:tab/>
        </w:r>
        <w:r>
          <w:fldChar w:fldCharType="begin"/>
        </w:r>
        <w:r>
          <w:instrText xml:space="preserve"> PAGEREF _Toc23000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94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_Toc9494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60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_Toc30060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196" w:history="1">
        <w:r>
          <w:rPr>
            <w:rFonts w:ascii="仿宋" w:eastAsia="仿宋" w:hAnsi="仿宋" w:cs="仿宋" w:hint="eastAsia"/>
            <w:lang w:eastAsia="zh-CN"/>
          </w:rPr>
          <w:t>十五、法律法规与政策遵循</w:t>
        </w:r>
        <w:r>
          <w:tab/>
        </w:r>
        <w:r>
          <w:fldChar w:fldCharType="begin"/>
        </w:r>
        <w:r>
          <w:instrText xml:space="preserve"> PAGEREF _Toc25196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13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_Toc25813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00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_Toc5900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247" w:history="1">
        <w:r>
          <w:rPr>
            <w:rFonts w:ascii="仿宋" w:eastAsia="仿宋" w:hAnsi="仿宋" w:cs="仿宋" w:hint="eastAsia"/>
            <w:lang w:eastAsia="zh-CN"/>
          </w:rPr>
          <w:t>十六、人力资源管理与开发</w:t>
        </w:r>
        <w:r>
          <w:tab/>
        </w:r>
        <w:r>
          <w:fldChar w:fldCharType="begin"/>
        </w:r>
        <w:r>
          <w:instrText xml:space="preserve"> PAGEREF _Toc21247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81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_Toc27281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45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_Toc14345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12" w:history="1">
        <w:r>
          <w:rPr>
            <w:rFonts w:ascii="仿宋" w:eastAsia="仿宋" w:hAnsi="仿宋" w:cs="仿宋" w:hint="eastAsia"/>
            <w:lang w:eastAsia="zh-CN"/>
          </w:rPr>
          <w:t>十七、创新驱动与持续发展</w:t>
        </w:r>
        <w:r>
          <w:tab/>
        </w:r>
        <w:r>
          <w:fldChar w:fldCharType="begin"/>
        </w:r>
        <w:r>
          <w:instrText xml:space="preserve"> PAGEREF _Toc28612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39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_Toc4639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52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_Toc4252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038" w:history="1">
        <w:r>
          <w:rPr>
            <w:rFonts w:ascii="仿宋" w:eastAsia="仿宋" w:hAnsi="仿宋" w:cs="仿宋" w:hint="eastAsia"/>
            <w:lang w:eastAsia="zh-CN"/>
          </w:rPr>
          <w:t>十八、成果转化与推广应用</w:t>
        </w:r>
        <w:r>
          <w:tab/>
        </w:r>
        <w:r>
          <w:fldChar w:fldCharType="begin"/>
        </w:r>
        <w:r>
          <w:instrText xml:space="preserve"> PAGEREF _Toc24038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32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_Toc28532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80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_Toc4980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749" w:history="1">
        <w:r>
          <w:rPr>
            <w:rFonts w:ascii="仿宋" w:eastAsia="仿宋" w:hAnsi="仿宋" w:cs="仿宋" w:hint="eastAsia"/>
            <w:lang w:eastAsia="zh-CN"/>
          </w:rPr>
          <w:t>十九、企业合规与伦理</w:t>
        </w:r>
        <w:r>
          <w:tab/>
        </w:r>
        <w:r>
          <w:fldChar w:fldCharType="begin"/>
        </w:r>
        <w:r>
          <w:instrText xml:space="preserve"> PAGEREF _Toc3749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90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_Toc21490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69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_Toc23069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60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_Toc5460 \h </w:instrText>
        </w:r>
        <w:r>
          <w:fldChar w:fldCharType="separate"/>
        </w:r>
        <w:r>
          <w:t>95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32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_Toc19132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611" w:history="1">
        <w:r>
          <w:rPr>
            <w:rFonts w:ascii="仿宋" w:eastAsia="仿宋" w:hAnsi="仿宋" w:cs="仿宋" w:hint="eastAsia"/>
            <w:lang w:eastAsia="zh-CN"/>
          </w:rPr>
          <w:t>二十、设施与设备管理</w:t>
        </w:r>
        <w:r>
          <w:tab/>
        </w:r>
        <w:r>
          <w:fldChar w:fldCharType="begin"/>
        </w:r>
        <w:r>
          <w:instrText xml:space="preserve"> PAGEREF _Toc17611 \h </w:instrText>
        </w:r>
        <w:r>
          <w:fldChar w:fldCharType="separate"/>
        </w:r>
        <w:r>
          <w:t>97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2902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_Toc22902 \h </w:instrText>
        </w:r>
        <w:r>
          <w:fldChar w:fldCharType="separate"/>
        </w:r>
        <w:r>
          <w:t>97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35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_Toc24035 \h </w:instrText>
        </w:r>
        <w:r>
          <w:fldChar w:fldCharType="separate"/>
        </w:r>
        <w:r>
          <w:t>98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52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_Toc26752 \h </w:instrText>
        </w:r>
        <w:r>
          <w:fldChar w:fldCharType="separate"/>
        </w:r>
        <w:r>
          <w:t>98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1469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建设方案旨在规划与实施一个完整的项目，以解决特定问题或达成特定目标。本方案概述了项目的目标、范围、计划和实施策略，并提供了必要的资源和时间安排。请注意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9213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8001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蝇蚴病防治药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蝇蚴病防治药项目将进行详细的生态影响评估，确保不会对当地的动植物种群和自然栖息地造成负面影响。如果项目地点附近有重要的生物栖息地或生态敏感区，项目将重新考虑建设地点或采取相应的保护措施。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蝇蚴病防治药项目将积极采用可持续材料，如再生塑料和生物降解材料，以减少对环境的影响。项目还将推行废物减量和回收计划，例如通过再利用工业废料或建立回收系统。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蝇蚴病防治药项目还将参与当地的环保活动和计划，如资助当地的环境保护项目或与社区合作进行环保宣传活动。通过这些活动，项目不仅能够提高自身的环境表现，还能在当地社区中树立积极的环保形象。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187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蝇蚴病防治药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蝇蚴病防治药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蝇蚴病防治药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148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蝇蚴病防治药项目将采用绿色屋顶和生态墙等环境友好型建筑设计，这些设计不仅有助于改善空气质量，还能为城市野生动植物提供栖息地。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蝇蚴病防治药项目将建立高效的废水处理系统，确保所有工业废水在排放前都经过适当处理，达到或超过环保标准。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蝇蚴病防治药项目将致力于使用清洁能源，如太阳能和风能，减少对化石燃料的依赖。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蝇蚴病防治药项目将举办环保教育研讨会，向员工和当地社区普及环保知识，提升对环境保护重要性的认识。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9982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在蝇蚴病防治药项目启动前，将进行一系列深入的地质调查，包括钻探和土壤取样，以深入了解项目区域的地层结构和土壤组成。特别是对于土壤的承载能力和地下水位的深度进行详细评估。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蝇蚴病防治药项目将通过地下水位监测系统定期检测水位变化，以预测和预防由高地下水位可能引起的地基问题。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蝇蚴病防治药项目将进行详尽的水文和地形分析，以识别可能的洪水和泥石流风险区。基于这些分析，项目将设计防洪设施，如提高地基、构建防洪墙和排水沟。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蝇蚴病防治药项目还将考虑建设排水系统，以减少地表水对土壤稳定性的影响。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完成初始的地质风险评估后，蝇蚴病防治药项目将安装长期地质监测设备，如倾斜仪、裂缝计和地下水位计，以持续监测地质条件的变化。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068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蝇蚴病防治药项目将通过这些措施来适应和尊重特殊环境条件，确保项目的可持续发展，同时减少对环境的负面影响。这不仅有助于保护自然和文化遗产，还能提升项目在社会责任方面的表现和形象。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6880"/>
      <w:r>
        <w:rPr>
          <w:rFonts w:ascii="仿宋" w:eastAsia="仿宋" w:hAnsi="仿宋" w:cs="仿宋" w:hint="eastAsia"/>
          <w:sz w:val="28"/>
          <w:lang w:eastAsia="zh-CN"/>
        </w:rPr>
        <w:t>二、经济影响分析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24498"/>
      <w:r>
        <w:rPr>
          <w:rFonts w:ascii="仿宋" w:eastAsia="仿宋" w:hAnsi="仿宋" w:cs="仿宋" w:hint="eastAsia"/>
          <w:lang w:eastAsia="zh-CN"/>
        </w:rPr>
        <w:t>(一)、经济费用效益或费用效果分析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项目总成本评估：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初始投资成本：假设土地购置成本为XX万元，建筑和基础设施建设成本为XX万元，设备采购和安装费用为XX万元。因此，项目的总初始投资成本估计为XX万元。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运营成本：每年的运营成本包括人力资源成本XX万元，原材料采购XX万元，能源消耗XX万元，维护和修理XX万元。因此，项目的年运营成本估计为XX万元。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https://d.book118.com/646233200154010050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蝇蚴病防治药项目可行性建设方案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蝇蚴病防治药项目可行性建设方案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蝇蚴病防治药项目可行性建设方案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蝇蚴病防治药项目可行性建设方案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蝇蚴病防治药项目可行性建设方案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蝇蚴病防治药项目可行性建设方案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蝇蚴病防治药项目可行性建设方案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蝇蚴病防治药项目可行性建设方案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蝇蚴病防治药项目可行性建设方案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蝇蚴病防治药项目可行性建设方案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蝇蚴病防治药项目可行性建设方案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蝇蚴病防治药项目可行性建设方案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137607"/>
    <w:rsid w:val="1D13760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646233200154010050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2024-02-06T03:17:00Z</dcterms:created>
  <dcterms:modified xsi:type="dcterms:W3CDTF">2024-02-06T03:17:53Z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875C17378CFB439FBA1C3CFA59B3C360_11</vt:lpwstr>
  </property>
  <property fmtid="{D5CDD505-2E9C-101B-9397-08002B2CF9AE}" pid="3" name="KSOProductBuildVer">
    <vt:lpwstr>2052-12.1.0.16250</vt:lpwstr>
  </property>
</Properties>
</file>