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2018-2023年沙洲职业工学院高职单招（数学／语文／英语）历年常考试题库含答案解析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在中国现代小说史上，与茅盾、巴金齐名的另一位现代长篇小说家是（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B.丁玲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下列对典故的解释错误的是（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A.襟袖红泪：相传魏文帝时，薛灵云被选入宫，泣别父母，以玉壶盛泪，不久泪凝如血。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B.树犹如此：相传桓温北伐路过金城，看到多年前自己种的柳树已有十围粗了，感叹地说：“木犹如此，人何以堪！”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C.周公吐哺：相传周公唯恐失天下之士，常常吃饭时停下来接待贤才。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D.乘舟梦日：相传吕尚在被文王征聘前，曾梦见自己乘船从日月旁经过。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“其身正，不令而行；其身不正，虽令不从”这句话出自于（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C.郭小川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《麦琪的礼物》中男女主人公的名字分别是（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A.姚纳和万卡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B.安娜和吉姆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C.吉姆和德拉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D.罗密欧和朱丽叶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下列作品中，通篇采用寓言形式说理的是（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https://d.book118.com/647036020156006044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47036020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