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spacing w:line="360" w:lineRule="auto"/>
        <w:jc w:val="center"/>
        <w:rPr>
          <w:rFonts w:eastAsia="黑体"/>
          <w:sz w:val="30"/>
        </w:rPr>
      </w:pPr>
      <w:r>
        <w:rPr>
          <w:rFonts w:eastAsia="黑体"/>
          <w:sz w:val="30"/>
        </w:rPr>
        <w:drawing>
          <wp:anchor distT="0" distB="0" distL="114300" distR="114300" simplePos="0" relativeHeight="251658240" behindDoc="0" locked="0" layoutInCell="1" allowOverlap="1">
            <wp:simplePos x="0" y="0"/>
            <wp:positionH relativeFrom="page">
              <wp:posOffset>12280900</wp:posOffset>
            </wp:positionH>
            <wp:positionV relativeFrom="topMargin">
              <wp:posOffset>12661900</wp:posOffset>
            </wp:positionV>
            <wp:extent cx="254000" cy="355600"/>
            <wp:effectExtent l="0" t="0" r="12700" b="6350"/>
            <wp:wrapNone/>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pic:cNvPicPr>
                      <a:picLocks noChangeAspect="1"/>
                    </pic:cNvPicPr>
                  </pic:nvPicPr>
                  <pic:blipFill>
                    <a:blip xmlns:r="http://schemas.openxmlformats.org/officeDocument/2006/relationships" r:embed="rId4"/>
                    <a:stretch>
                      <a:fillRect/>
                    </a:stretch>
                  </pic:blipFill>
                  <pic:spPr>
                    <a:xfrm>
                      <a:off x="0" y="0"/>
                      <a:ext cx="254000" cy="355600"/>
                    </a:xfrm>
                    <a:prstGeom prst="rect">
                      <a:avLst/>
                    </a:prstGeom>
                  </pic:spPr>
                </pic:pic>
              </a:graphicData>
            </a:graphic>
          </wp:anchor>
        </w:drawing>
      </w:r>
      <w:r>
        <w:rPr>
          <w:rFonts w:eastAsia="黑体"/>
          <w:sz w:val="30"/>
        </w:rPr>
        <w:t>冲刺2024年高考政治真题重组卷（广东专用）</w:t>
      </w:r>
    </w:p>
    <w:p>
      <w:pPr>
        <w:adjustRightInd w:val="0"/>
        <w:snapToGrid w:val="0"/>
        <w:spacing w:line="360" w:lineRule="auto"/>
        <w:jc w:val="center"/>
        <w:rPr>
          <w:rFonts w:eastAsia="黑体"/>
          <w:sz w:val="36"/>
        </w:rPr>
      </w:pPr>
      <w:r>
        <w:rPr>
          <w:rFonts w:eastAsia="黑体"/>
          <w:sz w:val="30"/>
        </w:rPr>
        <w:t>真题重组卷01</w:t>
      </w:r>
    </w:p>
    <w:p>
      <w:pPr>
        <w:adjustRightInd w:val="0"/>
        <w:snapToGrid w:val="0"/>
        <w:spacing w:line="360" w:lineRule="auto"/>
        <w:jc w:val="center"/>
      </w:pPr>
      <w:r>
        <w:rPr>
          <w:rFonts w:eastAsia="楷体"/>
          <w:kern w:val="0"/>
        </w:rPr>
        <w:t>（考试时间：75分钟  试卷满分：100分）</w:t>
      </w:r>
    </w:p>
    <w:p>
      <w:pPr>
        <w:adjustRightInd w:val="0"/>
        <w:snapToGrid w:val="0"/>
        <w:spacing w:line="360" w:lineRule="auto"/>
        <w:jc w:val="center"/>
        <w:rPr>
          <w:b/>
          <w:sz w:val="32"/>
          <w:szCs w:val="32"/>
        </w:rPr>
      </w:pPr>
      <w:r>
        <w:rPr>
          <w:b/>
          <w:sz w:val="32"/>
          <w:szCs w:val="32"/>
        </w:rPr>
        <w:t>第I卷（选择题）</w:t>
      </w:r>
    </w:p>
    <w:p>
      <w:pPr>
        <w:spacing w:line="360" w:lineRule="auto"/>
        <w:jc w:val="left"/>
        <w:rPr>
          <w:rFonts w:eastAsia="黑体"/>
        </w:rPr>
      </w:pPr>
      <w:r>
        <w:rPr>
          <w:rFonts w:eastAsia="黑体"/>
        </w:rPr>
        <w:t>一、选择题：本大题共16小题，每小题3分，共48分。在每小题给出的四个选项中，只有一项是符合题目要求的。</w:t>
      </w:r>
    </w:p>
    <w:p>
      <w:pPr>
        <w:spacing w:line="360" w:lineRule="auto"/>
        <w:jc w:val="left"/>
        <w:textAlignment w:val="center"/>
      </w:pPr>
      <w:r>
        <w:t>1．（2023·广东卷）1956年，党的八大提出尽快把我国从落后的农业国变为先进的工业国；1987年，党的十三大提出把我国建设成为富强、民主、文明的社会主义现代化国家；2017年，党的十九大提出把我国建设成为富强民主文明和谐美丽的社会主义现代化强国；2022年，党的二十大提出以中国式现代化全面推进中华民族伟大复兴。从这一探索历程可见（    ）</w:t>
      </w:r>
    </w:p>
    <w:p>
      <w:pPr>
        <w:spacing w:line="360" w:lineRule="auto"/>
        <w:jc w:val="left"/>
        <w:textAlignment w:val="center"/>
      </w:pPr>
      <w:r>
        <w:rPr>
          <w:rFonts w:ascii="宋体" w:hAnsi="宋体" w:cs="宋体" w:hint="eastAsia"/>
        </w:rPr>
        <w:t>①</w:t>
      </w:r>
      <w:r>
        <w:t xml:space="preserve">实现现代化彰显了中国共产党人的初心和使命 </w:t>
      </w:r>
    </w:p>
    <w:p>
      <w:pPr>
        <w:spacing w:line="360" w:lineRule="auto"/>
        <w:jc w:val="left"/>
        <w:textAlignment w:val="center"/>
      </w:pPr>
      <w:r>
        <w:rPr>
          <w:rFonts w:ascii="宋体" w:hAnsi="宋体" w:cs="宋体" w:hint="eastAsia"/>
        </w:rPr>
        <w:t>②</w:t>
      </w:r>
      <w:r>
        <w:t>实现现代化是中国共产党不懈奋斗的最高理想</w:t>
      </w:r>
    </w:p>
    <w:p>
      <w:pPr>
        <w:spacing w:line="360" w:lineRule="auto"/>
        <w:jc w:val="left"/>
        <w:textAlignment w:val="center"/>
      </w:pPr>
      <w:r>
        <w:rPr>
          <w:rFonts w:ascii="宋体" w:hAnsi="宋体" w:cs="宋体" w:hint="eastAsia"/>
        </w:rPr>
        <w:t>③</w:t>
      </w:r>
      <w:r>
        <w:t>中国式现代化的提出有其历史逻辑和实践逻辑</w:t>
      </w:r>
    </w:p>
    <w:p>
      <w:pPr>
        <w:spacing w:line="360" w:lineRule="auto"/>
        <w:jc w:val="left"/>
        <w:textAlignment w:val="center"/>
      </w:pPr>
      <w:r>
        <w:rPr>
          <w:rFonts w:ascii="宋体" w:hAnsi="宋体" w:cs="宋体" w:hint="eastAsia"/>
        </w:rPr>
        <w:t>④</w:t>
      </w:r>
      <w:r>
        <w:t>中国式现代化是发展中国家实现现代化的必由之路</w:t>
      </w:r>
    </w:p>
    <w:p>
      <w:pPr>
        <w:spacing w:line="360" w:lineRule="auto"/>
        <w:jc w:val="left"/>
        <w:textAlignment w:val="center"/>
      </w:pPr>
      <w:r>
        <w:t xml:space="preserve">A． </w:t>
      </w:r>
      <w:r>
        <w:rPr>
          <w:rFonts w:ascii="宋体" w:hAnsi="宋体" w:cs="宋体" w:hint="eastAsia"/>
        </w:rPr>
        <w:t>①③</w:t>
      </w:r>
      <w:r>
        <w:tab/>
      </w:r>
      <w:r>
        <w:t xml:space="preserve">B． </w:t>
      </w:r>
      <w:r>
        <w:rPr>
          <w:rFonts w:ascii="宋体" w:hAnsi="宋体" w:cs="宋体" w:hint="eastAsia"/>
        </w:rPr>
        <w:t>①④</w:t>
      </w:r>
      <w:r>
        <w:tab/>
      </w:r>
      <w:r>
        <w:t xml:space="preserve">C． </w:t>
      </w:r>
      <w:r>
        <w:rPr>
          <w:rFonts w:ascii="宋体" w:hAnsi="宋体" w:cs="宋体" w:hint="eastAsia"/>
        </w:rPr>
        <w:t>②③</w:t>
      </w:r>
      <w:r>
        <w:tab/>
      </w:r>
      <w:r>
        <w:t xml:space="preserve">D． </w:t>
      </w:r>
      <w:r>
        <w:rPr>
          <w:rFonts w:ascii="宋体" w:hAnsi="宋体" w:cs="宋体" w:hint="eastAsia"/>
        </w:rPr>
        <w:t>②④</w:t>
      </w:r>
    </w:p>
    <w:p>
      <w:pPr>
        <w:spacing w:line="360" w:lineRule="auto"/>
        <w:jc w:val="left"/>
        <w:textAlignment w:val="center"/>
      </w:pPr>
      <w:r>
        <w:t>2． （2023·广东卷）党的二十大审议通过了《中国共产党章程（修正案）》，把党的十九大以来习近平新时代中国特色社会主义思想新发展写入党章，以更好反映以习近平同志为核心的党中央推进党的理论创新、实践创新、制度创新成果。这一修改（    ）</w:t>
      </w:r>
    </w:p>
    <w:p>
      <w:pPr>
        <w:spacing w:line="360" w:lineRule="auto"/>
        <w:jc w:val="left"/>
        <w:textAlignment w:val="center"/>
      </w:pPr>
      <w:r>
        <w:rPr>
          <w:rFonts w:ascii="宋体" w:hAnsi="宋体" w:cs="宋体" w:hint="eastAsia"/>
        </w:rPr>
        <w:t>①</w:t>
      </w:r>
      <w:r>
        <w:t>全面具体地总结了十八大以来党和国家各项事业的伟大成就</w:t>
      </w:r>
    </w:p>
    <w:p>
      <w:pPr>
        <w:spacing w:line="360" w:lineRule="auto"/>
        <w:jc w:val="left"/>
        <w:textAlignment w:val="center"/>
      </w:pPr>
      <w:r>
        <w:rPr>
          <w:rFonts w:ascii="宋体" w:hAnsi="宋体" w:cs="宋体" w:hint="eastAsia"/>
        </w:rPr>
        <w:t>②</w:t>
      </w:r>
      <w:r>
        <w:t>为更好坚持和发展中国特色社会主义提供了制度保障和法律依据</w:t>
      </w:r>
    </w:p>
    <w:p>
      <w:pPr>
        <w:spacing w:line="360" w:lineRule="auto"/>
        <w:jc w:val="left"/>
        <w:textAlignment w:val="center"/>
      </w:pPr>
      <w:r>
        <w:rPr>
          <w:rFonts w:ascii="宋体" w:hAnsi="宋体" w:cs="宋体" w:hint="eastAsia"/>
        </w:rPr>
        <w:t>③</w:t>
      </w:r>
      <w:r>
        <w:t>更加彰显习近平新时代中国特色社会主义思想的真理力量和实践伟力</w:t>
      </w:r>
    </w:p>
    <w:p>
      <w:pPr>
        <w:spacing w:line="360" w:lineRule="auto"/>
        <w:jc w:val="left"/>
        <w:textAlignment w:val="center"/>
      </w:pPr>
      <w:r>
        <w:rPr>
          <w:rFonts w:ascii="宋体" w:hAnsi="宋体" w:cs="宋体" w:hint="eastAsia"/>
        </w:rPr>
        <w:t>④</w:t>
      </w:r>
      <w:r>
        <w:t>适应形势和任务的发展变化，有利于更好发挥党章的规范和指导作用</w:t>
      </w:r>
    </w:p>
    <w:p>
      <w:pPr>
        <w:spacing w:line="360" w:lineRule="auto"/>
        <w:jc w:val="left"/>
        <w:textAlignment w:val="center"/>
      </w:pPr>
      <w:r>
        <w:t>A．</w:t>
      </w:r>
      <w:r>
        <w:rPr>
          <w:rFonts w:ascii="宋体" w:hAnsi="宋体" w:cs="宋体" w:hint="eastAsia"/>
        </w:rPr>
        <w:t>①②</w:t>
      </w:r>
      <w:r>
        <w:t xml:space="preserve">           B． </w:t>
      </w:r>
      <w:r>
        <w:rPr>
          <w:rFonts w:ascii="宋体" w:hAnsi="宋体" w:cs="宋体" w:hint="eastAsia"/>
        </w:rPr>
        <w:t>①④</w:t>
      </w:r>
      <w:r>
        <w:tab/>
      </w:r>
      <w:r>
        <w:t xml:space="preserve">C． </w:t>
      </w:r>
      <w:r>
        <w:rPr>
          <w:rFonts w:ascii="宋体" w:hAnsi="宋体" w:cs="宋体" w:hint="eastAsia"/>
        </w:rPr>
        <w:t>②③</w:t>
      </w:r>
      <w:r>
        <w:tab/>
      </w:r>
      <w:r>
        <w:t xml:space="preserve">D． </w:t>
      </w:r>
      <w:r>
        <w:rPr>
          <w:rFonts w:ascii="宋体" w:hAnsi="宋体" w:cs="宋体" w:hint="eastAsia"/>
        </w:rPr>
        <w:t>③④</w:t>
      </w:r>
    </w:p>
    <w:p>
      <w:pPr>
        <w:spacing w:line="360" w:lineRule="auto"/>
        <w:jc w:val="left"/>
        <w:textAlignment w:val="center"/>
      </w:pPr>
      <w:r>
        <w:t>3．（2023·北京卷）近年来，我国实体经济第三产业加快发展，内部结构优化，对于做实做强做优实体经济发挥了重要作用。如图为我国实体经济第三产业内部的部分行业增加值所占比重的变化。</w:t>
      </w:r>
    </w:p>
    <w:p>
      <w:pPr>
        <w:spacing w:line="360" w:lineRule="auto"/>
        <w:jc w:val="center"/>
        <w:textAlignment w:val="center"/>
        <w:sectPr>
          <w:headerReference w:type="even" r:id="rId5"/>
          <w:headerReference w:type="default" r:id="rId6"/>
          <w:footerReference w:type="even" r:id="rId7"/>
          <w:footerReference w:type="default" r:id="rId8"/>
          <w:headerReference w:type="first" r:id="rId9"/>
          <w:footerReference w:type="first" r:id="rId10"/>
          <w:pgSz w:w="11906" w:h="16838"/>
          <w:pgMar w:top="1440" w:right="1080" w:bottom="1440" w:left="1080" w:header="708" w:footer="708" w:gutter="0"/>
          <w:cols w:num="1" w:space="708"/>
          <w:docGrid w:linePitch="286" w:charSpace="0"/>
        </w:sectPr>
      </w:pPr>
      <w:r>
        <w:rPr>
          <w:rFonts w:eastAsia="Times New Roman"/>
          <w:color w:val="0000FF"/>
          <w:kern w:val="0"/>
          <w:sz w:val="24"/>
        </w:rPr>
        <w:drawing>
          <wp:inline distT="0" distB="0" distL="114300" distR="114300">
            <wp:extent cx="3752850" cy="1876425"/>
            <wp:effectExtent l="0" t="0" r="0" b="9525"/>
            <wp:docPr id="100013" name="图片 100013" descr="@@@0ced501ccd8d428987a37bf070d1d3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0ced501ccd8d428987a37bf070d1d33a"/>
                    <pic:cNvPicPr>
                      <a:picLocks noChangeAspect="1"/>
                    </pic:cNvPicPr>
                  </pic:nvPicPr>
                  <pic:blipFill>
                    <a:blip xmlns:r="http://schemas.openxmlformats.org/officeDocument/2006/relationships" r:embed="rId11"/>
                    <a:stretch>
                      <a:fillRect/>
                    </a:stretch>
                  </pic:blipFill>
                  <pic:spPr>
                    <a:xfrm>
                      <a:off x="0" y="0"/>
                      <a:ext cx="3752850" cy="1876425"/>
                    </a:xfrm>
                    <a:prstGeom prst="rect">
                      <a:avLst/>
                    </a:prstGeom>
                  </pic:spPr>
                </pic:pic>
              </a:graphicData>
            </a:graphic>
          </wp:inline>
        </w:drawing>
      </w:r>
    </w:p>
    <w:p>
      <w:pPr>
        <w:spacing w:line="360" w:lineRule="auto"/>
        <w:jc w:val="left"/>
        <w:textAlignment w:val="center"/>
      </w:pPr>
      <w:r>
        <w:t>注：租赁和商务服务业包括企业管理服务、法律服务、咨询与调查、机械设备租赁、汽车租赁、计算机及通信设备租赁等。</w:t>
      </w:r>
    </w:p>
    <w:p>
      <w:pPr>
        <w:spacing w:line="360" w:lineRule="auto"/>
        <w:jc w:val="left"/>
        <w:textAlignment w:val="center"/>
      </w:pPr>
      <w:r>
        <w:t>据此推断正确的是（   ）</w:t>
      </w:r>
    </w:p>
    <w:p>
      <w:pPr>
        <w:spacing w:line="360" w:lineRule="auto"/>
        <w:jc w:val="left"/>
        <w:textAlignment w:val="center"/>
      </w:pPr>
      <w:r>
        <w:t>A．租赁和商务服务业将会替代批发和零售业</w:t>
      </w:r>
    </w:p>
    <w:p>
      <w:pPr>
        <w:spacing w:line="360" w:lineRule="auto"/>
        <w:jc w:val="left"/>
        <w:textAlignment w:val="center"/>
      </w:pPr>
      <w:r>
        <w:t>B．对住宿和餐饮业的服务需求量呈现下降趋势</w:t>
      </w:r>
    </w:p>
    <w:p>
      <w:pPr>
        <w:spacing w:line="360" w:lineRule="auto"/>
        <w:jc w:val="left"/>
        <w:textAlignment w:val="center"/>
      </w:pPr>
      <w:r>
        <w:t>C．部分现代服务业增加值的增速高于实体经济第三产业</w:t>
      </w:r>
    </w:p>
    <w:p>
      <w:pPr>
        <w:spacing w:line="360" w:lineRule="auto"/>
        <w:jc w:val="left"/>
        <w:textAlignment w:val="center"/>
      </w:pPr>
      <w:r>
        <w:t>D．第三产业内部的行业结构变化使产业劳动密集程度提高</w:t>
      </w:r>
    </w:p>
    <w:p>
      <w:pPr>
        <w:spacing w:line="360" w:lineRule="auto"/>
        <w:jc w:val="left"/>
        <w:textAlignment w:val="center"/>
      </w:pPr>
      <w:r>
        <w:t>4．（2023·辽宁卷）下列对漫画所反映的劳动力市场问题的推导过程符合经济学原理的是（   ）</w:t>
      </w:r>
    </w:p>
    <w:p>
      <w:pPr>
        <w:spacing w:line="360" w:lineRule="auto"/>
        <w:jc w:val="center"/>
        <w:textAlignment w:val="center"/>
      </w:pPr>
      <w:r>
        <w:rPr>
          <w:rFonts w:eastAsia="Times New Roman"/>
          <w:color w:val="0000FF"/>
          <w:kern w:val="0"/>
          <w:sz w:val="24"/>
        </w:rPr>
        <w:drawing>
          <wp:inline distT="0" distB="0" distL="114300" distR="114300">
            <wp:extent cx="3295650" cy="2009775"/>
            <wp:effectExtent l="0" t="0" r="0" b="9525"/>
            <wp:docPr id="100003" name="图片 100003" descr="@@@d116e62424d549df84521c667a371f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d116e62424d549df84521c667a371fd8"/>
                    <pic:cNvPicPr>
                      <a:picLocks noChangeAspect="1"/>
                    </pic:cNvPicPr>
                  </pic:nvPicPr>
                  <pic:blipFill>
                    <a:blip xmlns:r="http://schemas.openxmlformats.org/officeDocument/2006/relationships" r:embed="rId12"/>
                    <a:stretch>
                      <a:fillRect/>
                    </a:stretch>
                  </pic:blipFill>
                  <pic:spPr>
                    <a:xfrm>
                      <a:off x="0" y="0"/>
                      <a:ext cx="3295650" cy="2009775"/>
                    </a:xfrm>
                    <a:prstGeom prst="rect">
                      <a:avLst/>
                    </a:prstGeom>
                  </pic:spPr>
                </pic:pic>
              </a:graphicData>
            </a:graphic>
          </wp:inline>
        </w:drawing>
      </w:r>
    </w:p>
    <w:p>
      <w:pPr>
        <w:spacing w:line="360" w:lineRule="auto"/>
        <w:jc w:val="left"/>
        <w:textAlignment w:val="center"/>
      </w:pPr>
      <w:r>
        <w:rPr>
          <w:rFonts w:ascii="宋体" w:hAnsi="宋体" w:cs="宋体" w:hint="eastAsia"/>
        </w:rPr>
        <w:t>①</w:t>
      </w:r>
      <w:r>
        <w:t>专业选择先于供求信息获得→劳动者在专业选择上具有盲目性→供求难以匹配</w:t>
      </w:r>
    </w:p>
    <w:p>
      <w:pPr>
        <w:spacing w:line="360" w:lineRule="auto"/>
        <w:jc w:val="left"/>
        <w:textAlignment w:val="center"/>
      </w:pPr>
      <w:r>
        <w:rPr>
          <w:rFonts w:ascii="宋体" w:hAnsi="宋体" w:cs="宋体" w:hint="eastAsia"/>
        </w:rPr>
        <w:t>②</w:t>
      </w:r>
      <w:r>
        <w:t>劳动者只看重自身眼前利益→劳动力价格上升使企业需求下降→供求难以匹配</w:t>
      </w:r>
    </w:p>
    <w:p>
      <w:pPr>
        <w:spacing w:line="360" w:lineRule="auto"/>
        <w:jc w:val="left"/>
        <w:textAlignment w:val="center"/>
      </w:pPr>
      <w:r>
        <w:rPr>
          <w:rFonts w:ascii="宋体" w:hAnsi="宋体" w:cs="宋体" w:hint="eastAsia"/>
        </w:rPr>
        <w:t>③</w:t>
      </w:r>
      <w:r>
        <w:t>行业间工资和福利存在差距→劳动者向高工资高福利行业集中→局部供求失衡</w:t>
      </w:r>
    </w:p>
    <w:p>
      <w:pPr>
        <w:spacing w:line="360" w:lineRule="auto"/>
        <w:jc w:val="left"/>
        <w:textAlignment w:val="center"/>
      </w:pPr>
      <w:r>
        <w:rPr>
          <w:rFonts w:ascii="宋体" w:hAnsi="宋体" w:cs="宋体" w:hint="eastAsia"/>
        </w:rPr>
        <w:t>④</w:t>
      </w:r>
      <w:r>
        <w:t>企业获得市场信息有滞后性→企业难以及时调整需求适应供给→局部供求失衡</w:t>
      </w:r>
    </w:p>
    <w:p>
      <w:pPr>
        <w:spacing w:line="360" w:lineRule="auto"/>
        <w:jc w:val="left"/>
        <w:textAlignment w:val="center"/>
      </w:pPr>
      <w:r>
        <w:t>A．</w:t>
      </w:r>
      <w:r>
        <w:rPr>
          <w:rFonts w:ascii="宋体" w:hAnsi="宋体" w:cs="宋体" w:hint="eastAsia"/>
        </w:rPr>
        <w:t>①③</w:t>
      </w:r>
      <w:r>
        <w:t xml:space="preserve">               B．</w:t>
      </w:r>
      <w:r>
        <w:rPr>
          <w:rFonts w:ascii="宋体" w:hAnsi="宋体" w:cs="宋体" w:hint="eastAsia"/>
        </w:rPr>
        <w:t>①④</w:t>
      </w:r>
      <w:r>
        <w:tab/>
      </w:r>
      <w:r>
        <w:t>C．</w:t>
      </w:r>
      <w:r>
        <w:rPr>
          <w:rFonts w:ascii="宋体" w:hAnsi="宋体" w:cs="宋体" w:hint="eastAsia"/>
        </w:rPr>
        <w:t>②③</w:t>
      </w:r>
      <w:r>
        <w:tab/>
      </w:r>
      <w:r>
        <w:t>D．</w:t>
      </w:r>
      <w:r>
        <w:rPr>
          <w:rFonts w:ascii="宋体" w:hAnsi="宋体" w:cs="宋体" w:hint="eastAsia"/>
        </w:rPr>
        <w:t>②④</w:t>
      </w:r>
    </w:p>
    <w:p>
      <w:pPr>
        <w:spacing w:line="360" w:lineRule="auto"/>
        <w:jc w:val="left"/>
        <w:textAlignment w:val="center"/>
      </w:pPr>
      <w:r>
        <w:t>5．（2023·北京卷）公共数据是各级党政机关、企事业单位依法履职或提供公共服务过程中产生的数据类型，具有权威性、基础性、可控性、公益性等特点。“取之于民，用之于民”，北京市公共数据开放平台已向社会开放了大量公共数据。下列认识正确的是（   ）</w:t>
      </w:r>
    </w:p>
    <w:p>
      <w:pPr>
        <w:spacing w:line="360" w:lineRule="auto"/>
        <w:jc w:val="left"/>
        <w:textAlignment w:val="center"/>
      </w:pPr>
      <w:r>
        <w:rPr>
          <w:rFonts w:ascii="宋体" w:hAnsi="宋体" w:cs="宋体" w:hint="eastAsia"/>
        </w:rPr>
        <w:t>①</w:t>
      </w:r>
      <w:r>
        <w:t xml:space="preserve">企业可利用公共数据提高劳动生产率  </w:t>
      </w:r>
      <w:r>
        <w:rPr>
          <w:rFonts w:ascii="宋体" w:hAnsi="宋体" w:cs="宋体" w:hint="eastAsia"/>
        </w:rPr>
        <w:t>②</w:t>
      </w:r>
      <w:r>
        <w:t>开放公共数据会降低数据资源的价值</w:t>
      </w:r>
    </w:p>
    <w:p>
      <w:pPr>
        <w:spacing w:line="360" w:lineRule="auto"/>
        <w:jc w:val="left"/>
        <w:textAlignment w:val="center"/>
      </w:pPr>
      <w:r>
        <w:rPr>
          <w:rFonts w:ascii="宋体" w:hAnsi="宋体" w:cs="宋体" w:hint="eastAsia"/>
        </w:rPr>
        <w:t>③</w:t>
      </w:r>
      <w:r>
        <w:t xml:space="preserve">公共数据要素的价值是由政府决定的  </w:t>
      </w:r>
      <w:r>
        <w:rPr>
          <w:rFonts w:ascii="宋体" w:hAnsi="宋体" w:cs="宋体" w:hint="eastAsia"/>
        </w:rPr>
        <w:t>④</w:t>
      </w:r>
      <w:r>
        <w:t>将公共数据交由市场提供会出现供给不足</w:t>
      </w:r>
    </w:p>
    <w:p>
      <w:pPr>
        <w:spacing w:line="360" w:lineRule="auto"/>
        <w:jc w:val="left"/>
        <w:textAlignment w:val="center"/>
      </w:pPr>
      <w:r>
        <w:t>A．</w:t>
      </w:r>
      <w:r>
        <w:rPr>
          <w:rFonts w:ascii="宋体" w:hAnsi="宋体" w:cs="宋体" w:hint="eastAsia"/>
        </w:rPr>
        <w:t>①③</w:t>
      </w:r>
      <w:r>
        <w:tab/>
      </w:r>
      <w:r>
        <w:t>B．</w:t>
      </w:r>
      <w:r>
        <w:rPr>
          <w:rFonts w:ascii="宋体" w:hAnsi="宋体" w:cs="宋体" w:hint="eastAsia"/>
        </w:rPr>
        <w:t>①④</w:t>
      </w:r>
      <w:r>
        <w:tab/>
      </w:r>
      <w:r>
        <w:t>C．</w:t>
      </w:r>
      <w:r>
        <w:rPr>
          <w:rFonts w:ascii="宋体" w:hAnsi="宋体" w:cs="宋体" w:hint="eastAsia"/>
        </w:rPr>
        <w:t>②③</w:t>
      </w:r>
      <w:r>
        <w:tab/>
      </w:r>
      <w:r>
        <w:t>D．</w:t>
      </w:r>
      <w:r>
        <w:rPr>
          <w:rFonts w:ascii="宋体" w:hAnsi="宋体" w:cs="宋体" w:hint="eastAsia"/>
        </w:rPr>
        <w:t>②④</w:t>
      </w:r>
    </w:p>
    <w:p>
      <w:pPr>
        <w:spacing w:line="360" w:lineRule="auto"/>
        <w:jc w:val="left"/>
        <w:textAlignment w:val="center"/>
      </w:pPr>
      <w:r>
        <w:t>6．（2023·辽宁卷）甲公司向市场监督管理局投诉乙公司侵犯其商标权，该局受理后展开调查，经查明事实，对乙公司作出行政处罚。乙公司不服，向法院提起行政诉讼，法院维持该行政处罚决定，驳回了乙公司的诉讼请求，乙公司未上诉。这体现了该局（   ）</w:t>
      </w:r>
    </w:p>
    <w:p>
      <w:pPr>
        <w:spacing w:line="360" w:lineRule="auto"/>
        <w:jc w:val="left"/>
        <w:textAlignment w:val="center"/>
      </w:pPr>
      <w:r>
        <w:rPr>
          <w:rFonts w:ascii="宋体" w:hAnsi="宋体" w:cs="宋体" w:hint="eastAsia"/>
        </w:rPr>
        <w:t>①</w:t>
      </w:r>
      <w:r>
        <w:t>依法履行法定职责，规范地行使了行政权力</w:t>
      </w:r>
    </w:p>
    <w:p>
      <w:pPr>
        <w:spacing w:line="360" w:lineRule="auto"/>
        <w:jc w:val="left"/>
        <w:textAlignment w:val="center"/>
      </w:pPr>
      <w:r>
        <w:rPr>
          <w:rFonts w:ascii="宋体" w:hAnsi="宋体" w:cs="宋体" w:hint="eastAsia"/>
        </w:rPr>
        <w:t>②</w:t>
      </w:r>
      <w:r>
        <w:t>对争议事实进行查证，有效化解了行政争议</w:t>
      </w:r>
    </w:p>
    <w:p>
      <w:pPr>
        <w:spacing w:line="360" w:lineRule="auto"/>
        <w:jc w:val="left"/>
        <w:textAlignment w:val="center"/>
      </w:pPr>
      <w:r>
        <w:rPr>
          <w:rFonts w:ascii="宋体" w:hAnsi="宋体" w:cs="宋体" w:hint="eastAsia"/>
        </w:rPr>
        <w:t>③</w:t>
      </w:r>
      <w:r>
        <w:t>运用了行政裁决、行政诉讼等纠纷解决机制</w:t>
      </w:r>
    </w:p>
    <w:p>
      <w:pPr>
        <w:spacing w:line="360" w:lineRule="auto"/>
        <w:jc w:val="left"/>
        <w:textAlignment w:val="center"/>
        <w:sectPr>
          <w:headerReference w:type="even" r:id="rId13"/>
          <w:headerReference w:type="default" r:id="rId14"/>
          <w:footerReference w:type="even" r:id="rId15"/>
          <w:footerReference w:type="default" r:id="rId16"/>
          <w:headerReference w:type="first" r:id="rId17"/>
          <w:footerReference w:type="first" r:id="rId18"/>
          <w:type w:val="nextPage"/>
          <w:pgSz w:w="11906" w:h="16838"/>
          <w:pgMar w:top="1440" w:right="1080" w:bottom="1440" w:left="1080" w:header="708" w:footer="708" w:gutter="0"/>
          <w:pgNumType w:start="2"/>
          <w:cols w:num="1" w:space="708"/>
          <w:titlePg w:val="0"/>
          <w:docGrid w:linePitch="286" w:charSpace="0"/>
        </w:sectPr>
      </w:pPr>
      <w:r>
        <w:rPr>
          <w:rFonts w:ascii="宋体" w:hAnsi="宋体" w:cs="宋体" w:hint="eastAsia"/>
        </w:rPr>
        <w:t>④</w:t>
      </w:r>
      <w:r>
        <w:t>维护了当事人的合法权益，彰显了公平正义</w:t>
      </w:r>
    </w:p>
    <w:p>
      <w:pPr>
        <w:spacing w:line="360" w:lineRule="auto"/>
        <w:jc w:val="left"/>
        <w:textAlignment w:val="center"/>
      </w:pPr>
      <w:r>
        <w:t>A．</w:t>
      </w:r>
      <w:r>
        <w:rPr>
          <w:rFonts w:ascii="宋体" w:hAnsi="宋体" w:cs="宋体" w:hint="eastAsia"/>
        </w:rPr>
        <w:t>①②</w:t>
      </w:r>
      <w:r>
        <w:tab/>
      </w:r>
      <w:r>
        <w:t>B．</w:t>
      </w:r>
      <w:r>
        <w:rPr>
          <w:rFonts w:ascii="宋体" w:hAnsi="宋体" w:cs="宋体" w:hint="eastAsia"/>
        </w:rPr>
        <w:t>①④</w:t>
      </w:r>
      <w:r>
        <w:tab/>
      </w:r>
      <w:r>
        <w:t>C．</w:t>
      </w:r>
      <w:r>
        <w:rPr>
          <w:rFonts w:ascii="宋体" w:hAnsi="宋体" w:cs="宋体" w:hint="eastAsia"/>
        </w:rPr>
        <w:t>②③</w:t>
      </w:r>
      <w:r>
        <w:tab/>
      </w:r>
      <w:r>
        <w:t>D．</w:t>
      </w:r>
      <w:r>
        <w:rPr>
          <w:rFonts w:ascii="宋体" w:hAnsi="宋体" w:cs="宋体" w:hint="eastAsia"/>
        </w:rPr>
        <w:t>③④</w:t>
      </w:r>
    </w:p>
    <w:p>
      <w:pPr>
        <w:spacing w:line="360" w:lineRule="auto"/>
        <w:jc w:val="left"/>
        <w:textAlignment w:val="center"/>
      </w:pPr>
      <w:r>
        <w:t>7．（2023·辽宁卷）李先生向社区提出了解决人车分流问题的建议。在街道党总支牵头下，社区多次召开物业、商铺及李先生等居民共同参与的意见征求会议，最终形成了反映整体诉求的社区生活秩序优化方案。方案的落地增强了人们的归属感和幸福感。这一过程（   ）</w:t>
      </w:r>
    </w:p>
    <w:p>
      <w:pPr>
        <w:spacing w:line="360" w:lineRule="auto"/>
        <w:jc w:val="left"/>
        <w:textAlignment w:val="center"/>
      </w:pPr>
      <w:r>
        <w:rPr>
          <w:rFonts w:ascii="宋体" w:hAnsi="宋体" w:cs="宋体" w:hint="eastAsia"/>
        </w:rPr>
        <w:t>①</w:t>
      </w:r>
      <w:r>
        <w:t>提高了公众维权意识和协商式监督的积极性</w:t>
      </w:r>
    </w:p>
    <w:p>
      <w:pPr>
        <w:spacing w:line="360" w:lineRule="auto"/>
        <w:jc w:val="left"/>
        <w:textAlignment w:val="center"/>
      </w:pPr>
      <w:r>
        <w:rPr>
          <w:rFonts w:ascii="宋体" w:hAnsi="宋体" w:cs="宋体" w:hint="eastAsia"/>
        </w:rPr>
        <w:t>②</w:t>
      </w:r>
      <w:r>
        <w:t>体现了对社区治理成果认同和共享的广泛性</w:t>
      </w:r>
    </w:p>
    <w:p>
      <w:pPr>
        <w:spacing w:line="360" w:lineRule="auto"/>
        <w:jc w:val="left"/>
        <w:textAlignment w:val="center"/>
      </w:pPr>
      <w:r>
        <w:rPr>
          <w:rFonts w:ascii="宋体" w:hAnsi="宋体" w:cs="宋体" w:hint="eastAsia"/>
        </w:rPr>
        <w:t>③</w:t>
      </w:r>
      <w:r>
        <w:t>实现公众意见征询从决策前向决策后的延伸</w:t>
      </w:r>
    </w:p>
    <w:p>
      <w:pPr>
        <w:spacing w:line="360" w:lineRule="auto"/>
        <w:jc w:val="left"/>
        <w:textAlignment w:val="center"/>
      </w:pPr>
      <w:r>
        <w:rPr>
          <w:rFonts w:ascii="宋体" w:hAnsi="宋体" w:cs="宋体" w:hint="eastAsia"/>
        </w:rPr>
        <w:t>④</w:t>
      </w:r>
      <w:r>
        <w:t>表明党和人民是利益一致、同心同向的整体</w:t>
      </w:r>
    </w:p>
    <w:p>
      <w:pPr>
        <w:spacing w:line="360" w:lineRule="auto"/>
        <w:jc w:val="left"/>
        <w:textAlignment w:val="center"/>
      </w:pPr>
      <w:r>
        <w:t>A．</w:t>
      </w:r>
      <w:r>
        <w:rPr>
          <w:rFonts w:ascii="宋体" w:hAnsi="宋体" w:cs="宋体" w:hint="eastAsia"/>
        </w:rPr>
        <w:t>①③</w:t>
      </w:r>
      <w:r>
        <w:tab/>
      </w:r>
      <w:r>
        <w:t>B．</w:t>
      </w:r>
      <w:r>
        <w:rPr>
          <w:rFonts w:ascii="宋体" w:hAnsi="宋体" w:cs="宋体" w:hint="eastAsia"/>
        </w:rPr>
        <w:t>①④</w:t>
      </w:r>
      <w:r>
        <w:tab/>
      </w:r>
      <w:r>
        <w:t>C．</w:t>
      </w:r>
      <w:r>
        <w:rPr>
          <w:rFonts w:ascii="宋体" w:hAnsi="宋体" w:cs="宋体" w:hint="eastAsia"/>
        </w:rPr>
        <w:t>②③</w:t>
      </w:r>
      <w:r>
        <w:tab/>
      </w:r>
      <w:r>
        <w:t>D．</w:t>
      </w:r>
      <w:r>
        <w:rPr>
          <w:rFonts w:ascii="宋体" w:hAnsi="宋体" w:cs="宋体" w:hint="eastAsia"/>
        </w:rPr>
        <w:t>②④</w:t>
      </w:r>
    </w:p>
    <w:p>
      <w:pPr>
        <w:numPr>
          <w:ilvl w:val="0"/>
          <w:numId w:val="1"/>
        </w:numPr>
        <w:tabs>
          <w:tab w:val="clear" w:pos="312"/>
        </w:tabs>
        <w:spacing w:line="360" w:lineRule="auto"/>
        <w:jc w:val="left"/>
        <w:textAlignment w:val="center"/>
      </w:pPr>
      <w:r>
        <w:t>（2023·北京卷）红色文化主题游——“进京赶考之路（北京段）”示意图重走“进京赶考之路”，是追忆也是洗礼，其意义在于（   ）</w:t>
      </w:r>
    </w:p>
    <w:p>
      <w:pPr>
        <w:spacing w:line="360" w:lineRule="auto"/>
        <w:jc w:val="center"/>
        <w:textAlignment w:val="center"/>
        <w:rPr>
          <w:rFonts w:eastAsia="Times New Roman"/>
          <w:kern w:val="0"/>
          <w:sz w:val="24"/>
        </w:rPr>
      </w:pPr>
      <w:r>
        <w:rPr>
          <w:rFonts w:eastAsia="Times New Roman"/>
          <w:kern w:val="0"/>
          <w:sz w:val="24"/>
        </w:rPr>
        <w:drawing>
          <wp:inline distT="0" distB="0" distL="114300" distR="114300">
            <wp:extent cx="3467100" cy="1333500"/>
            <wp:effectExtent l="0" t="0" r="0" b="0"/>
            <wp:docPr id="3" name="图片 3" descr="@@@701cb866-0207-4314-9443-a2037418ca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701cb866-0207-4314-9443-a2037418ca93"/>
                    <pic:cNvPicPr>
                      <a:picLocks noChangeAspect="1"/>
                    </pic:cNvPicPr>
                  </pic:nvPicPr>
                  <pic:blipFill>
                    <a:blip xmlns:r="http://schemas.openxmlformats.org/officeDocument/2006/relationships" r:embed="rId19"/>
                    <a:stretch>
                      <a:fillRect/>
                    </a:stretch>
                  </pic:blipFill>
                  <pic:spPr>
                    <a:xfrm>
                      <a:off x="0" y="0"/>
                      <a:ext cx="3467100" cy="1333500"/>
                    </a:xfrm>
                    <a:prstGeom prst="rect">
                      <a:avLst/>
                    </a:prstGeom>
                  </pic:spPr>
                </pic:pic>
              </a:graphicData>
            </a:graphic>
          </wp:inline>
        </w:drawing>
      </w:r>
    </w:p>
    <w:p>
      <w:pPr>
        <w:spacing w:line="360" w:lineRule="auto"/>
        <w:jc w:val="left"/>
        <w:textAlignment w:val="center"/>
      </w:pPr>
      <w:r>
        <w:rPr>
          <w:rFonts w:ascii="宋体" w:hAnsi="宋体" w:cs="宋体" w:hint="eastAsia"/>
        </w:rPr>
        <w:t>①</w:t>
      </w:r>
      <w:r>
        <w:t xml:space="preserve">感受社会主义建设新征程的开启 </w:t>
      </w:r>
      <w:r>
        <w:rPr>
          <w:rFonts w:ascii="宋体" w:hAnsi="宋体" w:cs="宋体" w:hint="eastAsia"/>
        </w:rPr>
        <w:t>②</w:t>
      </w:r>
      <w:r>
        <w:t>感悟共产党人“赶考”的清醒与坚定</w:t>
      </w:r>
    </w:p>
    <w:p>
      <w:pPr>
        <w:spacing w:line="360" w:lineRule="auto"/>
        <w:jc w:val="left"/>
        <w:textAlignment w:val="center"/>
      </w:pPr>
      <w:r>
        <w:rPr>
          <w:rFonts w:ascii="宋体" w:hAnsi="宋体" w:cs="宋体" w:hint="eastAsia"/>
        </w:rPr>
        <w:t>③</w:t>
      </w:r>
      <w:r>
        <w:t xml:space="preserve">了解生产关系的根本性改变     </w:t>
      </w:r>
      <w:r>
        <w:rPr>
          <w:rFonts w:ascii="宋体" w:hAnsi="宋体" w:cs="宋体" w:hint="eastAsia"/>
        </w:rPr>
        <w:t>④</w:t>
      </w:r>
      <w:r>
        <w:t>不忘初心，汲取前行力量</w:t>
      </w:r>
    </w:p>
    <w:p>
      <w:pPr>
        <w:spacing w:line="360" w:lineRule="auto"/>
        <w:jc w:val="left"/>
        <w:textAlignment w:val="center"/>
      </w:pPr>
      <w:r>
        <w:t>A．</w:t>
      </w:r>
      <w:r>
        <w:rPr>
          <w:rFonts w:ascii="宋体" w:hAnsi="宋体" w:cs="宋体" w:hint="eastAsia"/>
        </w:rPr>
        <w:t>①②</w:t>
      </w:r>
      <w:r>
        <w:tab/>
      </w:r>
      <w:r>
        <w:t>B．</w:t>
      </w:r>
      <w:r>
        <w:rPr>
          <w:rFonts w:ascii="宋体" w:hAnsi="宋体" w:cs="宋体" w:hint="eastAsia"/>
        </w:rPr>
        <w:t>①③</w:t>
      </w:r>
      <w:r>
        <w:tab/>
      </w:r>
      <w:r>
        <w:t>C．</w:t>
      </w:r>
      <w:r>
        <w:rPr>
          <w:rFonts w:ascii="宋体" w:hAnsi="宋体" w:cs="宋体" w:hint="eastAsia"/>
        </w:rPr>
        <w:t>②④</w:t>
      </w:r>
      <w:r>
        <w:tab/>
      </w:r>
      <w:r>
        <w:t>D．</w:t>
      </w:r>
      <w:r>
        <w:rPr>
          <w:rFonts w:ascii="宋体" w:hAnsi="宋体" w:cs="宋体" w:hint="eastAsia"/>
        </w:rPr>
        <w:t>③④</w:t>
      </w:r>
    </w:p>
    <w:p>
      <w:pPr>
        <w:spacing w:line="360" w:lineRule="auto"/>
        <w:jc w:val="left"/>
        <w:textAlignment w:val="center"/>
      </w:pPr>
      <w:r>
        <w:t>9．（2023·广东卷） “物勒工名”是我国古代长期延续的一种手工业管理制度，要求器物的制造者把自己的名字勒刻在器物上面，便于管理者检验与追责，“以考其诚”。久而久之，诚信敬业、精益求精的制度要求就内化为工匠的自觉意识，从而推动了传统工匠精神的形成与传承。“物勒工名” （    ）</w:t>
      </w:r>
    </w:p>
    <w:p>
      <w:pPr>
        <w:spacing w:line="360" w:lineRule="auto"/>
        <w:jc w:val="left"/>
        <w:textAlignment w:val="center"/>
      </w:pPr>
      <w:r>
        <w:rPr>
          <w:rFonts w:ascii="宋体" w:hAnsi="宋体" w:cs="宋体" w:hint="eastAsia"/>
        </w:rPr>
        <w:t>①</w:t>
      </w:r>
      <w:r>
        <w:t xml:space="preserve">是传统工匠精神形成和发展的根源         </w:t>
      </w:r>
      <w:r>
        <w:rPr>
          <w:rFonts w:ascii="宋体" w:hAnsi="宋体" w:cs="宋体" w:hint="eastAsia"/>
        </w:rPr>
        <w:t>②</w:t>
      </w:r>
      <w:r>
        <w:t>可为现代工匠精神的培育提供借鉴</w:t>
      </w:r>
    </w:p>
    <w:p>
      <w:pPr>
        <w:spacing w:line="360" w:lineRule="auto"/>
        <w:jc w:val="left"/>
        <w:textAlignment w:val="center"/>
      </w:pPr>
      <w:r>
        <w:rPr>
          <w:rFonts w:ascii="宋体" w:hAnsi="宋体" w:cs="宋体" w:hint="eastAsia"/>
        </w:rPr>
        <w:t>③</w:t>
      </w:r>
      <w:r>
        <w:t xml:space="preserve">以满足民众的物质文化需求为导向         </w:t>
      </w:r>
      <w:r>
        <w:rPr>
          <w:rFonts w:ascii="宋体" w:hAnsi="宋体" w:cs="宋体" w:hint="eastAsia"/>
        </w:rPr>
        <w:t>④</w:t>
      </w:r>
      <w:r>
        <w:t>体现了中华优秀传统文化的核心思想理念</w:t>
      </w:r>
    </w:p>
    <w:p>
      <w:pPr>
        <w:spacing w:line="360" w:lineRule="auto"/>
        <w:jc w:val="left"/>
        <w:textAlignment w:val="center"/>
      </w:pPr>
      <w:r>
        <w:t xml:space="preserve">A． </w:t>
      </w:r>
      <w:r>
        <w:rPr>
          <w:rFonts w:ascii="宋体" w:hAnsi="宋体" w:cs="宋体" w:hint="eastAsia"/>
        </w:rPr>
        <w:t>①③</w:t>
      </w:r>
      <w:r>
        <w:tab/>
      </w:r>
      <w:r>
        <w:t xml:space="preserve">B． </w:t>
      </w:r>
      <w:r>
        <w:rPr>
          <w:rFonts w:ascii="宋体" w:hAnsi="宋体" w:cs="宋体" w:hint="eastAsia"/>
        </w:rPr>
        <w:t>①④</w:t>
      </w:r>
      <w:r>
        <w:tab/>
      </w:r>
      <w:r>
        <w:t xml:space="preserve">C． </w:t>
      </w:r>
      <w:r>
        <w:rPr>
          <w:rFonts w:ascii="宋体" w:hAnsi="宋体" w:cs="宋体" w:hint="eastAsia"/>
        </w:rPr>
        <w:t>②③</w:t>
      </w:r>
      <w:r>
        <w:tab/>
      </w:r>
      <w:r>
        <w:t xml:space="preserve">D． </w:t>
      </w:r>
      <w:r>
        <w:rPr>
          <w:rFonts w:ascii="宋体" w:hAnsi="宋体" w:cs="宋体" w:hint="eastAsia"/>
        </w:rPr>
        <w:t>②④</w:t>
      </w:r>
    </w:p>
    <w:p>
      <w:pPr>
        <w:spacing w:line="360" w:lineRule="auto"/>
        <w:jc w:val="left"/>
        <w:textAlignment w:val="center"/>
      </w:pPr>
      <w:r>
        <w:t>10． （2023·广东卷）如图漫画（作者：于冰）所蕴含的哲理是（    ）</w:t>
      </w:r>
    </w:p>
    <w:p>
      <w:pPr>
        <w:spacing w:line="360" w:lineRule="auto"/>
        <w:jc w:val="center"/>
        <w:textAlignment w:val="center"/>
        <w:rPr>
          <w:rFonts w:ascii="宋体" w:hAnsi="宋体" w:cs="宋体"/>
        </w:rPr>
      </w:pPr>
      <w:r>
        <w:rPr>
          <w:color w:val="000000"/>
        </w:rPr>
        <w:drawing>
          <wp:inline distT="0" distB="0" distL="0" distR="0">
            <wp:extent cx="2019300" cy="1617345"/>
            <wp:effectExtent l="0" t="0" r="0" b="1905"/>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a:xfrm>
                      <a:off x="0" y="0"/>
                      <a:ext cx="2019300" cy="1617345"/>
                    </a:xfrm>
                    <a:prstGeom prst="rect">
                      <a:avLst/>
                    </a:prstGeom>
                  </pic:spPr>
                </pic:pic>
              </a:graphicData>
            </a:graphic>
          </wp:inline>
        </w:drawing>
      </w:r>
    </w:p>
    <w:p>
      <w:pPr>
        <w:spacing w:line="360" w:lineRule="auto"/>
        <w:jc w:val="left"/>
        <w:textAlignment w:val="center"/>
        <w:sectPr>
          <w:headerReference w:type="even" r:id="rId21"/>
          <w:headerReference w:type="default" r:id="rId22"/>
          <w:footerReference w:type="even" r:id="rId23"/>
          <w:footerReference w:type="default" r:id="rId24"/>
          <w:headerReference w:type="first" r:id="rId25"/>
          <w:footerReference w:type="first" r:id="rId26"/>
          <w:type w:val="nextPage"/>
          <w:pgSz w:w="11906" w:h="16838"/>
          <w:pgMar w:top="1440" w:right="1080" w:bottom="1440" w:left="1080" w:header="708" w:footer="708" w:gutter="0"/>
          <w:pgNumType w:start="3"/>
          <w:cols w:num="1" w:space="708"/>
          <w:titlePg w:val="0"/>
          <w:docGrid w:linePitch="286" w:charSpace="0"/>
        </w:sectPr>
      </w:pPr>
      <w:r>
        <w:rPr>
          <w:rFonts w:ascii="宋体" w:hAnsi="宋体" w:cs="宋体" w:hint="eastAsia"/>
        </w:rPr>
        <w:t>①</w:t>
      </w:r>
      <w:r>
        <w:t xml:space="preserve">质变是量变的必然结果            </w:t>
      </w:r>
    </w:p>
    <w:p>
      <w:pPr>
        <w:spacing w:line="360" w:lineRule="auto"/>
        <w:jc w:val="left"/>
        <w:textAlignment w:val="center"/>
      </w:pPr>
      <w:r>
        <w:rPr>
          <w:rFonts w:ascii="宋体" w:hAnsi="宋体" w:cs="宋体" w:hint="eastAsia"/>
        </w:rPr>
        <w:t>②</w:t>
      </w:r>
      <w:r>
        <w:t>矛盾双方既对立又统一</w:t>
      </w:r>
    </w:p>
    <w:p>
      <w:pPr>
        <w:spacing w:line="360" w:lineRule="auto"/>
        <w:jc w:val="left"/>
        <w:textAlignment w:val="center"/>
      </w:pPr>
      <w:r>
        <w:rPr>
          <w:rFonts w:ascii="宋体" w:hAnsi="宋体" w:cs="宋体" w:hint="eastAsia"/>
        </w:rPr>
        <w:t>③</w:t>
      </w:r>
      <w:r>
        <w:t xml:space="preserve">事物的价值取决于人的选择       </w:t>
      </w:r>
    </w:p>
    <w:p>
      <w:pPr>
        <w:spacing w:line="360" w:lineRule="auto"/>
        <w:jc w:val="left"/>
        <w:textAlignment w:val="center"/>
      </w:pPr>
      <w:r>
        <w:rPr>
          <w:rFonts w:ascii="宋体" w:hAnsi="宋体" w:cs="宋体" w:hint="eastAsia"/>
        </w:rPr>
        <w:t>④</w:t>
      </w:r>
      <w:r>
        <w:t>正确的认识来自合理的判断</w:t>
      </w:r>
    </w:p>
    <w:p>
      <w:pPr>
        <w:spacing w:line="360" w:lineRule="auto"/>
        <w:jc w:val="left"/>
        <w:textAlignment w:val="center"/>
      </w:pPr>
      <w:r>
        <w:t xml:space="preserve">A </w:t>
      </w:r>
      <w:r>
        <w:rPr>
          <w:rFonts w:ascii="宋体" w:hAnsi="宋体" w:cs="宋体" w:hint="eastAsia"/>
        </w:rPr>
        <w:t>①②</w:t>
      </w:r>
      <w:r>
        <w:tab/>
      </w:r>
      <w:r>
        <w:t xml:space="preserve">B． </w:t>
      </w:r>
      <w:r>
        <w:rPr>
          <w:rFonts w:ascii="宋体" w:hAnsi="宋体" w:cs="宋体" w:hint="eastAsia"/>
        </w:rPr>
        <w:t>①③</w:t>
      </w:r>
      <w:r>
        <w:tab/>
      </w:r>
      <w:r>
        <w:t xml:space="preserve">C． </w:t>
      </w:r>
      <w:r>
        <w:rPr>
          <w:rFonts w:ascii="宋体" w:hAnsi="宋体" w:cs="宋体" w:hint="eastAsia"/>
        </w:rPr>
        <w:t>②④</w:t>
      </w:r>
      <w:r>
        <w:tab/>
      </w:r>
      <w:r>
        <w:t xml:space="preserve">D． </w:t>
      </w:r>
      <w:r>
        <w:rPr>
          <w:rFonts w:ascii="宋体" w:hAnsi="宋体" w:cs="宋体" w:hint="eastAsia"/>
        </w:rPr>
        <w:t>③④</w:t>
      </w:r>
    </w:p>
    <w:p>
      <w:pPr>
        <w:spacing w:line="360" w:lineRule="auto"/>
        <w:jc w:val="left"/>
        <w:textAlignment w:val="center"/>
      </w:pPr>
      <w:r>
        <w:t>11． （2023·广东卷）20世纪80年代，自行车是我国居民出行最常见的代步工具。近年来，随着绿色低碳出行观念的普及，多地出现骑行热，凭借健身、时尚、科技等新元素，沉寂多年的自行车再次引发民众的消费热潮。这一现象说明（    ）</w:t>
      </w:r>
    </w:p>
    <w:p>
      <w:pPr>
        <w:spacing w:line="360" w:lineRule="auto"/>
        <w:jc w:val="left"/>
        <w:textAlignment w:val="center"/>
      </w:pPr>
      <w:r>
        <w:rPr>
          <w:rFonts w:ascii="宋体" w:hAnsi="宋体" w:cs="宋体" w:hint="eastAsia"/>
        </w:rPr>
        <w:t>①</w:t>
      </w:r>
      <w:r>
        <w:t xml:space="preserve">人的意识活动具有目的性和选择性        </w:t>
      </w:r>
      <w:r>
        <w:rPr>
          <w:rFonts w:ascii="宋体" w:hAnsi="宋体" w:cs="宋体" w:hint="eastAsia"/>
        </w:rPr>
        <w:t>②</w:t>
      </w:r>
      <w:r>
        <w:t>人们对美好生活的向往决定生活面貌</w:t>
      </w:r>
    </w:p>
    <w:p>
      <w:pPr>
        <w:spacing w:line="360" w:lineRule="auto"/>
        <w:jc w:val="left"/>
        <w:textAlignment w:val="center"/>
      </w:pPr>
      <w:r>
        <w:rPr>
          <w:rFonts w:ascii="宋体" w:hAnsi="宋体" w:cs="宋体" w:hint="eastAsia"/>
        </w:rPr>
        <w:t>③</w:t>
      </w:r>
      <w:r>
        <w:t xml:space="preserve">事物的发展是间断性和飞跃性的统一      </w:t>
      </w:r>
      <w:r>
        <w:rPr>
          <w:rFonts w:ascii="宋体" w:hAnsi="宋体" w:cs="宋体" w:hint="eastAsia"/>
        </w:rPr>
        <w:t>④</w:t>
      </w:r>
      <w:r>
        <w:t>社会意识对社会存在具有能动的反作用</w:t>
      </w:r>
    </w:p>
    <w:p>
      <w:pPr>
        <w:spacing w:line="360" w:lineRule="auto"/>
        <w:jc w:val="left"/>
        <w:textAlignment w:val="center"/>
      </w:pPr>
      <w:r>
        <w:t xml:space="preserve">A </w:t>
      </w:r>
      <w:r>
        <w:rPr>
          <w:rFonts w:ascii="宋体" w:hAnsi="宋体" w:cs="宋体" w:hint="eastAsia"/>
        </w:rPr>
        <w:t>①③</w:t>
      </w:r>
      <w:r>
        <w:tab/>
      </w:r>
      <w:r>
        <w:t xml:space="preserve">B． </w:t>
      </w:r>
      <w:r>
        <w:rPr>
          <w:rFonts w:ascii="宋体" w:hAnsi="宋体" w:cs="宋体" w:hint="eastAsia"/>
        </w:rPr>
        <w:t>①④</w:t>
      </w:r>
      <w:r>
        <w:tab/>
      </w:r>
      <w:r>
        <w:t xml:space="preserve">C． </w:t>
      </w:r>
      <w:r>
        <w:rPr>
          <w:rFonts w:ascii="宋体" w:hAnsi="宋体" w:cs="宋体" w:hint="eastAsia"/>
        </w:rPr>
        <w:t>②③</w:t>
      </w:r>
      <w:r>
        <w:tab/>
      </w:r>
      <w:r>
        <w:t xml:space="preserve">D． </w:t>
      </w:r>
      <w:r>
        <w:rPr>
          <w:rFonts w:ascii="宋体" w:hAnsi="宋体" w:cs="宋体" w:hint="eastAsia"/>
        </w:rPr>
        <w:t>②④</w:t>
      </w:r>
    </w:p>
    <w:p>
      <w:pPr>
        <w:spacing w:line="360" w:lineRule="auto"/>
        <w:jc w:val="left"/>
        <w:textAlignment w:val="center"/>
      </w:pPr>
      <w:r>
        <w:t>12．（2023·北京卷）“人见佳山水，辄曰‘如画’，见善丹青，辄曰‘逼真’。”清代画家王鉴的这句话道出了人们对美好事物的审美体验。可见，“如画”与“逼真”（   ）</w:t>
      </w:r>
    </w:p>
    <w:p>
      <w:pPr>
        <w:spacing w:line="360" w:lineRule="auto"/>
        <w:jc w:val="left"/>
        <w:textAlignment w:val="center"/>
      </w:pPr>
      <w:r>
        <w:t>A．是对现实的描绘和升华，实现了思维和存在的同一</w:t>
      </w:r>
    </w:p>
    <w:p>
      <w:pPr>
        <w:spacing w:line="360" w:lineRule="auto"/>
        <w:jc w:val="left"/>
        <w:textAlignment w:val="center"/>
      </w:pPr>
      <w:r>
        <w:t>B．表明事物的存在受到主体认识和体验的制约</w:t>
      </w:r>
    </w:p>
    <w:p>
      <w:pPr>
        <w:spacing w:line="360" w:lineRule="auto"/>
        <w:jc w:val="left"/>
        <w:textAlignment w:val="center"/>
      </w:pPr>
      <w:r>
        <w:t>C．说明观念可以无限趋近于客观现实  D．反映了山水与丹青的联系具有“人化”特点</w:t>
      </w:r>
    </w:p>
    <w:p>
      <w:pPr>
        <w:spacing w:line="360" w:lineRule="auto"/>
        <w:jc w:val="left"/>
        <w:textAlignment w:val="center"/>
      </w:pPr>
      <w:r>
        <w:t>13．（2023·辽宁卷）缺乏互信的两国开展合作，现有甲、乙两个项目。其中，甲需两国合力完成，但收益巨大；乙可两国合力，也可一国独立完成，但整体收益远低于甲的一半。因资金有限，在同一时期两国只能选择一个项目投资且无法撤资，合力完成项目后收益两国均分。对于两国决策者来说，对国家最有利的选择是（   ）</w:t>
      </w:r>
    </w:p>
    <w:p>
      <w:pPr>
        <w:spacing w:line="360" w:lineRule="auto"/>
        <w:jc w:val="left"/>
        <w:textAlignment w:val="center"/>
      </w:pPr>
      <w:r>
        <w:rPr>
          <w:rFonts w:ascii="宋体" w:hAnsi="宋体" w:cs="宋体" w:hint="eastAsia"/>
        </w:rPr>
        <w:t>①</w:t>
      </w:r>
      <w:r>
        <w:t xml:space="preserve">防范对方失信行为      </w:t>
      </w:r>
      <w:r>
        <w:tab/>
      </w:r>
      <w:r>
        <w:rPr>
          <w:rFonts w:ascii="宋体" w:hAnsi="宋体" w:cs="宋体" w:hint="eastAsia"/>
        </w:rPr>
        <w:t>②</w:t>
      </w:r>
      <w:r>
        <w:t>开展两国对话协商</w:t>
      </w:r>
    </w:p>
    <w:p>
      <w:pPr>
        <w:spacing w:line="360" w:lineRule="auto"/>
        <w:jc w:val="left"/>
        <w:textAlignment w:val="center"/>
      </w:pPr>
      <w:r>
        <w:rPr>
          <w:rFonts w:ascii="宋体" w:hAnsi="宋体" w:cs="宋体" w:hint="eastAsia"/>
        </w:rPr>
        <w:t>③</w:t>
      </w:r>
      <w:r>
        <w:t xml:space="preserve">向大型项目甲投资      </w:t>
      </w:r>
      <w:r>
        <w:tab/>
      </w:r>
      <w:r>
        <w:rPr>
          <w:rFonts w:ascii="宋体" w:hAnsi="宋体" w:cs="宋体" w:hint="eastAsia"/>
        </w:rPr>
        <w:t>④</w:t>
      </w:r>
      <w:r>
        <w:t>向小型项目乙投资</w:t>
      </w:r>
    </w:p>
    <w:p>
      <w:pPr>
        <w:spacing w:line="360" w:lineRule="auto"/>
        <w:jc w:val="left"/>
        <w:textAlignment w:val="center"/>
      </w:pPr>
      <w:r>
        <w:t>A．</w:t>
      </w:r>
      <w:r>
        <w:rPr>
          <w:rFonts w:ascii="宋体" w:hAnsi="宋体" w:cs="宋体" w:hint="eastAsia"/>
        </w:rPr>
        <w:t>①</w:t>
      </w:r>
      <w:r>
        <w:t>→</w:t>
      </w:r>
      <w:r>
        <w:rPr>
          <w:rFonts w:ascii="宋体" w:hAnsi="宋体" w:cs="宋体" w:hint="eastAsia"/>
        </w:rPr>
        <w:t>③</w:t>
      </w:r>
      <w:r>
        <w:tab/>
      </w:r>
      <w:r>
        <w:t>B．</w:t>
      </w:r>
      <w:r>
        <w:rPr>
          <w:rFonts w:ascii="宋体" w:hAnsi="宋体" w:cs="宋体" w:hint="eastAsia"/>
        </w:rPr>
        <w:t>①</w:t>
      </w:r>
      <w:r>
        <w:t>→</w:t>
      </w:r>
      <w:r>
        <w:rPr>
          <w:rFonts w:ascii="宋体" w:hAnsi="宋体" w:cs="宋体" w:hint="eastAsia"/>
        </w:rPr>
        <w:t>④</w:t>
      </w:r>
      <w:r>
        <w:tab/>
      </w:r>
      <w:r>
        <w:t>C．</w:t>
      </w:r>
      <w:r>
        <w:rPr>
          <w:rFonts w:ascii="宋体" w:hAnsi="宋体" w:cs="宋体" w:hint="eastAsia"/>
        </w:rPr>
        <w:t>②</w:t>
      </w:r>
      <w:r>
        <w:t>→</w:t>
      </w:r>
      <w:r>
        <w:rPr>
          <w:rFonts w:ascii="宋体" w:hAnsi="宋体" w:cs="宋体" w:hint="eastAsia"/>
        </w:rPr>
        <w:t>③</w:t>
      </w:r>
      <w:r>
        <w:tab/>
      </w:r>
      <w:r>
        <w:t>D．</w:t>
      </w:r>
      <w:r>
        <w:rPr>
          <w:rFonts w:ascii="宋体" w:hAnsi="宋体" w:cs="宋体" w:hint="eastAsia"/>
        </w:rPr>
        <w:t>②</w:t>
      </w:r>
      <w:r>
        <w:t>→</w:t>
      </w:r>
      <w:r>
        <w:rPr>
          <w:rFonts w:ascii="宋体" w:hAnsi="宋体" w:cs="宋体" w:hint="eastAsia"/>
        </w:rPr>
        <w:t>④</w:t>
      </w:r>
    </w:p>
    <w:p>
      <w:pPr>
        <w:spacing w:line="360" w:lineRule="auto"/>
        <w:jc w:val="left"/>
        <w:textAlignment w:val="center"/>
      </w:pPr>
      <w:r>
        <w:t>14．（2023·辽宁卷）某村成立合作社，发展“采茶+茶艺”的文旅融合模式，村民积极响应。张爷爷以承包地的经营权入股合作社，用作采茶园。他还把宅基地上的房屋租给合作社，用于经营茶楼，租期5年。文旅融合模式拓宽了村民的收入渠道。下列说法正确的是（   ）</w:t>
      </w:r>
    </w:p>
    <w:p>
      <w:pPr>
        <w:spacing w:line="360" w:lineRule="auto"/>
        <w:jc w:val="left"/>
        <w:textAlignment w:val="center"/>
      </w:pPr>
      <w:r>
        <w:rPr>
          <w:rFonts w:ascii="宋体" w:hAnsi="宋体" w:cs="宋体" w:hint="eastAsia"/>
        </w:rPr>
        <w:t>①</w:t>
      </w:r>
      <w:r>
        <w:t>张爷爷对其承包地享有抵押权，对其宅基地享有所有权</w:t>
      </w:r>
    </w:p>
    <w:p>
      <w:pPr>
        <w:spacing w:line="360" w:lineRule="auto"/>
        <w:jc w:val="left"/>
        <w:textAlignment w:val="center"/>
      </w:pPr>
      <w:r>
        <w:rPr>
          <w:rFonts w:ascii="宋体" w:hAnsi="宋体" w:cs="宋体" w:hint="eastAsia"/>
        </w:rPr>
        <w:t>②</w:t>
      </w:r>
      <w:r>
        <w:t>合作社对张爷爷的房屋可以占有、使用，享有用益物权</w:t>
      </w:r>
    </w:p>
    <w:p>
      <w:pPr>
        <w:spacing w:line="360" w:lineRule="auto"/>
        <w:jc w:val="left"/>
        <w:textAlignment w:val="center"/>
      </w:pPr>
      <w:r>
        <w:rPr>
          <w:rFonts w:ascii="宋体" w:hAnsi="宋体" w:cs="宋体" w:hint="eastAsia"/>
        </w:rPr>
        <w:t>③</w:t>
      </w:r>
      <w:r>
        <w:t>张爷爷与合作社之间的房屋租赁合同应当采用书面形式</w:t>
      </w:r>
    </w:p>
    <w:p>
      <w:pPr>
        <w:spacing w:line="360" w:lineRule="auto"/>
        <w:jc w:val="left"/>
        <w:textAlignment w:val="center"/>
      </w:pPr>
      <w:r>
        <w:rPr>
          <w:rFonts w:ascii="宋体" w:hAnsi="宋体" w:cs="宋体" w:hint="eastAsia"/>
        </w:rPr>
        <w:t>④</w:t>
      </w:r>
      <w:r>
        <w:t>张爷爷与合作社的法律地位平等，均享有民事权利能力</w:t>
      </w:r>
    </w:p>
    <w:p>
      <w:pPr>
        <w:spacing w:line="360" w:lineRule="auto"/>
        <w:jc w:val="left"/>
        <w:textAlignment w:val="center"/>
      </w:pPr>
      <w:r>
        <w:t>A．</w:t>
      </w:r>
      <w:r>
        <w:rPr>
          <w:rFonts w:ascii="宋体" w:hAnsi="宋体" w:cs="宋体" w:hint="eastAsia"/>
        </w:rPr>
        <w:t>①②</w:t>
      </w:r>
      <w:r>
        <w:tab/>
      </w:r>
      <w:r>
        <w:t>B．</w:t>
      </w:r>
      <w:r>
        <w:rPr>
          <w:rFonts w:ascii="宋体" w:hAnsi="宋体" w:cs="宋体" w:hint="eastAsia"/>
        </w:rPr>
        <w:t>①④</w:t>
      </w:r>
      <w:r>
        <w:tab/>
      </w:r>
      <w:r>
        <w:t>C．</w:t>
      </w:r>
      <w:r>
        <w:rPr>
          <w:rFonts w:ascii="宋体" w:hAnsi="宋体" w:cs="宋体" w:hint="eastAsia"/>
        </w:rPr>
        <w:t>②③</w:t>
      </w:r>
      <w:r>
        <w:tab/>
      </w:r>
      <w:r>
        <w:t>D．</w:t>
      </w:r>
      <w:r>
        <w:rPr>
          <w:rFonts w:ascii="宋体" w:hAnsi="宋体" w:cs="宋体" w:hint="eastAsia"/>
        </w:rPr>
        <w:t>③④</w:t>
      </w:r>
    </w:p>
    <w:p>
      <w:pPr>
        <w:spacing w:line="360" w:lineRule="auto"/>
        <w:jc w:val="left"/>
        <w:textAlignment w:val="center"/>
      </w:pPr>
      <w:r>
        <w:rPr>
          <w:rFonts w:ascii="宋体" w:hAnsi="宋体" w:cs="宋体" w:hint="eastAsia"/>
        </w:rPr>
        <w:t>④</w:t>
      </w:r>
      <w:r>
        <w:t>正确。故本题选D。</w:t>
      </w:r>
    </w:p>
    <w:p>
      <w:pPr>
        <w:spacing w:line="360" w:lineRule="auto"/>
        <w:jc w:val="left"/>
        <w:textAlignment w:val="center"/>
        <w:sectPr>
          <w:headerReference w:type="even" r:id="rId27"/>
          <w:headerReference w:type="default" r:id="rId28"/>
          <w:footerReference w:type="even" r:id="rId29"/>
          <w:footerReference w:type="default" r:id="rId30"/>
          <w:headerReference w:type="first" r:id="rId31"/>
          <w:footerReference w:type="first" r:id="rId32"/>
          <w:type w:val="nextPage"/>
          <w:pgSz w:w="11906" w:h="16838"/>
          <w:pgMar w:top="1440" w:right="1080" w:bottom="1440" w:left="1080" w:header="708" w:footer="708" w:gutter="0"/>
          <w:pgNumType w:start="4"/>
          <w:cols w:num="1" w:space="708"/>
          <w:titlePg w:val="0"/>
          <w:docGrid w:linePitch="286" w:charSpace="0"/>
        </w:sectPr>
      </w:pPr>
      <w:r>
        <w:t>15．（2023·辽宁卷）网络平台利用其收集的消费者偏好、消费金额、消费次数等信息进行差异定价的情况频频发生。最近，某平台对钻石会员销售的高档宾馆住宿费定价高于线下一倍多，给消费者利益造成损害。下列判断正确的是（   ）</w:t>
      </w:r>
    </w:p>
    <w:p>
      <w:pPr>
        <w:spacing w:line="360" w:lineRule="auto"/>
        <w:jc w:val="left"/>
        <w:textAlignment w:val="center"/>
      </w:pPr>
      <w:r>
        <w:rPr>
          <w:rFonts w:ascii="宋体" w:hAnsi="宋体" w:cs="宋体" w:hint="eastAsia"/>
        </w:rPr>
        <w:t>①</w:t>
      </w:r>
      <w:r>
        <w:t>平台根据不同消费者的信息进行差异定价，侵犯消费者知情权</w:t>
      </w:r>
    </w:p>
    <w:p>
      <w:pPr>
        <w:spacing w:line="360" w:lineRule="auto"/>
        <w:jc w:val="left"/>
        <w:textAlignment w:val="center"/>
      </w:pPr>
      <w:r>
        <w:rPr>
          <w:rFonts w:ascii="宋体" w:hAnsi="宋体" w:cs="宋体" w:hint="eastAsia"/>
        </w:rPr>
        <w:t>②</w:t>
      </w:r>
      <w:r>
        <w:t>消费能力、特殊消费偏好属于个人信息，但均不属于个人隐私</w:t>
      </w:r>
    </w:p>
    <w:p>
      <w:pPr>
        <w:spacing w:line="360" w:lineRule="auto"/>
        <w:jc w:val="left"/>
        <w:textAlignment w:val="center"/>
      </w:pPr>
      <w:r>
        <w:rPr>
          <w:rFonts w:ascii="宋体" w:hAnsi="宋体" w:cs="宋体" w:hint="eastAsia"/>
        </w:rPr>
        <w:t>③</w:t>
      </w:r>
      <w:r>
        <w:t>消费者若想向平台主张损害赔偿，要承担损害事实的举证责任</w:t>
      </w:r>
    </w:p>
    <w:p>
      <w:pPr>
        <w:spacing w:line="360" w:lineRule="auto"/>
        <w:jc w:val="left"/>
        <w:textAlignment w:val="center"/>
      </w:pPr>
      <w:r>
        <w:rPr>
          <w:rFonts w:ascii="宋体" w:hAnsi="宋体" w:cs="宋体" w:hint="eastAsia"/>
        </w:rPr>
        <w:t>④</w:t>
      </w:r>
      <w:r>
        <w:t>消费者若主张平台侵犯其个人信息权益，要证明平台存在过错</w:t>
      </w:r>
    </w:p>
    <w:p>
      <w:pPr>
        <w:spacing w:line="360" w:lineRule="auto"/>
        <w:jc w:val="left"/>
        <w:textAlignment w:val="center"/>
      </w:pPr>
      <w:r>
        <w:t>A．</w:t>
      </w:r>
      <w:r>
        <w:rPr>
          <w:rFonts w:ascii="宋体" w:hAnsi="宋体" w:cs="宋体" w:hint="eastAsia"/>
        </w:rPr>
        <w:t>①②</w:t>
      </w:r>
      <w:r>
        <w:tab/>
      </w:r>
      <w:r>
        <w:t>B．</w:t>
      </w:r>
      <w:r>
        <w:rPr>
          <w:rFonts w:ascii="宋体" w:hAnsi="宋体" w:cs="宋体" w:hint="eastAsia"/>
        </w:rPr>
        <w:t>①③</w:t>
      </w:r>
      <w:r>
        <w:tab/>
      </w:r>
      <w:r>
        <w:t>C．</w:t>
      </w:r>
      <w:r>
        <w:rPr>
          <w:rFonts w:ascii="宋体" w:hAnsi="宋体" w:cs="宋体" w:hint="eastAsia"/>
        </w:rPr>
        <w:t>②④</w:t>
      </w:r>
      <w:r>
        <w:tab/>
      </w:r>
      <w:r>
        <w:t>D．</w:t>
      </w:r>
      <w:r>
        <w:rPr>
          <w:rFonts w:ascii="宋体" w:hAnsi="宋体" w:cs="宋体" w:hint="eastAsia"/>
        </w:rPr>
        <w:t>③④</w:t>
      </w:r>
    </w:p>
    <w:p>
      <w:pPr>
        <w:spacing w:line="360" w:lineRule="auto"/>
        <w:jc w:val="left"/>
        <w:textAlignment w:val="center"/>
      </w:pPr>
      <w:r>
        <w:t>16．（2023·辽宁卷）雾凇俗称树挂，玉树琼花，宛若仙境。其形成条件严苛，需要独特的气象条件与自然要素。不同地区形成雾凇的条件存在一定差异，但湿度大、风力小、气温日较差大是形成雾凇的共同条件。以下选项一定为真的是（   ）</w:t>
      </w:r>
    </w:p>
    <w:p>
      <w:pPr>
        <w:spacing w:line="360" w:lineRule="auto"/>
        <w:jc w:val="left"/>
        <w:textAlignment w:val="center"/>
      </w:pPr>
      <w:r>
        <w:rPr>
          <w:rFonts w:ascii="宋体" w:hAnsi="宋体" w:cs="宋体" w:hint="eastAsia"/>
        </w:rPr>
        <w:t>①</w:t>
      </w:r>
      <w:r>
        <w:t>湿度大、风力小、气温日较差大，所以雾凇产生了</w:t>
      </w:r>
    </w:p>
    <w:p>
      <w:pPr>
        <w:spacing w:line="360" w:lineRule="auto"/>
        <w:jc w:val="left"/>
        <w:textAlignment w:val="center"/>
      </w:pPr>
      <w:r>
        <w:rPr>
          <w:rFonts w:ascii="宋体" w:hAnsi="宋体" w:cs="宋体" w:hint="eastAsia"/>
        </w:rPr>
        <w:t>②</w:t>
      </w:r>
      <w:r>
        <w:t>雾凇产生了，所以湿度大、风力小、气温日较差大</w:t>
      </w:r>
    </w:p>
    <w:p>
      <w:pPr>
        <w:spacing w:line="360" w:lineRule="auto"/>
        <w:jc w:val="left"/>
        <w:textAlignment w:val="center"/>
      </w:pPr>
      <w:r>
        <w:rPr>
          <w:rFonts w:ascii="宋体" w:hAnsi="宋体" w:cs="宋体" w:hint="eastAsia"/>
        </w:rPr>
        <w:t>③</w:t>
      </w:r>
      <w:r>
        <w:t>湿度小或风力大或气温日较差小，所以雾凇没产生</w:t>
      </w:r>
    </w:p>
    <w:p>
      <w:pPr>
        <w:spacing w:line="360" w:lineRule="auto"/>
        <w:jc w:val="left"/>
        <w:textAlignment w:val="center"/>
      </w:pPr>
      <w:r>
        <w:rPr>
          <w:rFonts w:ascii="宋体" w:hAnsi="宋体" w:cs="宋体" w:hint="eastAsia"/>
        </w:rPr>
        <w:t>④</w:t>
      </w:r>
      <w:r>
        <w:t>雾凇没产生，所以并非湿度大、风力小、气温日较差大</w:t>
      </w:r>
    </w:p>
    <w:p>
      <w:pPr>
        <w:spacing w:line="360" w:lineRule="auto"/>
        <w:jc w:val="left"/>
        <w:textAlignment w:val="center"/>
      </w:pPr>
      <w:r>
        <w:t>A．</w:t>
      </w:r>
      <w:r>
        <w:rPr>
          <w:rFonts w:ascii="宋体" w:hAnsi="宋体" w:cs="宋体" w:hint="eastAsia"/>
        </w:rPr>
        <w:t>①②</w:t>
      </w:r>
      <w:r>
        <w:tab/>
      </w:r>
      <w:r>
        <w:t>B．</w:t>
      </w:r>
      <w:r>
        <w:rPr>
          <w:rFonts w:ascii="宋体" w:hAnsi="宋体" w:cs="宋体" w:hint="eastAsia"/>
        </w:rPr>
        <w:t>①④</w:t>
      </w:r>
      <w:r>
        <w:tab/>
      </w:r>
      <w:r>
        <w:t>C．</w:t>
      </w:r>
      <w:r>
        <w:rPr>
          <w:rFonts w:ascii="宋体" w:hAnsi="宋体" w:cs="宋体" w:hint="eastAsia"/>
        </w:rPr>
        <w:t>②③</w:t>
      </w:r>
      <w:r>
        <w:tab/>
      </w:r>
      <w:r>
        <w:t>D．</w:t>
      </w:r>
      <w:r>
        <w:rPr>
          <w:rFonts w:ascii="宋体" w:hAnsi="宋体" w:cs="宋体" w:hint="eastAsia"/>
        </w:rPr>
        <w:t>③④</w:t>
      </w:r>
    </w:p>
    <w:p>
      <w:pPr>
        <w:spacing w:line="360" w:lineRule="auto"/>
        <w:jc w:val="left"/>
        <w:rPr>
          <w:rFonts w:eastAsia="黑体"/>
        </w:rPr>
      </w:pPr>
      <w:r>
        <w:rPr>
          <w:rFonts w:eastAsia="黑体"/>
        </w:rPr>
        <w:t>二、非选择题：本题共4小题，共52分。</w:t>
      </w:r>
    </w:p>
    <w:p>
      <w:pPr>
        <w:spacing w:line="360" w:lineRule="auto"/>
        <w:jc w:val="left"/>
        <w:textAlignment w:val="center"/>
      </w:pPr>
      <w:r>
        <w:t>16．</w:t>
      </w:r>
      <w:r>
        <w:rPr>
          <w:rFonts w:eastAsia="黑体"/>
        </w:rPr>
        <w:t>（2023·广东卷）</w:t>
      </w:r>
      <w:r>
        <w:t>阅读材料，完成下列要求。</w:t>
      </w:r>
    </w:p>
    <w:p>
      <w:pPr>
        <w:spacing w:line="360" w:lineRule="auto"/>
        <w:ind w:firstLine="420"/>
        <w:jc w:val="left"/>
        <w:textAlignment w:val="center"/>
        <w:rPr>
          <w:color w:val="000000"/>
        </w:rPr>
      </w:pPr>
      <w:r>
        <w:rPr>
          <w:rFonts w:eastAsia="楷体"/>
          <w:color w:val="000000"/>
        </w:rPr>
        <w:t>材料一  预制菜是以农、畜、禽、水产品为原料，经过分切、搅拌、腌制等环节加工而成的成品或半成品。广东省作为预制菜的策源地，针对行业痛点制定对策（见下表），产业发展卓有成效，在2022年《中国预制菜产业指数省份排行榜》中位居第一。</w:t>
      </w:r>
    </w:p>
    <w:p>
      <w:pPr>
        <w:spacing w:line="360" w:lineRule="auto"/>
        <w:ind w:firstLine="420"/>
        <w:jc w:val="center"/>
        <w:textAlignment w:val="center"/>
        <w:rPr>
          <w:color w:val="000000"/>
        </w:rPr>
      </w:pPr>
      <w:r>
        <w:rPr>
          <w:rFonts w:eastAsia="楷体"/>
          <w:color w:val="000000"/>
        </w:rPr>
        <w:t>预制菜行业痛点和广东省主要做法</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649"/>
        <w:gridCol w:w="7337"/>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color w:val="000000"/>
              </w:rPr>
            </w:pPr>
            <w:r>
              <w:rPr>
                <w:color w:val="000000"/>
              </w:rPr>
              <w:t>行业痛点</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color w:val="000000"/>
              </w:rPr>
            </w:pPr>
            <w:r>
              <w:rPr>
                <w:color w:val="000000"/>
              </w:rPr>
              <w:t>主要做法</w:t>
            </w:r>
          </w:p>
        </w:tc>
      </w:tr>
      <w:tr>
        <w:tblPrEx>
          <w:tblW w:w="5000" w:type="pct"/>
          <w:tblInd w:w="0" w:type="dxa"/>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color w:val="000000"/>
              </w:rPr>
            </w:pPr>
            <w:r>
              <w:rPr>
                <w:color w:val="000000"/>
              </w:rPr>
              <w:t>涉及食材种类多，企业生产工艺良莠不齐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color w:val="000000"/>
              </w:rPr>
            </w:pPr>
            <w:r>
              <w:rPr>
                <w:color w:val="000000"/>
              </w:rPr>
              <w:t>出台《加快推进广东预制菜产业高质量发展十条措施》，制定《预制菜冷链配送规范》《预制菜产业园建设指南》等地方标准</w:t>
            </w:r>
          </w:p>
        </w:tc>
      </w:tr>
      <w:tr>
        <w:tblPrEx>
          <w:tblW w:w="5000" w:type="pct"/>
          <w:tblInd w:w="0" w:type="dxa"/>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color w:val="000000"/>
              </w:rPr>
            </w:pPr>
            <w:r>
              <w:rPr>
                <w:color w:val="000000"/>
              </w:rPr>
              <w:t>农林牧渔产品的价格受自然条件影响大</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color w:val="000000"/>
              </w:rPr>
            </w:pPr>
            <w:r>
              <w:rPr>
                <w:color w:val="000000"/>
              </w:rPr>
              <w:t>采用“公司</w:t>
            </w:r>
            <w:r>
              <w:rPr>
                <w:rFonts w:eastAsia="Times New Roman"/>
                <w:color w:val="000000"/>
              </w:rPr>
              <w:t>+</w:t>
            </w:r>
            <w:r>
              <w:rPr>
                <w:color w:val="000000"/>
              </w:rPr>
              <w:t>基地</w:t>
            </w:r>
            <w:r>
              <w:rPr>
                <w:rFonts w:eastAsia="Times New Roman"/>
                <w:color w:val="000000"/>
              </w:rPr>
              <w:t>+</w:t>
            </w:r>
            <w:r>
              <w:rPr>
                <w:color w:val="000000"/>
              </w:rPr>
              <w:t>农户”的经营模式，与农户签订订单；加强中央厨房建设，实行统一采购</w:t>
            </w:r>
          </w:p>
        </w:tc>
      </w:tr>
      <w:tr>
        <w:tblPrEx>
          <w:tblW w:w="5000" w:type="pct"/>
          <w:tblInd w:w="0" w:type="dxa"/>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color w:val="000000"/>
              </w:rPr>
            </w:pPr>
            <w:r>
              <w:rPr>
                <w:color w:val="000000"/>
              </w:rPr>
              <w:t>冷链运输损耗大</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color w:val="000000"/>
              </w:rPr>
            </w:pPr>
            <w:r>
              <w:rPr>
                <w:color w:val="000000"/>
              </w:rPr>
              <w:t>研发与营养保持、菜品保鲜、冷链物流相关的关键技术；支持建设仓储物流设施</w:t>
            </w:r>
          </w:p>
        </w:tc>
      </w:tr>
      <w:tr>
        <w:tblPrEx>
          <w:tblW w:w="5000" w:type="pct"/>
          <w:tblInd w:w="0" w:type="dxa"/>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color w:val="000000"/>
              </w:rPr>
            </w:pPr>
            <w:r>
              <w:rPr>
                <w:color w:val="000000"/>
              </w:rPr>
              <w:t>品牌知名度低</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color w:val="000000"/>
              </w:rPr>
            </w:pPr>
            <w:r>
              <w:rPr>
                <w:color w:val="000000"/>
              </w:rPr>
              <w:t>开发招牌菜和地方特色菜，开展直播带货等活动；支持出口到《区域全面经济伙伴关系协定》（</w:t>
            </w:r>
            <w:r>
              <w:rPr>
                <w:rFonts w:eastAsia="Times New Roman"/>
                <w:color w:val="000000"/>
              </w:rPr>
              <w:t>RCEP</w:t>
            </w:r>
            <w:r>
              <w:rPr>
                <w:color w:val="000000"/>
              </w:rPr>
              <w:t>）成员国</w:t>
            </w:r>
          </w:p>
        </w:tc>
      </w:tr>
    </w:tbl>
    <w:p>
      <w:pPr>
        <w:spacing w:line="360" w:lineRule="auto"/>
        <w:ind w:firstLine="420"/>
        <w:jc w:val="left"/>
        <w:textAlignment w:val="center"/>
        <w:rPr>
          <w:color w:val="000000"/>
        </w:rPr>
      </w:pPr>
      <w:r>
        <w:rPr>
          <w:rFonts w:eastAsia="楷体"/>
          <w:color w:val="000000"/>
        </w:rPr>
        <w:t>材料二</w:t>
      </w:r>
      <w:r>
        <w:rPr>
          <w:rFonts w:eastAsia="楷体"/>
          <w:color w:val="000000"/>
        </w:rPr>
        <w:t xml:space="preserve"> </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https://d.book118.com/647056011031006041</w:t>
        </w:r>
      </w:hyperlink>
    </w:p>
    <w:p>
      <w:pPr>
        <w:spacing w:line="360" w:lineRule="auto"/>
        <w:ind w:firstLine="420"/>
        <w:jc w:val="left"/>
        <w:textAlignment w:val="center"/>
        <w:rPr>
          <w:color w:val="000000"/>
        </w:rPr>
      </w:pPr>
    </w:p>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080" w:bottom="1440" w:left="1080" w:header="708" w:footer="708" w:gutter="0"/>
      <w:pgNumType w:start="5"/>
      <w:cols w:num="1" w:space="708"/>
      <w:titlePg w:val="0"/>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1E1EC0B"/>
    <w:multiLevelType w:val="singleLevel"/>
    <w:tmpl w:val="91E1EC0B"/>
    <w:lvl w:ilvl="0">
      <w:start w:val="2"/>
      <w:numFmt w:val="decimal"/>
      <w:suff w:val="nothing"/>
      <w:lvlText w:val="（%1）"/>
      <w:lvlJc w:val="left"/>
    </w:lvl>
  </w:abstractNum>
  <w:abstractNum w:abstractNumId="1">
    <w:nsid w:val="C261C084"/>
    <w:multiLevelType w:val="singleLevel"/>
    <w:tmpl w:val="C261C084"/>
    <w:lvl w:ilvl="0">
      <w:start w:val="8"/>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2310"/>
  <w:drawingGridHorizontalSpacing w:val="211"/>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4313"/>
    <w:rsid w:val="0000342A"/>
    <w:rsid w:val="00003C09"/>
    <w:rsid w:val="00011577"/>
    <w:rsid w:val="0001245A"/>
    <w:rsid w:val="00017CD7"/>
    <w:rsid w:val="00020246"/>
    <w:rsid w:val="000370C8"/>
    <w:rsid w:val="00041B21"/>
    <w:rsid w:val="00096779"/>
    <w:rsid w:val="000A663C"/>
    <w:rsid w:val="000B05C1"/>
    <w:rsid w:val="000C0333"/>
    <w:rsid w:val="000D033E"/>
    <w:rsid w:val="000D1837"/>
    <w:rsid w:val="000F3E2B"/>
    <w:rsid w:val="000F527B"/>
    <w:rsid w:val="000F56D2"/>
    <w:rsid w:val="00101D71"/>
    <w:rsid w:val="001116AB"/>
    <w:rsid w:val="0012180C"/>
    <w:rsid w:val="00140274"/>
    <w:rsid w:val="00141B51"/>
    <w:rsid w:val="00151169"/>
    <w:rsid w:val="00152851"/>
    <w:rsid w:val="00164630"/>
    <w:rsid w:val="00170002"/>
    <w:rsid w:val="00172A8B"/>
    <w:rsid w:val="00176B08"/>
    <w:rsid w:val="00185AE6"/>
    <w:rsid w:val="00187899"/>
    <w:rsid w:val="00193485"/>
    <w:rsid w:val="001A226E"/>
    <w:rsid w:val="001B5766"/>
    <w:rsid w:val="001D17D6"/>
    <w:rsid w:val="001E1907"/>
    <w:rsid w:val="00201417"/>
    <w:rsid w:val="00212D50"/>
    <w:rsid w:val="00221FE0"/>
    <w:rsid w:val="002263A8"/>
    <w:rsid w:val="00247A84"/>
    <w:rsid w:val="002560BA"/>
    <w:rsid w:val="00260AEB"/>
    <w:rsid w:val="0027160B"/>
    <w:rsid w:val="00292B0A"/>
    <w:rsid w:val="002A0876"/>
    <w:rsid w:val="002B1464"/>
    <w:rsid w:val="002C0527"/>
    <w:rsid w:val="002C4AB7"/>
    <w:rsid w:val="002D4E69"/>
    <w:rsid w:val="002E5B17"/>
    <w:rsid w:val="00300AAB"/>
    <w:rsid w:val="0030740D"/>
    <w:rsid w:val="003226FD"/>
    <w:rsid w:val="00330490"/>
    <w:rsid w:val="00344ED2"/>
    <w:rsid w:val="0036046D"/>
    <w:rsid w:val="00366275"/>
    <w:rsid w:val="00374A6D"/>
    <w:rsid w:val="00374D6A"/>
    <w:rsid w:val="003A0021"/>
    <w:rsid w:val="003A4431"/>
    <w:rsid w:val="003B563A"/>
    <w:rsid w:val="003B5983"/>
    <w:rsid w:val="003C02CF"/>
    <w:rsid w:val="003C2233"/>
    <w:rsid w:val="003C355E"/>
    <w:rsid w:val="003D0016"/>
    <w:rsid w:val="003E1A8A"/>
    <w:rsid w:val="00411EEE"/>
    <w:rsid w:val="00414C2C"/>
    <w:rsid w:val="004151FC"/>
    <w:rsid w:val="004172F2"/>
    <w:rsid w:val="00420D13"/>
    <w:rsid w:val="00422291"/>
    <w:rsid w:val="004222EA"/>
    <w:rsid w:val="004734C2"/>
    <w:rsid w:val="00481CAB"/>
    <w:rsid w:val="00496405"/>
    <w:rsid w:val="004A26CA"/>
    <w:rsid w:val="004B5FF8"/>
    <w:rsid w:val="004C79E7"/>
    <w:rsid w:val="004D0A21"/>
    <w:rsid w:val="004D4920"/>
    <w:rsid w:val="004F2AA6"/>
    <w:rsid w:val="004F7119"/>
    <w:rsid w:val="00502D8D"/>
    <w:rsid w:val="00513495"/>
    <w:rsid w:val="00536F30"/>
    <w:rsid w:val="00545E09"/>
    <w:rsid w:val="00571207"/>
    <w:rsid w:val="0059645E"/>
    <w:rsid w:val="005A6ABF"/>
    <w:rsid w:val="005B27E2"/>
    <w:rsid w:val="005E11AB"/>
    <w:rsid w:val="005E472A"/>
    <w:rsid w:val="005F5B7F"/>
    <w:rsid w:val="006746E1"/>
    <w:rsid w:val="00675FB4"/>
    <w:rsid w:val="006847D8"/>
    <w:rsid w:val="00694679"/>
    <w:rsid w:val="006A5417"/>
    <w:rsid w:val="006B1C2E"/>
    <w:rsid w:val="006E7826"/>
    <w:rsid w:val="006F6EB5"/>
    <w:rsid w:val="0070631C"/>
    <w:rsid w:val="007266EF"/>
    <w:rsid w:val="00731852"/>
    <w:rsid w:val="00742B75"/>
    <w:rsid w:val="00760619"/>
    <w:rsid w:val="0076493B"/>
    <w:rsid w:val="00774313"/>
    <w:rsid w:val="007925D9"/>
    <w:rsid w:val="007A43E3"/>
    <w:rsid w:val="007A7F60"/>
    <w:rsid w:val="007C54E7"/>
    <w:rsid w:val="007C79C1"/>
    <w:rsid w:val="007D7A26"/>
    <w:rsid w:val="007E139C"/>
    <w:rsid w:val="007E1623"/>
    <w:rsid w:val="007E6561"/>
    <w:rsid w:val="007F38DC"/>
    <w:rsid w:val="007F5186"/>
    <w:rsid w:val="0081069C"/>
    <w:rsid w:val="00847C40"/>
    <w:rsid w:val="008547E6"/>
    <w:rsid w:val="0085512F"/>
    <w:rsid w:val="0087543F"/>
    <w:rsid w:val="00875B1A"/>
    <w:rsid w:val="008A6474"/>
    <w:rsid w:val="008B3163"/>
    <w:rsid w:val="008B438E"/>
    <w:rsid w:val="008F7FEC"/>
    <w:rsid w:val="00902F56"/>
    <w:rsid w:val="00903722"/>
    <w:rsid w:val="00904D0C"/>
    <w:rsid w:val="00907D8E"/>
    <w:rsid w:val="00922F85"/>
    <w:rsid w:val="00933264"/>
    <w:rsid w:val="009348AE"/>
    <w:rsid w:val="0093623A"/>
    <w:rsid w:val="009365D1"/>
    <w:rsid w:val="00964054"/>
    <w:rsid w:val="00964226"/>
    <w:rsid w:val="00975A81"/>
    <w:rsid w:val="009849AB"/>
    <w:rsid w:val="009A6E24"/>
    <w:rsid w:val="009B3D7C"/>
    <w:rsid w:val="009C29AA"/>
    <w:rsid w:val="009D27B9"/>
    <w:rsid w:val="009E286A"/>
    <w:rsid w:val="00A102F6"/>
    <w:rsid w:val="00A36B5D"/>
    <w:rsid w:val="00A6421E"/>
    <w:rsid w:val="00A676D9"/>
    <w:rsid w:val="00A7367A"/>
    <w:rsid w:val="00AA648D"/>
    <w:rsid w:val="00AB081E"/>
    <w:rsid w:val="00AB0FCC"/>
    <w:rsid w:val="00AC3CBE"/>
    <w:rsid w:val="00AC7513"/>
    <w:rsid w:val="00AE38E9"/>
    <w:rsid w:val="00AE729C"/>
    <w:rsid w:val="00AE758D"/>
    <w:rsid w:val="00B04D70"/>
    <w:rsid w:val="00B3153B"/>
    <w:rsid w:val="00B32A50"/>
    <w:rsid w:val="00B55C00"/>
    <w:rsid w:val="00B72B3E"/>
    <w:rsid w:val="00B82CB0"/>
    <w:rsid w:val="00B87757"/>
    <w:rsid w:val="00BB12D0"/>
    <w:rsid w:val="00BB6818"/>
    <w:rsid w:val="00BE33CD"/>
    <w:rsid w:val="00C02FC6"/>
    <w:rsid w:val="00C3070D"/>
    <w:rsid w:val="00C34637"/>
    <w:rsid w:val="00C44298"/>
    <w:rsid w:val="00C70F20"/>
    <w:rsid w:val="00C96FE2"/>
    <w:rsid w:val="00CA2925"/>
    <w:rsid w:val="00CB5B47"/>
    <w:rsid w:val="00CC6650"/>
    <w:rsid w:val="00CD1FFF"/>
    <w:rsid w:val="00CD5732"/>
    <w:rsid w:val="00CE2D8C"/>
    <w:rsid w:val="00CF2CD3"/>
    <w:rsid w:val="00D616D2"/>
    <w:rsid w:val="00D6179F"/>
    <w:rsid w:val="00D95C39"/>
    <w:rsid w:val="00DA449E"/>
    <w:rsid w:val="00DA4ED3"/>
    <w:rsid w:val="00DD1609"/>
    <w:rsid w:val="00E12C75"/>
    <w:rsid w:val="00E16A29"/>
    <w:rsid w:val="00E23011"/>
    <w:rsid w:val="00E4250B"/>
    <w:rsid w:val="00E43347"/>
    <w:rsid w:val="00E43406"/>
    <w:rsid w:val="00E46C30"/>
    <w:rsid w:val="00E966CB"/>
    <w:rsid w:val="00EA47DE"/>
    <w:rsid w:val="00EA7274"/>
    <w:rsid w:val="00EA7813"/>
    <w:rsid w:val="00EB06F7"/>
    <w:rsid w:val="00EC08AA"/>
    <w:rsid w:val="00EC3DFE"/>
    <w:rsid w:val="00EC4F0E"/>
    <w:rsid w:val="00ED1B59"/>
    <w:rsid w:val="00ED6553"/>
    <w:rsid w:val="00EE2B05"/>
    <w:rsid w:val="00EE3610"/>
    <w:rsid w:val="00F02B23"/>
    <w:rsid w:val="00F0301B"/>
    <w:rsid w:val="00F052CD"/>
    <w:rsid w:val="00F11C67"/>
    <w:rsid w:val="00F2772B"/>
    <w:rsid w:val="00F34EBA"/>
    <w:rsid w:val="00F3639C"/>
    <w:rsid w:val="00F3723F"/>
    <w:rsid w:val="00F40F83"/>
    <w:rsid w:val="00F4402C"/>
    <w:rsid w:val="00F47B66"/>
    <w:rsid w:val="00F52A77"/>
    <w:rsid w:val="00F52F22"/>
    <w:rsid w:val="00F558CF"/>
    <w:rsid w:val="00F63681"/>
    <w:rsid w:val="00F715A1"/>
    <w:rsid w:val="00F75A7D"/>
    <w:rsid w:val="00F77FEB"/>
    <w:rsid w:val="00F954F8"/>
    <w:rsid w:val="00FB4377"/>
    <w:rsid w:val="00FB7149"/>
    <w:rsid w:val="00FD5CB6"/>
    <w:rsid w:val="022F391E"/>
    <w:rsid w:val="0DA43871"/>
    <w:rsid w:val="0DBF77F4"/>
    <w:rsid w:val="10306411"/>
    <w:rsid w:val="11574382"/>
    <w:rsid w:val="11B83122"/>
    <w:rsid w:val="12FC7CAB"/>
    <w:rsid w:val="14783452"/>
    <w:rsid w:val="17A91BA6"/>
    <w:rsid w:val="1BED5CE0"/>
    <w:rsid w:val="1BFB5BE2"/>
    <w:rsid w:val="2A166AEA"/>
    <w:rsid w:val="2A3A1725"/>
    <w:rsid w:val="2B441146"/>
    <w:rsid w:val="349C1C02"/>
    <w:rsid w:val="34B90044"/>
    <w:rsid w:val="3E59645B"/>
    <w:rsid w:val="3F0054D3"/>
    <w:rsid w:val="42C46C45"/>
    <w:rsid w:val="58E84F2E"/>
    <w:rsid w:val="5A0E660F"/>
    <w:rsid w:val="623F0BA1"/>
    <w:rsid w:val="65002D46"/>
    <w:rsid w:val="660A17B1"/>
    <w:rsid w:val="6A111364"/>
    <w:rsid w:val="6E2962DB"/>
    <w:rsid w:val="75CA4550"/>
    <w:rsid w:val="791B1CA6"/>
    <w:rsid w:val="7C9A7B6F"/>
  </w:rsids>
  <w:docVars>
    <w:docVar w:name="commondata" w:val="eyJoZGlkIjoiZDJmMmFmNjgyNTg0YjQyNGM0YTExNDQ3NmEzNWU4Z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uiPriority="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CommentText">
    <w:name w:val="annotation text"/>
    <w:basedOn w:val="Normal"/>
    <w:qFormat/>
    <w:pPr>
      <w:jc w:val="left"/>
    </w:pPr>
  </w:style>
  <w:style w:type="paragraph" w:styleId="BodyText">
    <w:name w:val="Body Text"/>
    <w:basedOn w:val="Normal"/>
    <w:link w:val="a"/>
    <w:autoRedefine/>
    <w:qFormat/>
    <w:pPr>
      <w:shd w:val="clear" w:color="auto" w:fill="FFFFFF"/>
      <w:spacing w:line="405" w:lineRule="exact"/>
      <w:jc w:val="distribute"/>
    </w:pPr>
    <w:rPr>
      <w:rFonts w:ascii="宋体"/>
      <w:kern w:val="0"/>
      <w:sz w:val="18"/>
      <w:szCs w:val="18"/>
    </w:rPr>
  </w:style>
  <w:style w:type="paragraph" w:styleId="PlainText">
    <w:name w:val="Plain Text"/>
    <w:basedOn w:val="Normal"/>
    <w:link w:val="a0"/>
    <w:autoRedefine/>
    <w:qFormat/>
    <w:rPr>
      <w:rFonts w:ascii="宋体" w:hAnsi="Courier New" w:cs="Courier New"/>
      <w:szCs w:val="21"/>
    </w:rPr>
  </w:style>
  <w:style w:type="paragraph" w:styleId="BalloonText">
    <w:name w:val="Balloon Text"/>
    <w:basedOn w:val="Normal"/>
    <w:link w:val="a1"/>
    <w:autoRedefine/>
    <w:qFormat/>
    <w:rPr>
      <w:sz w:val="18"/>
      <w:szCs w:val="18"/>
    </w:rPr>
  </w:style>
  <w:style w:type="paragraph" w:styleId="Footer">
    <w:name w:val="footer"/>
    <w:basedOn w:val="Normal"/>
    <w:autoRedefine/>
    <w:qFormat/>
    <w:pPr>
      <w:tabs>
        <w:tab w:val="center" w:pos="4153"/>
        <w:tab w:val="right" w:pos="8306"/>
      </w:tabs>
      <w:snapToGrid w:val="0"/>
      <w:jc w:val="left"/>
    </w:pPr>
    <w:rPr>
      <w:sz w:val="18"/>
      <w:szCs w:val="18"/>
    </w:rPr>
  </w:style>
  <w:style w:type="paragraph" w:styleId="Header">
    <w:name w:val="header"/>
    <w:basedOn w:val="Normal"/>
    <w:link w:val="a2"/>
    <w:autoRedefine/>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uiPriority w:val="99"/>
    <w:unhideWhenUsed/>
    <w:qFormat/>
    <w:pPr>
      <w:widowControl/>
      <w:spacing w:before="100" w:beforeAutospacing="1" w:after="100" w:afterAutospacing="1"/>
      <w:jc w:val="left"/>
    </w:pPr>
    <w:rPr>
      <w:rFonts w:ascii="宋体" w:hAnsi="宋体" w:cs="宋体"/>
      <w:kern w:val="0"/>
      <w:sz w:val="24"/>
    </w:rPr>
  </w:style>
  <w:style w:type="table" w:styleId="TableGrid">
    <w:name w:val="Table Grid"/>
    <w:basedOn w:val="TableNormal"/>
    <w:semiHidden/>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正文文本 字符"/>
    <w:link w:val="BodyText"/>
    <w:autoRedefine/>
    <w:qFormat/>
    <w:rPr>
      <w:rFonts w:ascii="宋体"/>
      <w:sz w:val="18"/>
      <w:szCs w:val="18"/>
      <w:shd w:val="clear" w:color="auto" w:fill="FFFFFF"/>
    </w:rPr>
  </w:style>
  <w:style w:type="character" w:customStyle="1" w:styleId="a0">
    <w:name w:val="纯文本 字符"/>
    <w:link w:val="PlainText"/>
    <w:uiPriority w:val="99"/>
    <w:qFormat/>
    <w:locked/>
    <w:rPr>
      <w:rFonts w:ascii="宋体" w:hAnsi="Courier New" w:cs="Courier New"/>
      <w:kern w:val="2"/>
      <w:sz w:val="21"/>
      <w:szCs w:val="21"/>
    </w:rPr>
  </w:style>
  <w:style w:type="character" w:customStyle="1" w:styleId="a1">
    <w:name w:val="批注框文本 字符"/>
    <w:link w:val="BalloonText"/>
    <w:autoRedefine/>
    <w:qFormat/>
    <w:rPr>
      <w:kern w:val="2"/>
      <w:sz w:val="18"/>
      <w:szCs w:val="18"/>
    </w:rPr>
  </w:style>
  <w:style w:type="character" w:customStyle="1" w:styleId="a2">
    <w:name w:val="页眉 字符"/>
    <w:link w:val="Header"/>
    <w:qFormat/>
    <w:rPr>
      <w:kern w:val="2"/>
      <w:sz w:val="18"/>
      <w:szCs w:val="18"/>
    </w:rPr>
  </w:style>
  <w:style w:type="character" w:customStyle="1" w:styleId="Char1">
    <w:name w:val="纯文本 Char1"/>
    <w:autoRedefine/>
    <w:qFormat/>
    <w:rPr>
      <w:rFonts w:ascii="宋体" w:hAnsi="Courier New" w:cs="Courier New"/>
      <w:kern w:val="2"/>
      <w:sz w:val="21"/>
      <w:szCs w:val="21"/>
    </w:rPr>
  </w:style>
  <w:style w:type="character" w:customStyle="1" w:styleId="Char10">
    <w:name w:val="正文文本 Char1"/>
    <w:autoRedefine/>
    <w:qFormat/>
    <w:rPr>
      <w:kern w:val="2"/>
      <w:sz w:val="21"/>
      <w:szCs w:val="24"/>
    </w:rPr>
  </w:style>
  <w:style w:type="paragraph" w:customStyle="1" w:styleId="0">
    <w:name w:val="正文_0"/>
    <w:autoRedefine/>
    <w:qFormat/>
    <w:pPr>
      <w:widowControl w:val="0"/>
      <w:jc w:val="both"/>
    </w:pPr>
    <w:rPr>
      <w:rFonts w:ascii="Calibri" w:eastAsia="宋体" w:hAnsi="Calibri" w:cs="Times New Roman"/>
      <w:kern w:val="2"/>
      <w:sz w:val="21"/>
      <w:szCs w:val="22"/>
      <w:lang w:val="en-US" w:eastAsia="zh-CN" w:bidi="ar-SA"/>
    </w:rPr>
  </w:style>
  <w:style w:type="paragraph" w:styleId="ListParagraph">
    <w:name w:val="List Paragraph"/>
    <w:basedOn w:val="Normal"/>
    <w:uiPriority w:val="99"/>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2.png" /><Relationship Id="rId12" Type="http://schemas.openxmlformats.org/officeDocument/2006/relationships/image" Target="media/image3.png"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image" Target="media/image4.png" /><Relationship Id="rId2" Type="http://schemas.openxmlformats.org/officeDocument/2006/relationships/webSettings" Target="webSettings.xml" /><Relationship Id="rId20" Type="http://schemas.openxmlformats.org/officeDocument/2006/relationships/image" Target="media/image5.png" /><Relationship Id="rId21" Type="http://schemas.openxmlformats.org/officeDocument/2006/relationships/header" Target="header7.xml" /><Relationship Id="rId22" Type="http://schemas.openxmlformats.org/officeDocument/2006/relationships/header" Target="header8.xml" /><Relationship Id="rId23" Type="http://schemas.openxmlformats.org/officeDocument/2006/relationships/footer" Target="footer7.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header" Target="header10.xml" /><Relationship Id="rId28" Type="http://schemas.openxmlformats.org/officeDocument/2006/relationships/header" Target="header11.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hyperlink" Target="https://d.book118.com/647056011031006041" TargetMode="External" /><Relationship Id="rId34" Type="http://schemas.openxmlformats.org/officeDocument/2006/relationships/header" Target="header13.xml" /><Relationship Id="rId35" Type="http://schemas.openxmlformats.org/officeDocument/2006/relationships/header" Target="header14.xml" /><Relationship Id="rId36" Type="http://schemas.openxmlformats.org/officeDocument/2006/relationships/footer" Target="footer13.xml" /><Relationship Id="rId37" Type="http://schemas.openxmlformats.org/officeDocument/2006/relationships/footer" Target="footer14.xml" /><Relationship Id="rId38" Type="http://schemas.openxmlformats.org/officeDocument/2006/relationships/header" Target="header15.xml" /><Relationship Id="rId39" Type="http://schemas.openxmlformats.org/officeDocument/2006/relationships/footer" Target="footer15.xm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numbering" Target="numbering.xml" /><Relationship Id="rId42" Type="http://schemas.openxmlformats.org/officeDocument/2006/relationships/styles" Target="styles.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7</TotalTime>
  <Pages>5</Pages>
  <Words>1997</Words>
  <Characters>11388</Characters>
  <Application>Microsoft Office Word</Application>
  <DocSecurity>0</DocSecurity>
  <Lines>94</Lines>
  <Paragraphs>26</Paragraphs>
  <ScaleCrop>false</ScaleCrop>
  <Company>北京今日学易科技有限公司(Zxxk.Com)</Company>
  <LinksUpToDate>false</LinksUpToDate>
  <CharactersWithSpaces>13359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[中学联盟]试题（扫描版）.doc</dc:subject>
  <dc:creator>学科网(Zxxk.Com)</dc:creator>
  <dc:description>学科网(www.zxxk.com)--教育资源门户，提供试卷、教案、课件、论文、素材及各类教学资源下载，还有大量而丰富的教学相关资讯！</dc:description>
  <cp:lastModifiedBy>Administrator</cp:lastModifiedBy>
  <cp:revision>82</cp:revision>
  <dcterms:created xsi:type="dcterms:W3CDTF">2020-05-06T02:39:00Z</dcterms:created>
  <dcterms:modified xsi:type="dcterms:W3CDTF">2024-02-10T11:04:12Z</dcterms:modified>
  <cp:category>学科网WORD文档</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8817DAE471D34878BA07772B325E62BC_12</vt:lpwstr>
  </property>
  <property fmtid="{D5CDD505-2E9C-101B-9397-08002B2CF9AE}" pid="7" name="KSOProductBuildVer">
    <vt:lpwstr>2052-12.1.0.16120</vt:lpwstr>
  </property>
</Properties>
</file>