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91" w:line="222" w:lineRule="auto"/>
        <w:ind w:left="1983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5"/>
          <w:sz w:val="28"/>
          <w:szCs w:val="28"/>
        </w:rPr>
        <w:t>机动车雷达测速仪检定装置检定规程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72" w:line="223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1</w:t>
      </w:r>
      <w:r>
        <w:rPr>
          <w:rFonts w:ascii="SimHei" w:eastAsia="SimHei" w:hAnsi="SimHei" w:cs="SimHei"/>
          <w:spacing w:val="89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范围</w:t>
      </w:r>
    </w:p>
    <w:p>
      <w:pPr>
        <w:pStyle w:val="BodyText"/>
        <w:spacing w:before="226" w:line="244" w:lineRule="auto"/>
        <w:ind w:right="79" w:firstLine="449"/>
      </w:pPr>
      <w:r>
        <w:rPr>
          <w:spacing w:val="9"/>
        </w:rPr>
        <w:t>本规程适用于机动车雷达测速仪检定装置(以下简称检定装置)的首次</w:t>
      </w:r>
      <w:r>
        <w:rPr>
          <w:spacing w:val="8"/>
        </w:rPr>
        <w:t>检定、后续</w:t>
      </w:r>
      <w:r>
        <w:t xml:space="preserve"> </w:t>
      </w:r>
      <w:r>
        <w:rPr>
          <w:spacing w:val="-1"/>
        </w:rPr>
        <w:t>检定和使用中检验。</w:t>
      </w:r>
    </w:p>
    <w:p>
      <w:pPr>
        <w:spacing w:before="204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2</w:t>
      </w:r>
      <w:r>
        <w:rPr>
          <w:rFonts w:ascii="SimHei" w:eastAsia="SimHei" w:hAnsi="SimHei" w:cs="SimHei"/>
          <w:spacing w:val="8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引用文献</w:t>
      </w:r>
    </w:p>
    <w:p>
      <w:pPr>
        <w:pStyle w:val="BodyText"/>
        <w:spacing w:before="238" w:line="218" w:lineRule="auto"/>
        <w:ind w:left="449"/>
      </w:pPr>
      <w:r>
        <w:t>JJG</w:t>
      </w:r>
      <w:r>
        <w:rPr>
          <w:spacing w:val="3"/>
        </w:rPr>
        <w:t xml:space="preserve"> 841—1993</w:t>
      </w:r>
      <w:r>
        <w:rPr>
          <w:spacing w:val="106"/>
        </w:rPr>
        <w:t xml:space="preserve"> </w:t>
      </w:r>
      <w:r>
        <w:rPr>
          <w:spacing w:val="3"/>
        </w:rPr>
        <w:t>微波频率计数器检定规程</w:t>
      </w:r>
    </w:p>
    <w:p>
      <w:pPr>
        <w:pStyle w:val="BodyText"/>
        <w:spacing w:before="60" w:line="219" w:lineRule="auto"/>
        <w:ind w:left="449"/>
      </w:pPr>
      <w:r>
        <w:rPr>
          <w:spacing w:val="2"/>
        </w:rPr>
        <w:t>使用本规程时，应注意使用上述引用文献的现行有效版本。</w:t>
      </w:r>
    </w:p>
    <w:p>
      <w:pPr>
        <w:spacing w:before="225" w:line="221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3</w:t>
      </w:r>
      <w:r>
        <w:rPr>
          <w:rFonts w:ascii="SimHei" w:eastAsia="SimHei" w:hAnsi="SimHei" w:cs="SimHei"/>
          <w:spacing w:val="10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概述</w:t>
      </w:r>
    </w:p>
    <w:p>
      <w:pPr>
        <w:pStyle w:val="BodyText"/>
        <w:spacing w:before="223" w:line="256" w:lineRule="auto"/>
        <w:ind w:right="69" w:firstLine="449"/>
      </w:pPr>
      <w:r>
        <w:rPr>
          <w:spacing w:val="3"/>
        </w:rPr>
        <w:t>检定装置由微波频率计数器和目标速度模拟装置两部分组成。微波</w:t>
      </w:r>
      <w:r>
        <w:rPr>
          <w:spacing w:val="2"/>
        </w:rPr>
        <w:t>频率计数器用于</w:t>
      </w:r>
      <w:r>
        <w:t xml:space="preserve"> </w:t>
      </w:r>
      <w:r>
        <w:rPr>
          <w:spacing w:val="3"/>
        </w:rPr>
        <w:t>对机动车雷达测速仪的微波发射频率误差进行检定；目标速度模拟装置产生模拟速度多</w:t>
      </w:r>
      <w:r>
        <w:rPr>
          <w:spacing w:val="5"/>
        </w:rPr>
        <w:t xml:space="preserve"> </w:t>
      </w:r>
      <w:r>
        <w:rPr>
          <w:spacing w:val="11"/>
        </w:rPr>
        <w:t>普勒频率信号，使用其测试通道(配置有</w:t>
      </w:r>
      <w:r>
        <w:rPr>
          <w:rFonts w:ascii="Times New Roman" w:eastAsia="Times New Roman" w:hAnsi="Times New Roman" w:cs="Times New Roman"/>
          <w:spacing w:val="11"/>
        </w:rPr>
        <w:t>X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11"/>
        </w:rPr>
        <w:t>、</w:t>
      </w:r>
      <w:r>
        <w:rPr>
          <w:rFonts w:ascii="Times New Roman" w:eastAsia="Times New Roman" w:hAnsi="Times New Roman" w:cs="Times New Roman"/>
          <w:spacing w:val="10"/>
        </w:rPr>
        <w:t>K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10"/>
        </w:rPr>
        <w:t>和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Ka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10"/>
        </w:rPr>
        <w:t>波段三种调制器)对机动车雷达</w:t>
      </w:r>
      <w:r>
        <w:t xml:space="preserve"> </w:t>
      </w:r>
      <w:r>
        <w:rPr>
          <w:spacing w:val="1"/>
        </w:rPr>
        <w:t>测速仪的测速误差进行检定。</w:t>
      </w:r>
    </w:p>
    <w:p>
      <w:pPr>
        <w:spacing w:before="245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2"/>
          <w:sz w:val="22"/>
          <w:szCs w:val="22"/>
        </w:rPr>
        <w:t>4</w:t>
      </w:r>
      <w:r>
        <w:rPr>
          <w:rFonts w:ascii="SimHei" w:eastAsia="SimHei" w:hAnsi="SimHei" w:cs="SimHei"/>
          <w:spacing w:val="-2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22"/>
          <w:szCs w:val="22"/>
        </w:rPr>
        <w:t>计量性能要求</w:t>
      </w:r>
    </w:p>
    <w:p>
      <w:pPr>
        <w:pStyle w:val="BodyText"/>
        <w:spacing w:before="229" w:line="219" w:lineRule="auto"/>
      </w:pPr>
      <w:r>
        <w:rPr>
          <w:spacing w:val="3"/>
        </w:rPr>
        <w:t>4.1</w:t>
      </w:r>
      <w:r>
        <w:rPr>
          <w:spacing w:val="98"/>
        </w:rPr>
        <w:t xml:space="preserve"> </w:t>
      </w:r>
      <w:r>
        <w:rPr>
          <w:spacing w:val="3"/>
        </w:rPr>
        <w:t>微波频率计数器</w:t>
      </w:r>
    </w:p>
    <w:p>
      <w:pPr>
        <w:pStyle w:val="BodyText"/>
        <w:spacing w:before="59" w:line="219" w:lineRule="auto"/>
        <w:rPr>
          <w:rFonts w:ascii="Times New Roman" w:eastAsia="Times New Roman" w:hAnsi="Times New Roman" w:cs="Times New Roman"/>
        </w:rPr>
      </w:pPr>
      <w:r>
        <w:rPr>
          <w:spacing w:val="3"/>
        </w:rPr>
        <w:t>4.1.1  频率测量范围：(8～40)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</w:rPr>
        <w:t>GHz</w:t>
      </w:r>
    </w:p>
    <w:p>
      <w:pPr>
        <w:pStyle w:val="BodyText"/>
        <w:spacing w:before="69" w:line="219" w:lineRule="auto"/>
        <w:ind w:left="3"/>
      </w:pPr>
      <w:r>
        <w:rPr>
          <w:b/>
          <w:bCs/>
        </w:rPr>
        <w:t>4.1.2</w:t>
      </w:r>
      <w:r>
        <w:rPr>
          <w:spacing w:val="105"/>
        </w:rPr>
        <w:t xml:space="preserve"> </w:t>
      </w:r>
      <w:r>
        <w:t>频率准确度：1×10-6</w:t>
      </w:r>
    </w:p>
    <w:p>
      <w:pPr>
        <w:pStyle w:val="BodyText"/>
        <w:spacing w:before="49" w:line="219" w:lineRule="auto"/>
        <w:ind w:left="3"/>
      </w:pPr>
      <w:r>
        <w:rPr>
          <w:b/>
          <w:bCs/>
          <w:spacing w:val="-1"/>
        </w:rPr>
        <w:t>4.1.3</w:t>
      </w:r>
      <w:r>
        <w:rPr>
          <w:spacing w:val="20"/>
        </w:rPr>
        <w:t xml:space="preserve">  </w:t>
      </w:r>
      <w:r>
        <w:rPr>
          <w:spacing w:val="-1"/>
        </w:rPr>
        <w:t>1s</w:t>
      </w:r>
      <w:r>
        <w:rPr>
          <w:spacing w:val="-65"/>
        </w:rPr>
        <w:t xml:space="preserve"> </w:t>
      </w:r>
      <w:r>
        <w:rPr>
          <w:spacing w:val="-1"/>
        </w:rPr>
        <w:t>频率稳定度：1×10-9</w:t>
      </w:r>
    </w:p>
    <w:p>
      <w:pPr>
        <w:pStyle w:val="BodyText"/>
        <w:spacing w:before="68" w:line="219" w:lineRule="auto"/>
      </w:pPr>
      <w:r>
        <w:rPr>
          <w:spacing w:val="1"/>
        </w:rPr>
        <w:t>4.2  目标速度模拟装置</w:t>
      </w:r>
    </w:p>
    <w:p>
      <w:pPr>
        <w:pStyle w:val="BodyText"/>
        <w:spacing w:before="70" w:line="219" w:lineRule="auto"/>
        <w:rPr>
          <w:rFonts w:ascii="Times New Roman" w:eastAsia="Times New Roman" w:hAnsi="Times New Roman" w:cs="Times New Roman"/>
        </w:rPr>
      </w:pPr>
      <w:r>
        <w:rPr>
          <w:spacing w:val="5"/>
        </w:rPr>
        <w:t>4.2.1</w:t>
      </w:r>
      <w:r>
        <w:rPr>
          <w:spacing w:val="112"/>
        </w:rPr>
        <w:t xml:space="preserve"> </w:t>
      </w:r>
      <w:r>
        <w:rPr>
          <w:spacing w:val="5"/>
        </w:rPr>
        <w:t>速度范围：至少应满足20～200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5"/>
        </w:rPr>
        <w:t>/h</w:t>
      </w:r>
    </w:p>
    <w:p>
      <w:pPr>
        <w:pStyle w:val="BodyText"/>
        <w:spacing w:before="58" w:line="219" w:lineRule="auto"/>
        <w:ind w:left="449"/>
      </w:pPr>
      <w:r>
        <w:rPr>
          <w:spacing w:val="3"/>
        </w:rPr>
        <w:t>根据速度范围的要求，其相应的多普勒频率范围见表1。</w:t>
      </w:r>
    </w:p>
    <w:p>
      <w:pPr>
        <w:spacing w:before="135" w:line="222" w:lineRule="auto"/>
        <w:ind w:left="334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9"/>
          <w:sz w:val="22"/>
          <w:szCs w:val="22"/>
        </w:rPr>
        <w:t>表1</w:t>
      </w:r>
      <w:r>
        <w:rPr>
          <w:rFonts w:ascii="SimHei" w:eastAsia="SimHei" w:hAnsi="SimHei" w:cs="SimHei"/>
          <w:spacing w:val="77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22"/>
          <w:szCs w:val="22"/>
        </w:rPr>
        <w:t>多普勒频率范围</w:t>
      </w:r>
    </w:p>
    <w:tbl>
      <w:tblPr>
        <w:tblStyle w:val="TableNormal"/>
        <w:tblW w:w="8469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389"/>
        <w:gridCol w:w="4080"/>
      </w:tblGrid>
      <w:tr>
        <w:tblPrEx>
          <w:tblW w:w="8469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41"/>
        </w:trPr>
        <w:tc>
          <w:tcPr>
            <w:tcW w:w="4389" w:type="dxa"/>
            <w:vAlign w:val="top"/>
          </w:tcPr>
          <w:p>
            <w:pPr>
              <w:pStyle w:val="TableText"/>
              <w:spacing w:before="132" w:line="251" w:lineRule="auto"/>
              <w:ind w:left="1904" w:right="875" w:hanging="1050"/>
            </w:pPr>
            <w:r>
              <w:rPr>
                <w:spacing w:val="-1"/>
              </w:rPr>
              <w:t>雷达测速仪微波发射频率标称值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fo/MHz</w:t>
            </w:r>
          </w:p>
        </w:tc>
        <w:tc>
          <w:tcPr>
            <w:tcW w:w="4080" w:type="dxa"/>
            <w:vAlign w:val="top"/>
          </w:tcPr>
          <w:p>
            <w:pPr>
              <w:pStyle w:val="TableText"/>
              <w:spacing w:before="132" w:line="305" w:lineRule="exact"/>
              <w:ind w:left="1365"/>
            </w:pPr>
            <w:r>
              <w:rPr>
                <w:spacing w:val="2"/>
                <w:position w:val="8"/>
              </w:rPr>
              <w:t>多普勒频率范围</w:t>
            </w:r>
          </w:p>
          <w:p>
            <w:pPr>
              <w:pStyle w:val="TableText"/>
              <w:spacing w:line="224" w:lineRule="auto"/>
              <w:ind w:left="1795"/>
            </w:pPr>
            <w:r>
              <w:rPr>
                <w:spacing w:val="-2"/>
              </w:rPr>
              <w:t>fu/Hz</w:t>
            </w:r>
          </w:p>
        </w:tc>
      </w:tr>
    </w:tbl>
    <w:p>
      <w:pPr>
        <w:sectPr>
          <w:headerReference w:type="default" r:id="rId4"/>
          <w:footerReference w:type="default" r:id="rId5"/>
          <w:pgSz w:w="10040" w:h="14660"/>
          <w:pgMar w:top="1350" w:right="649" w:bottom="698" w:left="840" w:header="1068" w:footer="559" w:gutter="0"/>
          <w:cols w:space="708"/>
        </w:sectPr>
      </w:pPr>
    </w:p>
    <w:tbl>
      <w:tblPr>
        <w:tblStyle w:val="TableNormal0"/>
        <w:tblW w:w="8469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389"/>
        <w:gridCol w:w="4080"/>
      </w:tblGrid>
      <w:tr>
        <w:tblPrEx>
          <w:tblW w:w="8469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8"/>
        </w:trPr>
        <w:tc>
          <w:tcPr>
            <w:tcW w:w="4389" w:type="dxa"/>
            <w:vAlign w:val="top"/>
          </w:tcPr>
          <w:p>
            <w:pPr>
              <w:pStyle w:val="TableText"/>
              <w:spacing w:before="112" w:line="220" w:lineRule="auto"/>
              <w:ind w:left="1084"/>
            </w:pPr>
            <w:r>
              <w:rPr>
                <w:spacing w:val="-13"/>
              </w:rPr>
              <w:t>X波段：</w:t>
            </w:r>
            <w:r>
              <w:rPr>
                <w:spacing w:val="2"/>
              </w:rPr>
              <w:t xml:space="preserve">   </w:t>
            </w:r>
            <w:r>
              <w:rPr>
                <w:spacing w:val="-13"/>
                <w:position w:val="-1"/>
              </w:rPr>
              <w:t>10525</w:t>
            </w:r>
          </w:p>
        </w:tc>
        <w:tc>
          <w:tcPr>
            <w:tcW w:w="4080" w:type="dxa"/>
            <w:vAlign w:val="top"/>
          </w:tcPr>
          <w:p>
            <w:pPr>
              <w:pStyle w:val="TableText"/>
              <w:spacing w:before="139" w:line="184" w:lineRule="auto"/>
              <w:ind w:left="1606"/>
            </w:pPr>
            <w:r>
              <w:rPr>
                <w:spacing w:val="-2"/>
              </w:rPr>
              <w:t>390～3901</w:t>
            </w:r>
          </w:p>
        </w:tc>
      </w:tr>
      <w:tr>
        <w:tblPrEx>
          <w:tblW w:w="8469" w:type="dxa"/>
          <w:tblInd w:w="19" w:type="dxa"/>
          <w:tblLayout w:type="fixed"/>
        </w:tblPrEx>
        <w:trPr>
          <w:trHeight w:val="367"/>
        </w:trPr>
        <w:tc>
          <w:tcPr>
            <w:tcW w:w="4389" w:type="dxa"/>
            <w:vAlign w:val="top"/>
          </w:tcPr>
          <w:p>
            <w:pPr>
              <w:pStyle w:val="TableText"/>
              <w:spacing w:before="114" w:line="220" w:lineRule="auto"/>
              <w:ind w:left="1075"/>
            </w:pPr>
            <w:r>
              <w:rPr>
                <w:spacing w:val="-12"/>
              </w:rPr>
              <w:t>K波段：</w:t>
            </w:r>
            <w:r>
              <w:rPr>
                <w:spacing w:val="6"/>
              </w:rPr>
              <w:t xml:space="preserve">   </w:t>
            </w:r>
            <w:r>
              <w:rPr>
                <w:spacing w:val="-12"/>
                <w:position w:val="-1"/>
              </w:rPr>
              <w:t>24150</w:t>
            </w:r>
          </w:p>
        </w:tc>
        <w:tc>
          <w:tcPr>
            <w:tcW w:w="4080" w:type="dxa"/>
            <w:vAlign w:val="top"/>
          </w:tcPr>
          <w:p>
            <w:pPr>
              <w:pStyle w:val="TableText"/>
              <w:spacing w:before="141" w:line="184" w:lineRule="auto"/>
              <w:ind w:left="1606"/>
            </w:pPr>
            <w:r>
              <w:rPr>
                <w:spacing w:val="-1"/>
              </w:rPr>
              <w:t>895～8951</w:t>
            </w:r>
          </w:p>
        </w:tc>
      </w:tr>
      <w:tr>
        <w:tblPrEx>
          <w:tblW w:w="8469" w:type="dxa"/>
          <w:tblInd w:w="19" w:type="dxa"/>
          <w:tblLayout w:type="fixed"/>
        </w:tblPrEx>
        <w:trPr>
          <w:trHeight w:val="363"/>
        </w:trPr>
        <w:tc>
          <w:tcPr>
            <w:tcW w:w="4389" w:type="dxa"/>
            <w:vAlign w:val="top"/>
          </w:tcPr>
          <w:p>
            <w:pPr>
              <w:pStyle w:val="TableText"/>
              <w:spacing w:before="107" w:line="220" w:lineRule="auto"/>
              <w:ind w:left="1075"/>
            </w:pPr>
            <w:r>
              <w:rPr>
                <w:spacing w:val="-11"/>
              </w:rPr>
              <w:t>Ka波段：</w:t>
            </w:r>
            <w:r>
              <w:rPr>
                <w:spacing w:val="10"/>
              </w:rPr>
              <w:t xml:space="preserve">  </w:t>
            </w:r>
            <w:r>
              <w:rPr>
                <w:spacing w:val="-11"/>
                <w:position w:val="-1"/>
              </w:rPr>
              <w:t>35100</w:t>
            </w:r>
          </w:p>
        </w:tc>
        <w:tc>
          <w:tcPr>
            <w:tcW w:w="4080" w:type="dxa"/>
            <w:vAlign w:val="top"/>
          </w:tcPr>
          <w:p>
            <w:pPr>
              <w:pStyle w:val="TableText"/>
              <w:spacing w:before="144" w:line="184" w:lineRule="auto"/>
              <w:ind w:left="1506"/>
            </w:pPr>
            <w:r>
              <w:rPr>
                <w:spacing w:val="-2"/>
              </w:rPr>
              <w:t>1301～13009</w:t>
            </w:r>
          </w:p>
        </w:tc>
      </w:tr>
    </w:tbl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72" w:line="219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3"/>
        </w:rPr>
        <w:t>4.2.2</w:t>
      </w:r>
      <w:r>
        <w:rPr>
          <w:rFonts w:ascii="Times New Roman" w:eastAsia="Times New Roman" w:hAnsi="Times New Roman" w:cs="Times New Roman"/>
          <w:spacing w:val="11"/>
        </w:rPr>
        <w:t xml:space="preserve">     </w:t>
      </w:r>
      <w:r>
        <w:rPr>
          <w:spacing w:val="3"/>
        </w:rPr>
        <w:t>速度最大允许误差：±0.30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3"/>
        </w:rPr>
        <w:t>/h</w:t>
      </w:r>
    </w:p>
    <w:p>
      <w:pPr>
        <w:pStyle w:val="BodyText"/>
        <w:spacing w:before="57" w:line="219" w:lineRule="auto"/>
        <w:ind w:left="449"/>
      </w:pPr>
      <w:r>
        <w:rPr>
          <w:spacing w:val="2"/>
        </w:rPr>
        <w:t>根据速度最大允许误差指标的要求，则要求目标速度模拟装置的频率参数指标为：</w:t>
      </w:r>
    </w:p>
    <w:p>
      <w:pPr>
        <w:pStyle w:val="BodyText"/>
        <w:spacing w:before="61" w:line="219" w:lineRule="auto"/>
        <w:rPr>
          <w:rFonts w:ascii="Times New Roman" w:eastAsia="Times New Roman" w:hAnsi="Times New Roman" w:cs="Times New Roman"/>
        </w:rPr>
      </w:pPr>
      <w:hyperlink r:id="rId6" w:history="1">
        <w:r>
          <w:rPr>
            <w:spacing w:val="2"/>
          </w:rPr>
          <w:t>4.2.2.1</w:t>
        </w:r>
      </w:hyperlink>
      <w:r>
        <w:rPr>
          <w:spacing w:val="103"/>
        </w:rPr>
        <w:t xml:space="preserve"> </w:t>
      </w:r>
      <w:r>
        <w:rPr>
          <w:spacing w:val="2"/>
        </w:rPr>
        <w:t>频率误差：±1</w:t>
      </w:r>
      <w:r>
        <w:rPr>
          <w:rFonts w:ascii="Times New Roman" w:eastAsia="Times New Roman" w:hAnsi="Times New Roman" w:cs="Times New Roman"/>
        </w:rPr>
        <w:t>Hz</w:t>
      </w:r>
    </w:p>
    <w:p>
      <w:pPr>
        <w:spacing w:line="219" w:lineRule="auto"/>
        <w:rPr>
          <w:rFonts w:ascii="Times New Roman" w:eastAsia="Times New Roman" w:hAnsi="Times New Roman" w:cs="Times New Roman"/>
        </w:rPr>
        <w:sectPr>
          <w:headerReference w:type="default" r:id="rId7"/>
          <w:footerReference w:type="default" r:id="rId8"/>
          <w:type w:val="nextPage"/>
          <w:pgSz w:w="10040" w:h="14660"/>
          <w:pgMar w:top="1350" w:right="649" w:bottom="698" w:left="840" w:header="1068" w:footer="559" w:gutter="0"/>
          <w:pgNumType w:start="2"/>
          <w:cols w:space="708"/>
          <w:titlePg w:val="0"/>
        </w:sectPr>
      </w:pPr>
    </w:p>
    <w:p>
      <w:pPr>
        <w:pStyle w:val="BodyText"/>
        <w:spacing w:before="184" w:line="239" w:lineRule="auto"/>
        <w:ind w:left="474" w:right="5021" w:hanging="459"/>
      </w:pPr>
      <w:hyperlink r:id="rId9" w:history="1">
        <w:r>
          <w:rPr>
            <w:spacing w:val="-1"/>
          </w:rPr>
          <w:t>4.2.2.2</w:t>
        </w:r>
      </w:hyperlink>
      <w:r>
        <w:rPr>
          <w:spacing w:val="-1"/>
        </w:rPr>
        <w:t xml:space="preserve">  频率稳定度：σ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(r)≤3×10-4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2"/>
        </w:rPr>
        <w:t>10525MHz     z≈103ms;</w:t>
      </w:r>
    </w:p>
    <w:p>
      <w:pPr>
        <w:pStyle w:val="BodyText"/>
        <w:spacing w:before="23" w:line="211" w:lineRule="auto"/>
        <w:ind w:left="474" w:right="5845"/>
        <w:rPr>
          <w:rFonts w:ascii="Times New Roman" w:eastAsia="Times New Roman" w:hAnsi="Times New Roman" w:cs="Times New Roman"/>
          <w:sz w:val="29"/>
          <w:szCs w:val="29"/>
        </w:rPr>
      </w:pPr>
      <w:r>
        <w:rPr>
          <w:spacing w:val="-5"/>
          <w:sz w:val="29"/>
          <w:szCs w:val="29"/>
        </w:rPr>
        <w:t>24150MHz</w:t>
      </w:r>
      <w:r>
        <w:rPr>
          <w:spacing w:val="41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r≈45ms;</w:t>
      </w:r>
      <w:r>
        <w:rPr>
          <w:rFonts w:ascii="Times New Roman" w:eastAsia="Times New Roman" w:hAnsi="Times New Roman" w:cs="Times New Roman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35100MHz</w:t>
      </w:r>
      <w:r>
        <w:rPr>
          <w:spacing w:val="36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9"/>
          <w:szCs w:val="29"/>
        </w:rPr>
        <w:t>r≈31ms.</w:t>
      </w:r>
    </w:p>
    <w:p>
      <w:pPr>
        <w:pStyle w:val="BodyText"/>
        <w:spacing w:before="58" w:line="219" w:lineRule="auto"/>
        <w:ind w:left="15"/>
      </w:pPr>
      <w:hyperlink r:id="rId10" w:history="1">
        <w:r>
          <w:rPr>
            <w:spacing w:val="-6"/>
          </w:rPr>
          <w:t>4.2.2.3</w:t>
        </w:r>
      </w:hyperlink>
      <w:r>
        <w:rPr>
          <w:spacing w:val="-6"/>
        </w:rPr>
        <w:t xml:space="preserve">  1h</w:t>
      </w:r>
      <w:r>
        <w:rPr>
          <w:spacing w:val="-17"/>
        </w:rPr>
        <w:t xml:space="preserve"> </w:t>
      </w:r>
      <w:r>
        <w:rPr>
          <w:spacing w:val="-6"/>
        </w:rPr>
        <w:t>频率波动：</w:t>
      </w:r>
      <w:r>
        <w:rPr>
          <w:spacing w:val="10"/>
        </w:rPr>
        <w:t xml:space="preserve"> </w:t>
      </w:r>
      <w:r>
        <w:rPr>
          <w:spacing w:val="-6"/>
        </w:rPr>
        <w:t>S≤1×10-3</w:t>
      </w:r>
    </w:p>
    <w:p>
      <w:pPr>
        <w:spacing w:before="205" w:line="222" w:lineRule="auto"/>
        <w:ind w:left="18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"/>
          <w:sz w:val="22"/>
          <w:szCs w:val="22"/>
        </w:rPr>
        <w:t>5</w:t>
      </w:r>
      <w:r>
        <w:rPr>
          <w:rFonts w:ascii="SimHei" w:eastAsia="SimHei" w:hAnsi="SimHei" w:cs="SimHei"/>
          <w:spacing w:val="9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2"/>
          <w:szCs w:val="22"/>
        </w:rPr>
        <w:t>通用技术要求</w:t>
      </w:r>
    </w:p>
    <w:p>
      <w:pPr>
        <w:pStyle w:val="BodyText"/>
        <w:spacing w:before="219" w:line="220" w:lineRule="auto"/>
        <w:ind w:left="15"/>
      </w:pPr>
      <w:r>
        <w:rPr>
          <w:spacing w:val="1"/>
        </w:rPr>
        <w:t>5.1</w:t>
      </w:r>
      <w:r>
        <w:rPr>
          <w:spacing w:val="7"/>
        </w:rPr>
        <w:t xml:space="preserve">  </w:t>
      </w:r>
      <w:r>
        <w:rPr>
          <w:spacing w:val="1"/>
        </w:rPr>
        <w:t>外观</w:t>
      </w:r>
    </w:p>
    <w:p>
      <w:pPr>
        <w:pStyle w:val="BodyText"/>
        <w:spacing w:before="67" w:line="246" w:lineRule="auto"/>
        <w:ind w:left="15" w:right="73" w:firstLine="459"/>
      </w:pPr>
      <w:r>
        <w:rPr>
          <w:spacing w:val="3"/>
        </w:rPr>
        <w:t>机动车雷达测速仪检定装置应有铭牌，标明产品名称、规格型号及编号、制造</w:t>
      </w:r>
      <w:r>
        <w:rPr>
          <w:spacing w:val="2"/>
        </w:rPr>
        <w:t>厂的</w:t>
      </w:r>
      <w:r>
        <w:t xml:space="preserve"> </w:t>
      </w:r>
      <w:r>
        <w:rPr>
          <w:spacing w:val="-10"/>
        </w:rPr>
        <w:t>名称。</w:t>
      </w:r>
    </w:p>
    <w:p>
      <w:pPr>
        <w:pStyle w:val="BodyText"/>
        <w:spacing w:before="75" w:line="220" w:lineRule="auto"/>
        <w:ind w:left="15"/>
      </w:pPr>
      <w:r>
        <w:rPr>
          <w:spacing w:val="-4"/>
        </w:rPr>
        <w:t>5.2</w:t>
      </w:r>
      <w:r>
        <w:rPr>
          <w:spacing w:val="12"/>
        </w:rPr>
        <w:t xml:space="preserve">  </w:t>
      </w:r>
      <w:r>
        <w:rPr>
          <w:spacing w:val="-4"/>
        </w:rPr>
        <w:t>其他</w:t>
      </w:r>
    </w:p>
    <w:p>
      <w:pPr>
        <w:pStyle w:val="BodyText"/>
        <w:spacing w:before="45" w:line="253" w:lineRule="auto"/>
        <w:ind w:left="15" w:right="100"/>
      </w:pPr>
      <w:r>
        <w:rPr>
          <w:spacing w:val="6"/>
        </w:rPr>
        <w:t>5.2.1</w:t>
      </w:r>
      <w:r>
        <w:rPr>
          <w:spacing w:val="93"/>
        </w:rPr>
        <w:t xml:space="preserve"> </w:t>
      </w:r>
      <w:r>
        <w:rPr>
          <w:spacing w:val="6"/>
        </w:rPr>
        <w:t>机动车雷达测速仪检定装置应无明显的机械损伤，各功能</w:t>
      </w:r>
      <w:r>
        <w:rPr>
          <w:spacing w:val="5"/>
        </w:rPr>
        <w:t>开关、旋钮、按键应</w:t>
      </w:r>
      <w:r>
        <w:t xml:space="preserve"> </w:t>
      </w:r>
      <w:r>
        <w:t>动作灵活可靠，各输出接口应连接牢固。</w:t>
      </w:r>
    </w:p>
    <w:p>
      <w:pPr>
        <w:pStyle w:val="BodyText"/>
        <w:spacing w:before="38" w:line="243" w:lineRule="auto"/>
        <w:ind w:left="15" w:right="20"/>
      </w:pPr>
      <w:r>
        <w:rPr>
          <w:spacing w:val="7"/>
        </w:rPr>
        <w:t>5.2.2  目标速度模拟装置应能输出两路模拟速度多普勒频率信号，其信号幅度可调，</w:t>
      </w:r>
      <w:r>
        <w:rPr>
          <w:spacing w:val="1"/>
        </w:rPr>
        <w:t xml:space="preserve"> </w:t>
      </w:r>
      <w:r>
        <w:rPr>
          <w:spacing w:val="3"/>
        </w:rPr>
        <w:t>输出显示可以是模拟速度多普勒频率值</w:t>
      </w:r>
      <w:r>
        <w:rPr>
          <w:spacing w:val="-18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(</w:t>
      </w:r>
      <w:r>
        <w:rPr>
          <w:rFonts w:ascii="Times New Roman" w:eastAsia="Times New Roman" w:hAnsi="Times New Roman" w:cs="Times New Roman"/>
        </w:rPr>
        <w:t>Hz</w:t>
      </w:r>
      <w:r>
        <w:rPr>
          <w:rFonts w:ascii="Times New Roman" w:eastAsia="Times New Roman" w:hAnsi="Times New Roman" w:cs="Times New Roman"/>
          <w:spacing w:val="3"/>
        </w:rPr>
        <w:t>)</w:t>
      </w:r>
      <w:r>
        <w:rPr>
          <w:rFonts w:ascii="Times New Roman" w:eastAsia="Times New Roman" w:hAnsi="Times New Roman" w:cs="Times New Roman"/>
          <w:spacing w:val="17"/>
        </w:rPr>
        <w:t xml:space="preserve">   </w:t>
      </w:r>
      <w:r>
        <w:rPr>
          <w:spacing w:val="3"/>
        </w:rPr>
        <w:t>或</w:t>
      </w:r>
      <w:r>
        <w:rPr>
          <w:spacing w:val="2"/>
        </w:rPr>
        <w:t xml:space="preserve">速度值 </w:t>
      </w:r>
      <w:r>
        <w:rPr>
          <w:rFonts w:ascii="Times New Roman" w:eastAsia="Times New Roman" w:hAnsi="Times New Roman" w:cs="Times New Roman"/>
          <w:spacing w:val="2"/>
        </w:rPr>
        <w:t>(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2"/>
        </w:rPr>
        <w:t>/b)</w:t>
      </w:r>
      <w:r>
        <w:rPr>
          <w:spacing w:val="2"/>
        </w:rPr>
        <w:t>。</w:t>
      </w:r>
    </w:p>
    <w:p>
      <w:pPr>
        <w:spacing w:before="239" w:line="223" w:lineRule="auto"/>
        <w:ind w:left="18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"/>
          <w:sz w:val="22"/>
          <w:szCs w:val="22"/>
        </w:rPr>
        <w:t>6</w:t>
      </w:r>
      <w:r>
        <w:rPr>
          <w:rFonts w:ascii="SimHei" w:eastAsia="SimHei" w:hAnsi="SimHei" w:cs="SimHei"/>
          <w:spacing w:val="10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2"/>
          <w:szCs w:val="22"/>
        </w:rPr>
        <w:t>计量器具控制</w:t>
      </w:r>
    </w:p>
    <w:p>
      <w:pPr>
        <w:pStyle w:val="BodyText"/>
        <w:spacing w:before="227" w:line="219" w:lineRule="auto"/>
        <w:ind w:left="15"/>
      </w:pPr>
      <w:r>
        <w:rPr>
          <w:spacing w:val="-3"/>
        </w:rPr>
        <w:t>6.1</w:t>
      </w:r>
      <w:r>
        <w:rPr>
          <w:spacing w:val="103"/>
        </w:rPr>
        <w:t xml:space="preserve"> </w:t>
      </w:r>
      <w:r>
        <w:rPr>
          <w:spacing w:val="-3"/>
        </w:rPr>
        <w:t>检定条件</w:t>
      </w:r>
    </w:p>
    <w:p>
      <w:pPr>
        <w:pStyle w:val="BodyText"/>
        <w:spacing w:before="69" w:line="219" w:lineRule="auto"/>
        <w:ind w:left="15"/>
      </w:pPr>
      <w:r>
        <w:rPr>
          <w:spacing w:val="1"/>
        </w:rPr>
        <w:t>6.1.1</w:t>
      </w:r>
      <w:r>
        <w:rPr>
          <w:spacing w:val="100"/>
        </w:rPr>
        <w:t xml:space="preserve"> </w:t>
      </w:r>
      <w:r>
        <w:rPr>
          <w:spacing w:val="1"/>
        </w:rPr>
        <w:t>环境条件</w:t>
      </w:r>
    </w:p>
    <w:p>
      <w:pPr>
        <w:pStyle w:val="BodyText"/>
        <w:spacing w:before="70" w:line="220" w:lineRule="auto"/>
        <w:ind w:left="18"/>
      </w:pPr>
      <w:hyperlink r:id="rId11" w:history="1">
        <w:r>
          <w:rPr>
            <w:b/>
            <w:bCs/>
            <w:spacing w:val="1"/>
          </w:rPr>
          <w:t>6.1.1.1</w:t>
        </w:r>
      </w:hyperlink>
      <w:r>
        <w:rPr>
          <w:spacing w:val="1"/>
        </w:rPr>
        <w:t xml:space="preserve">  温度：(20±5)℃;</w:t>
      </w:r>
    </w:p>
    <w:p>
      <w:pPr>
        <w:pStyle w:val="BodyText"/>
        <w:spacing w:before="53" w:line="212" w:lineRule="auto"/>
        <w:ind w:left="18"/>
        <w:rPr>
          <w:rFonts w:ascii="Times New Roman" w:eastAsia="Times New Roman" w:hAnsi="Times New Roman" w:cs="Times New Roman"/>
        </w:rPr>
      </w:pPr>
      <w:hyperlink r:id="rId12" w:history="1">
        <w:r>
          <w:rPr>
            <w:b/>
            <w:bCs/>
            <w:spacing w:val="13"/>
          </w:rPr>
          <w:t>6.1.1.2</w:t>
        </w:r>
      </w:hyperlink>
      <w:r>
        <w:rPr>
          <w:spacing w:val="120"/>
        </w:rPr>
        <w:t xml:space="preserve"> </w:t>
      </w:r>
      <w:r>
        <w:rPr>
          <w:spacing w:val="13"/>
        </w:rPr>
        <w:t>湿度：&lt;85%</w:t>
      </w:r>
      <w:r>
        <w:rPr>
          <w:rFonts w:ascii="Times New Roman" w:eastAsia="Times New Roman" w:hAnsi="Times New Roman" w:cs="Times New Roman"/>
        </w:rPr>
        <w:t>RH</w:t>
      </w:r>
      <w:r>
        <w:rPr>
          <w:rFonts w:ascii="Times New Roman" w:eastAsia="Times New Roman" w:hAnsi="Times New Roman" w:cs="Times New Roman"/>
          <w:spacing w:val="13"/>
        </w:rPr>
        <w:t>;</w:t>
      </w:r>
    </w:p>
    <w:p>
      <w:pPr>
        <w:pStyle w:val="BodyText"/>
        <w:spacing w:before="80" w:line="219" w:lineRule="auto"/>
        <w:ind w:left="18"/>
      </w:pPr>
      <w:hyperlink r:id="rId13" w:history="1">
        <w:r>
          <w:rPr>
            <w:b/>
            <w:bCs/>
            <w:spacing w:val="-4"/>
          </w:rPr>
          <w:t>6.1.1.3</w:t>
        </w:r>
      </w:hyperlink>
      <w:r>
        <w:rPr>
          <w:spacing w:val="-4"/>
        </w:rPr>
        <w:t xml:space="preserve">  供电电源： AC(220±</w:t>
      </w:r>
      <w:r>
        <w:rPr>
          <w:spacing w:val="-5"/>
        </w:rPr>
        <w:t>22)V;</w:t>
      </w:r>
    </w:p>
    <w:p>
      <w:pPr>
        <w:pStyle w:val="BodyText"/>
        <w:spacing w:before="59" w:line="219" w:lineRule="auto"/>
        <w:jc w:val="right"/>
      </w:pPr>
      <w:hyperlink r:id="rId14" w:history="1">
        <w:r>
          <w:rPr>
            <w:b/>
            <w:bCs/>
            <w:spacing w:val="2"/>
          </w:rPr>
          <w:t>6.1.1.4</w:t>
        </w:r>
      </w:hyperlink>
      <w:r>
        <w:rPr>
          <w:spacing w:val="107"/>
        </w:rPr>
        <w:t xml:space="preserve"> </w:t>
      </w:r>
      <w:r>
        <w:rPr>
          <w:spacing w:val="2"/>
        </w:rPr>
        <w:t>机动车雷达测速仪检定装置周围应无影响正常工作的机</w:t>
      </w:r>
      <w:r>
        <w:rPr>
          <w:spacing w:val="1"/>
        </w:rPr>
        <w:t>械振动和电磁场干扰。</w:t>
      </w:r>
    </w:p>
    <w:p>
      <w:pPr>
        <w:pStyle w:val="BodyText"/>
        <w:spacing w:before="61" w:line="219" w:lineRule="auto"/>
        <w:ind w:left="15"/>
      </w:pPr>
      <w:r>
        <w:rPr>
          <w:spacing w:val="13"/>
        </w:rPr>
        <w:t>6.1.2</w:t>
      </w:r>
      <w:r>
        <w:rPr>
          <w:spacing w:val="112"/>
        </w:rPr>
        <w:t xml:space="preserve"> </w:t>
      </w:r>
      <w:r>
        <w:rPr>
          <w:spacing w:val="13"/>
        </w:rPr>
        <w:t>检定用设备(见表2)</w:t>
      </w:r>
    </w:p>
    <w:p>
      <w:pPr>
        <w:spacing w:before="134" w:line="222" w:lineRule="auto"/>
        <w:ind w:left="3518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8"/>
          <w:sz w:val="22"/>
          <w:szCs w:val="22"/>
        </w:rPr>
        <w:t>表2</w:t>
      </w:r>
      <w:r>
        <w:rPr>
          <w:rFonts w:ascii="SimHei" w:eastAsia="SimHei" w:hAnsi="SimHei" w:cs="SimHei"/>
          <w:spacing w:val="73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22"/>
          <w:szCs w:val="22"/>
        </w:rPr>
        <w:t>检定用设备</w:t>
      </w:r>
    </w:p>
    <w:tbl>
      <w:tblPr>
        <w:tblStyle w:val="TableNormal1"/>
        <w:tblW w:w="84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84"/>
        <w:gridCol w:w="1548"/>
        <w:gridCol w:w="2826"/>
        <w:gridCol w:w="3511"/>
      </w:tblGrid>
      <w:tr>
        <w:tblPrEx>
          <w:tblW w:w="84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3"/>
        </w:trPr>
        <w:tc>
          <w:tcPr>
            <w:tcW w:w="58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99" w:line="217" w:lineRule="auto"/>
              <w:ind w:left="115"/>
            </w:pPr>
            <w:r>
              <w:t>序</w:t>
            </w:r>
            <w:r>
              <w:rPr>
                <w:spacing w:val="20"/>
              </w:rPr>
              <w:t xml:space="preserve"> </w:t>
            </w:r>
            <w:r>
              <w:t>号</w:t>
            </w:r>
          </w:p>
        </w:tc>
        <w:tc>
          <w:tcPr>
            <w:tcW w:w="154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2" w:line="219" w:lineRule="auto"/>
              <w:ind w:left="380"/>
            </w:pPr>
            <w:r>
              <w:rPr>
                <w:spacing w:val="9"/>
              </w:rPr>
              <w:t>检定项目</w:t>
            </w:r>
          </w:p>
        </w:tc>
        <w:tc>
          <w:tcPr>
            <w:tcW w:w="6337" w:type="dxa"/>
            <w:gridSpan w:val="2"/>
            <w:vAlign w:val="top"/>
          </w:tcPr>
          <w:p>
            <w:pPr>
              <w:pStyle w:val="TableText"/>
              <w:spacing w:before="92" w:line="219" w:lineRule="auto"/>
              <w:ind w:left="2702"/>
            </w:pPr>
            <w:r>
              <w:rPr>
                <w:spacing w:val="-2"/>
              </w:rPr>
              <w:t>检定用设备</w:t>
            </w:r>
          </w:p>
        </w:tc>
      </w:tr>
      <w:tr>
        <w:tblPrEx>
          <w:tblW w:w="8469" w:type="dxa"/>
          <w:tblInd w:w="5" w:type="dxa"/>
          <w:tblLayout w:type="fixed"/>
        </w:tblPrEx>
        <w:trPr>
          <w:trHeight w:val="369"/>
        </w:trPr>
        <w:tc>
          <w:tcPr>
            <w:tcW w:w="58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26" w:type="dxa"/>
            <w:vAlign w:val="top"/>
          </w:tcPr>
          <w:p>
            <w:pPr>
              <w:pStyle w:val="TableText"/>
              <w:spacing w:before="92" w:line="221" w:lineRule="auto"/>
              <w:ind w:left="1142"/>
            </w:pPr>
            <w:r>
              <w:rPr>
                <w:spacing w:val="-5"/>
              </w:rPr>
              <w:t>名</w:t>
            </w:r>
            <w:r>
              <w:rPr>
                <w:spacing w:val="3"/>
              </w:rPr>
              <w:t xml:space="preserve">  </w:t>
            </w:r>
            <w:r>
              <w:rPr>
                <w:spacing w:val="-5"/>
              </w:rPr>
              <w:t>称</w:t>
            </w:r>
          </w:p>
        </w:tc>
        <w:tc>
          <w:tcPr>
            <w:tcW w:w="3511" w:type="dxa"/>
            <w:vAlign w:val="top"/>
          </w:tcPr>
          <w:p>
            <w:pPr>
              <w:pStyle w:val="TableText"/>
              <w:spacing w:before="89" w:line="219" w:lineRule="auto"/>
              <w:ind w:left="1386"/>
            </w:pPr>
            <w:r>
              <w:rPr>
                <w:spacing w:val="-2"/>
              </w:rPr>
              <w:t>技术特性</w:t>
            </w:r>
          </w:p>
        </w:tc>
      </w:tr>
      <w:tr>
        <w:tblPrEx>
          <w:tblW w:w="8469" w:type="dxa"/>
          <w:tblInd w:w="5" w:type="dxa"/>
          <w:tblLayout w:type="fixed"/>
        </w:tblPrEx>
        <w:trPr>
          <w:trHeight w:val="369"/>
        </w:trPr>
        <w:tc>
          <w:tcPr>
            <w:tcW w:w="584" w:type="dxa"/>
            <w:vAlign w:val="top"/>
          </w:tcPr>
          <w:p>
            <w:pPr>
              <w:pStyle w:val="TableText"/>
              <w:spacing w:before="138" w:line="184" w:lineRule="auto"/>
              <w:ind w:left="234"/>
            </w:pPr>
            <w:r>
              <w:t>1</w:t>
            </w:r>
          </w:p>
        </w:tc>
        <w:tc>
          <w:tcPr>
            <w:tcW w:w="1548" w:type="dxa"/>
            <w:vAlign w:val="top"/>
          </w:tcPr>
          <w:p>
            <w:pPr>
              <w:pStyle w:val="TableText"/>
              <w:spacing w:before="90" w:line="219" w:lineRule="auto"/>
              <w:ind w:left="191"/>
            </w:pPr>
            <w:r>
              <w:rPr>
                <w:spacing w:val="2"/>
              </w:rPr>
              <w:t>频率测量范围</w:t>
            </w:r>
          </w:p>
        </w:tc>
        <w:tc>
          <w:tcPr>
            <w:tcW w:w="282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49" w:line="251" w:lineRule="auto"/>
              <w:ind w:left="132" w:right="497"/>
            </w:pPr>
            <w:r>
              <w:rPr>
                <w:spacing w:val="7"/>
              </w:rPr>
              <w:t>1.频率合成信号发生器；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2</w:t>
            </w:r>
            <w:r>
              <w:rPr>
                <w:spacing w:val="-53"/>
              </w:rPr>
              <w:t xml:space="preserve"> </w:t>
            </w:r>
            <w:r>
              <w:rPr>
                <w:spacing w:val="2"/>
              </w:rPr>
              <w:t>.</w:t>
            </w:r>
            <w:r>
              <w:rPr>
                <w:spacing w:val="-55"/>
              </w:rPr>
              <w:t xml:space="preserve"> </w:t>
            </w:r>
            <w:r>
              <w:rPr>
                <w:spacing w:val="2"/>
              </w:rPr>
              <w:t>功率计；</w:t>
            </w:r>
          </w:p>
          <w:p>
            <w:pPr>
              <w:pStyle w:val="TableText"/>
              <w:spacing w:before="63" w:line="227" w:lineRule="auto"/>
              <w:ind w:left="132" w:right="498"/>
            </w:pPr>
            <w:r>
              <w:rPr>
                <w:spacing w:val="7"/>
              </w:rPr>
              <w:t>3.检定晶振用的频标源；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4.检定晶振用的测量装置</w:t>
            </w:r>
          </w:p>
        </w:tc>
        <w:tc>
          <w:tcPr>
            <w:tcW w:w="3511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251" w:lineRule="auto"/>
              <w:ind w:left="137" w:right="227" w:firstLine="389"/>
            </w:pPr>
            <w:r>
              <w:rPr>
                <w:spacing w:val="-1"/>
              </w:rPr>
              <w:t>依据JJG 841—1993《微波频率计</w:t>
            </w:r>
            <w:r>
              <w:rPr>
                <w:spacing w:val="10"/>
              </w:rPr>
              <w:t xml:space="preserve"> </w:t>
            </w:r>
            <w:r>
              <w:rPr>
                <w:spacing w:val="-3"/>
              </w:rPr>
              <w:t>数器检定规程》</w:t>
            </w:r>
          </w:p>
        </w:tc>
      </w:tr>
      <w:tr>
        <w:tblPrEx>
          <w:tblW w:w="8469" w:type="dxa"/>
          <w:tblInd w:w="5" w:type="dxa"/>
          <w:tblLayout w:type="fixed"/>
        </w:tblPrEx>
        <w:trPr>
          <w:trHeight w:val="349"/>
        </w:trPr>
        <w:tc>
          <w:tcPr>
            <w:tcW w:w="584" w:type="dxa"/>
            <w:vAlign w:val="top"/>
          </w:tcPr>
          <w:p>
            <w:pPr>
              <w:pStyle w:val="TableText"/>
              <w:spacing w:before="130" w:line="183" w:lineRule="auto"/>
              <w:ind w:left="234"/>
            </w:pPr>
            <w:r>
              <w:t>2</w:t>
            </w:r>
          </w:p>
        </w:tc>
        <w:tc>
          <w:tcPr>
            <w:tcW w:w="1548" w:type="dxa"/>
            <w:vAlign w:val="top"/>
          </w:tcPr>
          <w:p>
            <w:pPr>
              <w:pStyle w:val="TableText"/>
              <w:spacing w:before="81" w:line="219" w:lineRule="auto"/>
              <w:ind w:left="291"/>
            </w:pPr>
            <w:r>
              <w:rPr>
                <w:spacing w:val="-2"/>
              </w:rPr>
              <w:t>频率准确度</w:t>
            </w:r>
          </w:p>
        </w:tc>
        <w:tc>
          <w:tcPr>
            <w:tcW w:w="28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69" w:type="dxa"/>
          <w:tblInd w:w="5" w:type="dxa"/>
          <w:tblLayout w:type="fixed"/>
        </w:tblPrEx>
        <w:trPr>
          <w:trHeight w:val="369"/>
        </w:trPr>
        <w:tc>
          <w:tcPr>
            <w:tcW w:w="584" w:type="dxa"/>
            <w:vAlign w:val="top"/>
          </w:tcPr>
          <w:p>
            <w:pPr>
              <w:pStyle w:val="TableText"/>
              <w:spacing w:before="141" w:line="183" w:lineRule="auto"/>
              <w:ind w:left="234"/>
            </w:pPr>
            <w:r>
              <w:t>3</w:t>
            </w:r>
          </w:p>
        </w:tc>
        <w:tc>
          <w:tcPr>
            <w:tcW w:w="1548" w:type="dxa"/>
            <w:vAlign w:val="top"/>
          </w:tcPr>
          <w:p>
            <w:pPr>
              <w:pStyle w:val="TableText"/>
              <w:spacing w:before="92" w:line="219" w:lineRule="auto"/>
              <w:ind w:left="191"/>
            </w:pPr>
            <w:r>
              <w:rPr>
                <w:spacing w:val="1"/>
              </w:rPr>
              <w:t>1s频率稳定度</w:t>
            </w:r>
          </w:p>
        </w:tc>
        <w:tc>
          <w:tcPr>
            <w:tcW w:w="28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5"/>
          <w:footerReference w:type="default" r:id="rId16"/>
          <w:pgSz w:w="10040" w:h="14660"/>
          <w:pgMar w:top="1419" w:right="689" w:bottom="645" w:left="775" w:header="1107" w:footer="496" w:gutter="0"/>
          <w:pgNumType w:start="3"/>
          <w:cols w:space="708"/>
        </w:sectPr>
      </w:pPr>
    </w:p>
    <w:tbl>
      <w:tblPr>
        <w:tblStyle w:val="TableNormal2"/>
        <w:tblW w:w="84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84"/>
        <w:gridCol w:w="1548"/>
        <w:gridCol w:w="2826"/>
        <w:gridCol w:w="3511"/>
      </w:tblGrid>
      <w:tr>
        <w:tblPrEx>
          <w:tblW w:w="84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870"/>
        </w:trPr>
        <w:tc>
          <w:tcPr>
            <w:tcW w:w="58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3" w:lineRule="auto"/>
              <w:ind w:left="234"/>
            </w:pPr>
            <w:r>
              <w:t>4</w:t>
            </w:r>
          </w:p>
        </w:tc>
        <w:tc>
          <w:tcPr>
            <w:tcW w:w="154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20" w:lineRule="auto"/>
              <w:ind w:left="380"/>
            </w:pPr>
            <w:r>
              <w:rPr>
                <w:spacing w:val="4"/>
              </w:rPr>
              <w:t>速度范围</w:t>
            </w:r>
          </w:p>
        </w:tc>
        <w:tc>
          <w:tcPr>
            <w:tcW w:w="2826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953"/>
            </w:pPr>
            <w:r>
              <w:rPr>
                <w:spacing w:val="-2"/>
              </w:rPr>
              <w:t>通用计数器</w:t>
            </w:r>
          </w:p>
        </w:tc>
        <w:tc>
          <w:tcPr>
            <w:tcW w:w="3511" w:type="dxa"/>
            <w:vAlign w:val="top"/>
          </w:tcPr>
          <w:p>
            <w:pPr>
              <w:pStyle w:val="TableText"/>
              <w:spacing w:before="123" w:line="219" w:lineRule="auto"/>
              <w:ind w:left="137"/>
            </w:pPr>
            <w:r>
              <w:rPr>
                <w:spacing w:val="1"/>
              </w:rPr>
              <w:t>频率范围：1</w:t>
            </w:r>
            <w:r>
              <w:t>Hz</w:t>
            </w:r>
            <w:r>
              <w:rPr>
                <w:spacing w:val="1"/>
              </w:rPr>
              <w:t>～10</w:t>
            </w:r>
            <w:r>
              <w:t>MHz</w:t>
            </w:r>
          </w:p>
          <w:p>
            <w:pPr>
              <w:pStyle w:val="TableText"/>
              <w:spacing w:before="55" w:line="220" w:lineRule="auto"/>
              <w:ind w:left="137"/>
            </w:pPr>
            <w:r>
              <w:t>周期测量：0.4μs~10s</w:t>
            </w:r>
          </w:p>
          <w:p>
            <w:pPr>
              <w:pStyle w:val="TableText"/>
              <w:spacing w:before="93" w:line="219" w:lineRule="auto"/>
              <w:ind w:left="137"/>
            </w:pPr>
            <w:r>
              <w:t>取样(闸门)时间：1ms～1000s</w:t>
            </w:r>
          </w:p>
          <w:p>
            <w:pPr>
              <w:pStyle w:val="TableText"/>
              <w:spacing w:before="74" w:line="219" w:lineRule="auto"/>
              <w:ind w:left="137"/>
            </w:pPr>
            <w:r>
              <w:rPr>
                <w:spacing w:val="-1"/>
              </w:rPr>
              <w:t>灵敏度：优于30mV</w:t>
            </w:r>
          </w:p>
          <w:p>
            <w:pPr>
              <w:pStyle w:val="TableText"/>
              <w:spacing w:before="54" w:line="219" w:lineRule="auto"/>
              <w:ind w:left="137"/>
            </w:pPr>
            <w:r>
              <w:rPr>
                <w:spacing w:val="-1"/>
              </w:rPr>
              <w:t>频率准确度：1×10-6</w:t>
            </w:r>
          </w:p>
          <w:p>
            <w:pPr>
              <w:pStyle w:val="TableText"/>
              <w:spacing w:before="74" w:line="219" w:lineRule="auto"/>
              <w:ind w:left="137"/>
            </w:pPr>
            <w:r>
              <w:t>1s频率稳定度：1×10~8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7"/>
          <w:footerReference w:type="default" r:id="rId18"/>
          <w:type w:val="nextPage"/>
          <w:pgSz w:w="10040" w:h="14660"/>
          <w:pgMar w:top="1419" w:right="689" w:bottom="645" w:left="775" w:header="1107" w:footer="496" w:gutter="0"/>
          <w:pgNumType w:start="4"/>
          <w:cols w:space="708"/>
          <w:titlePg w:val="0"/>
        </w:sectPr>
      </w:pPr>
    </w:p>
    <w:p>
      <w:pPr>
        <w:spacing w:before="169" w:line="223" w:lineRule="auto"/>
        <w:ind w:left="417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16"/>
          <w:sz w:val="22"/>
          <w:szCs w:val="22"/>
        </w:rPr>
        <w:t>表2(续)</w:t>
      </w:r>
    </w:p>
    <w:p>
      <w:pPr>
        <w:spacing w:line="59" w:lineRule="exact"/>
      </w:pPr>
    </w:p>
    <w:tbl>
      <w:tblPr>
        <w:tblStyle w:val="TableNormal3"/>
        <w:tblW w:w="8540" w:type="dxa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94"/>
        <w:gridCol w:w="1578"/>
        <w:gridCol w:w="2847"/>
        <w:gridCol w:w="3521"/>
      </w:tblGrid>
      <w:tr>
        <w:tblPrEx>
          <w:tblW w:w="8540" w:type="dxa"/>
          <w:tblInd w:w="3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3"/>
        </w:trPr>
        <w:tc>
          <w:tcPr>
            <w:tcW w:w="5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99" w:line="217" w:lineRule="auto"/>
              <w:ind w:left="125"/>
            </w:pPr>
            <w:r>
              <w:t>序</w:t>
            </w:r>
            <w:r>
              <w:rPr>
                <w:spacing w:val="19"/>
              </w:rPr>
              <w:t xml:space="preserve"> </w:t>
            </w:r>
            <w:r>
              <w:t>号</w:t>
            </w:r>
          </w:p>
        </w:tc>
        <w:tc>
          <w:tcPr>
            <w:tcW w:w="157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2" w:line="219" w:lineRule="auto"/>
              <w:ind w:left="400"/>
            </w:pPr>
            <w:r>
              <w:rPr>
                <w:spacing w:val="9"/>
              </w:rPr>
              <w:t>检定项目</w:t>
            </w:r>
          </w:p>
        </w:tc>
        <w:tc>
          <w:tcPr>
            <w:tcW w:w="6368" w:type="dxa"/>
            <w:gridSpan w:val="2"/>
            <w:vAlign w:val="top"/>
          </w:tcPr>
          <w:p>
            <w:pPr>
              <w:pStyle w:val="TableText"/>
              <w:spacing w:before="92" w:line="219" w:lineRule="auto"/>
              <w:ind w:left="2712"/>
            </w:pPr>
            <w:r>
              <w:rPr>
                <w:spacing w:val="-2"/>
              </w:rPr>
              <w:t>检定用设备</w:t>
            </w:r>
          </w:p>
        </w:tc>
      </w:tr>
      <w:tr>
        <w:tblPrEx>
          <w:tblW w:w="8540" w:type="dxa"/>
          <w:tblInd w:w="39" w:type="dxa"/>
          <w:tblLayout w:type="fixed"/>
        </w:tblPrEx>
        <w:trPr>
          <w:trHeight w:val="378"/>
        </w:trPr>
        <w:tc>
          <w:tcPr>
            <w:tcW w:w="59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7" w:type="dxa"/>
            <w:vAlign w:val="top"/>
          </w:tcPr>
          <w:p>
            <w:pPr>
              <w:pStyle w:val="TableText"/>
              <w:spacing w:before="102" w:line="221" w:lineRule="auto"/>
              <w:ind w:left="1132"/>
            </w:pPr>
            <w:r>
              <w:rPr>
                <w:spacing w:val="-5"/>
              </w:rPr>
              <w:t>名</w:t>
            </w:r>
            <w:r>
              <w:rPr>
                <w:spacing w:val="3"/>
              </w:rPr>
              <w:t xml:space="preserve">  </w:t>
            </w:r>
            <w:r>
              <w:rPr>
                <w:spacing w:val="-5"/>
              </w:rPr>
              <w:t>称</w:t>
            </w:r>
          </w:p>
        </w:tc>
        <w:tc>
          <w:tcPr>
            <w:tcW w:w="3521" w:type="dxa"/>
            <w:vAlign w:val="top"/>
          </w:tcPr>
          <w:p>
            <w:pPr>
              <w:pStyle w:val="TableText"/>
              <w:spacing w:before="99" w:line="219" w:lineRule="auto"/>
              <w:ind w:left="1395"/>
            </w:pPr>
            <w:r>
              <w:rPr>
                <w:spacing w:val="-2"/>
              </w:rPr>
              <w:t>技术特性</w:t>
            </w:r>
          </w:p>
        </w:tc>
      </w:tr>
      <w:tr>
        <w:tblPrEx>
          <w:tblW w:w="8540" w:type="dxa"/>
          <w:tblInd w:w="39" w:type="dxa"/>
          <w:tblLayout w:type="fixed"/>
        </w:tblPrEx>
        <w:trPr>
          <w:trHeight w:val="358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2" w:lineRule="auto"/>
              <w:ind w:left="235"/>
            </w:pPr>
            <w:r>
              <w:t>5</w:t>
            </w:r>
          </w:p>
        </w:tc>
        <w:tc>
          <w:tcPr>
            <w:tcW w:w="1578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20" w:lineRule="auto"/>
              <w:ind w:left="400"/>
            </w:pPr>
            <w:r>
              <w:rPr>
                <w:spacing w:val="-2"/>
              </w:rPr>
              <w:t>速度误差</w:t>
            </w:r>
          </w:p>
        </w:tc>
        <w:tc>
          <w:tcPr>
            <w:tcW w:w="2847" w:type="dxa"/>
            <w:vAlign w:val="top"/>
          </w:tcPr>
          <w:p>
            <w:pPr>
              <w:pStyle w:val="TableText"/>
              <w:spacing w:before="91" w:line="219" w:lineRule="auto"/>
              <w:ind w:left="943"/>
            </w:pPr>
            <w:r>
              <w:rPr>
                <w:spacing w:val="-2"/>
              </w:rPr>
              <w:t>通用计数器</w:t>
            </w:r>
          </w:p>
        </w:tc>
        <w:tc>
          <w:tcPr>
            <w:tcW w:w="3521" w:type="dxa"/>
            <w:vAlign w:val="top"/>
          </w:tcPr>
          <w:p>
            <w:pPr>
              <w:pStyle w:val="TableText"/>
              <w:spacing w:before="91" w:line="219" w:lineRule="auto"/>
              <w:ind w:left="315"/>
            </w:pPr>
            <w:r>
              <w:rPr>
                <w:spacing w:val="-1"/>
              </w:rPr>
              <w:t>通用计数器技术特性同上</w:t>
            </w:r>
          </w:p>
        </w:tc>
      </w:tr>
      <w:tr>
        <w:tblPrEx>
          <w:tblW w:w="8540" w:type="dxa"/>
          <w:tblInd w:w="39" w:type="dxa"/>
          <w:tblLayout w:type="fixed"/>
        </w:tblPrEx>
        <w:trPr>
          <w:trHeight w:val="940"/>
        </w:trPr>
        <w:tc>
          <w:tcPr>
            <w:tcW w:w="5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20" w:lineRule="auto"/>
              <w:ind w:left="1132"/>
            </w:pPr>
            <w:r>
              <w:rPr>
                <w:spacing w:val="-3"/>
              </w:rPr>
              <w:t>分频器</w:t>
            </w:r>
          </w:p>
        </w:tc>
        <w:tc>
          <w:tcPr>
            <w:tcW w:w="3521" w:type="dxa"/>
            <w:vAlign w:val="top"/>
          </w:tcPr>
          <w:p>
            <w:pPr>
              <w:pStyle w:val="TableText"/>
              <w:spacing w:before="103" w:line="219" w:lineRule="auto"/>
              <w:ind w:left="515"/>
            </w:pPr>
            <w:r>
              <w:rPr>
                <w:spacing w:val="1"/>
              </w:rPr>
              <w:t>频率范围：(0.1～20)</w:t>
            </w:r>
            <w:r>
              <w:t>kHz</w:t>
            </w:r>
          </w:p>
          <w:p>
            <w:pPr>
              <w:pStyle w:val="TableText"/>
              <w:spacing w:before="84" w:line="219" w:lineRule="auto"/>
              <w:ind w:left="515"/>
            </w:pPr>
            <w:r>
              <w:rPr>
                <w:spacing w:val="-2"/>
              </w:rPr>
              <w:t>分频倍数：1～16</w:t>
            </w:r>
          </w:p>
          <w:p>
            <w:pPr>
              <w:pStyle w:val="TableText"/>
              <w:spacing w:before="74" w:line="210" w:lineRule="auto"/>
              <w:ind w:left="515"/>
            </w:pPr>
            <w:r>
              <w:rPr>
                <w:spacing w:val="-1"/>
              </w:rPr>
              <w:t>灵敏度：优于30mV</w:t>
            </w:r>
          </w:p>
        </w:tc>
      </w:tr>
    </w:tbl>
    <w:p>
      <w:pPr>
        <w:rPr>
          <w:rFonts w:ascii="Arial"/>
          <w:sz w:val="21"/>
        </w:rPr>
      </w:pPr>
    </w:p>
    <w:p>
      <w:pPr>
        <w:pStyle w:val="BodyText"/>
        <w:spacing w:before="72" w:line="340" w:lineRule="exact"/>
      </w:pPr>
      <w:r>
        <w:rPr>
          <w:spacing w:val="4"/>
          <w:position w:val="8"/>
        </w:rPr>
        <w:t>6.2</w:t>
      </w:r>
      <w:r>
        <w:rPr>
          <w:spacing w:val="92"/>
          <w:position w:val="8"/>
        </w:rPr>
        <w:t xml:space="preserve"> </w:t>
      </w:r>
      <w:r>
        <w:rPr>
          <w:spacing w:val="4"/>
          <w:position w:val="8"/>
        </w:rPr>
        <w:t>检定项目</w:t>
      </w:r>
    </w:p>
    <w:p>
      <w:pPr>
        <w:pStyle w:val="BodyText"/>
        <w:spacing w:line="219" w:lineRule="auto"/>
        <w:ind w:left="469"/>
      </w:pPr>
      <w:r>
        <w:rPr>
          <w:spacing w:val="2"/>
        </w:rPr>
        <w:t>见表3。</w:t>
      </w:r>
    </w:p>
    <w:p>
      <w:pPr>
        <w:spacing w:before="144" w:line="222" w:lineRule="auto"/>
        <w:ind w:left="367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5"/>
          <w:sz w:val="22"/>
          <w:szCs w:val="22"/>
        </w:rPr>
        <w:t>表3</w:t>
      </w:r>
      <w:r>
        <w:rPr>
          <w:rFonts w:ascii="SimHei" w:eastAsia="SimHei" w:hAnsi="SimHei" w:cs="SimHei"/>
          <w:spacing w:val="8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2"/>
          <w:szCs w:val="22"/>
        </w:rPr>
        <w:t>检定项目</w:t>
      </w:r>
    </w:p>
    <w:p>
      <w:pPr>
        <w:spacing w:line="46" w:lineRule="exact"/>
      </w:pPr>
    </w:p>
    <w:tbl>
      <w:tblPr>
        <w:tblStyle w:val="TableNormal3"/>
        <w:tblW w:w="8520" w:type="dxa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963"/>
        <w:gridCol w:w="1868"/>
        <w:gridCol w:w="1578"/>
        <w:gridCol w:w="1558"/>
        <w:gridCol w:w="1553"/>
      </w:tblGrid>
      <w:tr>
        <w:tblPrEx>
          <w:tblW w:w="8520" w:type="dxa"/>
          <w:tblInd w:w="3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4"/>
        </w:trPr>
        <w:tc>
          <w:tcPr>
            <w:tcW w:w="3831" w:type="dxa"/>
            <w:gridSpan w:val="2"/>
            <w:vAlign w:val="top"/>
          </w:tcPr>
          <w:p>
            <w:pPr>
              <w:pStyle w:val="TableText"/>
              <w:spacing w:before="73" w:line="219" w:lineRule="auto"/>
              <w:ind w:left="1524"/>
            </w:pPr>
            <w:r>
              <w:rPr>
                <w:spacing w:val="9"/>
              </w:rPr>
              <w:t>检定项目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73" w:line="219" w:lineRule="auto"/>
              <w:ind w:left="403"/>
            </w:pPr>
            <w:r>
              <w:rPr>
                <w:spacing w:val="3"/>
              </w:rPr>
              <w:t>首次检定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73" w:line="219" w:lineRule="auto"/>
              <w:ind w:left="396"/>
            </w:pPr>
            <w:r>
              <w:rPr>
                <w:spacing w:val="3"/>
              </w:rPr>
              <w:t>后续检定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73" w:line="219" w:lineRule="auto"/>
              <w:ind w:left="298"/>
            </w:pPr>
            <w:r>
              <w:rPr>
                <w:spacing w:val="-2"/>
              </w:rPr>
              <w:t>使用中检验</w:t>
            </w:r>
          </w:p>
        </w:tc>
      </w:tr>
      <w:tr>
        <w:tblPrEx>
          <w:tblW w:w="8520" w:type="dxa"/>
          <w:tblInd w:w="39" w:type="dxa"/>
          <w:tblLayout w:type="fixed"/>
        </w:tblPrEx>
        <w:trPr>
          <w:trHeight w:val="319"/>
        </w:trPr>
        <w:tc>
          <w:tcPr>
            <w:tcW w:w="3831" w:type="dxa"/>
            <w:gridSpan w:val="2"/>
            <w:vAlign w:val="top"/>
          </w:tcPr>
          <w:p>
            <w:pPr>
              <w:pStyle w:val="TableText"/>
              <w:spacing w:before="69" w:line="219" w:lineRule="auto"/>
              <w:ind w:left="1144"/>
            </w:pPr>
            <w:r>
              <w:rPr>
                <w:spacing w:val="-1"/>
              </w:rPr>
              <w:t>通用技术要求检查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69" w:line="221" w:lineRule="auto"/>
              <w:ind w:left="684"/>
            </w:pPr>
            <w:r>
              <w:t>十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69" w:line="221" w:lineRule="auto"/>
              <w:ind w:left="676"/>
            </w:pPr>
            <w:r>
              <w:t>十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69" w:line="221" w:lineRule="auto"/>
              <w:ind w:left="677"/>
            </w:pPr>
            <w:r>
              <w:t>十</w:t>
            </w:r>
          </w:p>
        </w:tc>
      </w:tr>
      <w:tr>
        <w:tblPrEx>
          <w:tblW w:w="8520" w:type="dxa"/>
          <w:tblInd w:w="39" w:type="dxa"/>
          <w:tblLayout w:type="fixed"/>
        </w:tblPrEx>
        <w:trPr>
          <w:trHeight w:val="359"/>
        </w:trPr>
        <w:tc>
          <w:tcPr>
            <w:tcW w:w="1963" w:type="dxa"/>
            <w:vMerge w:val="restart"/>
            <w:tcBorders>
              <w:bottom w:val="nil"/>
            </w:tcBorders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305"/>
            </w:pPr>
            <w:r>
              <w:rPr>
                <w:spacing w:val="-1"/>
              </w:rPr>
              <w:t>微波频率计数器</w:t>
            </w:r>
          </w:p>
        </w:tc>
        <w:tc>
          <w:tcPr>
            <w:tcW w:w="1868" w:type="dxa"/>
            <w:vAlign w:val="top"/>
          </w:tcPr>
          <w:p>
            <w:pPr>
              <w:pStyle w:val="TableText"/>
              <w:spacing w:before="89" w:line="219" w:lineRule="auto"/>
              <w:ind w:left="352"/>
            </w:pPr>
            <w:r>
              <w:rPr>
                <w:spacing w:val="2"/>
              </w:rPr>
              <w:t>频率测量范围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90" w:line="221" w:lineRule="auto"/>
              <w:ind w:left="684"/>
            </w:pPr>
            <w:r>
              <w:t>十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90" w:line="221" w:lineRule="auto"/>
              <w:ind w:left="676"/>
            </w:pPr>
            <w:r>
              <w:t>十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187" w:line="61" w:lineRule="exact"/>
              <w:ind w:left="677"/>
              <w:rPr>
                <w:sz w:val="9"/>
                <w:szCs w:val="9"/>
              </w:rPr>
            </w:pPr>
            <w:r>
              <w:rPr>
                <w:spacing w:val="-1"/>
                <w:position w:val="-1"/>
                <w:sz w:val="9"/>
                <w:szCs w:val="9"/>
              </w:rPr>
              <w:t>——</w:t>
            </w:r>
          </w:p>
        </w:tc>
      </w:tr>
      <w:tr>
        <w:tblPrEx>
          <w:tblW w:w="8520" w:type="dxa"/>
          <w:tblInd w:w="39" w:type="dxa"/>
          <w:tblLayout w:type="fixed"/>
        </w:tblPrEx>
        <w:trPr>
          <w:trHeight w:val="368"/>
        </w:trPr>
        <w:tc>
          <w:tcPr>
            <w:tcW w:w="19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8" w:type="dxa"/>
            <w:vAlign w:val="top"/>
          </w:tcPr>
          <w:p>
            <w:pPr>
              <w:pStyle w:val="TableText"/>
              <w:spacing w:before="90" w:line="219" w:lineRule="auto"/>
              <w:ind w:left="452"/>
            </w:pPr>
            <w:r>
              <w:rPr>
                <w:spacing w:val="-2"/>
              </w:rPr>
              <w:t>频率准确度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91" w:line="221" w:lineRule="auto"/>
              <w:ind w:left="684"/>
            </w:pPr>
            <w:r>
              <w:t>十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91" w:line="221" w:lineRule="auto"/>
              <w:ind w:left="676"/>
            </w:pPr>
            <w:r>
              <w:t>十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91" w:line="221" w:lineRule="auto"/>
              <w:ind w:left="677"/>
            </w:pPr>
            <w:r>
              <w:t>十</w:t>
            </w:r>
          </w:p>
        </w:tc>
      </w:tr>
      <w:tr>
        <w:tblPrEx>
          <w:tblW w:w="8520" w:type="dxa"/>
          <w:tblInd w:w="39" w:type="dxa"/>
          <w:tblLayout w:type="fixed"/>
        </w:tblPrEx>
        <w:trPr>
          <w:trHeight w:val="369"/>
        </w:trPr>
        <w:tc>
          <w:tcPr>
            <w:tcW w:w="19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8" w:type="dxa"/>
            <w:vAlign w:val="top"/>
          </w:tcPr>
          <w:p>
            <w:pPr>
              <w:pStyle w:val="TableText"/>
              <w:spacing w:before="92" w:line="219" w:lineRule="auto"/>
              <w:ind w:left="352"/>
            </w:pPr>
            <w:r>
              <w:rPr>
                <w:spacing w:val="1"/>
              </w:rPr>
              <w:t>1s频率稳定度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93" w:line="221" w:lineRule="auto"/>
              <w:ind w:left="684"/>
            </w:pPr>
            <w:r>
              <w:t>十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93" w:line="221" w:lineRule="auto"/>
              <w:ind w:left="676"/>
            </w:pPr>
            <w:r>
              <w:t>十</w:t>
            </w:r>
          </w:p>
        </w:tc>
        <w:tc>
          <w:tcPr>
            <w:tcW w:w="1553" w:type="dxa"/>
            <w:vAlign w:val="top"/>
          </w:tcPr>
          <w:p>
            <w:pPr>
              <w:tabs>
                <w:tab w:val="left" w:pos="815"/>
              </w:tabs>
              <w:spacing w:line="236" w:lineRule="exact"/>
              <w:ind w:left="727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8520" w:type="dxa"/>
          <w:tblInd w:w="39" w:type="dxa"/>
          <w:tblLayout w:type="fixed"/>
        </w:tblPrEx>
        <w:trPr>
          <w:trHeight w:val="378"/>
        </w:trPr>
        <w:tc>
          <w:tcPr>
            <w:tcW w:w="196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2" w:line="219" w:lineRule="auto"/>
              <w:ind w:left="214"/>
            </w:pPr>
            <w:r>
              <w:t>目标速度模拟装置</w:t>
            </w:r>
          </w:p>
        </w:tc>
        <w:tc>
          <w:tcPr>
            <w:tcW w:w="1868" w:type="dxa"/>
            <w:vAlign w:val="top"/>
          </w:tcPr>
          <w:p>
            <w:pPr>
              <w:pStyle w:val="TableText"/>
              <w:spacing w:before="104" w:line="220" w:lineRule="auto"/>
              <w:ind w:left="541"/>
            </w:pPr>
            <w:r>
              <w:rPr>
                <w:spacing w:val="4"/>
              </w:rPr>
              <w:t>速度范围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104" w:line="221" w:lineRule="auto"/>
              <w:ind w:left="684"/>
            </w:pPr>
            <w:r>
              <w:t>十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04" w:line="221" w:lineRule="auto"/>
              <w:ind w:left="676"/>
            </w:pPr>
            <w:r>
              <w:t>十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201" w:line="61" w:lineRule="exact"/>
              <w:ind w:left="677"/>
              <w:rPr>
                <w:sz w:val="9"/>
                <w:szCs w:val="9"/>
              </w:rPr>
            </w:pPr>
            <w:r>
              <w:rPr>
                <w:spacing w:val="-1"/>
                <w:position w:val="-1"/>
                <w:sz w:val="9"/>
                <w:szCs w:val="9"/>
              </w:rPr>
              <w:t>——</w:t>
            </w:r>
          </w:p>
        </w:tc>
      </w:tr>
      <w:tr>
        <w:tblPrEx>
          <w:tblW w:w="8520" w:type="dxa"/>
          <w:tblInd w:w="39" w:type="dxa"/>
          <w:tblLayout w:type="fixed"/>
        </w:tblPrEx>
        <w:trPr>
          <w:trHeight w:val="373"/>
        </w:trPr>
        <w:tc>
          <w:tcPr>
            <w:tcW w:w="19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8" w:type="dxa"/>
            <w:vAlign w:val="top"/>
          </w:tcPr>
          <w:p>
            <w:pPr>
              <w:pStyle w:val="TableText"/>
              <w:spacing w:before="96" w:line="220" w:lineRule="auto"/>
              <w:ind w:left="541"/>
            </w:pPr>
            <w:r>
              <w:rPr>
                <w:spacing w:val="-2"/>
              </w:rPr>
              <w:t>速度误差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96" w:line="221" w:lineRule="auto"/>
              <w:ind w:left="684"/>
            </w:pPr>
            <w:r>
              <w:t>十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96" w:line="221" w:lineRule="auto"/>
              <w:ind w:left="676"/>
            </w:pPr>
            <w:r>
              <w:t>十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96" w:line="221" w:lineRule="auto"/>
              <w:ind w:left="677"/>
            </w:pPr>
            <w:r>
              <w:t>十</w:t>
            </w:r>
          </w:p>
        </w:tc>
      </w:tr>
    </w:tbl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71" w:line="219" w:lineRule="auto"/>
      </w:pPr>
      <w:r>
        <w:rPr>
          <w:spacing w:val="-2"/>
        </w:rPr>
        <w:t>6.3  检定方法</w:t>
      </w:r>
    </w:p>
    <w:p>
      <w:pPr>
        <w:pStyle w:val="BodyText"/>
        <w:spacing w:before="59" w:line="219" w:lineRule="auto"/>
      </w:pPr>
      <w:r>
        <w:rPr>
          <w:spacing w:val="2"/>
        </w:rPr>
        <w:t>6.3.1</w:t>
      </w:r>
      <w:r>
        <w:rPr>
          <w:spacing w:val="6"/>
        </w:rPr>
        <w:t xml:space="preserve">  </w:t>
      </w:r>
      <w:r>
        <w:rPr>
          <w:spacing w:val="2"/>
        </w:rPr>
        <w:t>通用技术要求的检查</w:t>
      </w:r>
    </w:p>
    <w:p>
      <w:pPr>
        <w:pStyle w:val="BodyText"/>
        <w:spacing w:before="47" w:line="253" w:lineRule="auto"/>
        <w:ind w:right="70" w:firstLine="469"/>
      </w:pPr>
      <w:r>
        <w:rPr>
          <w:spacing w:val="16"/>
        </w:rPr>
        <w:t xml:space="preserve">按本规程第5.1条和第5.2条对机动车雷达测速仪检定装置通用技术要求进行检 </w:t>
      </w:r>
      <w:r>
        <w:rPr>
          <w:spacing w:val="-4"/>
        </w:rPr>
        <w:t>查，结果应符合要求。</w:t>
      </w:r>
    </w:p>
    <w:p>
      <w:pPr>
        <w:pStyle w:val="BodyText"/>
        <w:spacing w:before="59" w:line="219" w:lineRule="auto"/>
      </w:pPr>
      <w:r>
        <w:rPr>
          <w:spacing w:val="7"/>
        </w:rPr>
        <w:t>6.3.2  频率测量范围、频率准确度及1</w:t>
      </w:r>
      <w:r>
        <w:rPr>
          <w:rFonts w:ascii="Times New Roman" w:eastAsia="Times New Roman" w:hAnsi="Times New Roman" w:cs="Times New Roman"/>
          <w:spacing w:val="7"/>
        </w:rPr>
        <w:t xml:space="preserve">s </w:t>
      </w:r>
      <w:r>
        <w:rPr>
          <w:spacing w:val="7"/>
        </w:rPr>
        <w:t>频率稳定度的检定</w:t>
      </w:r>
    </w:p>
    <w:p>
      <w:pPr>
        <w:pStyle w:val="BodyText"/>
        <w:spacing w:before="79" w:line="255" w:lineRule="auto"/>
        <w:ind w:right="30" w:firstLine="469"/>
        <w:jc w:val="both"/>
        <w:sectPr>
          <w:headerReference w:type="default" r:id="rId19"/>
          <w:footerReference w:type="default" r:id="rId20"/>
          <w:pgSz w:w="10040" w:h="14660"/>
          <w:pgMar w:top="1369" w:right="549" w:bottom="655" w:left="860" w:header="1078" w:footer="506" w:gutter="0"/>
          <w:pgNumType w:start="5"/>
          <w:cols w:space="708"/>
        </w:sectPr>
      </w:pPr>
      <w:r>
        <w:rPr>
          <w:spacing w:val="11"/>
        </w:rPr>
        <w:t>按照</w:t>
      </w:r>
      <w:r>
        <w:t>JJG</w:t>
      </w:r>
      <w:r>
        <w:rPr>
          <w:spacing w:val="11"/>
        </w:rPr>
        <w:t>841—1993《</w:t>
      </w:r>
      <w:r>
        <w:rPr>
          <w:spacing w:val="105"/>
        </w:rPr>
        <w:t xml:space="preserve"> </w:t>
      </w:r>
      <w:r>
        <w:rPr>
          <w:spacing w:val="11"/>
        </w:rPr>
        <w:t>微波频率计数器检定规程》中规定的方法，对频率测量范</w:t>
      </w:r>
      <w:r>
        <w:t xml:space="preserve"> </w:t>
      </w:r>
      <w:r>
        <w:rPr>
          <w:spacing w:val="16"/>
        </w:rPr>
        <w:t>围、频率准确度及1</w:t>
      </w:r>
      <w:r>
        <w:rPr>
          <w:rFonts w:ascii="Times New Roman" w:eastAsia="Times New Roman" w:hAnsi="Times New Roman" w:cs="Times New Roman"/>
          <w:spacing w:val="16"/>
        </w:rPr>
        <w:t>s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spacing w:val="16"/>
        </w:rPr>
        <w:t>频率稳定度进行检定，其检定结果应符合本规程第4.</w:t>
      </w:r>
      <w:r>
        <w:rPr>
          <w:spacing w:val="-62"/>
        </w:rPr>
        <w:t xml:space="preserve"> </w:t>
      </w:r>
      <w:r>
        <w:rPr>
          <w:spacing w:val="16"/>
        </w:rPr>
        <w:t>1.</w:t>
      </w:r>
      <w:r>
        <w:rPr>
          <w:spacing w:val="-62"/>
        </w:rPr>
        <w:t xml:space="preserve"> </w:t>
      </w:r>
      <w:r>
        <w:rPr>
          <w:spacing w:val="16"/>
        </w:rPr>
        <w:t>1条、</w:t>
      </w:r>
      <w:r>
        <w:t xml:space="preserve"> </w:t>
      </w:r>
      <w:r>
        <w:rPr>
          <w:spacing w:val="10"/>
        </w:rPr>
        <w:t>4.1.2条和4.1.3条的要求。</w:t>
      </w:r>
    </w:p>
    <w:p>
      <w:pPr>
        <w:pStyle w:val="BodyText"/>
        <w:spacing w:before="69" w:line="220" w:lineRule="auto"/>
      </w:pPr>
      <w:r>
        <w:rPr>
          <w:spacing w:val="-2"/>
        </w:rPr>
        <w:t>6.3.3</w:t>
      </w:r>
      <w:r>
        <w:rPr>
          <w:spacing w:val="10"/>
        </w:rPr>
        <w:t xml:space="preserve">  </w:t>
      </w:r>
      <w:r>
        <w:rPr>
          <w:spacing w:val="-2"/>
        </w:rPr>
        <w:t>速度范围</w:t>
      </w:r>
    </w:p>
    <w:p>
      <w:pPr>
        <w:pStyle w:val="BodyText"/>
        <w:spacing w:before="56" w:line="219" w:lineRule="auto"/>
        <w:ind w:left="469"/>
      </w:pPr>
      <w:r>
        <w:rPr>
          <w:spacing w:val="3"/>
        </w:rPr>
        <w:t>目标速度模拟装置频率范围的检定</w:t>
      </w:r>
    </w:p>
    <w:p>
      <w:pPr>
        <w:pStyle w:val="BodyText"/>
        <w:spacing w:before="39" w:line="257" w:lineRule="auto"/>
        <w:ind w:right="67" w:firstLine="469"/>
      </w:pPr>
      <w:r>
        <w:rPr>
          <w:spacing w:val="14"/>
        </w:rPr>
        <w:t>1)按图1连接。检定前，目标速度模拟装置和通用计数器应按规定时间进</w:t>
      </w:r>
      <w:r>
        <w:rPr>
          <w:spacing w:val="13"/>
        </w:rPr>
        <w:t>行预热</w:t>
      </w:r>
      <w:r>
        <w:t xml:space="preserve"> </w:t>
      </w:r>
      <w:r>
        <w:t>后，方可进行下列各项的检定。</w:t>
      </w:r>
    </w:p>
    <w:p>
      <w:pPr>
        <w:pStyle w:val="BodyText"/>
        <w:spacing w:before="80" w:line="820" w:lineRule="exact"/>
        <w:ind w:firstLine="1819"/>
      </w:pPr>
      <w:r>
        <w:rPr>
          <w:position w:val="-16"/>
        </w:rPr>
        <w:pict>
          <v:group id="_x0000_i1025" style="width:246.05pt;height:41pt;mso-position-horizontal-relative:char;mso-position-vertical-relative:line" coordorigin="0,0" coordsize="4921,82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921;height:820;position:absolute" filled="f" stroked="f">
              <v:imagedata r:id="rId2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961;height:86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9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29" w:lineRule="auto"/>
                      <w:ind w:left="432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3"/>
                        <w:sz w:val="17"/>
                        <w:szCs w:val="17"/>
                      </w:rPr>
                      <w:t>目标速度模拟装置</w:t>
                    </w:r>
                    <w:r>
                      <w:rPr>
                        <w:rFonts w:ascii="SimSun" w:eastAsia="SimSun" w:hAnsi="SimSun" w:cs="SimSun"/>
                        <w:spacing w:val="-3"/>
                        <w:sz w:val="17"/>
                        <w:szCs w:val="17"/>
                      </w:rPr>
                      <w:t xml:space="preserve">                     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3"/>
                        <w:sz w:val="17"/>
                        <w:szCs w:val="17"/>
                      </w:rPr>
                      <w:t>通用计数器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9" w:line="219" w:lineRule="auto"/>
        <w:ind w:left="3269"/>
      </w:pPr>
      <w:r>
        <w:rPr>
          <w:spacing w:val="-16"/>
        </w:rPr>
        <w:t>图1</w:t>
      </w:r>
      <w:r>
        <w:rPr>
          <w:spacing w:val="67"/>
        </w:rPr>
        <w:t xml:space="preserve"> </w:t>
      </w:r>
      <w:r>
        <w:rPr>
          <w:spacing w:val="-16"/>
        </w:rPr>
        <w:t>频率范围检定框图</w:t>
      </w:r>
    </w:p>
    <w:p>
      <w:pPr>
        <w:pStyle w:val="BodyText"/>
        <w:spacing w:before="67" w:line="253" w:lineRule="auto"/>
        <w:ind w:right="71" w:firstLine="469"/>
      </w:pPr>
      <w:r>
        <w:rPr>
          <w:spacing w:val="11"/>
        </w:rPr>
        <w:t>2)由目标速度模拟装置输出频率信号，速度检定点应在规定</w:t>
      </w:r>
      <w:r>
        <w:rPr>
          <w:spacing w:val="10"/>
        </w:rPr>
        <w:t>的范围内均匀分布地</w:t>
      </w:r>
      <w:r>
        <w:t xml:space="preserve"> </w:t>
      </w:r>
      <w:r>
        <w:rPr>
          <w:spacing w:val="13"/>
        </w:rPr>
        <w:t>选取3点进行(如20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13"/>
        </w:rPr>
        <w:t>/h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13"/>
        </w:rPr>
        <w:t>、</w:t>
      </w:r>
      <w:r>
        <w:rPr>
          <w:rFonts w:ascii="Times New Roman" w:eastAsia="Times New Roman" w:hAnsi="Times New Roman" w:cs="Times New Roman"/>
          <w:spacing w:val="13"/>
        </w:rPr>
        <w:t>100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13"/>
        </w:rPr>
        <w:t>/h</w:t>
      </w:r>
      <w:r>
        <w:rPr>
          <w:rFonts w:ascii="Times New Roman" w:eastAsia="Times New Roman" w:hAnsi="Times New Roman" w:cs="Times New Roman"/>
          <w:spacing w:val="2"/>
        </w:rPr>
        <w:t xml:space="preserve">    </w:t>
      </w:r>
      <w:r>
        <w:rPr>
          <w:spacing w:val="13"/>
        </w:rPr>
        <w:t>和2</w:t>
      </w:r>
      <w:r>
        <w:rPr>
          <w:spacing w:val="12"/>
        </w:rPr>
        <w:t>00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12"/>
        </w:rPr>
        <w:t xml:space="preserve">/h  </w:t>
      </w:r>
      <w:r>
        <w:rPr>
          <w:spacing w:val="12"/>
        </w:rPr>
        <w:t>等)。</w:t>
      </w:r>
    </w:p>
    <w:p>
      <w:pPr>
        <w:spacing w:line="253" w:lineRule="auto"/>
        <w:sectPr>
          <w:headerReference w:type="default" r:id="rId22"/>
          <w:footerReference w:type="default" r:id="rId23"/>
          <w:type w:val="nextPage"/>
          <w:pgSz w:w="10040" w:h="14660"/>
          <w:pgMar w:top="1369" w:right="549" w:bottom="655" w:left="860" w:header="1078" w:footer="506" w:gutter="0"/>
          <w:pgNumType w:start="6"/>
          <w:cols w:space="708"/>
          <w:titlePg w:val="0"/>
        </w:sectPr>
      </w:pPr>
    </w:p>
    <w:p>
      <w:pPr>
        <w:pStyle w:val="BodyText"/>
        <w:spacing w:before="207" w:line="219" w:lineRule="auto"/>
        <w:ind w:left="480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2832080</wp:posOffset>
            </wp:positionH>
            <wp:positionV relativeFrom="page">
              <wp:posOffset>1181138</wp:posOffset>
            </wp:positionV>
            <wp:extent cx="800112" cy="304779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00112" cy="30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2114528</wp:posOffset>
            </wp:positionH>
            <wp:positionV relativeFrom="page">
              <wp:posOffset>8318518</wp:posOffset>
            </wp:positionV>
            <wp:extent cx="2108217" cy="368267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08217" cy="3682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"/>
        </w:rPr>
        <w:t>3)多普勒频率</w:t>
      </w:r>
      <w:r>
        <w:rPr>
          <w:rFonts w:ascii="Times New Roman" w:eastAsia="Times New Roman" w:hAnsi="Times New Roman" w:cs="Times New Roman"/>
        </w:rPr>
        <w:t>fa</w:t>
      </w:r>
      <w:r>
        <w:rPr>
          <w:rFonts w:ascii="Times New Roman" w:eastAsia="Times New Roman" w:hAnsi="Times New Roman" w:cs="Times New Roman"/>
          <w:spacing w:val="20"/>
        </w:rPr>
        <w:t xml:space="preserve">  </w:t>
      </w:r>
      <w:r>
        <w:rPr>
          <w:spacing w:val="8"/>
        </w:rPr>
        <w:t>与速度设定值</w:t>
      </w:r>
      <w:r>
        <w:rPr>
          <w:rFonts w:ascii="Times New Roman" w:eastAsia="Times New Roman" w:hAnsi="Times New Roman" w:cs="Times New Roman"/>
          <w:spacing w:val="8"/>
        </w:rPr>
        <w:t>v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8"/>
        </w:rPr>
        <w:t>应满足下列公式：</w:t>
      </w:r>
    </w:p>
    <w:p>
      <w:pPr>
        <w:pStyle w:val="BodyText"/>
        <w:spacing w:before="221" w:line="222" w:lineRule="auto"/>
        <w:ind w:left="8269"/>
        <w:rPr>
          <w:sz w:val="17"/>
          <w:szCs w:val="17"/>
        </w:rPr>
      </w:pPr>
      <w:r>
        <w:rPr>
          <w:spacing w:val="-9"/>
          <w:sz w:val="17"/>
          <w:szCs w:val="17"/>
        </w:rPr>
        <w:t>(1)</w:t>
      </w:r>
    </w:p>
    <w:p>
      <w:pPr>
        <w:pStyle w:val="BodyText"/>
        <w:spacing w:before="240" w:line="212" w:lineRule="auto"/>
        <w:ind w:left="30"/>
        <w:rPr>
          <w:rFonts w:ascii="Times New Roman" w:eastAsia="Times New Roman" w:hAnsi="Times New Roman" w:cs="Times New Roman"/>
        </w:rPr>
      </w:pPr>
      <w:r>
        <w:rPr>
          <w:spacing w:val="-13"/>
        </w:rPr>
        <w:t>式中：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13"/>
        </w:rPr>
        <w:t>fa—-</w:t>
      </w:r>
      <w:r>
        <w:rPr>
          <w:rFonts w:ascii="Times New Roman" w:eastAsia="Times New Roman" w:hAnsi="Times New Roman" w:cs="Times New Roman"/>
          <w:spacing w:val="6"/>
        </w:rPr>
        <w:t xml:space="preserve">    </w:t>
      </w:r>
      <w:r>
        <w:rPr>
          <w:spacing w:val="-13"/>
        </w:rPr>
        <w:t>多普勒频率，</w:t>
      </w:r>
      <w:r>
        <w:rPr>
          <w:spacing w:val="31"/>
        </w:rPr>
        <w:t xml:space="preserve"> </w:t>
      </w:r>
      <w:r>
        <w:rPr>
          <w:rFonts w:ascii="Times New Roman" w:eastAsia="Times New Roman" w:hAnsi="Times New Roman" w:cs="Times New Roman"/>
          <w:spacing w:val="-13"/>
        </w:rPr>
        <w:t>Hz;</w:t>
      </w:r>
    </w:p>
    <w:p>
      <w:pPr>
        <w:pStyle w:val="BodyText"/>
        <w:spacing w:before="57" w:line="212" w:lineRule="auto"/>
        <w:ind w:left="78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2"/>
        </w:rPr>
        <w:t>c—-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 </w:t>
      </w:r>
      <w:r>
        <w:rPr>
          <w:spacing w:val="2"/>
        </w:rPr>
        <w:t>电磁波的传播速度，0.299792458</w:t>
      </w:r>
      <w:r>
        <w:rPr>
          <w:rFonts w:ascii="Times New Roman" w:eastAsia="Times New Roman" w:hAnsi="Times New Roman" w:cs="Times New Roman"/>
        </w:rPr>
        <w:t>Gm</w:t>
      </w:r>
      <w:r>
        <w:rPr>
          <w:rFonts w:ascii="Times New Roman" w:eastAsia="Times New Roman" w:hAnsi="Times New Roman" w:cs="Times New Roman"/>
          <w:spacing w:val="2"/>
        </w:rPr>
        <w:t>/s;</w:t>
      </w:r>
    </w:p>
    <w:p>
      <w:pPr>
        <w:pStyle w:val="BodyText"/>
        <w:spacing w:before="87" w:line="212" w:lineRule="auto"/>
        <w:ind w:left="71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6"/>
        </w:rPr>
        <w:t xml:space="preserve">k₁…— </w:t>
      </w:r>
      <w:r>
        <w:rPr>
          <w:spacing w:val="-6"/>
        </w:rPr>
        <w:t xml:space="preserve">单位换算因子， </w:t>
      </w:r>
      <w:r>
        <w:rPr>
          <w:rFonts w:ascii="Times New Roman" w:eastAsia="Times New Roman" w:hAnsi="Times New Roman" w:cs="Times New Roman"/>
          <w:spacing w:val="-6"/>
        </w:rPr>
        <w:t>k₁=10~3/3.6;</w:t>
      </w:r>
    </w:p>
    <w:p>
      <w:pPr>
        <w:pStyle w:val="BodyText"/>
        <w:spacing w:before="87" w:line="212" w:lineRule="auto"/>
        <w:ind w:left="6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3"/>
        </w:rPr>
        <w:t>f₀</w:t>
      </w:r>
      <w:r>
        <w:rPr>
          <w:rFonts w:ascii="Times New Roman" w:eastAsia="Times New Roman" w:hAnsi="Times New Roman" w:cs="Times New Roman"/>
          <w:spacing w:val="8"/>
        </w:rPr>
        <w:t xml:space="preserve">       </w:t>
      </w:r>
      <w:r>
        <w:rPr>
          <w:spacing w:val="3"/>
        </w:rPr>
        <w:t>-雷达测速仪微波发射频率的标称值，</w:t>
      </w:r>
      <w:r>
        <w:rPr>
          <w:rFonts w:ascii="Times New Roman" w:eastAsia="Times New Roman" w:hAnsi="Times New Roman" w:cs="Times New Roman"/>
        </w:rPr>
        <w:t>MHz</w:t>
      </w:r>
      <w:r>
        <w:rPr>
          <w:rFonts w:ascii="Times New Roman" w:eastAsia="Times New Roman" w:hAnsi="Times New Roman" w:cs="Times New Roman"/>
          <w:spacing w:val="3"/>
        </w:rPr>
        <w:t>;</w:t>
      </w:r>
    </w:p>
    <w:p>
      <w:pPr>
        <w:pStyle w:val="BodyText"/>
        <w:spacing w:before="72" w:line="219" w:lineRule="auto"/>
        <w:ind w:left="799"/>
      </w:pPr>
      <w:r>
        <w:rPr>
          <w:rFonts w:ascii="Times New Roman" w:eastAsia="Times New Roman" w:hAnsi="Times New Roman" w:cs="Times New Roman"/>
          <w:spacing w:val="-7"/>
        </w:rPr>
        <w:t>v——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7"/>
        </w:rPr>
        <w:t xml:space="preserve">速度设定值， </w:t>
      </w:r>
      <w:r>
        <w:rPr>
          <w:rFonts w:ascii="Times New Roman" w:eastAsia="Times New Roman" w:hAnsi="Times New Roman" w:cs="Times New Roman"/>
          <w:spacing w:val="-7"/>
        </w:rPr>
        <w:t>km/h</w:t>
      </w:r>
      <w:r>
        <w:rPr>
          <w:spacing w:val="-7"/>
        </w:rPr>
        <w:t>。</w:t>
      </w:r>
    </w:p>
    <w:p>
      <w:pPr>
        <w:pStyle w:val="BodyText"/>
        <w:spacing w:before="57" w:line="248" w:lineRule="auto"/>
        <w:ind w:left="30" w:right="49" w:firstLine="459"/>
      </w:pPr>
      <w:r>
        <w:rPr>
          <w:spacing w:val="6"/>
        </w:rPr>
        <w:t>4)用通用计数器测量目标速度模拟装置的输出频率，闸门时间设置为10s; 其频率</w:t>
      </w:r>
      <w:r>
        <w:rPr>
          <w:spacing w:val="15"/>
        </w:rPr>
        <w:t xml:space="preserve"> </w:t>
      </w:r>
      <w:r>
        <w:rPr>
          <w:spacing w:val="6"/>
        </w:rPr>
        <w:t>范围应符合本规程第4.2.1条的要求。</w:t>
      </w:r>
    </w:p>
    <w:p>
      <w:pPr>
        <w:pStyle w:val="BodyText"/>
        <w:spacing w:before="51" w:line="220" w:lineRule="auto"/>
        <w:ind w:left="19"/>
      </w:pPr>
      <w:r>
        <w:rPr>
          <w:spacing w:val="2"/>
        </w:rPr>
        <w:t>6.3.4  速度误差</w:t>
      </w:r>
    </w:p>
    <w:p>
      <w:pPr>
        <w:pStyle w:val="BodyText"/>
        <w:spacing w:before="76" w:line="219" w:lineRule="auto"/>
        <w:ind w:left="30"/>
      </w:pPr>
      <w:hyperlink r:id="rId26" w:history="1">
        <w:r>
          <w:rPr>
            <w:spacing w:val="2"/>
          </w:rPr>
          <w:t>6.3.4.1</w:t>
        </w:r>
      </w:hyperlink>
      <w:r>
        <w:rPr>
          <w:spacing w:val="30"/>
        </w:rPr>
        <w:t xml:space="preserve">  </w:t>
      </w:r>
      <w:r>
        <w:rPr>
          <w:spacing w:val="2"/>
        </w:rPr>
        <w:t>目标速度模拟装置频率误差的检定</w:t>
      </w:r>
    </w:p>
    <w:p>
      <w:pPr>
        <w:pStyle w:val="BodyText"/>
        <w:spacing w:before="69" w:line="219" w:lineRule="auto"/>
        <w:ind w:left="489"/>
      </w:pPr>
      <w:r>
        <w:rPr>
          <w:spacing w:val="7"/>
        </w:rPr>
        <w:t>1)频率误差检定框图见图1。由目标速度模拟装置输出频率信号</w:t>
      </w:r>
      <w:r>
        <w:rPr>
          <w:spacing w:val="6"/>
        </w:rPr>
        <w:t>，速度检定点应在</w:t>
      </w:r>
    </w:p>
    <w:p>
      <w:pPr>
        <w:pStyle w:val="BodyText"/>
        <w:spacing w:before="81" w:line="252" w:lineRule="auto"/>
        <w:ind w:left="39" w:right="20"/>
        <w:jc w:val="both"/>
      </w:pPr>
      <w:r>
        <w:rPr>
          <w:spacing w:val="12"/>
        </w:rPr>
        <w:t>规定的范围内均匀分布地选取3点进行(如20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12"/>
        </w:rPr>
        <w:t>/h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12"/>
        </w:rPr>
        <w:t>、</w:t>
      </w:r>
      <w:r>
        <w:rPr>
          <w:rFonts w:ascii="Times New Roman" w:eastAsia="Times New Roman" w:hAnsi="Times New Roman" w:cs="Times New Roman"/>
          <w:spacing w:val="12"/>
        </w:rPr>
        <w:t>100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12"/>
        </w:rPr>
        <w:t>/h</w:t>
      </w:r>
      <w:r>
        <w:rPr>
          <w:rFonts w:ascii="Times New Roman" w:eastAsia="Times New Roman" w:hAnsi="Times New Roman" w:cs="Times New Roman"/>
          <w:spacing w:val="2"/>
        </w:rPr>
        <w:t xml:space="preserve">    </w:t>
      </w:r>
      <w:r>
        <w:rPr>
          <w:spacing w:val="12"/>
        </w:rPr>
        <w:t>和200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12"/>
        </w:rPr>
        <w:t xml:space="preserve">/h  </w:t>
      </w:r>
      <w:r>
        <w:rPr>
          <w:spacing w:val="12"/>
        </w:rPr>
        <w:t>等)。对每</w:t>
      </w:r>
      <w:r>
        <w:t xml:space="preserve"> </w:t>
      </w:r>
      <w:r>
        <w:rPr>
          <w:spacing w:val="10"/>
        </w:rPr>
        <w:t>个速度点相应的频率值用通用计数器循环测量3次，取3次测量的平均值作为该速度点</w:t>
      </w:r>
      <w:r>
        <w:rPr>
          <w:spacing w:val="18"/>
        </w:rPr>
        <w:t xml:space="preserve"> </w:t>
      </w:r>
      <w:r>
        <w:rPr>
          <w:spacing w:val="7"/>
        </w:rPr>
        <w:t>的频率实际值。闸门时间设置为10s。</w:t>
      </w:r>
    </w:p>
    <w:sdt>
      <w:sdtPr>
        <w:rPr>
          <w:rFonts w:ascii="SimSun" w:eastAsia="SimSun" w:hAnsi="SimSun" w:cs="SimSun"/>
          <w:sz w:val="22"/>
          <w:szCs w:val="22"/>
        </w:rPr>
        <w:id w:val="113294517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8"/>
          <w:szCs w:val="18"/>
        </w:rPr>
      </w:sdtEndPr>
      <w:sdtContent>
        <w:p>
          <w:pPr>
            <w:pStyle w:val="BodyText"/>
            <w:spacing w:before="59" w:line="219" w:lineRule="auto"/>
            <w:ind w:left="480"/>
          </w:pPr>
          <w:r>
            <w:rPr>
              <w:spacing w:val="21"/>
            </w:rPr>
            <w:t>2)按式(2)计算频率误差：</w:t>
          </w:r>
        </w:p>
        <w:p>
          <w:pPr>
            <w:pStyle w:val="BodyText"/>
            <w:spacing w:before="17" w:line="312" w:lineRule="exact"/>
            <w:ind w:left="3610"/>
            <w:rPr>
              <w:sz w:val="18"/>
              <w:szCs w:val="18"/>
            </w:rPr>
          </w:pPr>
          <w:r>
            <w:rPr>
              <w:i/>
              <w:iCs/>
              <w:spacing w:val="-2"/>
              <w:position w:val="3"/>
              <w:sz w:val="23"/>
              <w:szCs w:val="23"/>
            </w:rPr>
            <w:t>△</w:t>
          </w:r>
          <w:r>
            <w:rPr>
              <w:rFonts w:ascii="Times New Roman" w:eastAsia="Times New Roman" w:hAnsi="Times New Roman" w:cs="Times New Roman"/>
              <w:i/>
              <w:iCs/>
              <w:spacing w:val="-2"/>
              <w:position w:val="3"/>
            </w:rPr>
            <w:t xml:space="preserve">fa=fui—fim                                            </w:t>
          </w:r>
          <w:r>
            <w:rPr>
              <w:rFonts w:ascii="Times New Roman" w:eastAsia="Times New Roman" w:hAnsi="Times New Roman" w:cs="Times New Roman"/>
              <w:i/>
              <w:iCs/>
              <w:spacing w:val="-3"/>
              <w:position w:val="3"/>
            </w:rPr>
            <w:t xml:space="preserve">                    </w:t>
          </w:r>
          <w:r>
            <w:rPr>
              <w:spacing w:val="-3"/>
              <w:position w:val="4"/>
              <w:sz w:val="18"/>
              <w:szCs w:val="18"/>
            </w:rPr>
            <w:t>(</w:t>
          </w:r>
          <w:hyperlink w:anchor="bookmark1" w:history="1">
            <w:r>
              <w:rPr>
                <w:spacing w:val="-3"/>
                <w:position w:val="4"/>
                <w:sz w:val="18"/>
                <w:szCs w:val="18"/>
              </w:rPr>
              <w:t>2)</w:t>
            </w:r>
          </w:hyperlink>
        </w:p>
      </w:sdtContent>
    </w:sdt>
    <w:p>
      <w:pPr>
        <w:pStyle w:val="BodyText"/>
        <w:spacing w:before="66" w:line="349" w:lineRule="exact"/>
        <w:ind w:left="30"/>
      </w:pPr>
      <w:r>
        <w:rPr>
          <w:spacing w:val="-4"/>
          <w:position w:val="9"/>
        </w:rPr>
        <w:t>式中：△fa----频率误差， Hz,</w:t>
      </w:r>
      <w:r>
        <w:rPr>
          <w:spacing w:val="43"/>
          <w:position w:val="9"/>
        </w:rPr>
        <w:t xml:space="preserve"> </w:t>
      </w:r>
      <w:r>
        <w:rPr>
          <w:spacing w:val="-4"/>
          <w:position w:val="9"/>
        </w:rPr>
        <w:t>保留一位有效</w:t>
      </w:r>
      <w:r>
        <w:rPr>
          <w:spacing w:val="-5"/>
          <w:position w:val="9"/>
        </w:rPr>
        <w:t>数字；</w:t>
      </w:r>
    </w:p>
    <w:p>
      <w:pPr>
        <w:pStyle w:val="BodyText"/>
        <w:spacing w:line="212" w:lineRule="auto"/>
        <w:ind w:left="79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>Ja——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spacing w:val="-3"/>
        </w:rPr>
        <w:t>频率实际值，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Hz;</w:t>
      </w:r>
    </w:p>
    <w:p>
      <w:pPr>
        <w:pStyle w:val="BodyText"/>
        <w:spacing w:before="68" w:line="249" w:lineRule="auto"/>
        <w:ind w:left="19" w:right="1569" w:firstLine="760"/>
      </w:pPr>
      <w:r>
        <w:rPr>
          <w:rFonts w:ascii="Times New Roman" w:eastAsia="Times New Roman" w:hAnsi="Times New Roman" w:cs="Times New Roman"/>
        </w:rPr>
        <w:t>fuo</w:t>
      </w:r>
      <w:r>
        <w:rPr>
          <w:rFonts w:ascii="Times New Roman" w:eastAsia="Times New Roman" w:hAnsi="Times New Roman" w:cs="Times New Roman"/>
          <w:spacing w:val="6"/>
        </w:rPr>
        <w:t xml:space="preserve">    </w:t>
      </w:r>
      <w:r>
        <w:rPr>
          <w:spacing w:val="6"/>
        </w:rPr>
        <w:t>- 多普勒频率理论值，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</w:rPr>
        <w:t>Hz</w:t>
      </w:r>
      <w:r>
        <w:rPr>
          <w:rFonts w:ascii="Times New Roman" w:eastAsia="Times New Roman" w:hAnsi="Times New Roman" w:cs="Times New Roman"/>
          <w:spacing w:val="6"/>
        </w:rPr>
        <w:t xml:space="preserve">,   </w:t>
      </w:r>
      <w:r>
        <w:rPr>
          <w:spacing w:val="6"/>
        </w:rPr>
        <w:t>按式(1)计算取位至0</w:t>
      </w:r>
      <w:r>
        <w:rPr>
          <w:spacing w:val="-64"/>
        </w:rPr>
        <w:t xml:space="preserve"> </w:t>
      </w:r>
      <w:r>
        <w:rPr>
          <w:spacing w:val="6"/>
        </w:rPr>
        <w:t>.</w:t>
      </w:r>
      <w:r>
        <w:rPr>
          <w:spacing w:val="-54"/>
        </w:rPr>
        <w:t xml:space="preserve"> </w:t>
      </w:r>
      <w:r>
        <w:rPr>
          <w:spacing w:val="6"/>
        </w:rPr>
        <w:t>1</w:t>
      </w:r>
      <w:r>
        <w:rPr>
          <w:rFonts w:ascii="Times New Roman" w:eastAsia="Times New Roman" w:hAnsi="Times New Roman" w:cs="Times New Roman"/>
        </w:rPr>
        <w:t>Hz</w:t>
      </w:r>
      <w:r>
        <w:rPr>
          <w:spacing w:val="6"/>
        </w:rPr>
        <w:t>。</w:t>
      </w:r>
      <w:r>
        <w:t xml:space="preserve"> </w:t>
      </w:r>
      <w:r>
        <w:rPr>
          <w:spacing w:val="7"/>
        </w:rPr>
        <w:t>其频率误差应符合本规程第</w:t>
      </w:r>
      <w:hyperlink r:id="rId6" w:history="1">
        <w:r>
          <w:rPr>
            <w:spacing w:val="7"/>
          </w:rPr>
          <w:t>4.2.2.1</w:t>
        </w:r>
      </w:hyperlink>
      <w:r>
        <w:rPr>
          <w:spacing w:val="7"/>
        </w:rPr>
        <w:t>条的要求。</w:t>
      </w:r>
    </w:p>
    <w:p>
      <w:pPr>
        <w:pStyle w:val="BodyText"/>
        <w:spacing w:before="69" w:line="219" w:lineRule="auto"/>
        <w:ind w:left="30"/>
      </w:pPr>
      <w:hyperlink r:id="rId27" w:history="1">
        <w:r>
          <w:rPr>
            <w:spacing w:val="2"/>
          </w:rPr>
          <w:t>6.3.4.2</w:t>
        </w:r>
      </w:hyperlink>
      <w:r>
        <w:rPr>
          <w:spacing w:val="30"/>
        </w:rPr>
        <w:t xml:space="preserve">  </w:t>
      </w:r>
      <w:r>
        <w:rPr>
          <w:spacing w:val="2"/>
        </w:rPr>
        <w:t>目标速度模拟装置频率稳定度</w:t>
      </w:r>
      <w:r>
        <w:rPr>
          <w:spacing w:val="1"/>
        </w:rPr>
        <w:t>的检定</w:t>
      </w:r>
    </w:p>
    <w:p>
      <w:pPr>
        <w:pStyle w:val="BodyText"/>
        <w:spacing w:before="59" w:line="244" w:lineRule="auto"/>
        <w:ind w:left="19" w:right="45" w:firstLine="449"/>
      </w:pPr>
      <w:r>
        <w:rPr>
          <w:spacing w:val="4"/>
        </w:rPr>
        <w:t>1)频率稳定度检定框图见图1或图2。由日标速度模拟装置输出频率信号，速度检定</w:t>
      </w:r>
      <w:r>
        <w:rPr>
          <w:spacing w:val="11"/>
        </w:rPr>
        <w:t xml:space="preserve"> </w:t>
      </w:r>
      <w:r>
        <w:rPr>
          <w:spacing w:val="7"/>
        </w:rPr>
        <w:t>点应在规定的范围内均匀分布地选取3点进行(如20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7"/>
        </w:rPr>
        <w:t>/h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7"/>
        </w:rPr>
        <w:t>、</w:t>
      </w:r>
      <w:r>
        <w:rPr>
          <w:rFonts w:ascii="Times New Roman" w:eastAsia="Times New Roman" w:hAnsi="Times New Roman" w:cs="Times New Roman"/>
          <w:spacing w:val="7"/>
        </w:rPr>
        <w:t>100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7"/>
        </w:rPr>
        <w:t>/h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spacing w:val="6"/>
        </w:rPr>
        <w:t>和200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6"/>
        </w:rPr>
        <w:t xml:space="preserve">/h  </w:t>
      </w:r>
      <w:r>
        <w:rPr>
          <w:spacing w:val="6"/>
        </w:rPr>
        <w:t>等)。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72" w:line="219" w:lineRule="auto"/>
        <w:ind w:left="1310"/>
      </w:pPr>
      <w:r>
        <w:pict>
          <v:shape id="_x0000_s1028" type="#_x0000_t202" style="width:44.4pt;height:15.1pt;margin-top:2.14pt;margin-left:309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jc w:val="right"/>
                  </w:pPr>
                  <w:r>
                    <w:rPr>
                      <w:spacing w:val="-17"/>
                      <w:w w:val="83"/>
                    </w:rPr>
                    <w:t>通</w:t>
                  </w:r>
                  <w:r>
                    <w:rPr>
                      <w:spacing w:val="-16"/>
                      <w:w w:val="83"/>
                    </w:rPr>
                    <w:t>用计数</w:t>
                  </w:r>
                  <w:r>
                    <w:rPr>
                      <w:spacing w:val="-10"/>
                      <w:w w:val="83"/>
                    </w:rPr>
                    <w:t>器</w:t>
                  </w:r>
                </w:p>
              </w:txbxContent>
            </v:textbox>
          </v:shape>
        </w:pict>
      </w:r>
      <w:r>
        <w:pict>
          <v:shape id="_x0000_s1029" type="#_x0000_t202" style="width:26.9pt;height:12.75pt;margin-top:4.1pt;margin-left:200.5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spacing w:val="-10"/>
                      <w:sz w:val="18"/>
                      <w:szCs w:val="18"/>
                    </w:rPr>
                    <w:t>分频器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596864</wp:posOffset>
            </wp:positionH>
            <wp:positionV relativeFrom="paragraph">
              <wp:posOffset>-137213</wp:posOffset>
            </wp:positionV>
            <wp:extent cx="4241808" cy="520751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241808" cy="520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  <w:w w:val="87"/>
        </w:rPr>
        <w:t>目标速度模拟装置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72" w:line="219" w:lineRule="auto"/>
        <w:ind w:left="3149"/>
        <w:sectPr>
          <w:headerReference w:type="default" r:id="rId29"/>
          <w:footerReference w:type="default" r:id="rId30"/>
          <w:pgSz w:w="10040" w:h="14660"/>
          <w:pgMar w:top="1319" w:right="680" w:bottom="688" w:left="760" w:header="1084" w:footer="549" w:gutter="0"/>
          <w:pgNumType w:start="7"/>
          <w:cols w:space="708"/>
        </w:sectPr>
      </w:pPr>
      <w:r>
        <w:rPr>
          <w:spacing w:val="-18"/>
          <w:sz w:val="19"/>
          <w:szCs w:val="19"/>
        </w:rPr>
        <w:t>图</w:t>
      </w:r>
      <w:r>
        <w:rPr>
          <w:spacing w:val="-17"/>
          <w:sz w:val="19"/>
          <w:szCs w:val="19"/>
        </w:rPr>
        <w:t xml:space="preserve"> </w:t>
      </w:r>
      <w:r>
        <w:rPr>
          <w:spacing w:val="-18"/>
          <w:sz w:val="19"/>
          <w:szCs w:val="19"/>
        </w:rPr>
        <w:t xml:space="preserve">2  </w:t>
      </w:r>
      <w:r>
        <w:rPr>
          <w:spacing w:val="-18"/>
        </w:rPr>
        <w:t>频率稳定度检定框图</w:t>
      </w:r>
    </w:p>
    <w:p>
      <w:pPr>
        <w:pStyle w:val="BodyText"/>
        <w:spacing w:before="199" w:line="255" w:lineRule="auto"/>
        <w:ind w:left="9" w:right="49" w:firstLine="460"/>
        <w:jc w:val="both"/>
      </w:pPr>
      <w:r>
        <w:rPr>
          <w:spacing w:val="18"/>
        </w:rPr>
        <w:t>方法一</w:t>
      </w:r>
      <w:r>
        <w:rPr>
          <w:spacing w:val="-54"/>
        </w:rPr>
        <w:t xml:space="preserve"> </w:t>
      </w:r>
      <w:r>
        <w:rPr>
          <w:spacing w:val="18"/>
        </w:rPr>
        <w:t>：见图2。用通用计数器测量目标速度模拟装置输出周期，按照本规程</w:t>
      </w:r>
      <w:r>
        <w:t xml:space="preserve"> </w:t>
      </w:r>
      <w:r>
        <w:rPr>
          <w:spacing w:val="7"/>
        </w:rPr>
        <w:t>第</w:t>
      </w:r>
      <w:hyperlink r:id="rId9" w:history="1">
        <w:r>
          <w:rPr>
            <w:spacing w:val="7"/>
          </w:rPr>
          <w:t>4.2.2.2</w:t>
        </w:r>
      </w:hyperlink>
      <w:r>
        <w:rPr>
          <w:spacing w:val="7"/>
        </w:rPr>
        <w:t>条的要求调节分频器的分频倍数，选取规定的取样时间。对频率信号连续取</w:t>
      </w:r>
      <w:r>
        <w:rPr>
          <w:spacing w:val="2"/>
        </w:rPr>
        <w:t xml:space="preserve"> </w:t>
      </w:r>
      <w:r>
        <w:rPr>
          <w:spacing w:val="7"/>
        </w:rPr>
        <w:t>样，取样组数</w:t>
      </w:r>
      <w:r>
        <w:rPr>
          <w:rFonts w:ascii="Times New Roman" w:eastAsia="Times New Roman" w:hAnsi="Times New Roman" w:cs="Times New Roman"/>
          <w:spacing w:val="7"/>
        </w:rPr>
        <w:t>m</w:t>
      </w:r>
      <w:r>
        <w:rPr>
          <w:rFonts w:ascii="Times New Roman" w:eastAsia="Times New Roman" w:hAnsi="Times New Roman" w:cs="Times New Roman"/>
          <w:spacing w:val="38"/>
          <w:w w:val="101"/>
        </w:rPr>
        <w:t xml:space="preserve"> </w:t>
      </w:r>
      <w:r>
        <w:rPr>
          <w:spacing w:val="7"/>
        </w:rPr>
        <w:t>为100。</w:t>
      </w:r>
    </w:p>
    <w:p>
      <w:pPr>
        <w:pStyle w:val="BodyText"/>
        <w:spacing w:before="78" w:line="248" w:lineRule="auto"/>
        <w:ind w:left="19" w:right="51" w:firstLine="419"/>
        <w:jc w:val="both"/>
      </w:pPr>
      <w:r>
        <w:rPr>
          <w:spacing w:val="14"/>
        </w:rPr>
        <w:t>方法二：见图1。用通用计数器(其闸门时间任意可调)测量目标速度模拟装置输</w:t>
      </w:r>
      <w:r>
        <w:rPr>
          <w:spacing w:val="13"/>
        </w:rPr>
        <w:t xml:space="preserve"> </w:t>
      </w:r>
      <w:r>
        <w:rPr>
          <w:spacing w:val="6"/>
        </w:rPr>
        <w:t>出频率，选取规定的取样时间。对频率信号连续取样，取样组数</w:t>
      </w:r>
      <w:r>
        <w:rPr>
          <w:rFonts w:ascii="Times New Roman" w:eastAsia="Times New Roman" w:hAnsi="Times New Roman" w:cs="Times New Roman"/>
          <w:spacing w:val="6"/>
        </w:rPr>
        <w:t xml:space="preserve">m </w:t>
      </w:r>
      <w:r>
        <w:rPr>
          <w:spacing w:val="6"/>
        </w:rPr>
        <w:t>为100。</w:t>
      </w:r>
    </w:p>
    <w:p>
      <w:pPr>
        <w:pStyle w:val="BodyText"/>
        <w:spacing w:before="60" w:line="219" w:lineRule="auto"/>
        <w:ind w:left="469"/>
      </w:pPr>
      <w:r>
        <w:rPr>
          <w:spacing w:val="15"/>
        </w:rPr>
        <w:t>2)按式(3)计算方法一的频率稳定度σ:</w:t>
      </w:r>
    </w:p>
    <w:p>
      <w:pPr>
        <w:pStyle w:val="BodyText"/>
        <w:spacing w:before="280" w:line="222" w:lineRule="auto"/>
        <w:ind w:left="8239"/>
        <w:rPr>
          <w:sz w:val="18"/>
          <w:szCs w:val="18"/>
        </w:rPr>
      </w:pPr>
      <w:r>
        <w:rPr>
          <w:spacing w:val="-9"/>
          <w:sz w:val="18"/>
          <w:szCs w:val="18"/>
        </w:rPr>
        <w:t>(3)</w:t>
      </w:r>
    </w:p>
    <w:p>
      <w:pPr>
        <w:spacing w:line="222" w:lineRule="auto"/>
        <w:rPr>
          <w:sz w:val="18"/>
          <w:szCs w:val="18"/>
        </w:rPr>
        <w:sectPr>
          <w:headerReference w:type="default" r:id="rId31"/>
          <w:footerReference w:type="default" r:id="rId32"/>
          <w:type w:val="nextPage"/>
          <w:pgSz w:w="10040" w:h="14660"/>
          <w:pgMar w:top="1319" w:right="680" w:bottom="688" w:left="760" w:header="1084" w:footer="549" w:gutter="0"/>
          <w:pgNumType w:start="8"/>
          <w:cols w:space="708"/>
          <w:titlePg w:val="0"/>
        </w:sectPr>
      </w:pPr>
    </w:p>
    <w:p>
      <w:pPr>
        <w:pStyle w:val="BodyText"/>
        <w:spacing w:before="194" w:line="212" w:lineRule="auto"/>
        <w:ind w:left="10"/>
      </w:pP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3086075</wp:posOffset>
            </wp:positionH>
            <wp:positionV relativeFrom="page">
              <wp:posOffset>6178532</wp:posOffset>
            </wp:positionV>
            <wp:extent cx="755676" cy="635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5567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1041421</wp:posOffset>
            </wp:positionH>
            <wp:positionV relativeFrom="page">
              <wp:posOffset>7981984</wp:posOffset>
            </wp:positionV>
            <wp:extent cx="317494" cy="63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1749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3530568</wp:posOffset>
            </wp:positionH>
            <wp:positionV relativeFrom="page">
              <wp:posOffset>7823181</wp:posOffset>
            </wp:positionV>
            <wp:extent cx="596928" cy="304779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6928" cy="30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bookmark2"/>
      <w:bookmarkEnd w:id="0"/>
      <w:r>
        <w:rPr>
          <w:spacing w:val="5"/>
        </w:rPr>
        <w:t xml:space="preserve">式中：元， </w:t>
      </w:r>
      <w:r>
        <w:rPr>
          <w:rFonts w:ascii="Times New Roman" w:eastAsia="Times New Roman" w:hAnsi="Times New Roman" w:cs="Times New Roman"/>
          <w:spacing w:val="5"/>
        </w:rPr>
        <w:t>z,</w:t>
      </w:r>
      <w:r>
        <w:rPr>
          <w:rFonts w:ascii="Times New Roman" w:eastAsia="Times New Roman" w:hAnsi="Times New Roman" w:cs="Times New Roman"/>
        </w:rPr>
        <w:t>iHi</w:t>
      </w:r>
      <w:r>
        <w:rPr>
          <w:rFonts w:ascii="Times New Roman" w:eastAsia="Times New Roman" w:hAnsi="Times New Roman" w:cs="Times New Roman"/>
          <w:spacing w:val="5"/>
        </w:rPr>
        <w:t xml:space="preserve">——     </w:t>
      </w:r>
      <w:r>
        <w:rPr>
          <w:spacing w:val="5"/>
        </w:rPr>
        <w:t>分别为分频后取样时间的平均值、第</w:t>
      </w:r>
      <w:r>
        <w:rPr>
          <w:rFonts w:ascii="Times New Roman" w:eastAsia="Times New Roman" w:hAnsi="Times New Roman" w:cs="Times New Roman"/>
          <w:spacing w:val="5"/>
        </w:rPr>
        <w:t>i</w:t>
      </w:r>
      <w:r>
        <w:rPr>
          <w:rFonts w:ascii="Times New Roman" w:eastAsia="Times New Roman" w:hAnsi="Times New Roman" w:cs="Times New Roman"/>
          <w:spacing w:val="42"/>
          <w:w w:val="101"/>
        </w:rPr>
        <w:t xml:space="preserve"> </w:t>
      </w:r>
      <w:r>
        <w:rPr>
          <w:spacing w:val="5"/>
        </w:rPr>
        <w:t>和</w:t>
      </w:r>
      <w:r>
        <w:rPr>
          <w:spacing w:val="-38"/>
        </w:rPr>
        <w:t xml:space="preserve"> </w:t>
      </w:r>
      <w:r>
        <w:rPr>
          <w:spacing w:val="5"/>
        </w:rPr>
        <w:t>第</w:t>
      </w:r>
      <w:r>
        <w:rPr>
          <w:rFonts w:ascii="Times New Roman" w:eastAsia="Times New Roman" w:hAnsi="Times New Roman" w:cs="Times New Roman"/>
          <w:spacing w:val="5"/>
        </w:rPr>
        <w:t xml:space="preserve">i+1   </w:t>
      </w:r>
      <w:r>
        <w:rPr>
          <w:spacing w:val="5"/>
        </w:rPr>
        <w:t>次测量的取样</w:t>
      </w:r>
    </w:p>
    <w:p>
      <w:pPr>
        <w:pStyle w:val="BodyText"/>
        <w:spacing w:before="81" w:line="320" w:lineRule="exact"/>
        <w:ind w:left="2299"/>
      </w:pPr>
      <w:r>
        <w:rPr>
          <w:spacing w:val="-11"/>
          <w:position w:val="7"/>
        </w:rPr>
        <w:t>时间值，</w:t>
      </w:r>
      <w:r>
        <w:rPr>
          <w:spacing w:val="-46"/>
          <w:position w:val="7"/>
        </w:rPr>
        <w:t xml:space="preserve"> </w:t>
      </w:r>
      <w:r>
        <w:rPr>
          <w:spacing w:val="-11"/>
          <w:position w:val="7"/>
        </w:rPr>
        <w:t>ms;</w:t>
      </w:r>
    </w:p>
    <w:p>
      <w:pPr>
        <w:pStyle w:val="BodyText"/>
        <w:spacing w:line="219" w:lineRule="auto"/>
        <w:ind w:left="1640"/>
      </w:pPr>
      <w:r>
        <w:rPr>
          <w:spacing w:val="-6"/>
        </w:rPr>
        <w:t>m—— 测量的组数；</w:t>
      </w:r>
    </w:p>
    <w:p>
      <w:pPr>
        <w:pStyle w:val="BodyText"/>
        <w:spacing w:before="68" w:line="340" w:lineRule="exact"/>
        <w:ind w:left="1620"/>
      </w:pPr>
      <w:r>
        <w:rPr>
          <w:position w:val="8"/>
        </w:rPr>
        <w:t>k</w:t>
      </w:r>
      <w:r>
        <w:rPr>
          <w:rFonts w:ascii="Calibri" w:eastAsia="Calibri" w:hAnsi="Calibri" w:cs="Calibri"/>
          <w:position w:val="8"/>
        </w:rPr>
        <w:t>₂</w:t>
      </w:r>
      <w:r>
        <w:rPr>
          <w:position w:val="8"/>
        </w:rPr>
        <w:t>--- 单位换算因子，k</w:t>
      </w:r>
      <w:r>
        <w:rPr>
          <w:rFonts w:ascii="Calibri" w:eastAsia="Calibri" w:hAnsi="Calibri" w:cs="Calibri"/>
          <w:position w:val="8"/>
        </w:rPr>
        <w:t>₂</w:t>
      </w:r>
      <w:r>
        <w:rPr>
          <w:position w:val="8"/>
        </w:rPr>
        <w:t>=10~3;</w:t>
      </w:r>
    </w:p>
    <w:p>
      <w:pPr>
        <w:pStyle w:val="BodyText"/>
        <w:spacing w:line="219" w:lineRule="auto"/>
        <w:ind w:left="1629"/>
      </w:pPr>
      <w:r>
        <w:rPr>
          <w:rFonts w:ascii="Times New Roman" w:eastAsia="Times New Roman" w:hAnsi="Times New Roman" w:cs="Times New Roman"/>
          <w:spacing w:val="-1"/>
        </w:rPr>
        <w:t>M——</w:t>
      </w:r>
      <w:r>
        <w:rPr>
          <w:spacing w:val="-1"/>
        </w:rPr>
        <w:t>分频器的分频倍数；</w:t>
      </w:r>
    </w:p>
    <w:p>
      <w:pPr>
        <w:pStyle w:val="BodyText"/>
        <w:spacing w:before="53" w:line="214" w:lineRule="auto"/>
        <w:ind w:left="1670"/>
      </w:pPr>
      <w:r>
        <w:rPr>
          <w:spacing w:val="20"/>
        </w:rPr>
        <w:t>p——周期倍乘(扩展)倍数。</w:t>
      </w:r>
    </w:p>
    <w:sdt>
      <w:sdtPr>
        <w:rPr>
          <w:rFonts w:ascii="SimSun" w:eastAsia="SimSun" w:hAnsi="SimSun" w:cs="SimSun"/>
          <w:sz w:val="22"/>
          <w:szCs w:val="22"/>
        </w:rPr>
        <w:id w:val="1401007269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8"/>
          <w:szCs w:val="18"/>
        </w:rPr>
      </w:sdtEndPr>
      <w:sdtContent>
        <w:p>
          <w:pPr>
            <w:pStyle w:val="BodyText"/>
            <w:spacing w:before="81" w:line="219" w:lineRule="auto"/>
            <w:ind w:left="499"/>
          </w:pPr>
          <w:r>
            <w:rPr>
              <w:spacing w:val="15"/>
            </w:rPr>
            <w:t>3)按式(4)计算方法二的频率稳定度σ:</w:t>
          </w:r>
        </w:p>
        <w:p>
          <w:pPr>
            <w:pStyle w:val="BodyText"/>
            <w:spacing w:before="70"/>
            <w:ind w:left="2890"/>
            <w:rPr>
              <w:sz w:val="18"/>
              <w:szCs w:val="18"/>
            </w:rPr>
          </w:pPr>
          <w:r>
            <w:rPr>
              <w:position w:val="-23"/>
              <w:sz w:val="18"/>
              <w:szCs w:val="18"/>
            </w:rPr>
            <w:drawing>
              <wp:inline distT="0" distB="0" distL="0" distR="0">
                <wp:extent cx="1765284" cy="374691"/>
                <wp:effectExtent l="0" t="0" r="0" b="0"/>
                <wp:docPr id="24" name="IM 2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" name="IM 24"/>
                        <pic:cNvPicPr/>
                      </pic:nvPicPr>
                      <pic:blipFill>
                        <a:blip xmlns:r="http://schemas.openxmlformats.org/officeDocument/2006/relationships" r:embed="rId3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5284" cy="3746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2"/>
              <w:sz w:val="18"/>
              <w:szCs w:val="18"/>
            </w:rPr>
            <w:t xml:space="preserve">                            </w:t>
          </w:r>
          <w:r>
            <w:rPr>
              <w:spacing w:val="-13"/>
              <w:sz w:val="18"/>
              <w:szCs w:val="18"/>
            </w:rPr>
            <w:t>(</w:t>
          </w:r>
          <w:hyperlink w:anchor="bookmark3" w:history="1">
            <w:r>
              <w:rPr>
                <w:spacing w:val="-13"/>
                <w:sz w:val="18"/>
                <w:szCs w:val="18"/>
              </w:rPr>
              <w:t>4)</w:t>
            </w:r>
          </w:hyperlink>
        </w:p>
      </w:sdtContent>
    </w:sdt>
    <w:p>
      <w:pPr>
        <w:pStyle w:val="BodyText"/>
        <w:spacing w:before="84" w:line="212" w:lineRule="auto"/>
        <w:ind w:left="19"/>
      </w:pPr>
      <w:r>
        <w:rPr>
          <w:spacing w:val="-2"/>
        </w:rPr>
        <w:t>式</w:t>
      </w:r>
      <w:r>
        <w:rPr>
          <w:spacing w:val="-24"/>
        </w:rPr>
        <w:t xml:space="preserve"> </w:t>
      </w:r>
      <w:r>
        <w:rPr>
          <w:spacing w:val="-2"/>
        </w:rPr>
        <w:t>中</w:t>
      </w:r>
      <w:r>
        <w:rPr>
          <w:spacing w:val="-54"/>
        </w:rPr>
        <w:t xml:space="preserve"> </w:t>
      </w:r>
      <w:r>
        <w:rPr>
          <w:spacing w:val="-2"/>
        </w:rPr>
        <w:t>：</w:t>
      </w:r>
      <w:r>
        <w:rPr>
          <w:rFonts w:ascii="Times New Roman" w:eastAsia="Times New Roman" w:hAnsi="Times New Roman" w:cs="Times New Roman"/>
          <w:spacing w:val="-2"/>
        </w:rPr>
        <w:t xml:space="preserve">f,f;-—             </w:t>
      </w:r>
      <w:r>
        <w:rPr>
          <w:spacing w:val="-3"/>
        </w:rPr>
        <w:t>分别为第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i</w:t>
      </w:r>
      <w:r>
        <w:rPr>
          <w:rFonts w:ascii="Times New Roman" w:eastAsia="Times New Roman" w:hAnsi="Times New Roman" w:cs="Times New Roman"/>
          <w:spacing w:val="30"/>
          <w:w w:val="101"/>
        </w:rPr>
        <w:t xml:space="preserve"> </w:t>
      </w:r>
      <w:r>
        <w:rPr>
          <w:spacing w:val="-3"/>
        </w:rPr>
        <w:t>和第</w:t>
      </w:r>
      <w:r>
        <w:rPr>
          <w:rFonts w:ascii="Times New Roman" w:eastAsia="Times New Roman" w:hAnsi="Times New Roman" w:cs="Times New Roman"/>
          <w:spacing w:val="-3"/>
        </w:rPr>
        <w:t xml:space="preserve">i+1    </w:t>
      </w:r>
      <w:r>
        <w:rPr>
          <w:spacing w:val="-3"/>
        </w:rPr>
        <w:t>次频率测量值，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Hz</w:t>
      </w:r>
      <w:r>
        <w:rPr>
          <w:spacing w:val="-3"/>
        </w:rPr>
        <w:t>。</w:t>
      </w:r>
    </w:p>
    <w:p>
      <w:pPr>
        <w:pStyle w:val="BodyText"/>
        <w:spacing w:before="101" w:line="219" w:lineRule="auto"/>
        <w:ind w:left="490"/>
      </w:pPr>
      <w:r>
        <w:rPr>
          <w:spacing w:val="7"/>
        </w:rPr>
        <w:t>其频率稳定度应符合本规程第</w:t>
      </w:r>
      <w:hyperlink r:id="rId9" w:history="1">
        <w:r>
          <w:rPr>
            <w:spacing w:val="7"/>
          </w:rPr>
          <w:t>4.2.2.2</w:t>
        </w:r>
      </w:hyperlink>
      <w:r>
        <w:rPr>
          <w:spacing w:val="6"/>
        </w:rPr>
        <w:t>条的要求。</w:t>
      </w:r>
    </w:p>
    <w:p>
      <w:pPr>
        <w:pStyle w:val="BodyText"/>
        <w:spacing w:before="49" w:line="219" w:lineRule="auto"/>
        <w:ind w:left="19"/>
      </w:pPr>
      <w:hyperlink r:id="rId37" w:history="1">
        <w:r>
          <w:rPr>
            <w:spacing w:val="4"/>
          </w:rPr>
          <w:t>6.3.4.3</w:t>
        </w:r>
      </w:hyperlink>
      <w:r>
        <w:rPr>
          <w:spacing w:val="34"/>
        </w:rPr>
        <w:t xml:space="preserve">  </w:t>
      </w:r>
      <w:r>
        <w:rPr>
          <w:spacing w:val="4"/>
        </w:rPr>
        <w:t>目标速度模拟装置1</w:t>
      </w:r>
      <w:r>
        <w:rPr>
          <w:rFonts w:ascii="Times New Roman" w:eastAsia="Times New Roman" w:hAnsi="Times New Roman" w:cs="Times New Roman"/>
          <w:spacing w:val="4"/>
        </w:rPr>
        <w:t xml:space="preserve">h </w:t>
      </w:r>
      <w:r>
        <w:rPr>
          <w:spacing w:val="4"/>
        </w:rPr>
        <w:t>频率波动的检定</w:t>
      </w:r>
    </w:p>
    <w:p>
      <w:pPr>
        <w:pStyle w:val="BodyText"/>
        <w:spacing w:before="81" w:line="252" w:lineRule="auto"/>
        <w:ind w:left="10" w:right="123" w:firstLine="489"/>
        <w:jc w:val="both"/>
      </w:pPr>
      <w:r>
        <w:rPr>
          <w:spacing w:val="26"/>
        </w:rPr>
        <w:t>1)频率波动检定框图见图1所示。由目标速度</w:t>
      </w:r>
      <w:r>
        <w:rPr>
          <w:spacing w:val="25"/>
        </w:rPr>
        <w:t>模拟装置输出频率信号，速度</w:t>
      </w:r>
      <w:r>
        <w:t xml:space="preserve"> </w:t>
      </w:r>
      <w:r>
        <w:rPr>
          <w:spacing w:val="31"/>
        </w:rPr>
        <w:t>检定点应在规定的范围内均匀分布地选取3点进行(如20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31"/>
        </w:rPr>
        <w:t>/h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spacing w:val="31"/>
        </w:rPr>
        <w:t>、</w:t>
      </w:r>
      <w:r>
        <w:rPr>
          <w:rFonts w:ascii="Times New Roman" w:eastAsia="Times New Roman" w:hAnsi="Times New Roman" w:cs="Times New Roman"/>
          <w:spacing w:val="31"/>
        </w:rPr>
        <w:t>100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31"/>
        </w:rPr>
        <w:t xml:space="preserve">/h     </w:t>
      </w:r>
      <w:r>
        <w:rPr>
          <w:spacing w:val="31"/>
        </w:rPr>
        <w:t>和</w:t>
      </w:r>
      <w:r>
        <w:t xml:space="preserve"> </w:t>
      </w:r>
      <w:r>
        <w:rPr>
          <w:rFonts w:ascii="Times New Roman" w:eastAsia="Times New Roman" w:hAnsi="Times New Roman" w:cs="Times New Roman"/>
          <w:spacing w:val="2"/>
        </w:rPr>
        <w:t>200</w:t>
      </w:r>
      <w:r>
        <w:rPr>
          <w:rFonts w:ascii="Times New Roman" w:eastAsia="Times New Roman" w:hAnsi="Times New Roman" w:cs="Times New Roman"/>
        </w:rPr>
        <w:t>km</w:t>
      </w:r>
      <w:r>
        <w:rPr>
          <w:rFonts w:ascii="Times New Roman" w:eastAsia="Times New Roman" w:hAnsi="Times New Roman" w:cs="Times New Roman"/>
          <w:spacing w:val="2"/>
        </w:rPr>
        <w:t xml:space="preserve">/h   </w:t>
      </w:r>
      <w:r>
        <w:rPr>
          <w:spacing w:val="2"/>
        </w:rPr>
        <w:t>等)。</w:t>
      </w:r>
    </w:p>
    <w:p>
      <w:pPr>
        <w:pStyle w:val="BodyText"/>
        <w:spacing w:before="35" w:line="258" w:lineRule="auto"/>
        <w:ind w:left="19" w:right="95" w:firstLine="449"/>
      </w:pPr>
      <w:r>
        <w:rPr>
          <w:spacing w:val="7"/>
        </w:rPr>
        <w:t>2)通用计数器闸门时间设置为10</w:t>
      </w:r>
      <w:r>
        <w:rPr>
          <w:rFonts w:ascii="Times New Roman" w:eastAsia="Times New Roman" w:hAnsi="Times New Roman" w:cs="Times New Roman"/>
          <w:spacing w:val="7"/>
        </w:rPr>
        <w:t xml:space="preserve">s,   </w:t>
      </w:r>
      <w:r>
        <w:rPr>
          <w:spacing w:val="7"/>
        </w:rPr>
        <w:t>每</w:t>
      </w:r>
      <w:r>
        <w:rPr>
          <w:spacing w:val="-32"/>
        </w:rPr>
        <w:t xml:space="preserve"> </w:t>
      </w:r>
      <w:r>
        <w:rPr>
          <w:spacing w:val="7"/>
        </w:rPr>
        <w:t>隔</w:t>
      </w:r>
      <w:r>
        <w:rPr>
          <w:spacing w:val="-41"/>
        </w:rPr>
        <w:t xml:space="preserve"> </w:t>
      </w:r>
      <w:r>
        <w:rPr>
          <w:spacing w:val="7"/>
        </w:rPr>
        <w:t>5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spacing w:val="7"/>
        </w:rPr>
        <w:t>用通用计数器</w:t>
      </w:r>
      <w:r>
        <w:rPr>
          <w:spacing w:val="6"/>
        </w:rPr>
        <w:t>测量目标速度模拟装</w:t>
      </w:r>
      <w:r>
        <w:t xml:space="preserve"> </w:t>
      </w:r>
      <w:r>
        <w:rPr>
          <w:spacing w:val="8"/>
        </w:rPr>
        <w:t>置输出频率一次，共测量1</w:t>
      </w:r>
      <w:r>
        <w:rPr>
          <w:rFonts w:ascii="Times New Roman" w:eastAsia="Times New Roman" w:hAnsi="Times New Roman" w:cs="Times New Roman"/>
          <w:spacing w:val="8"/>
        </w:rPr>
        <w:t>h</w:t>
      </w:r>
      <w:r>
        <w:rPr>
          <w:spacing w:val="8"/>
        </w:rPr>
        <w:t>。</w:t>
      </w:r>
    </w:p>
    <w:sdt>
      <w:sdtPr>
        <w:rPr>
          <w:rFonts w:ascii="SimSun" w:eastAsia="SimSun" w:hAnsi="SimSun" w:cs="SimSun"/>
          <w:sz w:val="22"/>
          <w:szCs w:val="22"/>
        </w:rPr>
        <w:id w:val="1873971412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8"/>
          <w:szCs w:val="18"/>
        </w:rPr>
      </w:sdtEndPr>
      <w:sdtContent>
        <w:p>
          <w:pPr>
            <w:pStyle w:val="BodyText"/>
            <w:spacing w:before="69" w:line="219" w:lineRule="auto"/>
            <w:ind w:left="480"/>
            <w:rPr>
              <w:rFonts w:ascii="Times New Roman" w:eastAsia="Times New Roman" w:hAnsi="Times New Roman" w:cs="Times New Roman"/>
            </w:rPr>
          </w:pPr>
          <w:r>
            <w:rPr>
              <w:spacing w:val="25"/>
            </w:rPr>
            <w:t>3)按式(5)计算频率波动</w:t>
          </w:r>
          <w:r>
            <w:rPr>
              <w:rFonts w:ascii="Times New Roman" w:eastAsia="Times New Roman" w:hAnsi="Times New Roman" w:cs="Times New Roman"/>
              <w:spacing w:val="25"/>
            </w:rPr>
            <w:t>S:</w:t>
          </w:r>
        </w:p>
        <w:p>
          <w:pPr>
            <w:pStyle w:val="BodyText"/>
            <w:spacing w:before="59"/>
            <w:ind w:left="3459"/>
            <w:rPr>
              <w:sz w:val="18"/>
              <w:szCs w:val="18"/>
            </w:rPr>
          </w:pPr>
          <w:r>
            <w:rPr>
              <w:position w:val="-22"/>
              <w:sz w:val="18"/>
              <w:szCs w:val="18"/>
            </w:rPr>
            <w:drawing>
              <wp:inline distT="0" distB="0" distL="0" distR="0">
                <wp:extent cx="1073171" cy="336617"/>
                <wp:effectExtent l="0" t="0" r="0" b="0"/>
                <wp:docPr id="26" name="IM 2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6" name="IM 26"/>
                        <pic:cNvPicPr/>
                      </pic:nvPicPr>
                      <pic:blipFill>
                        <a:blip xmlns:r="http://schemas.openxmlformats.org/officeDocument/2006/relationships" r:embed="rId3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3171" cy="33661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1"/>
              <w:sz w:val="18"/>
              <w:szCs w:val="18"/>
            </w:rPr>
            <w:t xml:space="preserve">                             </w:t>
          </w:r>
          <w:r>
            <w:rPr>
              <w:sz w:val="18"/>
              <w:szCs w:val="18"/>
            </w:rPr>
            <w:t xml:space="preserve">     </w:t>
          </w:r>
          <w:r>
            <w:rPr>
              <w:spacing w:val="-13"/>
              <w:sz w:val="18"/>
              <w:szCs w:val="18"/>
            </w:rPr>
            <w:t>(</w:t>
          </w:r>
          <w:hyperlink w:anchor="bookmark2" w:history="1">
            <w:r>
              <w:rPr>
                <w:spacing w:val="-13"/>
                <w:sz w:val="18"/>
                <w:szCs w:val="18"/>
              </w:rPr>
              <w:t>5)</w:t>
            </w:r>
          </w:hyperlink>
        </w:p>
      </w:sdtContent>
    </w:sdt>
    <w:p>
      <w:pPr>
        <w:pStyle w:val="BodyText"/>
        <w:spacing w:before="95" w:line="324" w:lineRule="exact"/>
        <w:ind w:left="40"/>
        <w:rPr>
          <w:rFonts w:ascii="Times New Roman" w:eastAsia="Times New Roman" w:hAnsi="Times New Roman" w:cs="Times New Roman"/>
        </w:rPr>
      </w:pPr>
      <w:r>
        <w:rPr>
          <w:spacing w:val="-2"/>
          <w:position w:val="7"/>
        </w:rPr>
        <w:t>式中：</w:t>
      </w:r>
      <w:r>
        <w:rPr>
          <w:rFonts w:ascii="Times New Roman" w:eastAsia="Times New Roman" w:hAnsi="Times New Roman" w:cs="Times New Roman"/>
          <w:spacing w:val="-2"/>
          <w:position w:val="7"/>
        </w:rPr>
        <w:t xml:space="preserve">famx——1h   </w:t>
      </w:r>
      <w:r>
        <w:rPr>
          <w:spacing w:val="-2"/>
          <w:position w:val="7"/>
        </w:rPr>
        <w:t>内频率测得的最大值，</w:t>
      </w:r>
      <w:r>
        <w:rPr>
          <w:spacing w:val="-48"/>
          <w:position w:val="7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7"/>
        </w:rPr>
        <w:t>Hz;</w:t>
      </w:r>
    </w:p>
    <w:p>
      <w:pPr>
        <w:pStyle w:val="BodyText"/>
        <w:spacing w:before="1" w:line="219" w:lineRule="auto"/>
        <w:ind w:left="719"/>
      </w:pPr>
      <w:r>
        <w:rPr>
          <w:spacing w:val="-5"/>
        </w:rPr>
        <w:t>fimm——1h 内频率测得的最小值， Hz。</w:t>
      </w:r>
    </w:p>
    <w:p>
      <w:pPr>
        <w:pStyle w:val="BodyText"/>
        <w:spacing w:before="58" w:line="320" w:lineRule="exact"/>
        <w:ind w:left="499"/>
      </w:pPr>
      <w:r>
        <w:rPr>
          <w:spacing w:val="6"/>
          <w:position w:val="7"/>
        </w:rPr>
        <w:t>其频率波动应符合本规程第</w:t>
      </w:r>
      <w:hyperlink r:id="rId10" w:history="1">
        <w:r>
          <w:rPr>
            <w:spacing w:val="6"/>
            <w:position w:val="7"/>
          </w:rPr>
          <w:t>4.2.2.3</w:t>
        </w:r>
      </w:hyperlink>
      <w:r>
        <w:rPr>
          <w:spacing w:val="6"/>
          <w:position w:val="7"/>
        </w:rPr>
        <w:t>条的要求。</w:t>
      </w:r>
    </w:p>
    <w:p>
      <w:pPr>
        <w:pStyle w:val="BodyText"/>
        <w:spacing w:before="1" w:line="219" w:lineRule="auto"/>
        <w:ind w:left="19"/>
      </w:pPr>
      <w:hyperlink r:id="rId39" w:history="1">
        <w:r>
          <w:rPr>
            <w:spacing w:val="3"/>
          </w:rPr>
          <w:t>6.3.4.4</w:t>
        </w:r>
      </w:hyperlink>
      <w:r>
        <w:rPr>
          <w:spacing w:val="3"/>
        </w:rPr>
        <w:t xml:space="preserve">  速度误差的计算</w:t>
      </w:r>
    </w:p>
    <w:p>
      <w:pPr>
        <w:pStyle w:val="BodyText"/>
        <w:spacing w:before="79" w:line="219" w:lineRule="auto"/>
        <w:ind w:left="490"/>
        <w:rPr>
          <w:rFonts w:ascii="Times New Roman" w:eastAsia="Times New Roman" w:hAnsi="Times New Roman" w:cs="Times New Roman"/>
        </w:rPr>
      </w:pPr>
      <w:r>
        <w:rPr>
          <w:spacing w:val="22"/>
        </w:rPr>
        <w:t>按式(6)计算速度误差</w:t>
      </w:r>
      <w:r>
        <w:rPr>
          <w:rFonts w:ascii="Times New Roman" w:eastAsia="Times New Roman" w:hAnsi="Times New Roman" w:cs="Times New Roman"/>
          <w:spacing w:val="22"/>
        </w:rPr>
        <w:t>A:</w:t>
      </w:r>
    </w:p>
    <w:p>
      <w:pPr>
        <w:pStyle w:val="BodyText"/>
        <w:spacing w:before="83" w:line="296" w:lineRule="exact"/>
        <w:ind w:left="3370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pacing w:val="-4"/>
          <w:position w:val="-1"/>
        </w:rPr>
        <w:t>A=2√</w:t>
      </w:r>
      <w:r>
        <w:rPr>
          <w:rFonts w:ascii="Times New Roman" w:eastAsia="Times New Roman" w:hAnsi="Times New Roman" w:cs="Times New Roman"/>
          <w:spacing w:val="-29"/>
          <w:position w:val="-1"/>
        </w:rPr>
        <w:t xml:space="preserve"> </w:t>
      </w:r>
      <w:r>
        <w:rPr>
          <w:spacing w:val="-4"/>
          <w:position w:val="-1"/>
        </w:rPr>
        <w:t>△</w:t>
      </w:r>
      <w:r>
        <w:rPr>
          <w:rFonts w:ascii="Times New Roman" w:eastAsia="Times New Roman" w:hAnsi="Times New Roman" w:cs="Times New Roman"/>
          <w:spacing w:val="-4"/>
          <w:position w:val="-1"/>
        </w:rPr>
        <w:t>i+</w:t>
      </w:r>
      <w:r>
        <w:rPr>
          <w:spacing w:val="-4"/>
          <w:position w:val="-1"/>
        </w:rPr>
        <w:t>△</w:t>
      </w:r>
      <w:r>
        <w:rPr>
          <w:rFonts w:ascii="Times New Roman" w:eastAsia="Times New Roman" w:hAnsi="Times New Roman" w:cs="Times New Roman"/>
          <w:spacing w:val="-4"/>
          <w:position w:val="-1"/>
        </w:rPr>
        <w:t>2+</w:t>
      </w:r>
      <w:r>
        <w:rPr>
          <w:spacing w:val="-4"/>
          <w:position w:val="-1"/>
        </w:rPr>
        <w:t>△</w:t>
      </w:r>
      <w:r>
        <w:rPr>
          <w:spacing w:val="3"/>
          <w:position w:val="-1"/>
        </w:rPr>
        <w:t xml:space="preserve">                             </w:t>
      </w:r>
      <w:r>
        <w:rPr>
          <w:spacing w:val="-4"/>
          <w:position w:val="1"/>
          <w:sz w:val="18"/>
          <w:szCs w:val="18"/>
        </w:rPr>
        <w:t>(6)</w:t>
      </w:r>
    </w:p>
    <w:p>
      <w:pPr>
        <w:pStyle w:val="BodyText"/>
        <w:spacing w:before="55" w:line="212" w:lineRule="auto"/>
        <w:ind w:left="19"/>
        <w:rPr>
          <w:rFonts w:ascii="Times New Roman" w:eastAsia="Times New Roman" w:hAnsi="Times New Roman" w:cs="Times New Roman"/>
        </w:rPr>
      </w:pPr>
      <w:r>
        <w:rPr>
          <w:spacing w:val="-10"/>
        </w:rPr>
        <w:t>式中：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A-------</w:t>
      </w:r>
      <w:r>
        <w:rPr>
          <w:spacing w:val="-10"/>
        </w:rPr>
        <w:t xml:space="preserve">速度误差， </w:t>
      </w:r>
      <w:r>
        <w:rPr>
          <w:rFonts w:ascii="Times New Roman" w:eastAsia="Times New Roman" w:hAnsi="Times New Roman" w:cs="Times New Roman"/>
          <w:spacing w:val="-10"/>
        </w:rPr>
        <w:t>km/</w:t>
      </w:r>
      <w:r>
        <w:rPr>
          <w:rFonts w:ascii="Times New Roman" w:eastAsia="Times New Roman" w:hAnsi="Times New Roman" w:cs="Times New Roman"/>
          <w:spacing w:val="-11"/>
        </w:rPr>
        <w:t>h;</w:t>
      </w:r>
    </w:p>
    <w:p>
      <w:pPr>
        <w:pStyle w:val="BodyText"/>
        <w:spacing w:before="83"/>
        <w:ind w:left="599"/>
        <w:rPr>
          <w:sz w:val="35"/>
          <w:szCs w:val="35"/>
        </w:rPr>
      </w:pPr>
      <w:r>
        <w:rPr>
          <w:spacing w:val="-29"/>
          <w:w w:val="79"/>
          <w:sz w:val="35"/>
          <w:szCs w:val="35"/>
        </w:rPr>
        <w:t>△:—顺率误差带来的述度误卷，km/h,</w:t>
      </w:r>
      <w:r>
        <w:rPr>
          <w:position w:val="-9"/>
          <w:sz w:val="35"/>
          <w:szCs w:val="35"/>
        </w:rPr>
        <w:drawing>
          <wp:inline distT="0" distB="0" distL="0" distR="0">
            <wp:extent cx="780106" cy="336617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80106" cy="336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5"/>
          <w:szCs w:val="35"/>
        </w:rPr>
        <w:br/>
      </w:r>
      <w:r>
        <w:rPr>
          <w:sz w:val="35"/>
          <w:szCs w:val="3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https://d.book118.com/648016126001006031</w:t>
        </w:r>
      </w:hyperlink>
    </w:p>
    <w:p>
      <w:pPr>
        <w:pStyle w:val="BodyText"/>
        <w:spacing w:before="83"/>
        <w:ind w:left="599"/>
        <w:rPr>
          <w:sz w:val="35"/>
          <w:szCs w:val="35"/>
        </w:rPr>
      </w:pPr>
    </w:p>
    <w:sectPr>
      <w:headerReference w:type="default" r:id="rId42"/>
      <w:footerReference w:type="default" r:id="rId43"/>
      <w:pgSz w:w="10040" w:h="14660"/>
      <w:pgMar w:top="1319" w:right="594" w:bottom="714" w:left="799" w:header="1097" w:footer="566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259"/>
      <w:rPr>
        <w:sz w:val="14"/>
        <w:szCs w:val="14"/>
      </w:rPr>
    </w:pPr>
    <w:r>
      <w:rPr>
        <w:sz w:val="14"/>
        <w:szCs w:val="14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259"/>
      <w:rPr>
        <w:sz w:val="14"/>
        <w:szCs w:val="14"/>
      </w:rPr>
    </w:pPr>
    <w:r>
      <w:rPr>
        <w:sz w:val="14"/>
        <w:szCs w:val="14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15"/>
      <w:rPr>
        <w:sz w:val="15"/>
        <w:szCs w:val="15"/>
      </w:rPr>
    </w:pPr>
    <w:r>
      <w:rPr>
        <w:sz w:val="15"/>
        <w:szCs w:val="15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15"/>
      <w:rPr>
        <w:sz w:val="15"/>
        <w:szCs w:val="15"/>
      </w:rPr>
    </w:pPr>
    <w:r>
      <w:rPr>
        <w:sz w:val="15"/>
        <w:szCs w:val="15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319"/>
      <w:rPr>
        <w:sz w:val="15"/>
        <w:szCs w:val="15"/>
      </w:rPr>
    </w:pPr>
    <w:r>
      <w:rPr>
        <w:sz w:val="15"/>
        <w:szCs w:val="1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319"/>
      <w:rPr>
        <w:sz w:val="15"/>
        <w:szCs w:val="15"/>
      </w:rPr>
    </w:pPr>
    <w:r>
      <w:rPr>
        <w:sz w:val="15"/>
        <w:szCs w:val="1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119"/>
      <w:rPr>
        <w:sz w:val="14"/>
        <w:szCs w:val="14"/>
      </w:rPr>
    </w:pPr>
    <w:r>
      <w:rPr>
        <w:sz w:val="14"/>
        <w:szCs w:val="14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119"/>
      <w:rPr>
        <w:sz w:val="14"/>
        <w:szCs w:val="14"/>
      </w:rPr>
    </w:pPr>
    <w:r>
      <w:rPr>
        <w:sz w:val="14"/>
        <w:szCs w:val="1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320"/>
      <w:rPr>
        <w:sz w:val="15"/>
        <w:szCs w:val="15"/>
      </w:rPr>
    </w:pPr>
    <w:r>
      <w:rPr>
        <w:sz w:val="15"/>
        <w:szCs w:val="15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82"/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533429</wp:posOffset>
          </wp:positionH>
          <wp:positionV relativeFrom="page">
            <wp:posOffset>850934</wp:posOffset>
          </wp:positionV>
          <wp:extent cx="5429227" cy="635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2922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6"/>
      </w:rPr>
      <w:t>JJG</w:t>
    </w:r>
    <w:r>
      <w:rPr>
        <w:spacing w:val="-16"/>
      </w:rPr>
      <w:t xml:space="preserve"> </w:t>
    </w:r>
    <w:r>
      <w:rPr>
        <w:b/>
        <w:bCs/>
        <w:spacing w:val="-16"/>
      </w:rPr>
      <w:t>771—2010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82"/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533429</wp:posOffset>
          </wp:positionH>
          <wp:positionV relativeFrom="page">
            <wp:posOffset>850934</wp:posOffset>
          </wp:positionV>
          <wp:extent cx="5429227" cy="6350"/>
          <wp:effectExtent l="0" t="0" r="0" b="0"/>
          <wp:wrapNone/>
          <wp:docPr id="1921028691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1028691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2922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6"/>
      </w:rPr>
      <w:t>JJG</w:t>
    </w:r>
    <w:r>
      <w:rPr>
        <w:spacing w:val="-16"/>
      </w:rPr>
      <w:t xml:space="preserve"> </w:t>
    </w:r>
    <w:r>
      <w:rPr>
        <w:b/>
        <w:bCs/>
        <w:spacing w:val="-16"/>
      </w:rPr>
      <w:t>771—2010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57"/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495305</wp:posOffset>
          </wp:positionH>
          <wp:positionV relativeFrom="page">
            <wp:posOffset>889018</wp:posOffset>
          </wp:positionV>
          <wp:extent cx="5429227" cy="12659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29227" cy="126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6"/>
      </w:rPr>
      <w:t>JJG</w:t>
    </w:r>
    <w:r>
      <w:rPr>
        <w:spacing w:val="5"/>
      </w:rPr>
      <w:t xml:space="preserve"> </w:t>
    </w:r>
    <w:r>
      <w:rPr>
        <w:b/>
        <w:bCs/>
        <w:spacing w:val="-16"/>
      </w:rPr>
      <w:t>771—2010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57"/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495305</wp:posOffset>
          </wp:positionH>
          <wp:positionV relativeFrom="page">
            <wp:posOffset>889018</wp:posOffset>
          </wp:positionV>
          <wp:extent cx="5429227" cy="12659"/>
          <wp:effectExtent l="0" t="0" r="0" b="0"/>
          <wp:wrapNone/>
          <wp:docPr id="1106485000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6485000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29227" cy="126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6"/>
      </w:rPr>
      <w:t>JJG</w:t>
    </w:r>
    <w:r>
      <w:rPr>
        <w:spacing w:val="5"/>
      </w:rPr>
      <w:t xml:space="preserve"> </w:t>
    </w:r>
    <w:r>
      <w:rPr>
        <w:b/>
        <w:bCs/>
        <w:spacing w:val="-16"/>
      </w:rPr>
      <w:t>771—2010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92"/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558803</wp:posOffset>
          </wp:positionH>
          <wp:positionV relativeFrom="page">
            <wp:posOffset>857274</wp:posOffset>
          </wp:positionV>
          <wp:extent cx="5467351" cy="1266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67351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5"/>
      </w:rPr>
      <w:t>JJG</w:t>
    </w:r>
    <w:r>
      <w:rPr>
        <w:spacing w:val="3"/>
      </w:rPr>
      <w:t xml:space="preserve"> </w:t>
    </w:r>
    <w:r>
      <w:rPr>
        <w:b/>
        <w:bCs/>
        <w:spacing w:val="-15"/>
      </w:rPr>
      <w:t>771—2010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92"/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558803</wp:posOffset>
          </wp:positionH>
          <wp:positionV relativeFrom="page">
            <wp:posOffset>857274</wp:posOffset>
          </wp:positionV>
          <wp:extent cx="5467351" cy="12660"/>
          <wp:effectExtent l="0" t="0" r="0" b="0"/>
          <wp:wrapNone/>
          <wp:docPr id="210562415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562415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67351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5"/>
      </w:rPr>
      <w:t>JJG</w:t>
    </w:r>
    <w:r>
      <w:rPr>
        <w:spacing w:val="3"/>
      </w:rPr>
      <w:t xml:space="preserve"> </w:t>
    </w:r>
    <w:r>
      <w:rPr>
        <w:b/>
        <w:bCs/>
        <w:spacing w:val="-15"/>
      </w:rPr>
      <w:t>771—2010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679"/>
      <w:rPr>
        <w:rFonts w:ascii="Times New Roman" w:eastAsia="Times New Roman" w:hAnsi="Times New Roman" w:cs="Times New Roman"/>
        <w:sz w:val="15"/>
        <w:szCs w:val="15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482617</wp:posOffset>
          </wp:positionH>
          <wp:positionV relativeFrom="page">
            <wp:posOffset>825529</wp:posOffset>
          </wp:positionV>
          <wp:extent cx="5460975" cy="1266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60975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5"/>
        <w:szCs w:val="15"/>
      </w:rPr>
      <w:t>JJG          771—2010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679"/>
      <w:rPr>
        <w:rFonts w:ascii="Times New Roman" w:eastAsia="Times New Roman" w:hAnsi="Times New Roman" w:cs="Times New Roman"/>
        <w:sz w:val="15"/>
        <w:szCs w:val="15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482617</wp:posOffset>
          </wp:positionH>
          <wp:positionV relativeFrom="page">
            <wp:posOffset>825529</wp:posOffset>
          </wp:positionV>
          <wp:extent cx="5460975" cy="12660"/>
          <wp:effectExtent l="0" t="0" r="0" b="0"/>
          <wp:wrapNone/>
          <wp:docPr id="333514416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3514416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60975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5"/>
        <w:szCs w:val="15"/>
      </w:rPr>
      <w:t>JJG          771—2010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680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507992</wp:posOffset>
          </wp:positionH>
          <wp:positionV relativeFrom="page">
            <wp:posOffset>825529</wp:posOffset>
          </wp:positionV>
          <wp:extent cx="5460975" cy="1266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60975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6"/>
        <w:szCs w:val="16"/>
      </w:rPr>
      <w:t>JJG</w:t>
    </w:r>
    <w:r>
      <w:rPr>
        <w:rFonts w:ascii="Times New Roman" w:eastAsia="Times New Roman" w:hAnsi="Times New Roman" w:cs="Times New Roman"/>
        <w:spacing w:val="5"/>
        <w:sz w:val="16"/>
        <w:szCs w:val="16"/>
      </w:rPr>
      <w:t xml:space="preserve">      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771—2010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2"/>
      <w:szCs w:val="2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4.2.2.3" TargetMode="External" /><Relationship Id="rId11" Type="http://schemas.openxmlformats.org/officeDocument/2006/relationships/hyperlink" Target="6.1.1.1" TargetMode="External" /><Relationship Id="rId12" Type="http://schemas.openxmlformats.org/officeDocument/2006/relationships/hyperlink" Target="6.1.1.2" TargetMode="External" /><Relationship Id="rId13" Type="http://schemas.openxmlformats.org/officeDocument/2006/relationships/hyperlink" Target="6.1.1.3" TargetMode="External" /><Relationship Id="rId14" Type="http://schemas.openxmlformats.org/officeDocument/2006/relationships/hyperlink" Target="6.1.1.4" TargetMode="Externa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header" Target="header4.xml" /><Relationship Id="rId18" Type="http://schemas.openxmlformats.org/officeDocument/2006/relationships/footer" Target="footer4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image" Target="media/image4.jpeg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image" Target="media/image5.png" /><Relationship Id="rId25" Type="http://schemas.openxmlformats.org/officeDocument/2006/relationships/image" Target="media/image6.png" /><Relationship Id="rId26" Type="http://schemas.openxmlformats.org/officeDocument/2006/relationships/hyperlink" Target="6.3.4.1" TargetMode="External" /><Relationship Id="rId27" Type="http://schemas.openxmlformats.org/officeDocument/2006/relationships/hyperlink" Target="6.3.4.2" TargetMode="External" /><Relationship Id="rId28" Type="http://schemas.openxmlformats.org/officeDocument/2006/relationships/image" Target="media/image7.jpeg" /><Relationship Id="rId29" Type="http://schemas.openxmlformats.org/officeDocument/2006/relationships/header" Target="header7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header" Target="header8.xml" /><Relationship Id="rId32" Type="http://schemas.openxmlformats.org/officeDocument/2006/relationships/footer" Target="footer8.xml" /><Relationship Id="rId33" Type="http://schemas.openxmlformats.org/officeDocument/2006/relationships/image" Target="media/image9.png" /><Relationship Id="rId34" Type="http://schemas.openxmlformats.org/officeDocument/2006/relationships/image" Target="media/image10.png" /><Relationship Id="rId35" Type="http://schemas.openxmlformats.org/officeDocument/2006/relationships/image" Target="media/image11.png" /><Relationship Id="rId36" Type="http://schemas.openxmlformats.org/officeDocument/2006/relationships/image" Target="media/image12.png" /><Relationship Id="rId37" Type="http://schemas.openxmlformats.org/officeDocument/2006/relationships/hyperlink" Target="6.3.4.3" TargetMode="External" /><Relationship Id="rId38" Type="http://schemas.openxmlformats.org/officeDocument/2006/relationships/image" Target="media/image13.png" /><Relationship Id="rId39" Type="http://schemas.openxmlformats.org/officeDocument/2006/relationships/hyperlink" Target="6.3.4.4" TargetMode="External" /><Relationship Id="rId4" Type="http://schemas.openxmlformats.org/officeDocument/2006/relationships/header" Target="header1.xml" /><Relationship Id="rId40" Type="http://schemas.openxmlformats.org/officeDocument/2006/relationships/image" Target="media/image14.png" /><Relationship Id="rId41" Type="http://schemas.openxmlformats.org/officeDocument/2006/relationships/hyperlink" Target="https://d.book118.com/648016126001006031" TargetMode="External" /><Relationship Id="rId42" Type="http://schemas.openxmlformats.org/officeDocument/2006/relationships/header" Target="header9.xml" /><Relationship Id="rId43" Type="http://schemas.openxmlformats.org/officeDocument/2006/relationships/footer" Target="footer9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yperlink" Target="4.2.2.1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yperlink" Target="4.2.2.2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2024-01-24T20:50:08Z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2024-01-24T20:50:10Z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65b1077e1e6a08001fe7a567wl</vt:lpwstr>
  </property>
</Properties>
</file>