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40" w:lineRule="exact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714277</wp:posOffset>
            </wp:positionH>
            <wp:positionV relativeFrom="page">
              <wp:posOffset>949731</wp:posOffset>
            </wp:positionV>
            <wp:extent cx="6116078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607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719999</wp:posOffset>
            </wp:positionH>
            <wp:positionV relativeFrom="page">
              <wp:posOffset>8710676</wp:posOffset>
            </wp:positionV>
            <wp:extent cx="1185570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8557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drawing>
          <wp:inline distT="0" distB="0" distL="0" distR="0">
            <wp:extent cx="900681" cy="21639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00681" cy="21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1" w:line="165" w:lineRule="auto"/>
        <w:ind w:left="16"/>
        <w:rPr>
          <w:sz w:val="17"/>
          <w:szCs w:val="17"/>
        </w:rPr>
      </w:pPr>
      <w:r>
        <w:rPr>
          <w:color w:val="231F20"/>
          <w:spacing w:val="9"/>
          <w:sz w:val="17"/>
          <w:szCs w:val="17"/>
        </w:rPr>
        <w:t>第</w:t>
      </w:r>
      <w:r>
        <w:rPr>
          <w:color w:val="231F20"/>
          <w:spacing w:val="-15"/>
          <w:sz w:val="17"/>
          <w:szCs w:val="17"/>
        </w:rPr>
        <w:t xml:space="preserve"> </w:t>
      </w:r>
      <w:r>
        <w:rPr>
          <w:rFonts w:ascii="NSimSun" w:eastAsia="NSimSun" w:hAnsi="NSimSun" w:cs="NSimSun"/>
          <w:color w:val="231F20"/>
          <w:spacing w:val="9"/>
          <w:sz w:val="17"/>
          <w:szCs w:val="17"/>
        </w:rPr>
        <w:t>46</w:t>
      </w:r>
      <w:r>
        <w:rPr>
          <w:color w:val="231F20"/>
          <w:spacing w:val="9"/>
          <w:sz w:val="17"/>
          <w:szCs w:val="17"/>
        </w:rPr>
        <w:t>卷</w:t>
      </w:r>
      <w:r>
        <w:rPr>
          <w:color w:val="231F20"/>
          <w:spacing w:val="42"/>
          <w:sz w:val="17"/>
          <w:szCs w:val="17"/>
        </w:rPr>
        <w:t xml:space="preserve"> </w:t>
      </w:r>
      <w:r>
        <w:rPr>
          <w:color w:val="231F20"/>
          <w:spacing w:val="9"/>
          <w:sz w:val="17"/>
          <w:szCs w:val="17"/>
        </w:rPr>
        <w:t>第</w:t>
      </w:r>
      <w:r>
        <w:rPr>
          <w:color w:val="231F20"/>
          <w:spacing w:val="-8"/>
          <w:sz w:val="17"/>
          <w:szCs w:val="17"/>
        </w:rPr>
        <w:t xml:space="preserve"> </w:t>
      </w:r>
      <w:r>
        <w:rPr>
          <w:rFonts w:ascii="NSimSun" w:eastAsia="NSimSun" w:hAnsi="NSimSun" w:cs="NSimSun"/>
          <w:color w:val="231F20"/>
          <w:spacing w:val="9"/>
          <w:sz w:val="17"/>
          <w:szCs w:val="17"/>
        </w:rPr>
        <w:t>1</w:t>
      </w:r>
      <w:r>
        <w:rPr>
          <w:color w:val="231F20"/>
          <w:spacing w:val="9"/>
          <w:sz w:val="17"/>
          <w:szCs w:val="17"/>
        </w:rPr>
        <w:t>期</w:t>
      </w:r>
      <w:r>
        <w:rPr>
          <w:color w:val="231F20"/>
          <w:spacing w:val="45"/>
          <w:w w:val="101"/>
          <w:sz w:val="17"/>
          <w:szCs w:val="17"/>
        </w:rPr>
        <w:t xml:space="preserve"> </w:t>
      </w:r>
      <w:r>
        <w:rPr>
          <w:rFonts w:ascii="NSimSun" w:eastAsia="NSimSun" w:hAnsi="NSimSun" w:cs="NSimSun"/>
          <w:color w:val="231F20"/>
          <w:spacing w:val="9"/>
          <w:sz w:val="17"/>
          <w:szCs w:val="17"/>
        </w:rPr>
        <w:t>2024</w:t>
      </w:r>
      <w:r>
        <w:rPr>
          <w:color w:val="231F20"/>
          <w:spacing w:val="9"/>
          <w:sz w:val="17"/>
          <w:szCs w:val="17"/>
        </w:rPr>
        <w:t>年</w:t>
      </w:r>
      <w:r>
        <w:rPr>
          <w:color w:val="231F20"/>
          <w:spacing w:val="-8"/>
          <w:sz w:val="17"/>
          <w:szCs w:val="17"/>
        </w:rPr>
        <w:t xml:space="preserve"> </w:t>
      </w:r>
      <w:r>
        <w:rPr>
          <w:rFonts w:ascii="NSimSun" w:eastAsia="NSimSun" w:hAnsi="NSimSun" w:cs="NSimSun"/>
          <w:color w:val="231F20"/>
          <w:spacing w:val="9"/>
          <w:sz w:val="17"/>
          <w:szCs w:val="17"/>
        </w:rPr>
        <w:t>1</w:t>
      </w:r>
      <w:r>
        <w:rPr>
          <w:color w:val="231F20"/>
          <w:spacing w:val="9"/>
          <w:sz w:val="17"/>
          <w:szCs w:val="17"/>
        </w:rPr>
        <w:t>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62" w:lineRule="auto"/>
        <w:rPr>
          <w:rFonts w:ascii="Arial"/>
          <w:sz w:val="21"/>
        </w:rPr>
      </w:pPr>
    </w:p>
    <w:p>
      <w:pPr>
        <w:pStyle w:val="BodyText"/>
        <w:spacing w:before="73" w:line="168" w:lineRule="auto"/>
        <w:rPr>
          <w:rFonts w:ascii="NSimSun" w:eastAsia="NSimSun" w:hAnsi="NSimSun" w:cs="NSimSun"/>
          <w:sz w:val="17"/>
          <w:szCs w:val="17"/>
        </w:rPr>
      </w:pPr>
      <w:r>
        <w:rPr>
          <w:rFonts w:ascii="NSimSun" w:eastAsia="NSimSun" w:hAnsi="NSimSun" w:cs="NSimSun"/>
          <w:color w:val="231F20"/>
          <w:spacing w:val="-9"/>
          <w:sz w:val="17"/>
          <w:szCs w:val="17"/>
        </w:rPr>
        <w:t>2024</w:t>
      </w:r>
      <w:r>
        <w:rPr>
          <w:color w:val="231F20"/>
          <w:spacing w:val="-9"/>
          <w:sz w:val="17"/>
          <w:szCs w:val="17"/>
        </w:rPr>
        <w:t>，</w:t>
      </w:r>
      <w:r>
        <w:rPr>
          <w:rFonts w:ascii="NSimSun" w:eastAsia="NSimSun" w:hAnsi="NSimSun" w:cs="NSimSun"/>
          <w:color w:val="231F20"/>
          <w:spacing w:val="-9"/>
          <w:sz w:val="17"/>
          <w:szCs w:val="17"/>
        </w:rPr>
        <w:t>46</w:t>
      </w:r>
      <w:r>
        <w:rPr>
          <w:color w:val="231F20"/>
          <w:spacing w:val="-9"/>
          <w:sz w:val="17"/>
          <w:szCs w:val="17"/>
        </w:rPr>
        <w:t>（</w:t>
      </w:r>
      <w:r>
        <w:rPr>
          <w:color w:val="231F20"/>
          <w:spacing w:val="-22"/>
          <w:sz w:val="17"/>
          <w:szCs w:val="17"/>
        </w:rPr>
        <w:t xml:space="preserve"> </w:t>
      </w:r>
      <w:r>
        <w:rPr>
          <w:rFonts w:ascii="NSimSun" w:eastAsia="NSimSun" w:hAnsi="NSimSun" w:cs="NSimSun"/>
          <w:color w:val="231F20"/>
          <w:spacing w:val="-9"/>
          <w:sz w:val="17"/>
          <w:szCs w:val="17"/>
        </w:rPr>
        <w:t>1</w:t>
      </w:r>
      <w:r>
        <w:rPr>
          <w:color w:val="231F20"/>
          <w:spacing w:val="-40"/>
          <w:w w:val="85"/>
          <w:sz w:val="17"/>
          <w:szCs w:val="17"/>
        </w:rPr>
        <w:t>）：</w:t>
      </w:r>
      <w:r>
        <w:rPr>
          <w:rFonts w:ascii="NSimSun" w:eastAsia="NSimSun" w:hAnsi="NSimSun" w:cs="NSimSun"/>
          <w:color w:val="231F20"/>
          <w:spacing w:val="-9"/>
          <w:sz w:val="17"/>
          <w:szCs w:val="17"/>
        </w:rPr>
        <w:t>114-129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38" w:line="331" w:lineRule="exact"/>
        <w:ind w:left="5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i/>
          <w:iCs/>
          <w:color w:val="231F20"/>
          <w:spacing w:val="-10"/>
          <w:w w:val="91"/>
          <w:position w:val="10"/>
          <w:sz w:val="23"/>
          <w:szCs w:val="23"/>
        </w:rPr>
        <w:t>Resources</w:t>
      </w:r>
      <w:r>
        <w:rPr>
          <w:rFonts w:ascii="Arial" w:eastAsia="Arial" w:hAnsi="Arial" w:cs="Arial"/>
          <w:i/>
          <w:iCs/>
          <w:color w:val="231F20"/>
          <w:spacing w:val="33"/>
          <w:w w:val="101"/>
          <w:position w:val="10"/>
          <w:sz w:val="23"/>
          <w:szCs w:val="23"/>
        </w:rPr>
        <w:t xml:space="preserve">  </w:t>
      </w:r>
      <w:r>
        <w:rPr>
          <w:rFonts w:ascii="Arial" w:eastAsia="Arial" w:hAnsi="Arial" w:cs="Arial"/>
          <w:i/>
          <w:iCs/>
          <w:color w:val="231F20"/>
          <w:spacing w:val="-10"/>
          <w:w w:val="91"/>
          <w:position w:val="10"/>
          <w:sz w:val="23"/>
          <w:szCs w:val="23"/>
        </w:rPr>
        <w:t>Science</w:t>
      </w:r>
    </w:p>
    <w:p>
      <w:pPr>
        <w:pStyle w:val="BodyText"/>
        <w:spacing w:line="172" w:lineRule="exact"/>
        <w:rPr>
          <w:rFonts w:ascii="NSimSun" w:eastAsia="NSimSun" w:hAnsi="NSimSun" w:cs="NSimSun"/>
          <w:sz w:val="17"/>
          <w:szCs w:val="17"/>
        </w:rPr>
      </w:pPr>
      <w:r>
        <w:rPr>
          <w:rFonts w:ascii="Arial" w:eastAsia="Arial" w:hAnsi="Arial" w:cs="Arial"/>
          <w:i/>
          <w:iCs/>
          <w:color w:val="231F20"/>
          <w:spacing w:val="-7"/>
          <w:sz w:val="17"/>
          <w:szCs w:val="17"/>
        </w:rPr>
        <w:t>Vol.</w:t>
      </w:r>
      <w:r>
        <w:rPr>
          <w:rFonts w:ascii="NSimSun" w:eastAsia="NSimSun" w:hAnsi="NSimSun" w:cs="NSimSun"/>
          <w:color w:val="231F20"/>
          <w:spacing w:val="-7"/>
          <w:sz w:val="17"/>
          <w:szCs w:val="17"/>
        </w:rPr>
        <w:t>46</w:t>
      </w:r>
      <w:r>
        <w:rPr>
          <w:color w:val="231F20"/>
          <w:spacing w:val="-7"/>
          <w:sz w:val="17"/>
          <w:szCs w:val="17"/>
        </w:rPr>
        <w:t>，</w:t>
      </w:r>
      <w:r>
        <w:rPr>
          <w:rFonts w:ascii="Arial" w:eastAsia="Arial" w:hAnsi="Arial" w:cs="Arial"/>
          <w:i/>
          <w:iCs/>
          <w:color w:val="231F20"/>
          <w:spacing w:val="-7"/>
          <w:sz w:val="17"/>
          <w:szCs w:val="17"/>
        </w:rPr>
        <w:t>No.</w:t>
      </w:r>
      <w:r>
        <w:rPr>
          <w:rFonts w:ascii="NSimSun" w:eastAsia="NSimSun" w:hAnsi="NSimSun" w:cs="NSimSun"/>
          <w:color w:val="231F20"/>
          <w:spacing w:val="-7"/>
          <w:sz w:val="17"/>
          <w:szCs w:val="17"/>
        </w:rPr>
        <w:t>1</w:t>
      </w:r>
      <w:r>
        <w:rPr>
          <w:rFonts w:ascii="NSimSun" w:eastAsia="NSimSun" w:hAnsi="NSimSun" w:cs="NSimSun"/>
          <w:color w:val="231F20"/>
          <w:spacing w:val="-7"/>
          <w:sz w:val="17"/>
          <w:szCs w:val="17"/>
        </w:rPr>
        <w:t xml:space="preserve"> </w:t>
      </w:r>
      <w:r>
        <w:rPr>
          <w:rFonts w:ascii="Arial" w:eastAsia="Arial" w:hAnsi="Arial" w:cs="Arial"/>
          <w:i/>
          <w:iCs/>
          <w:color w:val="231F20"/>
          <w:spacing w:val="-7"/>
          <w:sz w:val="17"/>
          <w:szCs w:val="17"/>
        </w:rPr>
        <w:t>Jan.</w:t>
      </w:r>
      <w:r>
        <w:rPr>
          <w:color w:val="231F20"/>
          <w:spacing w:val="-7"/>
          <w:sz w:val="17"/>
          <w:szCs w:val="17"/>
        </w:rPr>
        <w:t>，</w:t>
      </w:r>
      <w:r>
        <w:rPr>
          <w:rFonts w:ascii="NSimSun" w:eastAsia="NSimSun" w:hAnsi="NSimSun" w:cs="NSimSun"/>
          <w:color w:val="231F20"/>
          <w:spacing w:val="-7"/>
          <w:sz w:val="17"/>
          <w:szCs w:val="17"/>
        </w:rPr>
        <w:t>2024</w:t>
      </w:r>
    </w:p>
    <w:p>
      <w:pPr>
        <w:spacing w:line="172" w:lineRule="exact"/>
        <w:rPr>
          <w:rFonts w:ascii="NSimSun" w:eastAsia="NSimSun" w:hAnsi="NSimSun" w:cs="NSimSun"/>
          <w:sz w:val="17"/>
          <w:szCs w:val="17"/>
        </w:rPr>
        <w:sectPr>
          <w:footerReference w:type="default" r:id="rId7"/>
          <w:pgSz w:w="11906" w:h="15582"/>
          <w:pgMar w:top="732" w:right="1058" w:bottom="1" w:left="1111" w:header="0" w:footer="0" w:gutter="0"/>
          <w:cols w:num="3" w:space="708" w:equalWidth="0">
            <w:col w:w="4214" w:space="100"/>
            <w:col w:w="3497" w:space="100"/>
            <w:col w:w="1827" w:space="0"/>
          </w:cols>
        </w:sectPr>
      </w:pP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73" w:line="271" w:lineRule="auto"/>
        <w:ind w:left="29" w:right="75" w:firstLine="10"/>
        <w:jc w:val="both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SimHei" w:eastAsia="SimHei" w:hAnsi="SimHei" w:cs="SimHei"/>
          <w:color w:val="231F20"/>
          <w:spacing w:val="7"/>
          <w:sz w:val="17"/>
          <w:szCs w:val="17"/>
        </w:rPr>
        <w:t>引用格式：</w:t>
      </w:r>
      <w:r>
        <w:rPr>
          <w:color w:val="231F20"/>
          <w:spacing w:val="7"/>
          <w:sz w:val="17"/>
          <w:szCs w:val="17"/>
        </w:rPr>
        <w:t>左芝鲤</w:t>
      </w:r>
      <w:r>
        <w:rPr>
          <w:rFonts w:ascii="Times New Roman" w:eastAsia="Times New Roman" w:hAnsi="Times New Roman" w:cs="Times New Roman"/>
          <w:color w:val="231F20"/>
          <w:spacing w:val="7"/>
          <w:sz w:val="17"/>
          <w:szCs w:val="17"/>
        </w:rPr>
        <w:t xml:space="preserve">, </w:t>
      </w:r>
      <w:r>
        <w:rPr>
          <w:color w:val="231F20"/>
          <w:spacing w:val="7"/>
          <w:sz w:val="17"/>
          <w:szCs w:val="17"/>
        </w:rPr>
        <w:t>成金华</w:t>
      </w:r>
      <w:r>
        <w:rPr>
          <w:rFonts w:ascii="Times New Roman" w:eastAsia="Times New Roman" w:hAnsi="Times New Roman" w:cs="Times New Roman"/>
          <w:color w:val="231F20"/>
          <w:spacing w:val="7"/>
          <w:sz w:val="17"/>
          <w:szCs w:val="17"/>
        </w:rPr>
        <w:t xml:space="preserve">, </w:t>
      </w:r>
      <w:r>
        <w:rPr>
          <w:color w:val="231F20"/>
          <w:spacing w:val="7"/>
          <w:sz w:val="17"/>
          <w:szCs w:val="17"/>
        </w:rPr>
        <w:t>詹成</w:t>
      </w:r>
      <w:r>
        <w:rPr>
          <w:rFonts w:ascii="Times New Roman" w:eastAsia="Times New Roman" w:hAnsi="Times New Roman" w:cs="Times New Roman"/>
          <w:color w:val="231F20"/>
          <w:spacing w:val="7"/>
          <w:sz w:val="17"/>
          <w:szCs w:val="17"/>
        </w:rPr>
        <w:t xml:space="preserve">, </w:t>
      </w:r>
      <w:r>
        <w:rPr>
          <w:color w:val="231F20"/>
          <w:spacing w:val="7"/>
          <w:sz w:val="17"/>
          <w:szCs w:val="17"/>
        </w:rPr>
        <w:t>等</w:t>
      </w:r>
      <w:r>
        <w:rPr>
          <w:rFonts w:ascii="Times New Roman" w:eastAsia="Times New Roman" w:hAnsi="Times New Roman" w:cs="Times New Roman"/>
          <w:color w:val="231F20"/>
          <w:spacing w:val="7"/>
          <w:sz w:val="17"/>
          <w:szCs w:val="17"/>
        </w:rPr>
        <w:t xml:space="preserve">. </w:t>
      </w:r>
      <w:r>
        <w:rPr>
          <w:color w:val="231F20"/>
          <w:spacing w:val="7"/>
          <w:sz w:val="17"/>
          <w:szCs w:val="17"/>
        </w:rPr>
        <w:t>全球锂产业链贸易格局演化及脆弱性分析</w:t>
      </w:r>
      <w:r>
        <w:rPr>
          <w:rFonts w:ascii="Times New Roman" w:eastAsia="Times New Roman" w:hAnsi="Times New Roman" w:cs="Times New Roman"/>
          <w:color w:val="231F20"/>
          <w:spacing w:val="7"/>
          <w:sz w:val="17"/>
          <w:szCs w:val="17"/>
        </w:rPr>
        <w:t>[J]</w:t>
      </w:r>
      <w:r>
        <w:rPr>
          <w:rFonts w:ascii="Times New Roman" w:eastAsia="Times New Roman" w:hAnsi="Times New Roman" w:cs="Times New Roman"/>
          <w:color w:val="231F20"/>
          <w:spacing w:val="6"/>
          <w:sz w:val="17"/>
          <w:szCs w:val="17"/>
        </w:rPr>
        <w:t>.</w:t>
      </w:r>
      <w:r>
        <w:rPr>
          <w:rFonts w:ascii="Times New Roman" w:eastAsia="Times New Roman" w:hAnsi="Times New Roman" w:cs="Times New Roman"/>
          <w:color w:val="231F20"/>
          <w:spacing w:val="14"/>
          <w:w w:val="102"/>
          <w:sz w:val="17"/>
          <w:szCs w:val="17"/>
        </w:rPr>
        <w:t xml:space="preserve"> </w:t>
      </w:r>
      <w:r>
        <w:rPr>
          <w:color w:val="231F20"/>
          <w:spacing w:val="6"/>
          <w:sz w:val="17"/>
          <w:szCs w:val="17"/>
        </w:rPr>
        <w:t>资源科学</w:t>
      </w:r>
      <w:r>
        <w:rPr>
          <w:rFonts w:ascii="Times New Roman" w:eastAsia="Times New Roman" w:hAnsi="Times New Roman" w:cs="Times New Roman"/>
          <w:color w:val="231F20"/>
          <w:spacing w:val="6"/>
          <w:sz w:val="17"/>
          <w:szCs w:val="17"/>
        </w:rPr>
        <w:t>, 2024,</w:t>
      </w:r>
      <w:r>
        <w:rPr>
          <w:rFonts w:ascii="Times New Roman" w:eastAsia="Times New Roman" w:hAnsi="Times New Roman" w:cs="Times New Roman"/>
          <w:color w:val="231F20"/>
          <w:spacing w:val="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7"/>
          <w:szCs w:val="17"/>
        </w:rPr>
        <w:t>46(</w:t>
      </w:r>
      <w:r>
        <w:rPr>
          <w:rFonts w:ascii="Times New Roman" w:eastAsia="Times New Roman" w:hAnsi="Times New Roman" w:cs="Times New Roman"/>
          <w:color w:val="231F20"/>
          <w:spacing w:val="-2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7"/>
          <w:szCs w:val="17"/>
        </w:rPr>
        <w:t>1):</w:t>
      </w:r>
      <w:r>
        <w:rPr>
          <w:rFonts w:ascii="Times New Roman" w:eastAsia="Times New Roman" w:hAnsi="Times New Roman" w:cs="Times New Roman"/>
          <w:color w:val="231F20"/>
          <w:spacing w:val="28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7"/>
          <w:szCs w:val="17"/>
        </w:rPr>
        <w:t>114-</w:t>
      </w:r>
      <w:r>
        <w:rPr>
          <w:rFonts w:ascii="Times New Roman" w:eastAsia="Times New Roman" w:hAnsi="Times New Roman" w:cs="Times New Roman"/>
          <w:color w:val="231F20"/>
          <w:spacing w:val="-17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7"/>
          <w:szCs w:val="17"/>
        </w:rPr>
        <w:t>129.</w:t>
      </w:r>
      <w:r>
        <w:rPr>
          <w:rFonts w:ascii="Times New Roman" w:eastAsia="Times New Roman" w:hAnsi="Times New Roman" w:cs="Times New Roman"/>
          <w:color w:val="231F20"/>
          <w:spacing w:val="21"/>
          <w:w w:val="10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sz w:val="17"/>
          <w:szCs w:val="17"/>
        </w:rPr>
        <w:t>[</w:t>
      </w:r>
      <w:r>
        <w:rPr>
          <w:rFonts w:ascii="Times New Roman" w:eastAsia="Times New Roman" w:hAnsi="Times New Roman" w:cs="Times New Roman"/>
          <w:color w:val="231F20"/>
          <w:sz w:val="17"/>
          <w:szCs w:val="17"/>
        </w:rPr>
        <w:t>Zuo</w:t>
      </w:r>
      <w:r>
        <w:rPr>
          <w:rFonts w:ascii="Times New Roman" w:eastAsia="Times New Roman" w:hAnsi="Times New Roman" w:cs="Times New Roman"/>
          <w:color w:val="231F20"/>
          <w:spacing w:val="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17"/>
          <w:szCs w:val="17"/>
        </w:rPr>
        <w:t>Z</w:t>
      </w:r>
      <w:r>
        <w:rPr>
          <w:rFonts w:ascii="Times New Roman" w:eastAsia="Times New Roman" w:hAnsi="Times New Roman" w:cs="Times New Roman"/>
          <w:color w:val="231F20"/>
          <w:spacing w:val="1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17"/>
          <w:szCs w:val="17"/>
        </w:rPr>
        <w:t>L</w:t>
      </w:r>
      <w:r>
        <w:rPr>
          <w:rFonts w:ascii="Times New Roman" w:eastAsia="Times New Roman" w:hAnsi="Times New Roman" w:cs="Times New Roman"/>
          <w:color w:val="231F20"/>
          <w:spacing w:val="6"/>
          <w:sz w:val="17"/>
          <w:szCs w:val="17"/>
        </w:rPr>
        <w:t>,</w:t>
      </w:r>
      <w:r>
        <w:rPr>
          <w:rFonts w:ascii="Times New Roman" w:eastAsia="Times New Roman" w:hAnsi="Times New Roman" w:cs="Times New Roman"/>
          <w:color w:val="231F2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17"/>
          <w:szCs w:val="17"/>
        </w:rPr>
        <w:t>Cheng</w:t>
      </w:r>
      <w:r>
        <w:rPr>
          <w:rFonts w:ascii="Times New Roman" w:eastAsia="Times New Roman" w:hAnsi="Times New Roman" w:cs="Times New Roman"/>
          <w:color w:val="231F20"/>
          <w:spacing w:val="14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17"/>
          <w:szCs w:val="17"/>
        </w:rPr>
        <w:t>J H, Zhan</w:t>
      </w:r>
      <w:r>
        <w:rPr>
          <w:rFonts w:ascii="Times New Roman" w:eastAsia="Times New Roman" w:hAnsi="Times New Roman" w:cs="Times New Roman"/>
          <w:color w:val="231F20"/>
          <w:spacing w:val="1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17"/>
          <w:szCs w:val="17"/>
        </w:rPr>
        <w:t>C,</w:t>
      </w:r>
      <w:r>
        <w:rPr>
          <w:rFonts w:ascii="Times New Roman" w:eastAsia="Times New Roman" w:hAnsi="Times New Roman" w:cs="Times New Roman"/>
          <w:color w:val="231F20"/>
          <w:spacing w:val="16"/>
          <w:w w:val="10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17"/>
          <w:szCs w:val="17"/>
        </w:rPr>
        <w:t>et</w:t>
      </w:r>
      <w:r>
        <w:rPr>
          <w:rFonts w:ascii="Times New Roman" w:eastAsia="Times New Roman" w:hAnsi="Times New Roman" w:cs="Times New Roman"/>
          <w:color w:val="231F20"/>
          <w:spacing w:val="1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17"/>
          <w:szCs w:val="17"/>
        </w:rPr>
        <w:t>al.</w:t>
      </w:r>
      <w:r>
        <w:rPr>
          <w:rFonts w:ascii="Times New Roman" w:eastAsia="Times New Roman" w:hAnsi="Times New Roman" w:cs="Times New Roman"/>
          <w:color w:val="231F20"/>
          <w:spacing w:val="13"/>
          <w:w w:val="10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17"/>
          <w:szCs w:val="17"/>
        </w:rPr>
        <w:t>Evolution</w:t>
      </w:r>
      <w:r>
        <w:rPr>
          <w:rFonts w:ascii="Times New Roman" w:eastAsia="Times New Roman" w:hAnsi="Times New Roman" w:cs="Times New Roman"/>
          <w:color w:val="231F20"/>
          <w:spacing w:val="1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17"/>
          <w:szCs w:val="17"/>
        </w:rPr>
        <w:t>and vulnerability</w:t>
      </w:r>
      <w:r>
        <w:rPr>
          <w:rFonts w:ascii="Times New Roman" w:eastAsia="Times New Roman" w:hAnsi="Times New Roman" w:cs="Times New Roman"/>
          <w:color w:val="231F20"/>
          <w:spacing w:val="16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17"/>
          <w:szCs w:val="17"/>
        </w:rPr>
        <w:t>analysis</w:t>
      </w:r>
      <w:r>
        <w:rPr>
          <w:rFonts w:ascii="Times New Roman" w:eastAsia="Times New Roman" w:hAnsi="Times New Roman" w:cs="Times New Roman"/>
          <w:color w:val="231F20"/>
          <w:spacing w:val="1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17"/>
          <w:szCs w:val="17"/>
        </w:rPr>
        <w:t>of</w:t>
      </w:r>
      <w:r>
        <w:rPr>
          <w:rFonts w:ascii="Times New Roman" w:eastAsia="Times New Roman" w:hAnsi="Times New Roman" w:cs="Times New Roman"/>
          <w:color w:val="231F20"/>
          <w:spacing w:val="-7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17"/>
          <w:szCs w:val="17"/>
        </w:rPr>
        <w:t>the</w:t>
      </w:r>
      <w:r>
        <w:rPr>
          <w:rFonts w:ascii="Times New Roman" w:eastAsia="Times New Roman" w:hAnsi="Times New Roman" w:cs="Times New Roman"/>
          <w:color w:val="231F20"/>
          <w:spacing w:val="15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17"/>
          <w:szCs w:val="17"/>
        </w:rPr>
        <w:t>global trade</w:t>
      </w:r>
      <w:r>
        <w:rPr>
          <w:rFonts w:ascii="Times New Roman" w:eastAsia="Times New Roman" w:hAnsi="Times New Roman" w:cs="Times New Roman"/>
          <w:color w:val="231F20"/>
          <w:spacing w:val="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17"/>
          <w:szCs w:val="17"/>
        </w:rPr>
        <w:t>pattern</w:t>
      </w:r>
      <w:r>
        <w:rPr>
          <w:rFonts w:ascii="Times New Roman" w:eastAsia="Times New Roman" w:hAnsi="Times New Roman" w:cs="Times New Roman"/>
          <w:color w:val="231F20"/>
          <w:spacing w:val="15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17"/>
          <w:szCs w:val="17"/>
        </w:rPr>
        <w:t>in</w:t>
      </w:r>
      <w:r>
        <w:rPr>
          <w:rFonts w:ascii="Times New Roman" w:eastAsia="Times New Roman" w:hAnsi="Times New Roman" w:cs="Times New Roman"/>
          <w:color w:val="231F20"/>
          <w:spacing w:val="11"/>
          <w:w w:val="10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17"/>
          <w:szCs w:val="17"/>
        </w:rPr>
        <w:t>the</w:t>
      </w:r>
      <w:r>
        <w:rPr>
          <w:rFonts w:ascii="Times New Roman" w:eastAsia="Times New Roman" w:hAnsi="Times New Roman" w:cs="Times New Roman"/>
          <w:color w:val="231F20"/>
          <w:spacing w:val="1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17"/>
          <w:szCs w:val="17"/>
        </w:rPr>
        <w:t>lithium</w:t>
      </w:r>
      <w:r>
        <w:rPr>
          <w:rFonts w:ascii="Times New Roman" w:eastAsia="Times New Roman" w:hAnsi="Times New Roman" w:cs="Times New Roman"/>
          <w:color w:val="231F20"/>
          <w:spacing w:val="1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17"/>
          <w:szCs w:val="17"/>
        </w:rPr>
        <w:t>ind</w:t>
      </w:r>
      <w:r>
        <w:rPr>
          <w:rFonts w:ascii="Times New Roman" w:eastAsia="Times New Roman" w:hAnsi="Times New Roman" w:cs="Times New Roman"/>
          <w:color w:val="231F20"/>
          <w:spacing w:val="3"/>
          <w:sz w:val="17"/>
          <w:szCs w:val="17"/>
        </w:rPr>
        <w:t>ustry</w:t>
      </w:r>
      <w:r>
        <w:rPr>
          <w:rFonts w:ascii="Times New Roman" w:eastAsia="Times New Roman" w:hAnsi="Times New Roman" w:cs="Times New Roman"/>
          <w:color w:val="231F20"/>
          <w:spacing w:val="1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3"/>
          <w:sz w:val="17"/>
          <w:szCs w:val="17"/>
        </w:rPr>
        <w:t>chain[J].</w:t>
      </w:r>
      <w:r>
        <w:rPr>
          <w:rFonts w:ascii="Times New Roman" w:eastAsia="Times New Roman" w:hAnsi="Times New Roman" w:cs="Times New Roman"/>
          <w:color w:val="231F20"/>
          <w:spacing w:val="1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3"/>
          <w:sz w:val="17"/>
          <w:szCs w:val="17"/>
        </w:rPr>
        <w:t>Resources</w:t>
      </w:r>
      <w:r>
        <w:rPr>
          <w:rFonts w:ascii="Times New Roman" w:eastAsia="Times New Roman" w:hAnsi="Times New Roman" w:cs="Times New Roman"/>
          <w:color w:val="231F2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17"/>
          <w:szCs w:val="17"/>
        </w:rPr>
        <w:t>Science</w:t>
      </w:r>
      <w:r>
        <w:rPr>
          <w:rFonts w:ascii="Times New Roman" w:eastAsia="Times New Roman" w:hAnsi="Times New Roman" w:cs="Times New Roman"/>
          <w:color w:val="231F20"/>
          <w:spacing w:val="1"/>
          <w:sz w:val="17"/>
          <w:szCs w:val="17"/>
        </w:rPr>
        <w:t>,</w:t>
      </w:r>
      <w:r>
        <w:rPr>
          <w:rFonts w:ascii="Times New Roman" w:eastAsia="Times New Roman" w:hAnsi="Times New Roman" w:cs="Times New Roman"/>
          <w:color w:val="231F20"/>
          <w:spacing w:val="-17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"/>
          <w:sz w:val="17"/>
          <w:szCs w:val="17"/>
        </w:rPr>
        <w:t>2024,</w:t>
      </w:r>
      <w:r>
        <w:rPr>
          <w:rFonts w:ascii="Times New Roman" w:eastAsia="Times New Roman" w:hAnsi="Times New Roman" w:cs="Times New Roman"/>
          <w:color w:val="231F20"/>
          <w:spacing w:val="-2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"/>
          <w:sz w:val="17"/>
          <w:szCs w:val="17"/>
        </w:rPr>
        <w:t>46(</w:t>
      </w:r>
      <w:r>
        <w:rPr>
          <w:rFonts w:ascii="Times New Roman" w:eastAsia="Times New Roman" w:hAnsi="Times New Roman" w:cs="Times New Roman"/>
          <w:color w:val="231F20"/>
          <w:spacing w:val="-2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"/>
          <w:sz w:val="17"/>
          <w:szCs w:val="17"/>
        </w:rPr>
        <w:t>1): 114-</w:t>
      </w:r>
      <w:r>
        <w:rPr>
          <w:rFonts w:ascii="Times New Roman" w:eastAsia="Times New Roman" w:hAnsi="Times New Roman" w:cs="Times New Roman"/>
          <w:color w:val="231F20"/>
          <w:spacing w:val="-2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"/>
          <w:sz w:val="17"/>
          <w:szCs w:val="17"/>
        </w:rPr>
        <w:t>129.]</w:t>
      </w:r>
    </w:p>
    <w:p>
      <w:pPr>
        <w:pStyle w:val="BodyText"/>
        <w:spacing w:before="408" w:line="206" w:lineRule="auto"/>
        <w:ind w:left="1074"/>
        <w:outlineLvl w:val="0"/>
        <w:rPr>
          <w:sz w:val="41"/>
          <w:szCs w:val="41"/>
        </w:rPr>
      </w:pPr>
      <w:r>
        <w:rPr>
          <w:color w:val="231F20"/>
          <w:spacing w:val="9"/>
          <w:sz w:val="41"/>
          <w:szCs w:val="41"/>
        </w:rPr>
        <w:t>全球锂产业链贸易格局演化及脆弱性分析</w:t>
      </w:r>
    </w:p>
    <w:p>
      <w:pPr>
        <w:pStyle w:val="BodyText"/>
        <w:spacing w:before="241" w:line="202" w:lineRule="auto"/>
        <w:ind w:left="2756"/>
        <w:rPr>
          <w:rFonts w:ascii="Times New Roman" w:eastAsia="Times New Roman" w:hAnsi="Times New Roman" w:cs="Times New Roman"/>
          <w:sz w:val="15"/>
          <w:szCs w:val="15"/>
        </w:rPr>
      </w:pPr>
      <w:r>
        <w:rPr>
          <w:color w:val="231F20"/>
          <w:spacing w:val="-13"/>
          <w:w w:val="92"/>
          <w:sz w:val="31"/>
          <w:szCs w:val="31"/>
        </w:rPr>
        <w:t>左芝鲤</w:t>
      </w:r>
      <w:r>
        <w:rPr>
          <w:color w:val="231F20"/>
          <w:spacing w:val="-4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13"/>
          <w:w w:val="92"/>
          <w:position w:val="13"/>
          <w:sz w:val="15"/>
          <w:szCs w:val="15"/>
        </w:rPr>
        <w:t>1</w:t>
      </w:r>
      <w:r>
        <w:rPr>
          <w:color w:val="231F20"/>
          <w:spacing w:val="-25"/>
          <w:w w:val="87"/>
          <w:sz w:val="31"/>
          <w:szCs w:val="31"/>
        </w:rPr>
        <w:t>，成金华</w:t>
      </w:r>
      <w:r>
        <w:rPr>
          <w:color w:val="231F20"/>
          <w:spacing w:val="-54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3"/>
          <w:position w:val="13"/>
          <w:sz w:val="15"/>
          <w:szCs w:val="15"/>
        </w:rPr>
        <w:t>2</w:t>
      </w:r>
      <w:r>
        <w:rPr>
          <w:color w:val="231F20"/>
          <w:spacing w:val="-29"/>
          <w:w w:val="83"/>
          <w:sz w:val="31"/>
          <w:szCs w:val="31"/>
        </w:rPr>
        <w:t>，詹</w:t>
      </w:r>
      <w:r>
        <w:rPr>
          <w:color w:val="231F20"/>
          <w:spacing w:val="6"/>
          <w:sz w:val="31"/>
          <w:szCs w:val="31"/>
        </w:rPr>
        <w:t xml:space="preserve">   </w:t>
      </w:r>
      <w:r>
        <w:rPr>
          <w:color w:val="231F20"/>
          <w:spacing w:val="-29"/>
          <w:w w:val="83"/>
          <w:sz w:val="31"/>
          <w:szCs w:val="31"/>
        </w:rPr>
        <w:t>成</w:t>
      </w:r>
      <w:r>
        <w:rPr>
          <w:color w:val="231F20"/>
          <w:spacing w:val="-53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6"/>
          <w:position w:val="13"/>
          <w:sz w:val="15"/>
          <w:szCs w:val="15"/>
        </w:rPr>
        <w:t>2</w:t>
      </w:r>
      <w:r>
        <w:rPr>
          <w:color w:val="231F20"/>
          <w:spacing w:val="-26"/>
          <w:w w:val="87"/>
          <w:sz w:val="31"/>
          <w:szCs w:val="31"/>
        </w:rPr>
        <w:t>，郭海湘</w:t>
      </w:r>
      <w:r>
        <w:rPr>
          <w:color w:val="231F20"/>
          <w:spacing w:val="-54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position w:val="13"/>
          <w:sz w:val="15"/>
          <w:szCs w:val="15"/>
        </w:rPr>
        <w:t>2</w:t>
      </w:r>
    </w:p>
    <w:p>
      <w:pPr>
        <w:pStyle w:val="BodyText"/>
        <w:spacing w:before="31" w:line="200" w:lineRule="auto"/>
        <w:ind w:left="436"/>
      </w:pPr>
      <w:r>
        <w:rPr>
          <w:color w:val="231F20"/>
          <w:spacing w:val="-6"/>
        </w:rPr>
        <w:t>（</w:t>
      </w:r>
      <w:r>
        <w:rPr>
          <w:color w:val="231F20"/>
          <w:spacing w:val="-32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6"/>
        </w:rPr>
        <w:t xml:space="preserve">1. </w:t>
      </w:r>
      <w:r>
        <w:rPr>
          <w:color w:val="231F20"/>
          <w:spacing w:val="-6"/>
        </w:rPr>
        <w:t xml:space="preserve">成都理工大学管理科学学院，成都 </w:t>
      </w:r>
      <w:r>
        <w:rPr>
          <w:rFonts w:ascii="Times New Roman" w:eastAsia="Times New Roman" w:hAnsi="Times New Roman" w:cs="Times New Roman"/>
          <w:color w:val="231F20"/>
          <w:spacing w:val="-6"/>
        </w:rPr>
        <w:t>610059</w:t>
      </w:r>
      <w:r>
        <w:rPr>
          <w:color w:val="231F20"/>
          <w:spacing w:val="-6"/>
        </w:rPr>
        <w:t>；</w:t>
      </w:r>
      <w:r>
        <w:rPr>
          <w:rFonts w:ascii="Times New Roman" w:eastAsia="Times New Roman" w:hAnsi="Times New Roman" w:cs="Times New Roman"/>
          <w:color w:val="231F20"/>
          <w:spacing w:val="-6"/>
        </w:rPr>
        <w:t>2.</w:t>
      </w:r>
      <w:r>
        <w:rPr>
          <w:rFonts w:ascii="Times New Roman" w:eastAsia="Times New Roman" w:hAnsi="Times New Roman" w:cs="Times New Roman"/>
          <w:color w:val="231F20"/>
          <w:spacing w:val="34"/>
        </w:rPr>
        <w:t xml:space="preserve"> </w:t>
      </w:r>
      <w:r>
        <w:rPr>
          <w:color w:val="231F20"/>
          <w:spacing w:val="-6"/>
        </w:rPr>
        <w:t>中国地质大学（武汉）</w:t>
      </w:r>
      <w:r>
        <w:rPr>
          <w:color w:val="231F20"/>
          <w:spacing w:val="-7"/>
        </w:rPr>
        <w:t xml:space="preserve">经济管理学院，武汉 </w:t>
      </w:r>
      <w:r>
        <w:rPr>
          <w:rFonts w:ascii="Times New Roman" w:eastAsia="Times New Roman" w:hAnsi="Times New Roman" w:cs="Times New Roman"/>
          <w:color w:val="231F20"/>
          <w:spacing w:val="-7"/>
        </w:rPr>
        <w:t>430074</w:t>
      </w:r>
      <w:r>
        <w:rPr>
          <w:color w:val="231F20"/>
          <w:spacing w:val="-7"/>
        </w:rPr>
        <w:t>）</w:t>
      </w:r>
    </w:p>
    <w:p>
      <w:pPr>
        <w:spacing w:line="373" w:lineRule="auto"/>
        <w:rPr>
          <w:rFonts w:ascii="Arial"/>
          <w:sz w:val="21"/>
        </w:rPr>
      </w:pPr>
    </w:p>
    <w:p>
      <w:pPr>
        <w:pStyle w:val="BodyText"/>
        <w:spacing w:before="73" w:line="236" w:lineRule="auto"/>
        <w:ind w:left="446" w:right="494" w:firstLine="361"/>
        <w:jc w:val="both"/>
        <w:rPr>
          <w:sz w:val="17"/>
          <w:szCs w:val="17"/>
        </w:rPr>
      </w:pPr>
      <w:r>
        <w:rPr>
          <w:rFonts w:ascii="SimHei" w:eastAsia="SimHei" w:hAnsi="SimHei" w:cs="SimHei"/>
          <w:color w:val="231F20"/>
          <w:spacing w:val="2"/>
          <w:sz w:val="17"/>
          <w:szCs w:val="17"/>
        </w:rPr>
        <w:t>摘</w:t>
      </w:r>
      <w:r>
        <w:rPr>
          <w:rFonts w:ascii="SimHei" w:eastAsia="SimHei" w:hAnsi="SimHei" w:cs="SimHei"/>
          <w:color w:val="231F20"/>
          <w:spacing w:val="89"/>
          <w:sz w:val="17"/>
          <w:szCs w:val="17"/>
        </w:rPr>
        <w:t xml:space="preserve"> </w:t>
      </w:r>
      <w:r>
        <w:rPr>
          <w:rFonts w:ascii="SimHei" w:eastAsia="SimHei" w:hAnsi="SimHei" w:cs="SimHei"/>
          <w:color w:val="231F20"/>
          <w:spacing w:val="2"/>
          <w:sz w:val="17"/>
          <w:szCs w:val="17"/>
        </w:rPr>
        <w:t>要：【目的】</w:t>
      </w:r>
      <w:r>
        <w:rPr>
          <w:color w:val="231F20"/>
          <w:spacing w:val="2"/>
          <w:sz w:val="17"/>
          <w:szCs w:val="17"/>
        </w:rPr>
        <w:t>本文旨在模拟贸易中断风险发生时锂产业链贸易网络的脆弱性，以有效识别关键节点和网络的</w:t>
      </w:r>
      <w:r>
        <w:rPr>
          <w:color w:val="231F20"/>
          <w:sz w:val="17"/>
          <w:szCs w:val="17"/>
        </w:rPr>
        <w:t xml:space="preserve"> </w:t>
      </w:r>
      <w:r>
        <w:rPr>
          <w:color w:val="231F20"/>
          <w:spacing w:val="5"/>
          <w:sz w:val="17"/>
          <w:szCs w:val="17"/>
        </w:rPr>
        <w:t>潜在风险，为优化贸易格局和规避风险提供决策支持。</w:t>
      </w:r>
      <w:r>
        <w:rPr>
          <w:rFonts w:ascii="SimHei" w:eastAsia="SimHei" w:hAnsi="SimHei" w:cs="SimHei"/>
          <w:color w:val="231F20"/>
          <w:spacing w:val="5"/>
          <w:sz w:val="17"/>
          <w:szCs w:val="17"/>
        </w:rPr>
        <w:t>【方法】</w:t>
      </w:r>
      <w:r>
        <w:rPr>
          <w:color w:val="231F20"/>
          <w:spacing w:val="5"/>
          <w:sz w:val="17"/>
          <w:szCs w:val="17"/>
        </w:rPr>
        <w:t>基于贸易流向分析锂产业链</w:t>
      </w:r>
      <w:r>
        <w:rPr>
          <w:color w:val="231F20"/>
          <w:spacing w:val="-28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5"/>
          <w:sz w:val="17"/>
          <w:szCs w:val="17"/>
        </w:rPr>
        <w:t>2000—2021</w:t>
      </w:r>
      <w:r>
        <w:rPr>
          <w:color w:val="231F20"/>
          <w:spacing w:val="5"/>
          <w:sz w:val="17"/>
          <w:szCs w:val="17"/>
        </w:rPr>
        <w:t>年的贸易格</w:t>
      </w:r>
      <w:r>
        <w:rPr>
          <w:color w:val="231F20"/>
          <w:sz w:val="17"/>
          <w:szCs w:val="17"/>
        </w:rPr>
        <w:t xml:space="preserve"> </w:t>
      </w:r>
      <w:r>
        <w:rPr>
          <w:color w:val="231F20"/>
          <w:spacing w:val="11"/>
          <w:sz w:val="17"/>
          <w:szCs w:val="17"/>
        </w:rPr>
        <w:t>局演化情况，采用蓄意攻击法模拟</w:t>
      </w:r>
      <w:r>
        <w:rPr>
          <w:color w:val="231F20"/>
          <w:spacing w:val="-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  <w:sz w:val="17"/>
          <w:szCs w:val="17"/>
        </w:rPr>
        <w:t>2021</w:t>
      </w:r>
      <w:r>
        <w:rPr>
          <w:color w:val="231F20"/>
          <w:spacing w:val="11"/>
          <w:sz w:val="17"/>
          <w:szCs w:val="17"/>
        </w:rPr>
        <w:t>年</w:t>
      </w:r>
      <w:r>
        <w:rPr>
          <w:color w:val="231F20"/>
          <w:spacing w:val="-2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17"/>
          <w:szCs w:val="17"/>
        </w:rPr>
        <w:t>PageRank</w:t>
      </w:r>
      <w:r>
        <w:rPr>
          <w:color w:val="231F20"/>
          <w:spacing w:val="11"/>
          <w:sz w:val="17"/>
          <w:szCs w:val="17"/>
        </w:rPr>
        <w:t xml:space="preserve">中心度前 </w:t>
      </w:r>
      <w:r>
        <w:rPr>
          <w:rFonts w:ascii="Times New Roman" w:eastAsia="Times New Roman" w:hAnsi="Times New Roman" w:cs="Times New Roman"/>
          <w:color w:val="231F20"/>
          <w:spacing w:val="11"/>
          <w:sz w:val="17"/>
          <w:szCs w:val="17"/>
        </w:rPr>
        <w:t>10%</w:t>
      </w:r>
      <w:r>
        <w:rPr>
          <w:color w:val="231F20"/>
          <w:spacing w:val="11"/>
          <w:sz w:val="17"/>
          <w:szCs w:val="17"/>
        </w:rPr>
        <w:t>的节点发生贸易中断后锂产业链贸易网络脆弱</w:t>
      </w:r>
      <w:r>
        <w:rPr>
          <w:color w:val="231F20"/>
          <w:sz w:val="17"/>
          <w:szCs w:val="17"/>
        </w:rPr>
        <w:t xml:space="preserve"> </w:t>
      </w:r>
      <w:r>
        <w:rPr>
          <w:color w:val="231F20"/>
          <w:spacing w:val="3"/>
          <w:sz w:val="17"/>
          <w:szCs w:val="17"/>
        </w:rPr>
        <w:t>性动态变化。</w:t>
      </w:r>
      <w:r>
        <w:rPr>
          <w:rFonts w:ascii="SimHei" w:eastAsia="SimHei" w:hAnsi="SimHei" w:cs="SimHei"/>
          <w:color w:val="231F20"/>
          <w:spacing w:val="3"/>
          <w:sz w:val="17"/>
          <w:szCs w:val="17"/>
        </w:rPr>
        <w:t>【结果】</w:t>
      </w:r>
      <w:r>
        <w:rPr>
          <w:color w:val="231F20"/>
          <w:spacing w:val="3"/>
          <w:sz w:val="17"/>
          <w:szCs w:val="17"/>
        </w:rPr>
        <w:t>研究显示：</w:t>
      </w:r>
      <w:r>
        <w:rPr>
          <w:rFonts w:ascii="NSimSun" w:eastAsia="NSimSun" w:hAnsi="NSimSun" w:cs="NSimSun"/>
          <w:color w:val="231F20"/>
          <w:spacing w:val="3"/>
          <w:sz w:val="17"/>
          <w:szCs w:val="17"/>
        </w:rPr>
        <w:t>①</w:t>
      </w:r>
      <w:r>
        <w:rPr>
          <w:color w:val="231F20"/>
          <w:spacing w:val="3"/>
          <w:sz w:val="17"/>
          <w:szCs w:val="17"/>
        </w:rPr>
        <w:t>锂产业链</w:t>
      </w:r>
      <w:r>
        <w:rPr>
          <w:color w:val="231F20"/>
          <w:spacing w:val="2"/>
          <w:sz w:val="17"/>
          <w:szCs w:val="17"/>
        </w:rPr>
        <w:t>全球贸易格局正面临深刻的重组与变革，中国在全球贸易网络中的地位</w:t>
      </w:r>
      <w:r>
        <w:rPr>
          <w:color w:val="231F20"/>
          <w:sz w:val="17"/>
          <w:szCs w:val="17"/>
        </w:rPr>
        <w:t xml:space="preserve"> </w:t>
      </w:r>
      <w:r>
        <w:rPr>
          <w:color w:val="231F20"/>
          <w:spacing w:val="6"/>
          <w:sz w:val="17"/>
          <w:szCs w:val="17"/>
        </w:rPr>
        <w:t>凸显；</w:t>
      </w:r>
      <w:r>
        <w:rPr>
          <w:rFonts w:ascii="NSimSun" w:eastAsia="NSimSun" w:hAnsi="NSimSun" w:cs="NSimSun"/>
          <w:color w:val="231F20"/>
          <w:spacing w:val="6"/>
          <w:sz w:val="17"/>
          <w:szCs w:val="17"/>
        </w:rPr>
        <w:t>②</w:t>
      </w:r>
      <w:r>
        <w:rPr>
          <w:color w:val="231F20"/>
          <w:spacing w:val="6"/>
          <w:sz w:val="17"/>
          <w:szCs w:val="17"/>
        </w:rPr>
        <w:t>样本期内锂产业链上游网络抗毁性有所提升，中游和下游网络抵御风险能力相对稳定；</w:t>
      </w:r>
      <w:r>
        <w:rPr>
          <w:rFonts w:ascii="NSimSun" w:eastAsia="NSimSun" w:hAnsi="NSimSun" w:cs="NSimSun"/>
          <w:color w:val="231F20"/>
          <w:spacing w:val="6"/>
          <w:sz w:val="17"/>
          <w:szCs w:val="17"/>
        </w:rPr>
        <w:t>③</w:t>
      </w:r>
      <w:r>
        <w:rPr>
          <w:color w:val="231F20"/>
          <w:spacing w:val="5"/>
          <w:sz w:val="17"/>
          <w:szCs w:val="17"/>
        </w:rPr>
        <w:t>锂产业链脆弱性</w:t>
      </w:r>
      <w:r>
        <w:rPr>
          <w:color w:val="231F20"/>
          <w:sz w:val="17"/>
          <w:szCs w:val="17"/>
        </w:rPr>
        <w:t xml:space="preserve"> </w:t>
      </w:r>
      <w:r>
        <w:rPr>
          <w:color w:val="231F20"/>
          <w:spacing w:val="5"/>
          <w:sz w:val="17"/>
          <w:szCs w:val="17"/>
        </w:rPr>
        <w:t>排名为下游</w:t>
      </w:r>
      <w:r>
        <w:rPr>
          <w:rFonts w:ascii="Times New Roman" w:eastAsia="Times New Roman" w:hAnsi="Times New Roman" w:cs="Times New Roman"/>
          <w:color w:val="231F20"/>
          <w:spacing w:val="5"/>
          <w:sz w:val="17"/>
          <w:szCs w:val="17"/>
        </w:rPr>
        <w:t>&lt;</w:t>
      </w:r>
      <w:r>
        <w:rPr>
          <w:color w:val="231F20"/>
          <w:spacing w:val="5"/>
          <w:sz w:val="17"/>
          <w:szCs w:val="17"/>
        </w:rPr>
        <w:t>中游</w:t>
      </w:r>
      <w:r>
        <w:rPr>
          <w:rFonts w:ascii="Times New Roman" w:eastAsia="Times New Roman" w:hAnsi="Times New Roman" w:cs="Times New Roman"/>
          <w:color w:val="231F20"/>
          <w:spacing w:val="5"/>
          <w:sz w:val="17"/>
          <w:szCs w:val="17"/>
        </w:rPr>
        <w:t>&lt;</w:t>
      </w:r>
      <w:r>
        <w:rPr>
          <w:color w:val="231F20"/>
          <w:spacing w:val="5"/>
          <w:sz w:val="17"/>
          <w:szCs w:val="17"/>
        </w:rPr>
        <w:t xml:space="preserve">上游，当全球前 </w:t>
      </w:r>
      <w:r>
        <w:rPr>
          <w:rFonts w:ascii="Times New Roman" w:eastAsia="Times New Roman" w:hAnsi="Times New Roman" w:cs="Times New Roman"/>
          <w:color w:val="231F20"/>
          <w:spacing w:val="5"/>
          <w:sz w:val="17"/>
          <w:szCs w:val="17"/>
        </w:rPr>
        <w:t>10%</w:t>
      </w:r>
      <w:r>
        <w:rPr>
          <w:color w:val="231F20"/>
          <w:spacing w:val="5"/>
          <w:sz w:val="17"/>
          <w:szCs w:val="17"/>
        </w:rPr>
        <w:t>的关键节点贸易中断后，上游、中游和</w:t>
      </w:r>
      <w:r>
        <w:rPr>
          <w:color w:val="231F20"/>
          <w:spacing w:val="4"/>
          <w:sz w:val="17"/>
          <w:szCs w:val="17"/>
        </w:rPr>
        <w:t>下游贸易网络的整体性能分别平均下</w:t>
      </w:r>
      <w:r>
        <w:rPr>
          <w:color w:val="231F20"/>
          <w:sz w:val="17"/>
          <w:szCs w:val="17"/>
        </w:rPr>
        <w:t xml:space="preserve"> </w:t>
      </w:r>
      <w:r>
        <w:rPr>
          <w:color w:val="231F20"/>
          <w:spacing w:val="4"/>
          <w:sz w:val="17"/>
          <w:szCs w:val="17"/>
        </w:rPr>
        <w:t>降</w:t>
      </w:r>
      <w:r>
        <w:rPr>
          <w:color w:val="231F20"/>
          <w:spacing w:val="-17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17"/>
          <w:szCs w:val="17"/>
        </w:rPr>
        <w:t>60%</w:t>
      </w:r>
      <w:r>
        <w:rPr>
          <w:color w:val="231F20"/>
          <w:spacing w:val="4"/>
          <w:sz w:val="17"/>
          <w:szCs w:val="17"/>
        </w:rPr>
        <w:t>、</w:t>
      </w:r>
      <w:r>
        <w:rPr>
          <w:rFonts w:ascii="Times New Roman" w:eastAsia="Times New Roman" w:hAnsi="Times New Roman" w:cs="Times New Roman"/>
          <w:color w:val="231F20"/>
          <w:spacing w:val="4"/>
          <w:sz w:val="17"/>
          <w:szCs w:val="17"/>
        </w:rPr>
        <w:t>35%</w:t>
      </w:r>
      <w:r>
        <w:rPr>
          <w:color w:val="231F20"/>
          <w:spacing w:val="4"/>
          <w:sz w:val="17"/>
          <w:szCs w:val="17"/>
        </w:rPr>
        <w:t>和</w:t>
      </w:r>
      <w:r>
        <w:rPr>
          <w:color w:val="231F20"/>
          <w:spacing w:val="-2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17"/>
          <w:szCs w:val="17"/>
        </w:rPr>
        <w:t>23.5%</w:t>
      </w:r>
      <w:r>
        <w:rPr>
          <w:color w:val="231F20"/>
          <w:spacing w:val="4"/>
          <w:sz w:val="17"/>
          <w:szCs w:val="17"/>
        </w:rPr>
        <w:t>。</w:t>
      </w:r>
      <w:r>
        <w:rPr>
          <w:rFonts w:ascii="SimHei" w:eastAsia="SimHei" w:hAnsi="SimHei" w:cs="SimHei"/>
          <w:color w:val="231F20"/>
          <w:spacing w:val="4"/>
          <w:sz w:val="17"/>
          <w:szCs w:val="17"/>
        </w:rPr>
        <w:t>【结论】</w:t>
      </w:r>
      <w:r>
        <w:rPr>
          <w:color w:val="231F20"/>
          <w:spacing w:val="4"/>
          <w:sz w:val="17"/>
          <w:szCs w:val="17"/>
        </w:rPr>
        <w:t>为维护</w:t>
      </w:r>
      <w:r>
        <w:rPr>
          <w:color w:val="231F20"/>
          <w:spacing w:val="3"/>
          <w:sz w:val="17"/>
          <w:szCs w:val="17"/>
        </w:rPr>
        <w:t>中国与世界的锂产业安全与稳定，应进一步建立和完善锂产业链安全风险预</w:t>
      </w:r>
      <w:r>
        <w:rPr>
          <w:color w:val="231F20"/>
          <w:sz w:val="17"/>
          <w:szCs w:val="17"/>
        </w:rPr>
        <w:t xml:space="preserve"> </w:t>
      </w:r>
      <w:r>
        <w:rPr>
          <w:color w:val="231F20"/>
          <w:spacing w:val="6"/>
          <w:sz w:val="17"/>
          <w:szCs w:val="17"/>
        </w:rPr>
        <w:t>警与应急保障机制；建立锂产业链各利益主体之间的合作共赢机制，增强产业链与供应链、价值链</w:t>
      </w:r>
      <w:r>
        <w:rPr>
          <w:color w:val="231F20"/>
          <w:spacing w:val="5"/>
          <w:sz w:val="17"/>
          <w:szCs w:val="17"/>
        </w:rPr>
        <w:t>之间的正向响应</w:t>
      </w:r>
      <w:r>
        <w:rPr>
          <w:color w:val="231F20"/>
          <w:sz w:val="17"/>
          <w:szCs w:val="17"/>
        </w:rPr>
        <w:t xml:space="preserve"> </w:t>
      </w:r>
      <w:r>
        <w:rPr>
          <w:color w:val="231F20"/>
          <w:spacing w:val="6"/>
          <w:sz w:val="17"/>
          <w:szCs w:val="17"/>
        </w:rPr>
        <w:t>能力；提高锂资源国内自主供给保障能力和全球配置能力。</w:t>
      </w:r>
    </w:p>
    <w:p>
      <w:pPr>
        <w:pStyle w:val="BodyText"/>
        <w:spacing w:before="34" w:line="201" w:lineRule="auto"/>
        <w:ind w:left="809"/>
        <w:rPr>
          <w:sz w:val="17"/>
          <w:szCs w:val="17"/>
        </w:rPr>
      </w:pPr>
      <w:r>
        <w:rPr>
          <w:color w:val="231F20"/>
          <w:spacing w:val="11"/>
          <w:sz w:val="17"/>
          <w:szCs w:val="17"/>
        </w:rPr>
        <w:t>关键词：锂产业链；演化格局；脆弱性；核密度估计；</w:t>
      </w:r>
      <w:r>
        <w:rPr>
          <w:color w:val="231F20"/>
          <w:spacing w:val="-22"/>
          <w:sz w:val="17"/>
          <w:szCs w:val="17"/>
        </w:rPr>
        <w:t xml:space="preserve"> </w:t>
      </w:r>
      <w:r>
        <w:rPr>
          <w:color w:val="231F20"/>
          <w:spacing w:val="11"/>
          <w:sz w:val="17"/>
          <w:szCs w:val="17"/>
        </w:rPr>
        <w:t>贸易中</w:t>
      </w:r>
      <w:r>
        <w:rPr>
          <w:color w:val="231F20"/>
          <w:spacing w:val="10"/>
          <w:sz w:val="17"/>
          <w:szCs w:val="17"/>
        </w:rPr>
        <w:t>断；</w:t>
      </w:r>
      <w:r>
        <w:rPr>
          <w:rFonts w:ascii="Times New Roman" w:eastAsia="Times New Roman" w:hAnsi="Times New Roman" w:cs="Times New Roman"/>
          <w:color w:val="231F20"/>
          <w:sz w:val="17"/>
          <w:szCs w:val="17"/>
        </w:rPr>
        <w:t>PageRank</w:t>
      </w:r>
      <w:r>
        <w:rPr>
          <w:color w:val="231F20"/>
          <w:spacing w:val="10"/>
          <w:sz w:val="17"/>
          <w:szCs w:val="17"/>
        </w:rPr>
        <w:t>中心度</w:t>
      </w:r>
    </w:p>
    <w:p>
      <w:pPr>
        <w:spacing w:before="200"/>
      </w:pPr>
    </w:p>
    <w:p>
      <w:pPr>
        <w:sectPr>
          <w:footerReference w:type="default" r:id="rId8"/>
          <w:type w:val="continuous"/>
          <w:pgSz w:w="11906" w:h="15582"/>
          <w:pgMar w:top="732" w:right="1058" w:bottom="1" w:left="1111" w:header="0" w:footer="0" w:gutter="0"/>
          <w:pgNumType w:start="2"/>
          <w:cols w:num="1" w:space="708" w:equalWidth="0">
            <w:col w:w="9737" w:space="0"/>
          </w:cols>
        </w:sectPr>
      </w:pPr>
    </w:p>
    <w:p>
      <w:pPr>
        <w:spacing w:before="62" w:line="364" w:lineRule="exact"/>
        <w:ind w:left="41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-6"/>
          <w:position w:val="1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b/>
          <w:bCs/>
          <w:color w:val="231F20"/>
          <w:spacing w:val="11"/>
          <w:position w:val="1"/>
          <w:sz w:val="27"/>
          <w:szCs w:val="27"/>
        </w:rPr>
        <w:t xml:space="preserve">   </w:t>
      </w:r>
      <w:r>
        <w:rPr>
          <w:rFonts w:ascii="SimHei" w:eastAsia="SimHei" w:hAnsi="SimHei" w:cs="SimHei"/>
          <w:color w:val="231F20"/>
          <w:spacing w:val="-6"/>
          <w:position w:val="1"/>
          <w:sz w:val="27"/>
          <w:szCs w:val="27"/>
        </w:rPr>
        <w:t>引言</w:t>
      </w:r>
    </w:p>
    <w:p>
      <w:pPr>
        <w:pStyle w:val="BodyText"/>
        <w:spacing w:before="37" w:line="226" w:lineRule="auto"/>
        <w:ind w:left="23" w:right="322" w:firstLine="429"/>
        <w:jc w:val="both"/>
      </w:pPr>
      <w:r>
        <w:rPr>
          <w:color w:val="231F20"/>
          <w:spacing w:val="8"/>
        </w:rPr>
        <w:t>近年来，资源供应端的突发变故加剧了断供风</w:t>
      </w:r>
      <w:r>
        <w:rPr>
          <w:color w:val="231F20"/>
          <w:spacing w:val="17"/>
          <w:w w:val="101"/>
        </w:rPr>
        <w:t xml:space="preserve"> </w:t>
      </w:r>
      <w:r>
        <w:rPr>
          <w:color w:val="231F20"/>
          <w:spacing w:val="19"/>
        </w:rPr>
        <w:t>险，对中国的资源安全和产业发展造成了极大影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4"/>
        </w:rPr>
        <w:t>响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4"/>
        </w:rPr>
        <w:t>。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4"/>
        </w:rPr>
        <w:t>比如，</w:t>
      </w:r>
      <w:r>
        <w:rPr>
          <w:rFonts w:ascii="Times New Roman" w:eastAsia="Times New Roman" w:hAnsi="Times New Roman" w:cs="Times New Roman"/>
          <w:color w:val="231F20"/>
          <w:spacing w:val="4"/>
        </w:rPr>
        <w:t>2019</w:t>
      </w:r>
      <w:r>
        <w:rPr>
          <w:rFonts w:ascii="Times New Roman" w:eastAsia="Times New Roman" w:hAnsi="Times New Roman" w:cs="Times New Roman"/>
          <w:color w:val="231F20"/>
          <w:spacing w:val="-9"/>
        </w:rPr>
        <w:t xml:space="preserve"> </w:t>
      </w:r>
      <w:r>
        <w:rPr>
          <w:color w:val="231F20"/>
          <w:spacing w:val="4"/>
        </w:rPr>
        <w:t>年印尼施行镍原矿石出口禁令，中</w:t>
      </w:r>
      <w:r>
        <w:rPr>
          <w:color w:val="231F20"/>
        </w:rPr>
        <w:t xml:space="preserve"> </w:t>
      </w:r>
      <w:r>
        <w:rPr>
          <w:color w:val="231F20"/>
          <w:spacing w:val="19"/>
        </w:rPr>
        <w:t>国镍矿石进口受到严重影响导致镍铁产量出现明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9"/>
        </w:rPr>
        <w:t>显下滑</w:t>
      </w:r>
      <w:r>
        <w:rPr>
          <w:rFonts w:ascii="Times New Roman" w:eastAsia="Times New Roman" w:hAnsi="Times New Roman" w:cs="Times New Roman"/>
          <w:color w:val="231F20"/>
          <w:spacing w:val="9"/>
          <w:position w:val="8"/>
          <w:sz w:val="10"/>
          <w:szCs w:val="10"/>
        </w:rPr>
        <w:t>[1]</w:t>
      </w:r>
      <w:r>
        <w:rPr>
          <w:color w:val="231F20"/>
          <w:spacing w:val="9"/>
        </w:rPr>
        <w:t>，</w:t>
      </w:r>
      <w:r>
        <w:rPr>
          <w:rFonts w:ascii="Times New Roman" w:eastAsia="Times New Roman" w:hAnsi="Times New Roman" w:cs="Times New Roman"/>
          <w:color w:val="231F20"/>
          <w:spacing w:val="9"/>
        </w:rPr>
        <w:t>2020</w:t>
      </w:r>
      <w:r>
        <w:rPr>
          <w:rFonts w:ascii="Times New Roman" w:eastAsia="Times New Roman" w:hAnsi="Times New Roman" w:cs="Times New Roman"/>
          <w:color w:val="231F20"/>
          <w:spacing w:val="6"/>
        </w:rPr>
        <w:t xml:space="preserve"> </w:t>
      </w:r>
      <w:r>
        <w:rPr>
          <w:color w:val="231F20"/>
          <w:spacing w:val="9"/>
        </w:rPr>
        <w:t>年南非的边境封锁措施导致全球铬</w:t>
      </w:r>
      <w:r>
        <w:rPr>
          <w:color w:val="231F20"/>
        </w:rPr>
        <w:t xml:space="preserve"> </w:t>
      </w:r>
      <w:r>
        <w:rPr>
          <w:color w:val="231F20"/>
          <w:spacing w:val="16"/>
        </w:rPr>
        <w:t>矿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16"/>
        </w:rPr>
        <w:t>、钴矿市场面临供应中断风险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16"/>
        </w:rPr>
        <w:t>。全球资源政治</w:t>
      </w:r>
      <w:r>
        <w:rPr>
          <w:color w:val="231F20"/>
        </w:rPr>
        <w:t xml:space="preserve"> </w:t>
      </w:r>
      <w:r>
        <w:rPr>
          <w:color w:val="231F20"/>
        </w:rPr>
        <w:t>化、价格金融化、政策调整逐利化等问题突出，并叠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9"/>
        </w:rPr>
        <w:t>加突发公共卫生事件、主要资源生产国政治变化等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10"/>
        </w:rPr>
        <w:t>不确定性因素影响，产业链变得更为脆弱</w:t>
      </w:r>
      <w:r>
        <w:rPr>
          <w:rFonts w:ascii="Times New Roman" w:eastAsia="Times New Roman" w:hAnsi="Times New Roman" w:cs="Times New Roman"/>
          <w:color w:val="231F20"/>
          <w:spacing w:val="10"/>
          <w:position w:val="8"/>
          <w:sz w:val="10"/>
          <w:szCs w:val="10"/>
        </w:rPr>
        <w:t xml:space="preserve">[2] </w:t>
      </w:r>
      <w:r>
        <w:rPr>
          <w:color w:val="231F20"/>
          <w:spacing w:val="10"/>
        </w:rPr>
        <w:t>。当前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9"/>
        </w:rPr>
        <w:t>国际格局和国际体系正在发生深刻调整，维护产业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9"/>
        </w:rPr>
        <w:t>链安全是实现中国经济高质量发展的重要前提，也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18"/>
        </w:rPr>
        <w:t>是国家总体安全观的重要一环</w:t>
      </w:r>
      <w:r>
        <w:rPr>
          <w:color w:val="231F20"/>
          <w:spacing w:val="-2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8"/>
          <w:position w:val="8"/>
          <w:sz w:val="10"/>
          <w:szCs w:val="10"/>
        </w:rPr>
        <w:t xml:space="preserve">[3] </w:t>
      </w:r>
      <w:r>
        <w:rPr>
          <w:color w:val="231F20"/>
          <w:spacing w:val="18"/>
        </w:rPr>
        <w:t>。锂资源被称为</w:t>
      </w:r>
      <w:r>
        <w:rPr>
          <w:color w:val="231F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11"/>
        </w:rPr>
        <w:t>21</w:t>
      </w:r>
      <w:r>
        <w:rPr>
          <w:rFonts w:ascii="Times New Roman" w:eastAsia="Times New Roman" w:hAnsi="Times New Roman" w:cs="Times New Roman"/>
          <w:color w:val="231F20"/>
          <w:spacing w:val="-12"/>
        </w:rPr>
        <w:t xml:space="preserve"> </w:t>
      </w:r>
      <w:r>
        <w:rPr>
          <w:color w:val="231F20"/>
          <w:spacing w:val="-11"/>
        </w:rPr>
        <w:t>世纪“绿色高能金属</w:t>
      </w:r>
      <w:r>
        <w:rPr>
          <w:color w:val="231F20"/>
          <w:spacing w:val="-39"/>
        </w:rPr>
        <w:t xml:space="preserve"> </w:t>
      </w:r>
      <w:r>
        <w:rPr>
          <w:color w:val="231F20"/>
          <w:spacing w:val="-11"/>
        </w:rPr>
        <w:t>”和“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11"/>
        </w:rPr>
        <w:t>白色石油”，未来一段时</w:t>
      </w:r>
      <w:r>
        <w:rPr>
          <w:color w:val="231F20"/>
        </w:rPr>
        <w:t xml:space="preserve"> </w:t>
      </w:r>
      <w:r>
        <w:rPr>
          <w:color w:val="231F20"/>
          <w:spacing w:val="9"/>
        </w:rPr>
        <w:t xml:space="preserve">间内，世界锂资源消耗将持续增长，“资源决定胜 </w:t>
      </w:r>
      <w:r>
        <w:rPr>
          <w:color w:val="231F20"/>
          <w:spacing w:val="7"/>
        </w:rPr>
        <w:t>局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7"/>
        </w:rPr>
        <w:t>”已成行业共识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7"/>
        </w:rPr>
        <w:t>。随着欧盟禁售燃油车计划的落</w:t>
      </w:r>
    </w:p>
    <w:p>
      <w:pPr>
        <w:spacing w:line="71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9" w:line="226" w:lineRule="auto"/>
        <w:ind w:firstLine="2"/>
        <w:jc w:val="both"/>
      </w:pPr>
      <w:r>
        <w:rPr>
          <w:color w:val="231F20"/>
          <w:spacing w:val="9"/>
        </w:rPr>
        <w:t>地，各国纷纷布局新能源汽车产业，锂资源已成为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8"/>
        </w:rPr>
        <w:t>各国竞相角逐的重要资源之一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8"/>
        </w:rPr>
        <w:t>。但受资源禀赋、开</w:t>
      </w:r>
      <w:r>
        <w:rPr>
          <w:color w:val="231F20"/>
        </w:rPr>
        <w:t xml:space="preserve">  </w:t>
      </w:r>
      <w:r>
        <w:rPr>
          <w:color w:val="231F20"/>
          <w:spacing w:val="9"/>
        </w:rPr>
        <w:t>采条件和提炼技术等影响，中国锂资源的对外依存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8"/>
        </w:rPr>
        <w:t>度一直较高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8"/>
        </w:rPr>
        <w:t>。外部发展环境不确定性日渐增强，使</w:t>
      </w:r>
      <w:r>
        <w:rPr>
          <w:color w:val="231F20"/>
        </w:rPr>
        <w:t xml:space="preserve">  </w:t>
      </w:r>
      <w:r>
        <w:rPr>
          <w:color w:val="231F20"/>
          <w:spacing w:val="10"/>
        </w:rPr>
        <w:t>得锂资源产业链供应链面临较大的“断链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10"/>
        </w:rPr>
        <w:t>”风险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10"/>
        </w:rPr>
        <w:t>。</w:t>
      </w:r>
      <w:r>
        <w:rPr>
          <w:color w:val="231F20"/>
        </w:rPr>
        <w:t xml:space="preserve"> </w:t>
      </w:r>
      <w:r>
        <w:rPr>
          <w:color w:val="231F20"/>
          <w:spacing w:val="9"/>
        </w:rPr>
        <w:t>因此，在内部经济转型和外部发展环境不确定性增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9"/>
        </w:rPr>
        <w:t>强的双重约束下，厘清锂产业链脆弱性，对优化产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9"/>
        </w:rPr>
        <w:t>业链布局，保障资源安全，实现高质量发展战略目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5"/>
        </w:rPr>
        <w:t>标至关重要</w:t>
      </w:r>
      <w:r>
        <w:rPr>
          <w:rFonts w:ascii="Times New Roman" w:eastAsia="Times New Roman" w:hAnsi="Times New Roman" w:cs="Times New Roman"/>
          <w:color w:val="231F20"/>
          <w:spacing w:val="5"/>
          <w:position w:val="8"/>
          <w:sz w:val="10"/>
          <w:szCs w:val="10"/>
        </w:rPr>
        <w:t>[4]</w:t>
      </w:r>
      <w:r>
        <w:rPr>
          <w:color w:val="231F20"/>
          <w:spacing w:val="5"/>
        </w:rPr>
        <w:t>。</w:t>
      </w:r>
    </w:p>
    <w:p>
      <w:pPr>
        <w:spacing w:before="23" w:line="362" w:lineRule="exact"/>
        <w:ind w:left="4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4"/>
          <w:position w:val="1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b/>
          <w:bCs/>
          <w:color w:val="231F20"/>
          <w:spacing w:val="8"/>
          <w:position w:val="1"/>
          <w:sz w:val="27"/>
          <w:szCs w:val="27"/>
        </w:rPr>
        <w:t xml:space="preserve">   </w:t>
      </w:r>
      <w:r>
        <w:rPr>
          <w:rFonts w:ascii="SimHei" w:eastAsia="SimHei" w:hAnsi="SimHei" w:cs="SimHei"/>
          <w:color w:val="231F20"/>
          <w:spacing w:val="4"/>
          <w:position w:val="1"/>
          <w:sz w:val="27"/>
          <w:szCs w:val="27"/>
        </w:rPr>
        <w:t>文献综述</w:t>
      </w:r>
    </w:p>
    <w:p>
      <w:pPr>
        <w:pStyle w:val="BodyText"/>
        <w:spacing w:before="39" w:line="221" w:lineRule="auto"/>
        <w:ind w:left="1" w:firstLine="423"/>
        <w:jc w:val="both"/>
      </w:pPr>
      <w:r>
        <w:rPr>
          <w:color w:val="231F20"/>
          <w:spacing w:val="20"/>
        </w:rPr>
        <w:t>现有的锂产业链相关研究主要追踪了产品材</w:t>
      </w:r>
      <w:r>
        <w:rPr>
          <w:color w:val="231F20"/>
        </w:rPr>
        <w:t xml:space="preserve">  </w:t>
      </w:r>
      <w:r>
        <w:rPr>
          <w:color w:val="231F20"/>
          <w:spacing w:val="3"/>
        </w:rPr>
        <w:t>料转化和贸易的连续过程</w:t>
      </w:r>
      <w:r>
        <w:rPr>
          <w:rFonts w:ascii="Times New Roman" w:eastAsia="Times New Roman" w:hAnsi="Times New Roman" w:cs="Times New Roman"/>
          <w:color w:val="231F20"/>
          <w:spacing w:val="3"/>
          <w:position w:val="8"/>
          <w:sz w:val="10"/>
          <w:szCs w:val="10"/>
        </w:rPr>
        <w:t>[5]</w:t>
      </w:r>
      <w:r>
        <w:rPr>
          <w:color w:val="231F20"/>
          <w:spacing w:val="3"/>
        </w:rPr>
        <w:t>，其中，主要聚焦于电池</w:t>
      </w:r>
      <w:r>
        <w:rPr>
          <w:color w:val="231F20"/>
          <w:spacing w:val="5"/>
        </w:rPr>
        <w:t xml:space="preserve">  </w:t>
      </w:r>
      <w:r>
        <w:rPr>
          <w:color w:val="231F20"/>
          <w:spacing w:val="21"/>
        </w:rPr>
        <w:t>制造对产业链上游关键原材料供需动态的影响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21"/>
        </w:rPr>
        <w:t>。</w:t>
      </w:r>
    </w:p>
    <w:p>
      <w:pPr>
        <w:pStyle w:val="BodyText"/>
        <w:spacing w:before="27" w:line="218" w:lineRule="auto"/>
        <w:ind w:left="4" w:hanging="4"/>
        <w:sectPr>
          <w:footerReference w:type="default" r:id="rId9"/>
          <w:type w:val="continuous"/>
          <w:pgSz w:w="11906" w:h="15582"/>
          <w:pgMar w:top="732" w:right="1058" w:bottom="1" w:left="1111" w:header="0" w:footer="0" w:gutter="0"/>
          <w:pgNumType w:start="3"/>
          <w:cols w:num="2" w:space="708" w:equalWidth="0">
            <w:col w:w="4955" w:space="100"/>
            <w:col w:w="4683" w:space="0"/>
          </w:cols>
        </w:sectPr>
      </w:pPr>
      <w:r>
        <w:rPr>
          <w:color w:val="231F20"/>
          <w:spacing w:val="3"/>
        </w:rPr>
        <w:t>研究通常采用物质流分析</w:t>
      </w:r>
      <w:r>
        <w:rPr>
          <w:rFonts w:ascii="Times New Roman" w:eastAsia="Times New Roman" w:hAnsi="Times New Roman" w:cs="Times New Roman"/>
          <w:color w:val="231F20"/>
          <w:spacing w:val="3"/>
          <w:position w:val="8"/>
          <w:sz w:val="10"/>
          <w:szCs w:val="10"/>
        </w:rPr>
        <w:t>[6,7]</w:t>
      </w:r>
      <w:r>
        <w:rPr>
          <w:color w:val="231F20"/>
          <w:spacing w:val="3"/>
        </w:rPr>
        <w:t>、贸易结构分析</w:t>
      </w:r>
      <w:r>
        <w:rPr>
          <w:rFonts w:ascii="Times New Roman" w:eastAsia="Times New Roman" w:hAnsi="Times New Roman" w:cs="Times New Roman"/>
          <w:color w:val="231F20"/>
          <w:spacing w:val="3"/>
          <w:position w:val="8"/>
          <w:sz w:val="10"/>
          <w:szCs w:val="10"/>
        </w:rPr>
        <w:t>[8]</w:t>
      </w:r>
      <w:r>
        <w:rPr>
          <w:color w:val="231F20"/>
          <w:spacing w:val="3"/>
        </w:rPr>
        <w:t>、供应</w:t>
      </w:r>
      <w:r>
        <w:rPr>
          <w:color w:val="231F20"/>
          <w:spacing w:val="5"/>
        </w:rPr>
        <w:t xml:space="preserve">  </w:t>
      </w:r>
      <w:r>
        <w:rPr>
          <w:color w:val="231F20"/>
          <w:spacing w:val="3"/>
        </w:rPr>
        <w:t>风险评价</w:t>
      </w:r>
      <w:r>
        <w:rPr>
          <w:rFonts w:ascii="Times New Roman" w:eastAsia="Times New Roman" w:hAnsi="Times New Roman" w:cs="Times New Roman"/>
          <w:color w:val="231F20"/>
          <w:spacing w:val="3"/>
          <w:position w:val="7"/>
          <w:sz w:val="10"/>
          <w:szCs w:val="10"/>
        </w:rPr>
        <w:t>[9]</w:t>
      </w:r>
      <w:r>
        <w:rPr>
          <w:color w:val="231F20"/>
          <w:spacing w:val="3"/>
        </w:rPr>
        <w:t>、全生命周期评价</w:t>
      </w:r>
      <w:r>
        <w:rPr>
          <w:rFonts w:ascii="Times New Roman" w:eastAsia="Times New Roman" w:hAnsi="Times New Roman" w:cs="Times New Roman"/>
          <w:color w:val="231F20"/>
          <w:spacing w:val="3"/>
          <w:position w:val="7"/>
          <w:sz w:val="10"/>
          <w:szCs w:val="10"/>
        </w:rPr>
        <w:t>[10]</w:t>
      </w:r>
      <w:r>
        <w:rPr>
          <w:color w:val="231F20"/>
          <w:spacing w:val="3"/>
        </w:rPr>
        <w:t>和供</w:t>
      </w:r>
      <w:r>
        <w:rPr>
          <w:color w:val="231F20"/>
          <w:spacing w:val="2"/>
        </w:rPr>
        <w:t>需格局分析</w:t>
      </w:r>
      <w:r>
        <w:rPr>
          <w:rFonts w:ascii="Times New Roman" w:eastAsia="Times New Roman" w:hAnsi="Times New Roman" w:cs="Times New Roman"/>
          <w:color w:val="231F20"/>
          <w:spacing w:val="2"/>
          <w:position w:val="7"/>
          <w:sz w:val="10"/>
          <w:szCs w:val="10"/>
        </w:rPr>
        <w:t>[11,</w:t>
      </w:r>
      <w:r>
        <w:rPr>
          <w:rFonts w:ascii="Times New Roman" w:eastAsia="Times New Roman" w:hAnsi="Times New Roman" w:cs="Times New Roman"/>
          <w:color w:val="231F20"/>
          <w:spacing w:val="-13"/>
          <w:position w:val="7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2"/>
          <w:position w:val="7"/>
          <w:sz w:val="10"/>
          <w:szCs w:val="10"/>
        </w:rPr>
        <w:t>12]</w:t>
      </w:r>
      <w:r>
        <w:rPr>
          <w:color w:val="231F20"/>
          <w:spacing w:val="2"/>
        </w:rPr>
        <w:t>。</w:t>
      </w:r>
    </w:p>
    <w:p>
      <w:pPr>
        <w:pStyle w:val="BodyText"/>
        <w:spacing w:before="29" w:line="209" w:lineRule="auto"/>
        <w:ind w:left="1"/>
      </w:pPr>
      <w:r>
        <w:rPr>
          <w:color w:val="231F20"/>
          <w:spacing w:val="19"/>
        </w:rPr>
        <w:t>锂产业链研究强调了与全球能源转型的总物质需</w:t>
      </w:r>
    </w:p>
    <w:p>
      <w:pPr>
        <w:spacing w:line="209" w:lineRule="auto"/>
        <w:sectPr>
          <w:footerReference w:type="default" r:id="rId10"/>
          <w:type w:val="nextPage"/>
          <w:pgSz w:w="11906" w:h="15582"/>
          <w:pgMar w:top="732" w:right="1058" w:bottom="1" w:left="1111" w:header="0" w:footer="0" w:gutter="0"/>
          <w:pgNumType w:start="4"/>
          <w:cols w:num="2" w:space="708" w:equalWidth="0">
            <w:col w:w="4955" w:space="100"/>
            <w:col w:w="4683" w:space="0"/>
          </w:cols>
          <w:titlePg w:val="0"/>
        </w:sectPr>
      </w:pPr>
    </w:p>
    <w:p>
      <w:pPr>
        <w:spacing w:before="121" w:line="211" w:lineRule="exact"/>
        <w:ind w:left="28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SimHei" w:eastAsia="SimHei" w:hAnsi="SimHei" w:cs="SimHei"/>
          <w:color w:val="231F20"/>
          <w:spacing w:val="-2"/>
          <w:position w:val="1"/>
          <w:sz w:val="15"/>
          <w:szCs w:val="15"/>
        </w:rPr>
        <w:t>收稿日期：</w:t>
      </w:r>
      <w:r>
        <w:rPr>
          <w:rFonts w:ascii="Times New Roman" w:eastAsia="Times New Roman" w:hAnsi="Times New Roman" w:cs="Times New Roman"/>
          <w:color w:val="231F20"/>
          <w:spacing w:val="-2"/>
          <w:position w:val="1"/>
          <w:sz w:val="15"/>
          <w:szCs w:val="15"/>
        </w:rPr>
        <w:t>2023-04-20</w:t>
      </w:r>
      <w:r>
        <w:rPr>
          <w:rFonts w:ascii="SimSun" w:eastAsia="SimSun" w:hAnsi="SimSun" w:cs="SimSun"/>
          <w:color w:val="231F20"/>
          <w:spacing w:val="-2"/>
          <w:position w:val="1"/>
          <w:sz w:val="15"/>
          <w:szCs w:val="15"/>
        </w:rPr>
        <w:t>；</w:t>
      </w:r>
      <w:r>
        <w:rPr>
          <w:rFonts w:ascii="SimHei" w:eastAsia="SimHei" w:hAnsi="SimHei" w:cs="SimHei"/>
          <w:color w:val="231F20"/>
          <w:spacing w:val="-2"/>
          <w:position w:val="1"/>
          <w:sz w:val="15"/>
          <w:szCs w:val="15"/>
        </w:rPr>
        <w:t>修订日期：</w:t>
      </w:r>
      <w:r>
        <w:rPr>
          <w:rFonts w:ascii="Times New Roman" w:eastAsia="Times New Roman" w:hAnsi="Times New Roman" w:cs="Times New Roman"/>
          <w:color w:val="231F20"/>
          <w:spacing w:val="-2"/>
          <w:position w:val="1"/>
          <w:sz w:val="15"/>
          <w:szCs w:val="15"/>
        </w:rPr>
        <w:t>2023-08-07</w:t>
      </w:r>
    </w:p>
    <w:p>
      <w:pPr>
        <w:pStyle w:val="BodyText"/>
        <w:spacing w:before="49" w:line="237" w:lineRule="auto"/>
        <w:ind w:left="27" w:right="76" w:firstLine="2"/>
        <w:rPr>
          <w:sz w:val="15"/>
          <w:szCs w:val="15"/>
        </w:rPr>
      </w:pPr>
      <w:r>
        <w:rPr>
          <w:rFonts w:ascii="SimHei" w:eastAsia="SimHei" w:hAnsi="SimHei" w:cs="SimHei"/>
          <w:color w:val="231F20"/>
          <w:spacing w:val="7"/>
          <w:sz w:val="15"/>
          <w:szCs w:val="15"/>
        </w:rPr>
        <w:t>基金项目：</w:t>
      </w:r>
      <w:r>
        <w:rPr>
          <w:color w:val="231F20"/>
          <w:spacing w:val="7"/>
          <w:sz w:val="15"/>
          <w:szCs w:val="15"/>
        </w:rPr>
        <w:t>国家自然科学基金重大项目（</w:t>
      </w:r>
      <w:r>
        <w:rPr>
          <w:rFonts w:ascii="Times New Roman" w:eastAsia="Times New Roman" w:hAnsi="Times New Roman" w:cs="Times New Roman"/>
          <w:color w:val="231F20"/>
          <w:spacing w:val="7"/>
          <w:sz w:val="15"/>
          <w:szCs w:val="15"/>
        </w:rPr>
        <w:t>71991482</w:t>
      </w:r>
      <w:r>
        <w:rPr>
          <w:color w:val="231F20"/>
          <w:spacing w:val="-21"/>
          <w:w w:val="59"/>
          <w:sz w:val="15"/>
          <w:szCs w:val="15"/>
        </w:rPr>
        <w:t>）；</w:t>
      </w:r>
      <w:r>
        <w:rPr>
          <w:color w:val="231F20"/>
          <w:spacing w:val="7"/>
          <w:sz w:val="15"/>
          <w:szCs w:val="15"/>
        </w:rPr>
        <w:t>国家社会科学基金重点</w:t>
      </w:r>
      <w:r>
        <w:rPr>
          <w:color w:val="231F20"/>
          <w:spacing w:val="6"/>
          <w:sz w:val="15"/>
          <w:szCs w:val="15"/>
        </w:rPr>
        <w:t>项目（</w:t>
      </w:r>
      <w:r>
        <w:rPr>
          <w:rFonts w:ascii="Times New Roman" w:eastAsia="Times New Roman" w:hAnsi="Times New Roman" w:cs="Times New Roman"/>
          <w:color w:val="231F20"/>
          <w:spacing w:val="6"/>
          <w:sz w:val="15"/>
          <w:szCs w:val="15"/>
        </w:rPr>
        <w:t>23</w:t>
      </w:r>
      <w:r>
        <w:rPr>
          <w:rFonts w:ascii="Times New Roman" w:eastAsia="Times New Roman" w:hAnsi="Times New Roman" w:cs="Times New Roman"/>
          <w:color w:val="231F20"/>
          <w:sz w:val="15"/>
          <w:szCs w:val="15"/>
        </w:rPr>
        <w:t>AZD</w:t>
      </w:r>
      <w:r>
        <w:rPr>
          <w:rFonts w:ascii="Times New Roman" w:eastAsia="Times New Roman" w:hAnsi="Times New Roman" w:cs="Times New Roman"/>
          <w:color w:val="231F20"/>
          <w:spacing w:val="6"/>
          <w:sz w:val="15"/>
          <w:szCs w:val="15"/>
        </w:rPr>
        <w:t>072</w:t>
      </w:r>
      <w:r>
        <w:rPr>
          <w:color w:val="231F20"/>
          <w:spacing w:val="-21"/>
          <w:w w:val="59"/>
          <w:sz w:val="15"/>
          <w:szCs w:val="15"/>
        </w:rPr>
        <w:t>）；</w:t>
      </w:r>
      <w:r>
        <w:rPr>
          <w:color w:val="231F20"/>
          <w:spacing w:val="6"/>
          <w:sz w:val="15"/>
          <w:szCs w:val="15"/>
        </w:rPr>
        <w:t>国家自然科学基金面上项目（</w:t>
      </w:r>
      <w:r>
        <w:rPr>
          <w:rFonts w:ascii="Times New Roman" w:eastAsia="Times New Roman" w:hAnsi="Times New Roman" w:cs="Times New Roman"/>
          <w:color w:val="231F20"/>
          <w:spacing w:val="6"/>
          <w:sz w:val="15"/>
          <w:szCs w:val="15"/>
        </w:rPr>
        <w:t>72074198</w:t>
      </w:r>
      <w:r>
        <w:rPr>
          <w:color w:val="231F20"/>
          <w:spacing w:val="-21"/>
          <w:w w:val="59"/>
          <w:sz w:val="15"/>
          <w:szCs w:val="15"/>
        </w:rPr>
        <w:t>）；</w:t>
      </w:r>
      <w:r>
        <w:rPr>
          <w:color w:val="231F20"/>
          <w:spacing w:val="6"/>
          <w:sz w:val="15"/>
          <w:szCs w:val="15"/>
        </w:rPr>
        <w:t>四川</w:t>
      </w:r>
      <w:r>
        <w:rPr>
          <w:color w:val="231F20"/>
          <w:spacing w:val="3"/>
          <w:sz w:val="15"/>
          <w:szCs w:val="15"/>
        </w:rPr>
        <w:t xml:space="preserve"> </w:t>
      </w:r>
      <w:r>
        <w:rPr>
          <w:color w:val="231F20"/>
          <w:sz w:val="15"/>
          <w:szCs w:val="15"/>
        </w:rPr>
        <w:t>省自然科学基金青年项目（</w:t>
      </w:r>
      <w:r>
        <w:rPr>
          <w:rFonts w:ascii="Times New Roman" w:eastAsia="Times New Roman" w:hAnsi="Times New Roman" w:cs="Times New Roman"/>
          <w:color w:val="231F20"/>
          <w:sz w:val="15"/>
          <w:szCs w:val="15"/>
        </w:rPr>
        <w:t>24NSFSC4417</w:t>
      </w:r>
      <w:r>
        <w:rPr>
          <w:color w:val="231F20"/>
          <w:sz w:val="15"/>
          <w:szCs w:val="15"/>
        </w:rPr>
        <w:t>）。</w:t>
      </w:r>
    </w:p>
    <w:p>
      <w:pPr>
        <w:pStyle w:val="BodyText"/>
        <w:spacing w:before="65" w:line="200" w:lineRule="auto"/>
        <w:ind w:left="27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SimHei" w:eastAsia="SimHei" w:hAnsi="SimHei" w:cs="SimHei"/>
          <w:color w:val="231F20"/>
          <w:spacing w:val="1"/>
          <w:sz w:val="15"/>
          <w:szCs w:val="15"/>
        </w:rPr>
        <w:t>作者简介：</w:t>
      </w:r>
      <w:r>
        <w:rPr>
          <w:color w:val="231F20"/>
          <w:spacing w:val="1"/>
          <w:sz w:val="15"/>
          <w:szCs w:val="15"/>
        </w:rPr>
        <w:t>左芝鲤，女，湖南湘乡人，博士，研究员，主要研</w:t>
      </w:r>
      <w:r>
        <w:rPr>
          <w:color w:val="231F20"/>
          <w:sz w:val="15"/>
          <w:szCs w:val="15"/>
        </w:rPr>
        <w:t>究方向为战略性关键矿产安全</w:t>
      </w:r>
      <w:r>
        <w:rPr>
          <w:color w:val="231F20"/>
          <w:spacing w:val="-26"/>
          <w:sz w:val="15"/>
          <w:szCs w:val="15"/>
        </w:rPr>
        <w:t xml:space="preserve"> </w:t>
      </w:r>
      <w:r>
        <w:rPr>
          <w:color w:val="231F20"/>
          <w:sz w:val="15"/>
          <w:szCs w:val="15"/>
        </w:rPr>
        <w:t>。</w:t>
      </w:r>
      <w:r>
        <w:rPr>
          <w:rFonts w:ascii="Times New Roman" w:eastAsia="Times New Roman" w:hAnsi="Times New Roman" w:cs="Times New Roman"/>
          <w:b/>
          <w:bCs/>
          <w:color w:val="231F20"/>
          <w:sz w:val="15"/>
          <w:szCs w:val="15"/>
        </w:rPr>
        <w:t xml:space="preserve">E-mail: </w:t>
      </w:r>
      <w:r>
        <w:rPr>
          <w:rFonts w:ascii="Times New Roman" w:eastAsia="Times New Roman" w:hAnsi="Times New Roman" w:cs="Times New Roman"/>
          <w:color w:val="231F20"/>
          <w:sz w:val="15"/>
          <w:szCs w:val="15"/>
        </w:rPr>
        <w:t>zuozhili@cdut.edu.cn</w:t>
      </w:r>
    </w:p>
    <w:p>
      <w:pPr>
        <w:pStyle w:val="BodyText"/>
        <w:spacing w:before="71" w:line="200" w:lineRule="auto"/>
        <w:ind w:left="27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SimHei" w:eastAsia="SimHei" w:hAnsi="SimHei" w:cs="SimHei"/>
          <w:color w:val="231F20"/>
          <w:sz w:val="15"/>
          <w:szCs w:val="15"/>
        </w:rPr>
        <w:t>通讯作者</w:t>
      </w:r>
      <w:r>
        <w:rPr>
          <w:color w:val="231F20"/>
          <w:sz w:val="15"/>
          <w:szCs w:val="15"/>
        </w:rPr>
        <w:t>：成金华，男，湖北黄冈人，博士，教授，主要研究方向为资源环境经济学、战略性关键矿产安全</w:t>
      </w:r>
      <w:r>
        <w:rPr>
          <w:color w:val="231F20"/>
          <w:spacing w:val="-7"/>
          <w:sz w:val="15"/>
          <w:szCs w:val="15"/>
        </w:rPr>
        <w:t xml:space="preserve"> </w:t>
      </w:r>
      <w:r>
        <w:rPr>
          <w:color w:val="231F20"/>
          <w:sz w:val="15"/>
          <w:szCs w:val="15"/>
        </w:rPr>
        <w:t>。</w:t>
      </w:r>
      <w:r>
        <w:rPr>
          <w:rFonts w:ascii="Times New Roman" w:eastAsia="Times New Roman" w:hAnsi="Times New Roman" w:cs="Times New Roman"/>
          <w:b/>
          <w:bCs/>
          <w:color w:val="231F20"/>
          <w:sz w:val="15"/>
          <w:szCs w:val="15"/>
        </w:rPr>
        <w:t xml:space="preserve">E-mail: </w:t>
      </w:r>
      <w:r>
        <w:rPr>
          <w:rFonts w:ascii="Times New Roman" w:eastAsia="Times New Roman" w:hAnsi="Times New Roman" w:cs="Times New Roman"/>
          <w:color w:val="231F20"/>
          <w:sz w:val="15"/>
          <w:szCs w:val="15"/>
        </w:rPr>
        <w:t>chengjinhua100@</w:t>
      </w:r>
      <w:r>
        <w:rPr>
          <w:rFonts w:ascii="Times New Roman" w:eastAsia="Times New Roman" w:hAnsi="Times New Roman" w:cs="Times New Roman"/>
          <w:color w:val="231F20"/>
          <w:spacing w:val="-19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15"/>
          <w:szCs w:val="15"/>
        </w:rPr>
        <w:t>126.com</w:t>
      </w:r>
    </w:p>
    <w:p>
      <w:pPr>
        <w:spacing w:before="212" w:line="186" w:lineRule="auto"/>
        <w:ind w:left="8140"/>
        <w:rPr>
          <w:rFonts w:ascii="Arial" w:eastAsia="Arial" w:hAnsi="Arial" w:cs="Arial"/>
          <w:sz w:val="20"/>
          <w:szCs w:val="20"/>
        </w:rPr>
      </w:pPr>
      <w:hyperlink r:id="rId11" w:history="1">
        <w:r>
          <w:rPr>
            <w:rFonts w:ascii="Arial" w:eastAsia="Arial" w:hAnsi="Arial" w:cs="Arial"/>
            <w:i/>
            <w:iCs/>
            <w:color w:val="808285"/>
            <w:w w:val="91"/>
            <w:sz w:val="20"/>
            <w:szCs w:val="20"/>
          </w:rPr>
          <w:t>http://www.resci.cn</w:t>
        </w:r>
      </w:hyperlink>
    </w:p>
    <w:p>
      <w:pPr>
        <w:spacing w:line="186" w:lineRule="auto"/>
        <w:rPr>
          <w:rFonts w:ascii="Arial" w:eastAsia="Arial" w:hAnsi="Arial" w:cs="Arial"/>
          <w:sz w:val="20"/>
          <w:szCs w:val="20"/>
        </w:rPr>
        <w:sectPr>
          <w:footerReference w:type="default" r:id="rId12"/>
          <w:type w:val="continuous"/>
          <w:pgSz w:w="11906" w:h="15582"/>
          <w:pgMar w:top="732" w:right="1058" w:bottom="1" w:left="1111" w:header="0" w:footer="0" w:gutter="0"/>
          <w:pgNumType w:start="5"/>
          <w:cols w:num="1" w:space="708" w:equalWidth="0">
            <w:col w:w="9737" w:space="0"/>
          </w:cols>
        </w:sectPr>
      </w:pPr>
    </w:p>
    <w:p>
      <w:pPr>
        <w:pStyle w:val="BodyText"/>
        <w:spacing w:before="240" w:line="165" w:lineRule="auto"/>
        <w:rPr>
          <w:sz w:val="17"/>
          <w:szCs w:val="17"/>
        </w:rPr>
      </w:pPr>
      <w:r>
        <w:rPr>
          <w:rFonts w:ascii="NSimSun" w:eastAsia="NSimSun" w:hAnsi="NSimSun" w:cs="NSimSun"/>
          <w:color w:val="231F20"/>
          <w:spacing w:val="9"/>
          <w:sz w:val="17"/>
          <w:szCs w:val="17"/>
        </w:rPr>
        <w:t>2024</w:t>
      </w:r>
      <w:r>
        <w:rPr>
          <w:color w:val="231F20"/>
          <w:spacing w:val="9"/>
          <w:sz w:val="17"/>
          <w:szCs w:val="17"/>
        </w:rPr>
        <w:t>年</w:t>
      </w:r>
      <w:r>
        <w:rPr>
          <w:color w:val="231F20"/>
          <w:spacing w:val="-8"/>
          <w:sz w:val="17"/>
          <w:szCs w:val="17"/>
        </w:rPr>
        <w:t xml:space="preserve"> </w:t>
      </w:r>
      <w:r>
        <w:rPr>
          <w:rFonts w:ascii="NSimSun" w:eastAsia="NSimSun" w:hAnsi="NSimSun" w:cs="NSimSun"/>
          <w:color w:val="231F20"/>
          <w:spacing w:val="9"/>
          <w:sz w:val="17"/>
          <w:szCs w:val="17"/>
        </w:rPr>
        <w:t>1</w:t>
      </w:r>
      <w:r>
        <w:rPr>
          <w:color w:val="231F20"/>
          <w:spacing w:val="9"/>
          <w:sz w:val="17"/>
          <w:szCs w:val="17"/>
        </w:rPr>
        <w:t>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8" w:line="195" w:lineRule="auto"/>
        <w:ind w:left="1569"/>
        <w:rPr>
          <w:rFonts w:ascii="Times New Roman" w:eastAsia="Times New Roman" w:hAnsi="Times New Roman" w:cs="Times New Roman"/>
        </w:rPr>
      </w:pPr>
      <w:r>
        <w:rPr>
          <w:color w:val="231F20"/>
          <w:spacing w:val="3"/>
          <w:sz w:val="17"/>
          <w:szCs w:val="17"/>
        </w:rPr>
        <w:t xml:space="preserve">左芝鲤等：全球锂产业链贸易格局演化及脆弱性分析                </w:t>
      </w:r>
      <w:r>
        <w:rPr>
          <w:color w:val="231F20"/>
          <w:spacing w:val="2"/>
          <w:sz w:val="17"/>
          <w:szCs w:val="17"/>
        </w:rPr>
        <w:t xml:space="preserve">                                   </w:t>
      </w:r>
      <w:r>
        <w:rPr>
          <w:rFonts w:ascii="Times New Roman" w:eastAsia="Times New Roman" w:hAnsi="Times New Roman" w:cs="Times New Roman"/>
          <w:color w:val="231F20"/>
          <w:spacing w:val="2"/>
          <w:position w:val="-2"/>
        </w:rPr>
        <w:t>115</w:t>
      </w:r>
    </w:p>
    <w:p>
      <w:pPr>
        <w:spacing w:before="26" w:line="62" w:lineRule="exact"/>
      </w:pPr>
      <w:r>
        <w:rPr>
          <w:position w:val="-1"/>
        </w:rPr>
        <w:drawing>
          <wp:inline distT="0" distB="0" distL="0" distR="0">
            <wp:extent cx="5429181" cy="3895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29181" cy="3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2" w:lineRule="exact"/>
        <w:sectPr>
          <w:footerReference w:type="default" r:id="rId14"/>
          <w:pgSz w:w="11906" w:h="15582"/>
          <w:pgMar w:top="1100" w:right="1055" w:bottom="1" w:left="1131" w:header="0" w:footer="0" w:gutter="0"/>
          <w:pgNumType w:start="6"/>
          <w:cols w:num="2" w:space="708" w:equalWidth="0">
            <w:col w:w="993" w:space="100"/>
            <w:col w:w="8627" w:space="0"/>
          </w:cols>
        </w:sectPr>
      </w:pPr>
    </w:p>
    <w:p>
      <w:pPr>
        <w:spacing w:line="217" w:lineRule="exact"/>
      </w:pPr>
    </w:p>
    <w:p>
      <w:pPr>
        <w:spacing w:line="217" w:lineRule="exact"/>
        <w:sectPr>
          <w:footerReference w:type="default" r:id="rId15"/>
          <w:type w:val="continuous"/>
          <w:pgSz w:w="11906" w:h="15582"/>
          <w:pgMar w:top="1100" w:right="1055" w:bottom="1" w:left="1131" w:header="0" w:footer="0" w:gutter="0"/>
          <w:pgNumType w:start="7"/>
          <w:cols w:num="1" w:space="708" w:equalWidth="0">
            <w:col w:w="9720" w:space="0"/>
          </w:cols>
        </w:sectPr>
      </w:pPr>
    </w:p>
    <w:p>
      <w:pPr>
        <w:pStyle w:val="BodyText"/>
        <w:spacing w:before="38" w:line="228" w:lineRule="auto"/>
        <w:ind w:left="1" w:right="244" w:firstLine="4"/>
        <w:jc w:val="both"/>
      </w:pPr>
      <w:r>
        <w:rPr>
          <w:color w:val="231F20"/>
          <w:spacing w:val="1"/>
        </w:rPr>
        <w:t>求相关的直接、间接和隐藏的物质流</w:t>
      </w:r>
      <w:r>
        <w:rPr>
          <w:rFonts w:ascii="Times New Roman" w:eastAsia="Times New Roman" w:hAnsi="Times New Roman" w:cs="Times New Roman"/>
          <w:color w:val="231F20"/>
          <w:spacing w:val="1"/>
          <w:position w:val="8"/>
          <w:sz w:val="10"/>
          <w:szCs w:val="10"/>
        </w:rPr>
        <w:t>[13]</w:t>
      </w:r>
      <w:r>
        <w:rPr>
          <w:color w:val="231F20"/>
          <w:spacing w:val="1"/>
        </w:rPr>
        <w:t>，以及可再生</w:t>
      </w:r>
      <w:r>
        <w:rPr>
          <w:color w:val="231F20"/>
          <w:spacing w:val="5"/>
        </w:rPr>
        <w:t xml:space="preserve">  </w:t>
      </w:r>
      <w:r>
        <w:rPr>
          <w:color w:val="231F20"/>
          <w:spacing w:val="4"/>
        </w:rPr>
        <w:t>能源发电、电网和电池存储之间的动态相互作用</w:t>
      </w:r>
      <w:r>
        <w:rPr>
          <w:rFonts w:ascii="Times New Roman" w:eastAsia="Times New Roman" w:hAnsi="Times New Roman" w:cs="Times New Roman"/>
          <w:color w:val="231F20"/>
          <w:spacing w:val="4"/>
          <w:position w:val="8"/>
          <w:sz w:val="10"/>
          <w:szCs w:val="10"/>
        </w:rPr>
        <w:t>[14]</w:t>
      </w:r>
      <w:r>
        <w:rPr>
          <w:color w:val="231F20"/>
          <w:spacing w:val="4"/>
        </w:rPr>
        <w:t>。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9"/>
        </w:rPr>
        <w:t>在锂产业链上游相关的研究中，越来越多的研究关</w:t>
      </w:r>
      <w:r>
        <w:rPr>
          <w:color w:val="231F20"/>
          <w:spacing w:val="4"/>
        </w:rPr>
        <w:t xml:space="preserve">  </w:t>
      </w:r>
      <w:r>
        <w:rPr>
          <w:color w:val="231F20"/>
          <w:spacing w:val="4"/>
        </w:rPr>
        <w:t>注资源生产的可持续性、公平性和可靠性</w:t>
      </w:r>
      <w:r>
        <w:rPr>
          <w:rFonts w:ascii="Times New Roman" w:eastAsia="Times New Roman" w:hAnsi="Times New Roman" w:cs="Times New Roman"/>
          <w:color w:val="231F20"/>
          <w:spacing w:val="4"/>
          <w:position w:val="8"/>
          <w:sz w:val="10"/>
          <w:szCs w:val="10"/>
        </w:rPr>
        <w:t>[15]</w:t>
      </w:r>
      <w:r>
        <w:rPr>
          <w:color w:val="231F20"/>
          <w:spacing w:val="4"/>
        </w:rPr>
        <w:t>，同时，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8"/>
        </w:rPr>
        <w:t>部分学者关注了资源开采对环境的影响，如</w:t>
      </w:r>
      <w:r>
        <w:rPr>
          <w:color w:val="231F20"/>
          <w:spacing w:val="-20"/>
        </w:rPr>
        <w:t xml:space="preserve"> </w:t>
      </w:r>
      <w:r>
        <w:rPr>
          <w:rFonts w:ascii="Times New Roman" w:eastAsia="Times New Roman" w:hAnsi="Times New Roman" w:cs="Times New Roman"/>
          <w:color w:val="231F20"/>
        </w:rPr>
        <w:t>Vande</w:t>
      </w:r>
      <w:r>
        <w:rPr>
          <w:rFonts w:ascii="Times New Roman" w:eastAsia="Times New Roman" w:hAnsi="Times New Roman" w:cs="Times New Roman"/>
          <w:color w:val="231F20"/>
          <w:spacing w:val="8"/>
        </w:rPr>
        <w:t xml:space="preserve">-  </w:t>
      </w:r>
      <w:r>
        <w:rPr>
          <w:rFonts w:ascii="Times New Roman" w:eastAsia="Times New Roman" w:hAnsi="Times New Roman" w:cs="Times New Roman"/>
          <w:color w:val="231F20"/>
          <w:position w:val="-1"/>
        </w:rPr>
        <w:t xml:space="preserve">paer </w:t>
      </w:r>
      <w:r>
        <w:rPr>
          <w:color w:val="231F20"/>
          <w:position w:val="-1"/>
        </w:rPr>
        <w:t>等</w:t>
      </w:r>
      <w:r>
        <w:rPr>
          <w:rFonts w:ascii="Times New Roman" w:eastAsia="Times New Roman" w:hAnsi="Times New Roman" w:cs="Times New Roman"/>
          <w:color w:val="231F20"/>
          <w:position w:val="7"/>
          <w:sz w:val="10"/>
          <w:szCs w:val="10"/>
        </w:rPr>
        <w:t>[16]</w:t>
      </w:r>
      <w:r>
        <w:rPr>
          <w:color w:val="231F20"/>
          <w:position w:val="-1"/>
        </w:rPr>
        <w:t>、</w:t>
      </w:r>
      <w:r>
        <w:rPr>
          <w:rFonts w:ascii="Times New Roman" w:eastAsia="Times New Roman" w:hAnsi="Times New Roman" w:cs="Times New Roman"/>
          <w:color w:val="231F20"/>
          <w:position w:val="-1"/>
        </w:rPr>
        <w:t xml:space="preserve">Han </w:t>
      </w:r>
      <w:r>
        <w:rPr>
          <w:color w:val="231F20"/>
          <w:position w:val="-1"/>
        </w:rPr>
        <w:t>等</w:t>
      </w:r>
      <w:r>
        <w:rPr>
          <w:rFonts w:ascii="Times New Roman" w:eastAsia="Times New Roman" w:hAnsi="Times New Roman" w:cs="Times New Roman"/>
          <w:color w:val="231F20"/>
          <w:position w:val="7"/>
          <w:sz w:val="10"/>
          <w:szCs w:val="10"/>
        </w:rPr>
        <w:t>[17]</w:t>
      </w:r>
      <w:r>
        <w:rPr>
          <w:color w:val="231F20"/>
          <w:position w:val="-1"/>
        </w:rPr>
        <w:t>、</w:t>
      </w:r>
      <w:r>
        <w:rPr>
          <w:rFonts w:ascii="Times New Roman" w:eastAsia="Times New Roman" w:hAnsi="Times New Roman" w:cs="Times New Roman"/>
          <w:color w:val="231F20"/>
          <w:position w:val="-1"/>
        </w:rPr>
        <w:t xml:space="preserve">Wang </w:t>
      </w:r>
      <w:r>
        <w:rPr>
          <w:color w:val="231F20"/>
          <w:position w:val="-1"/>
        </w:rPr>
        <w:t>等</w:t>
      </w:r>
      <w:r>
        <w:rPr>
          <w:rFonts w:ascii="Times New Roman" w:eastAsia="Times New Roman" w:hAnsi="Times New Roman" w:cs="Times New Roman"/>
          <w:color w:val="231F20"/>
          <w:position w:val="7"/>
          <w:sz w:val="10"/>
          <w:szCs w:val="10"/>
        </w:rPr>
        <w:t xml:space="preserve">[18] </w:t>
      </w:r>
      <w:r>
        <w:rPr>
          <w:color w:val="231F20"/>
          <w:spacing w:val="-1"/>
          <w:position w:val="-1"/>
        </w:rPr>
        <w:t>和</w:t>
      </w:r>
      <w:r>
        <w:rPr>
          <w:color w:val="231F20"/>
          <w:spacing w:val="-19"/>
          <w:position w:val="-1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1"/>
          <w:position w:val="-1"/>
        </w:rPr>
        <w:t xml:space="preserve">Winslow </w:t>
      </w:r>
      <w:r>
        <w:rPr>
          <w:color w:val="231F20"/>
          <w:spacing w:val="-1"/>
          <w:position w:val="-1"/>
        </w:rPr>
        <w:t>等</w:t>
      </w:r>
      <w:r>
        <w:rPr>
          <w:rFonts w:ascii="Times New Roman" w:eastAsia="Times New Roman" w:hAnsi="Times New Roman" w:cs="Times New Roman"/>
          <w:color w:val="231F20"/>
          <w:spacing w:val="-1"/>
          <w:position w:val="7"/>
          <w:sz w:val="10"/>
          <w:szCs w:val="10"/>
        </w:rPr>
        <w:t>[19]</w:t>
      </w:r>
      <w:r>
        <w:rPr>
          <w:rFonts w:ascii="Times New Roman" w:eastAsia="Times New Roman" w:hAnsi="Times New Roman" w:cs="Times New Roman"/>
          <w:color w:val="231F20"/>
          <w:spacing w:val="-10"/>
          <w:position w:val="7"/>
          <w:sz w:val="10"/>
          <w:szCs w:val="10"/>
        </w:rPr>
        <w:t xml:space="preserve"> </w:t>
      </w:r>
      <w:r>
        <w:rPr>
          <w:color w:val="231F20"/>
          <w:spacing w:val="-1"/>
          <w:position w:val="-1"/>
        </w:rPr>
        <w:t>运用</w:t>
      </w:r>
      <w:r>
        <w:rPr>
          <w:color w:val="231F20"/>
          <w:position w:val="-1"/>
        </w:rPr>
        <w:t xml:space="preserve">  </w:t>
      </w:r>
      <w:r>
        <w:rPr>
          <w:color w:val="231F20"/>
          <w:spacing w:val="19"/>
        </w:rPr>
        <w:t>生命周期评估框架来量化产品或系统在其整个生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17"/>
        </w:rPr>
        <w:t>命周期中可能产生的各种环境影响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17"/>
        </w:rPr>
        <w:t>。在锂产业链</w:t>
      </w:r>
      <w:r>
        <w:rPr>
          <w:color w:val="231F20"/>
        </w:rPr>
        <w:t xml:space="preserve">  </w:t>
      </w:r>
      <w:r>
        <w:rPr>
          <w:color w:val="231F20"/>
          <w:spacing w:val="9"/>
        </w:rPr>
        <w:t>下游相关的研究中，研究重点是电池应用造成的供</w:t>
      </w:r>
      <w:r>
        <w:rPr>
          <w:color w:val="231F20"/>
          <w:spacing w:val="5"/>
        </w:rPr>
        <w:t xml:space="preserve">  </w:t>
      </w:r>
      <w:r>
        <w:rPr>
          <w:color w:val="231F20"/>
          <w:spacing w:val="1"/>
        </w:rPr>
        <w:t>需失衡，包括减少需求策略</w:t>
      </w:r>
      <w:r>
        <w:rPr>
          <w:rFonts w:ascii="Times New Roman" w:eastAsia="Times New Roman" w:hAnsi="Times New Roman" w:cs="Times New Roman"/>
          <w:color w:val="231F20"/>
          <w:spacing w:val="1"/>
          <w:position w:val="8"/>
          <w:sz w:val="10"/>
          <w:szCs w:val="10"/>
        </w:rPr>
        <w:t>[20]</w:t>
      </w:r>
      <w:r>
        <w:rPr>
          <w:color w:val="231F20"/>
          <w:spacing w:val="1"/>
        </w:rPr>
        <w:t>和减少原材料依赖的循</w:t>
      </w:r>
      <w:r>
        <w:rPr>
          <w:color w:val="231F20"/>
          <w:spacing w:val="7"/>
        </w:rPr>
        <w:t xml:space="preserve">  </w:t>
      </w:r>
      <w:r>
        <w:rPr>
          <w:color w:val="231F20"/>
          <w:spacing w:val="1"/>
        </w:rPr>
        <w:t>环利用策略方面的工作</w:t>
      </w:r>
      <w:r>
        <w:rPr>
          <w:rFonts w:ascii="Times New Roman" w:eastAsia="Times New Roman" w:hAnsi="Times New Roman" w:cs="Times New Roman"/>
          <w:color w:val="231F20"/>
          <w:spacing w:val="1"/>
          <w:position w:val="8"/>
          <w:sz w:val="10"/>
          <w:szCs w:val="10"/>
        </w:rPr>
        <w:t>[21]</w:t>
      </w:r>
      <w:r>
        <w:rPr>
          <w:rFonts w:ascii="Times New Roman" w:eastAsia="Times New Roman" w:hAnsi="Times New Roman" w:cs="Times New Roman"/>
          <w:color w:val="231F20"/>
          <w:spacing w:val="-7"/>
          <w:position w:val="8"/>
          <w:sz w:val="10"/>
          <w:szCs w:val="10"/>
        </w:rPr>
        <w:t xml:space="preserve"> </w:t>
      </w:r>
      <w:r>
        <w:rPr>
          <w:color w:val="231F20"/>
          <w:spacing w:val="1"/>
        </w:rPr>
        <w:t>。此外，还有部分研</w:t>
      </w:r>
      <w:r>
        <w:rPr>
          <w:color w:val="231F20"/>
        </w:rPr>
        <w:t xml:space="preserve">究专注  </w:t>
      </w:r>
      <w:r>
        <w:rPr>
          <w:color w:val="231F20"/>
          <w:spacing w:val="2"/>
        </w:rPr>
        <w:t>于电池循环利用，如</w:t>
      </w:r>
      <w:r>
        <w:rPr>
          <w:color w:val="231F20"/>
          <w:spacing w:val="-25"/>
        </w:rPr>
        <w:t xml:space="preserve"> </w:t>
      </w:r>
      <w:r>
        <w:rPr>
          <w:rFonts w:ascii="Times New Roman" w:eastAsia="Times New Roman" w:hAnsi="Times New Roman" w:cs="Times New Roman"/>
          <w:color w:val="231F20"/>
        </w:rPr>
        <w:t>Mrozik</w:t>
      </w:r>
      <w:r>
        <w:rPr>
          <w:color w:val="231F20"/>
          <w:spacing w:val="2"/>
        </w:rPr>
        <w:t>等</w:t>
      </w:r>
      <w:r>
        <w:rPr>
          <w:rFonts w:ascii="Times New Roman" w:eastAsia="Times New Roman" w:hAnsi="Times New Roman" w:cs="Times New Roman"/>
          <w:color w:val="231F20"/>
          <w:spacing w:val="2"/>
          <w:position w:val="8"/>
          <w:sz w:val="10"/>
          <w:szCs w:val="10"/>
        </w:rPr>
        <w:t>[22]</w:t>
      </w:r>
      <w:r>
        <w:rPr>
          <w:color w:val="231F20"/>
          <w:spacing w:val="2"/>
        </w:rPr>
        <w:t>、姚海琳等</w:t>
      </w:r>
      <w:r>
        <w:rPr>
          <w:rFonts w:ascii="Times New Roman" w:eastAsia="Times New Roman" w:hAnsi="Times New Roman" w:cs="Times New Roman"/>
          <w:color w:val="231F20"/>
          <w:spacing w:val="2"/>
          <w:position w:val="8"/>
          <w:sz w:val="10"/>
          <w:szCs w:val="10"/>
        </w:rPr>
        <w:t>[23]</w:t>
      </w:r>
      <w:r>
        <w:rPr>
          <w:color w:val="231F20"/>
          <w:spacing w:val="2"/>
        </w:rPr>
        <w:t>深入探</w:t>
      </w:r>
      <w:r>
        <w:rPr>
          <w:color w:val="231F20"/>
        </w:rPr>
        <w:t xml:space="preserve">  </w:t>
      </w:r>
      <w:r>
        <w:rPr>
          <w:color w:val="231F20"/>
          <w:spacing w:val="9"/>
        </w:rPr>
        <w:t>讨了锂离子电池回收机制。</w:t>
      </w:r>
    </w:p>
    <w:p>
      <w:pPr>
        <w:pStyle w:val="BodyText"/>
        <w:spacing w:before="28" w:line="228" w:lineRule="auto"/>
        <w:ind w:left="4" w:right="240" w:firstLine="420"/>
        <w:jc w:val="both"/>
      </w:pPr>
      <w:r>
        <w:rPr>
          <w:color w:val="231F20"/>
          <w:spacing w:val="5"/>
        </w:rPr>
        <w:t>脆弱性是系统的隐性属性，由</w:t>
      </w:r>
      <w:r>
        <w:rPr>
          <w:color w:val="231F20"/>
          <w:spacing w:val="-20"/>
        </w:rPr>
        <w:t xml:space="preserve"> </w:t>
      </w:r>
      <w:r>
        <w:rPr>
          <w:rFonts w:ascii="Times New Roman" w:eastAsia="Times New Roman" w:hAnsi="Times New Roman" w:cs="Times New Roman"/>
          <w:color w:val="231F20"/>
        </w:rPr>
        <w:t>Timmermann</w:t>
      </w:r>
      <w:r>
        <w:rPr>
          <w:rFonts w:ascii="Times New Roman" w:eastAsia="Times New Roman" w:hAnsi="Times New Roman" w:cs="Times New Roman"/>
          <w:color w:val="231F20"/>
          <w:spacing w:val="5"/>
          <w:position w:val="8"/>
          <w:sz w:val="10"/>
          <w:szCs w:val="10"/>
        </w:rPr>
        <w:t>[24]</w:t>
      </w:r>
      <w:r>
        <w:rPr>
          <w:color w:val="231F20"/>
          <w:spacing w:val="5"/>
        </w:rPr>
        <w:t>于</w:t>
      </w:r>
      <w:r>
        <w:rPr>
          <w:color w:val="231F20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5"/>
        </w:rPr>
        <w:t>1981</w:t>
      </w:r>
      <w:r>
        <w:rPr>
          <w:rFonts w:ascii="Times New Roman" w:eastAsia="Times New Roman" w:hAnsi="Times New Roman" w:cs="Times New Roman"/>
          <w:color w:val="231F20"/>
          <w:spacing w:val="9"/>
        </w:rPr>
        <w:t xml:space="preserve"> </w:t>
      </w:r>
      <w:r>
        <w:rPr>
          <w:color w:val="231F20"/>
          <w:spacing w:val="15"/>
        </w:rPr>
        <w:t>年率先提出并用于分析系统对灾害事件的承</w:t>
      </w:r>
      <w:r>
        <w:rPr>
          <w:color w:val="231F20"/>
        </w:rPr>
        <w:t xml:space="preserve">  </w:t>
      </w:r>
      <w:r>
        <w:rPr>
          <w:color w:val="231F20"/>
          <w:spacing w:val="-1"/>
        </w:rPr>
        <w:t xml:space="preserve">受能力及从中恢复的能力，早期主要应用在自然灾害  </w:t>
      </w:r>
      <w:r>
        <w:rPr>
          <w:color w:val="231F20"/>
          <w:spacing w:val="4"/>
        </w:rPr>
        <w:t>领域，用于识别和预测灾害发生影响的潜在区域</w:t>
      </w:r>
      <w:r>
        <w:rPr>
          <w:rFonts w:ascii="Times New Roman" w:eastAsia="Times New Roman" w:hAnsi="Times New Roman" w:cs="Times New Roman"/>
          <w:color w:val="231F20"/>
          <w:spacing w:val="4"/>
          <w:position w:val="8"/>
          <w:sz w:val="10"/>
          <w:szCs w:val="10"/>
        </w:rPr>
        <w:t>[25]</w:t>
      </w:r>
      <w:r>
        <w:rPr>
          <w:color w:val="231F20"/>
          <w:spacing w:val="4"/>
        </w:rPr>
        <w:t>。</w:t>
      </w:r>
      <w:r>
        <w:rPr>
          <w:color w:val="231F20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</w:rPr>
        <w:t>20</w:t>
      </w:r>
      <w:r>
        <w:rPr>
          <w:rFonts w:ascii="Times New Roman" w:eastAsia="Times New Roman" w:hAnsi="Times New Roman" w:cs="Times New Roman"/>
          <w:color w:val="231F20"/>
          <w:spacing w:val="-11"/>
        </w:rPr>
        <w:t xml:space="preserve"> </w:t>
      </w:r>
      <w:r>
        <w:rPr>
          <w:color w:val="231F20"/>
          <w:spacing w:val="4"/>
        </w:rPr>
        <w:t>世纪</w:t>
      </w:r>
      <w:r>
        <w:rPr>
          <w:color w:val="231F20"/>
          <w:spacing w:val="-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</w:rPr>
        <w:t>90</w:t>
      </w:r>
      <w:r>
        <w:rPr>
          <w:rFonts w:ascii="Times New Roman" w:eastAsia="Times New Roman" w:hAnsi="Times New Roman" w:cs="Times New Roman"/>
          <w:color w:val="231F20"/>
          <w:spacing w:val="-17"/>
        </w:rPr>
        <w:t xml:space="preserve"> </w:t>
      </w:r>
      <w:r>
        <w:rPr>
          <w:color w:val="231F20"/>
          <w:spacing w:val="4"/>
        </w:rPr>
        <w:t>年代以来，脆弱性研究逐渐成为全球环境</w:t>
      </w:r>
      <w:r>
        <w:rPr>
          <w:color w:val="231F20"/>
        </w:rPr>
        <w:t xml:space="preserve">  </w:t>
      </w:r>
      <w:r>
        <w:rPr>
          <w:color w:val="231F20"/>
          <w:spacing w:val="19"/>
        </w:rPr>
        <w:t>变化的重要课题之一，研究领域不仅包括灾害管</w:t>
      </w:r>
      <w:r>
        <w:rPr>
          <w:color w:val="231F20"/>
          <w:spacing w:val="2"/>
        </w:rPr>
        <w:t xml:space="preserve">  </w:t>
      </w:r>
      <w:r>
        <w:rPr>
          <w:color w:val="231F20"/>
          <w:position w:val="-1"/>
        </w:rPr>
        <w:t>理</w:t>
      </w:r>
      <w:r>
        <w:rPr>
          <w:rFonts w:ascii="Times New Roman" w:eastAsia="Times New Roman" w:hAnsi="Times New Roman" w:cs="Times New Roman"/>
          <w:color w:val="231F20"/>
          <w:position w:val="7"/>
          <w:sz w:val="10"/>
          <w:szCs w:val="10"/>
        </w:rPr>
        <w:t>[26]</w:t>
      </w:r>
      <w:r>
        <w:rPr>
          <w:color w:val="231F20"/>
          <w:position w:val="-1"/>
        </w:rPr>
        <w:t>，还包括公共健康</w:t>
      </w:r>
      <w:r>
        <w:rPr>
          <w:rFonts w:ascii="Times New Roman" w:eastAsia="Times New Roman" w:hAnsi="Times New Roman" w:cs="Times New Roman"/>
          <w:color w:val="231F20"/>
          <w:position w:val="7"/>
          <w:sz w:val="10"/>
          <w:szCs w:val="10"/>
        </w:rPr>
        <w:t>[27]</w:t>
      </w:r>
      <w:r>
        <w:rPr>
          <w:color w:val="231F20"/>
          <w:position w:val="-1"/>
        </w:rPr>
        <w:t>、气候变化</w:t>
      </w:r>
      <w:r>
        <w:rPr>
          <w:rFonts w:ascii="Times New Roman" w:eastAsia="Times New Roman" w:hAnsi="Times New Roman" w:cs="Times New Roman"/>
          <w:color w:val="231F20"/>
          <w:position w:val="7"/>
          <w:sz w:val="10"/>
          <w:szCs w:val="10"/>
        </w:rPr>
        <w:t>[28]</w:t>
      </w:r>
      <w:r>
        <w:rPr>
          <w:color w:val="231F20"/>
          <w:position w:val="-1"/>
        </w:rPr>
        <w:t>、生态环境</w:t>
      </w:r>
      <w:r>
        <w:rPr>
          <w:rFonts w:ascii="Times New Roman" w:eastAsia="Times New Roman" w:hAnsi="Times New Roman" w:cs="Times New Roman"/>
          <w:color w:val="231F20"/>
          <w:position w:val="7"/>
          <w:sz w:val="10"/>
          <w:szCs w:val="10"/>
        </w:rPr>
        <w:t>[29]</w:t>
      </w:r>
      <w:r>
        <w:rPr>
          <w:color w:val="231F20"/>
          <w:position w:val="-1"/>
        </w:rPr>
        <w:t>、</w:t>
      </w:r>
      <w:r>
        <w:rPr>
          <w:color w:val="231F20"/>
          <w:spacing w:val="18"/>
          <w:position w:val="-1"/>
        </w:rPr>
        <w:t xml:space="preserve"> </w:t>
      </w:r>
      <w:r>
        <w:rPr>
          <w:color w:val="231F20"/>
          <w:spacing w:val="8"/>
        </w:rPr>
        <w:t>供应链管理</w:t>
      </w:r>
      <w:r>
        <w:rPr>
          <w:rFonts w:ascii="Times New Roman" w:eastAsia="Times New Roman" w:hAnsi="Times New Roman" w:cs="Times New Roman"/>
          <w:color w:val="231F20"/>
          <w:spacing w:val="8"/>
          <w:position w:val="8"/>
          <w:sz w:val="10"/>
          <w:szCs w:val="10"/>
        </w:rPr>
        <w:t>[30]</w:t>
      </w:r>
      <w:r>
        <w:rPr>
          <w:color w:val="231F20"/>
          <w:spacing w:val="8"/>
        </w:rPr>
        <w:t>等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8"/>
        </w:rPr>
        <w:t>。脆弱性逐渐发展成地理学、资源</w:t>
      </w:r>
      <w:r>
        <w:rPr>
          <w:color w:val="231F20"/>
        </w:rPr>
        <w:t xml:space="preserve">  </w:t>
      </w:r>
      <w:r>
        <w:rPr>
          <w:color w:val="231F20"/>
          <w:spacing w:val="19"/>
        </w:rPr>
        <w:t>科学等学科诠释人类活动及人地相互作用机制的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8"/>
        </w:rPr>
        <w:t>重要途径</w:t>
      </w:r>
      <w:r>
        <w:rPr>
          <w:rFonts w:ascii="Times New Roman" w:eastAsia="Times New Roman" w:hAnsi="Times New Roman" w:cs="Times New Roman"/>
          <w:color w:val="231F20"/>
          <w:spacing w:val="8"/>
          <w:position w:val="8"/>
          <w:sz w:val="10"/>
          <w:szCs w:val="10"/>
        </w:rPr>
        <w:t xml:space="preserve">[31] </w:t>
      </w:r>
      <w:r>
        <w:rPr>
          <w:color w:val="231F20"/>
          <w:spacing w:val="8"/>
        </w:rPr>
        <w:t>。系统脆弱性的评价方法大致归纳为如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1"/>
        </w:rPr>
        <w:t>下</w:t>
      </w:r>
      <w:r>
        <w:rPr>
          <w:color w:val="231F20"/>
          <w:spacing w:val="-12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"/>
        </w:rPr>
        <w:t>4</w:t>
      </w:r>
      <w:r>
        <w:rPr>
          <w:rFonts w:ascii="Times New Roman" w:eastAsia="Times New Roman" w:hAnsi="Times New Roman" w:cs="Times New Roman"/>
          <w:color w:val="231F20"/>
          <w:spacing w:val="-14"/>
        </w:rPr>
        <w:t xml:space="preserve"> </w:t>
      </w:r>
      <w:r>
        <w:rPr>
          <w:color w:val="231F20"/>
          <w:spacing w:val="1"/>
        </w:rPr>
        <w:t>类：情景分析法、假定攻击策略法、模拟仿真法</w:t>
      </w:r>
      <w:r>
        <w:rPr>
          <w:color w:val="231F20"/>
        </w:rPr>
        <w:t xml:space="preserve">  </w:t>
      </w:r>
      <w:r>
        <w:rPr>
          <w:color w:val="231F20"/>
          <w:spacing w:val="1"/>
        </w:rPr>
        <w:t>和计算模型评估法</w:t>
      </w:r>
      <w:r>
        <w:rPr>
          <w:rFonts w:ascii="Times New Roman" w:eastAsia="Times New Roman" w:hAnsi="Times New Roman" w:cs="Times New Roman"/>
          <w:color w:val="231F20"/>
          <w:spacing w:val="1"/>
          <w:position w:val="8"/>
          <w:sz w:val="10"/>
          <w:szCs w:val="10"/>
        </w:rPr>
        <w:t>[32]</w:t>
      </w:r>
      <w:r>
        <w:rPr>
          <w:color w:val="231F20"/>
          <w:spacing w:val="1"/>
        </w:rPr>
        <w:t>，其中，利用复</w:t>
      </w:r>
      <w:r>
        <w:rPr>
          <w:color w:val="231F20"/>
        </w:rPr>
        <w:t xml:space="preserve">杂网络理论方法  </w:t>
      </w:r>
      <w:r>
        <w:rPr>
          <w:color w:val="231F20"/>
          <w:spacing w:val="9"/>
        </w:rPr>
        <w:t>对网络脆弱性进行研究是网络科学领域在运输、城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8"/>
        </w:rPr>
        <w:t>市、信息等方向的广泛实践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8"/>
        </w:rPr>
        <w:t>。网络脆弱性通常定义</w:t>
      </w:r>
      <w:r>
        <w:rPr>
          <w:color w:val="231F20"/>
        </w:rPr>
        <w:t xml:space="preserve">  </w:t>
      </w:r>
      <w:r>
        <w:rPr>
          <w:color w:val="231F20"/>
          <w:spacing w:val="12"/>
        </w:rPr>
        <w:t>为网络遭受极端扰动时的敏感程度和失效倾向</w:t>
      </w:r>
      <w:r>
        <w:rPr>
          <w:rFonts w:ascii="Times New Roman" w:eastAsia="Times New Roman" w:hAnsi="Times New Roman" w:cs="Times New Roman"/>
          <w:color w:val="231F20"/>
          <w:spacing w:val="12"/>
          <w:position w:val="8"/>
          <w:sz w:val="10"/>
          <w:szCs w:val="10"/>
        </w:rPr>
        <w:t>[33]</w:t>
      </w:r>
      <w:r>
        <w:rPr>
          <w:color w:val="231F20"/>
          <w:spacing w:val="12"/>
        </w:rPr>
        <w:t>，</w:t>
      </w:r>
      <w:r>
        <w:rPr>
          <w:color w:val="231F20"/>
          <w:spacing w:val="18"/>
        </w:rPr>
        <w:t xml:space="preserve"> </w:t>
      </w:r>
      <w:r>
        <w:rPr>
          <w:color w:val="231F20"/>
          <w:spacing w:val="19"/>
        </w:rPr>
        <w:t>其往往量化为极端事件造成扰动发生前后的网络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4"/>
        </w:rPr>
        <w:t>结构功能性变化，变化幅度越大，则网络越脆弱</w:t>
      </w:r>
      <w:r>
        <w:rPr>
          <w:rFonts w:ascii="Times New Roman" w:eastAsia="Times New Roman" w:hAnsi="Times New Roman" w:cs="Times New Roman"/>
          <w:color w:val="231F20"/>
          <w:spacing w:val="4"/>
          <w:position w:val="8"/>
          <w:sz w:val="10"/>
          <w:szCs w:val="10"/>
        </w:rPr>
        <w:t>[34]</w:t>
      </w:r>
      <w:r>
        <w:rPr>
          <w:color w:val="231F20"/>
          <w:spacing w:val="4"/>
        </w:rPr>
        <w:t>。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19"/>
        </w:rPr>
        <w:t>网络脆弱性研究主要涉及网络关键节点识别方法</w:t>
      </w:r>
    </w:p>
    <w:p>
      <w:pPr>
        <w:pStyle w:val="BodyText"/>
        <w:spacing w:before="30" w:line="222" w:lineRule="auto"/>
        <w:ind w:left="4" w:right="320"/>
        <w:jc w:val="both"/>
      </w:pPr>
      <w:r>
        <w:rPr>
          <w:color w:val="231F20"/>
          <w:spacing w:val="11"/>
        </w:rPr>
        <w:t>及应用研究</w:t>
      </w:r>
      <w:r>
        <w:rPr>
          <w:rFonts w:ascii="Times New Roman" w:eastAsia="Times New Roman" w:hAnsi="Times New Roman" w:cs="Times New Roman"/>
          <w:color w:val="231F20"/>
          <w:spacing w:val="11"/>
          <w:position w:val="8"/>
          <w:sz w:val="10"/>
          <w:szCs w:val="10"/>
        </w:rPr>
        <w:t>[35,36]</w:t>
      </w:r>
      <w:r>
        <w:rPr>
          <w:color w:val="231F20"/>
          <w:spacing w:val="11"/>
        </w:rPr>
        <w:t>，利用网络特征值对网络结构的脆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11"/>
        </w:rPr>
        <w:t>弱性进行分析</w:t>
      </w:r>
      <w:r>
        <w:rPr>
          <w:rFonts w:ascii="Times New Roman" w:eastAsia="Times New Roman" w:hAnsi="Times New Roman" w:cs="Times New Roman"/>
          <w:color w:val="231F20"/>
          <w:spacing w:val="11"/>
          <w:position w:val="8"/>
          <w:sz w:val="10"/>
          <w:szCs w:val="10"/>
        </w:rPr>
        <w:t>[37,38]</w:t>
      </w:r>
      <w:r>
        <w:rPr>
          <w:color w:val="231F20"/>
          <w:spacing w:val="11"/>
        </w:rPr>
        <w:t>，模拟节点失效情景来研究网络</w:t>
      </w:r>
      <w:r>
        <w:rPr>
          <w:color w:val="231F20"/>
          <w:spacing w:val="15"/>
          <w:w w:val="101"/>
        </w:rPr>
        <w:t xml:space="preserve"> </w:t>
      </w:r>
      <w:r>
        <w:rPr>
          <w:color w:val="231F20"/>
          <w:spacing w:val="6"/>
        </w:rPr>
        <w:t>对节点和边失效的敏感程度等</w:t>
      </w:r>
      <w:r>
        <w:rPr>
          <w:rFonts w:ascii="Times New Roman" w:eastAsia="Times New Roman" w:hAnsi="Times New Roman" w:cs="Times New Roman"/>
          <w:color w:val="231F20"/>
          <w:spacing w:val="6"/>
          <w:position w:val="8"/>
          <w:sz w:val="10"/>
          <w:szCs w:val="10"/>
        </w:rPr>
        <w:t>[31,39,40]</w:t>
      </w:r>
      <w:r>
        <w:rPr>
          <w:color w:val="231F20"/>
          <w:spacing w:val="6"/>
        </w:rPr>
        <w:t>。</w:t>
      </w:r>
    </w:p>
    <w:p>
      <w:pPr>
        <w:pStyle w:val="BodyText"/>
        <w:spacing w:before="27" w:line="226" w:lineRule="auto"/>
        <w:ind w:left="5" w:right="319" w:firstLine="419"/>
        <w:jc w:val="both"/>
      </w:pPr>
      <w:r>
        <w:rPr>
          <w:color w:val="231F20"/>
          <w:spacing w:val="9"/>
        </w:rPr>
        <w:t>综上，现有的网络脆弱性研究主要集中在交通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网络、航运网络、信息网络、创新网络等，对于贸易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9"/>
        </w:rPr>
        <w:t>网络脆弱性，尤其是关键矿产资源贸易网络脆弱性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8"/>
        </w:rPr>
        <w:t>的研究较少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8"/>
        </w:rPr>
        <w:t>。此前，有学者采用指标评价法</w:t>
      </w:r>
      <w:r>
        <w:rPr>
          <w:color w:val="231F20"/>
          <w:spacing w:val="7"/>
        </w:rPr>
        <w:t>和系统</w:t>
      </w:r>
      <w:r>
        <w:rPr>
          <w:color w:val="231F20"/>
        </w:rPr>
        <w:t xml:space="preserve"> </w:t>
      </w:r>
      <w:r>
        <w:rPr>
          <w:color w:val="231F20"/>
          <w:spacing w:val="3"/>
        </w:rPr>
        <w:t>动力学方法对锂</w:t>
      </w:r>
      <w:r>
        <w:rPr>
          <w:rFonts w:ascii="Times New Roman" w:eastAsia="Times New Roman" w:hAnsi="Times New Roman" w:cs="Times New Roman"/>
          <w:color w:val="231F20"/>
          <w:spacing w:val="3"/>
          <w:position w:val="8"/>
          <w:sz w:val="10"/>
          <w:szCs w:val="10"/>
        </w:rPr>
        <w:t>[41]</w:t>
      </w:r>
      <w:r>
        <w:rPr>
          <w:color w:val="231F20"/>
          <w:spacing w:val="3"/>
        </w:rPr>
        <w:t>、稀土</w:t>
      </w:r>
      <w:r>
        <w:rPr>
          <w:rFonts w:ascii="Times New Roman" w:eastAsia="Times New Roman" w:hAnsi="Times New Roman" w:cs="Times New Roman"/>
          <w:color w:val="231F20"/>
          <w:spacing w:val="3"/>
          <w:position w:val="8"/>
          <w:sz w:val="10"/>
          <w:szCs w:val="10"/>
        </w:rPr>
        <w:t>[42]</w:t>
      </w:r>
      <w:r>
        <w:rPr>
          <w:color w:val="231F20"/>
          <w:spacing w:val="3"/>
        </w:rPr>
        <w:t>、钽</w:t>
      </w:r>
      <w:r>
        <w:rPr>
          <w:rFonts w:ascii="Times New Roman" w:eastAsia="Times New Roman" w:hAnsi="Times New Roman" w:cs="Times New Roman"/>
          <w:color w:val="231F20"/>
          <w:spacing w:val="3"/>
          <w:position w:val="8"/>
          <w:sz w:val="10"/>
          <w:szCs w:val="10"/>
        </w:rPr>
        <w:t>[43]</w:t>
      </w:r>
      <w:r>
        <w:rPr>
          <w:color w:val="231F20"/>
          <w:spacing w:val="3"/>
        </w:rPr>
        <w:t>等资源的脆弱性进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8"/>
        </w:rPr>
        <w:t>行了评估与分析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8"/>
        </w:rPr>
        <w:t>。本文有别于前人的资源视角，以</w:t>
      </w:r>
      <w:r>
        <w:rPr>
          <w:color w:val="231F20"/>
        </w:rPr>
        <w:t xml:space="preserve"> </w:t>
      </w:r>
      <w:r>
        <w:rPr>
          <w:color w:val="231F20"/>
          <w:spacing w:val="9"/>
        </w:rPr>
        <w:t>产业链为切入点，侧重于模拟贸易中断风险发生时</w:t>
      </w:r>
    </w:p>
    <w:p>
      <w:pPr>
        <w:spacing w:line="14" w:lineRule="auto"/>
        <w:rPr>
          <w:rFonts w:ascii="Arial"/>
          <w:sz w:val="2"/>
        </w:rPr>
        <w:sectPr>
          <w:footerReference w:type="default" r:id="rId16"/>
          <w:type w:val="continuous"/>
          <w:pgSz w:w="11906" w:h="15582"/>
          <w:pgMar w:top="1100" w:right="1055" w:bottom="1" w:left="1131" w:header="0" w:footer="0" w:gutter="0"/>
          <w:pgNumType w:start="8"/>
          <w:cols w:num="2" w:space="708" w:equalWidth="0">
            <w:col w:w="4932" w:space="100"/>
            <w:col w:w="4688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3" w:line="226" w:lineRule="auto"/>
        <w:ind w:right="79" w:firstLine="4"/>
        <w:jc w:val="both"/>
      </w:pPr>
      <w:r>
        <w:rPr>
          <w:color w:val="231F20"/>
          <w:spacing w:val="9"/>
        </w:rPr>
        <w:t>锂产业链贸易网络的动态变化，以识别关键节点和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8"/>
        </w:rPr>
        <w:t>贸易网络的潜在风险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8"/>
        </w:rPr>
        <w:t>。此外，现有的网络脆弱性研</w:t>
      </w:r>
      <w:r>
        <w:rPr>
          <w:color w:val="231F20"/>
        </w:rPr>
        <w:t xml:space="preserve"> </w:t>
      </w:r>
      <w:r>
        <w:rPr>
          <w:color w:val="231F20"/>
          <w:spacing w:val="9"/>
        </w:rPr>
        <w:t xml:space="preserve">究成果主要关注单年的静态特征，缺少对多年度网 </w:t>
      </w:r>
      <w:r>
        <w:rPr>
          <w:color w:val="231F20"/>
          <w:spacing w:val="17"/>
        </w:rPr>
        <w:t>络特征值的动态对比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17"/>
        </w:rPr>
        <w:t>。随着战略性关键矿产对经</w:t>
      </w:r>
      <w:r>
        <w:rPr>
          <w:color w:val="231F20"/>
        </w:rPr>
        <w:t xml:space="preserve"> </w:t>
      </w:r>
      <w:r>
        <w:rPr>
          <w:color w:val="231F20"/>
          <w:spacing w:val="9"/>
        </w:rPr>
        <w:t xml:space="preserve">济增长的贡献逐步提升，对未来全球经济结构和产 </w:t>
      </w:r>
      <w:r>
        <w:rPr>
          <w:color w:val="231F20"/>
          <w:spacing w:val="9"/>
        </w:rPr>
        <w:t xml:space="preserve">业结构升级的作用日益凸显，国家对锂产业链的稳 </w:t>
      </w:r>
      <w:r>
        <w:rPr>
          <w:color w:val="231F20"/>
          <w:spacing w:val="9"/>
        </w:rPr>
        <w:t>定性提出了更高的要求，其脆弱性研究的重要性更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8"/>
        </w:rPr>
        <w:t>是不言自明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8"/>
        </w:rPr>
        <w:t>。因此，本文基于蓄意攻击法模拟了贸</w:t>
      </w:r>
      <w:r>
        <w:rPr>
          <w:color w:val="231F20"/>
        </w:rPr>
        <w:t xml:space="preserve"> </w:t>
      </w:r>
      <w:r>
        <w:rPr>
          <w:color w:val="231F20"/>
          <w:spacing w:val="19"/>
        </w:rPr>
        <w:t>易中断情景下锂产业链脆弱性的变化情况；并以</w:t>
      </w:r>
      <w:r>
        <w:rPr>
          <w:color w:val="231F20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7"/>
        </w:rPr>
        <w:t>2021</w:t>
      </w:r>
      <w:r>
        <w:rPr>
          <w:rFonts w:ascii="Times New Roman" w:eastAsia="Times New Roman" w:hAnsi="Times New Roman" w:cs="Times New Roman"/>
          <w:color w:val="231F20"/>
          <w:spacing w:val="-12"/>
        </w:rPr>
        <w:t xml:space="preserve"> </w:t>
      </w:r>
      <w:r>
        <w:rPr>
          <w:color w:val="231F20"/>
          <w:spacing w:val="7"/>
        </w:rPr>
        <w:t>年为案例，深入分析了重要节点退出对锂产业</w:t>
      </w:r>
      <w:r>
        <w:rPr>
          <w:color w:val="231F20"/>
        </w:rPr>
        <w:t xml:space="preserve"> </w:t>
      </w:r>
      <w:r>
        <w:rPr>
          <w:color w:val="231F20"/>
          <w:spacing w:val="17"/>
        </w:rPr>
        <w:t>链脆弱性的影响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17"/>
        </w:rPr>
        <w:t>。本文深化了现有的网络脆弱性</w:t>
      </w:r>
      <w:r>
        <w:rPr>
          <w:color w:val="231F20"/>
        </w:rPr>
        <w:t xml:space="preserve"> </w:t>
      </w:r>
      <w:r>
        <w:rPr>
          <w:color w:val="231F20"/>
        </w:rPr>
        <w:t>研究，并为制定合理的政策及预案，以规避风险、优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9"/>
        </w:rPr>
        <w:t>化现有贸易格局提供参考。</w:t>
      </w:r>
    </w:p>
    <w:p>
      <w:pPr>
        <w:spacing w:before="23" w:line="405" w:lineRule="exact"/>
        <w:ind w:left="4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7"/>
          <w:position w:val="7"/>
          <w:sz w:val="27"/>
          <w:szCs w:val="27"/>
        </w:rPr>
        <w:t xml:space="preserve">3   </w:t>
      </w:r>
      <w:r>
        <w:rPr>
          <w:rFonts w:ascii="SimHei" w:eastAsia="SimHei" w:hAnsi="SimHei" w:cs="SimHei"/>
          <w:color w:val="231F20"/>
          <w:spacing w:val="7"/>
          <w:position w:val="7"/>
          <w:sz w:val="27"/>
          <w:szCs w:val="27"/>
        </w:rPr>
        <w:t>研究方法与数据来源</w:t>
      </w:r>
    </w:p>
    <w:p>
      <w:pPr>
        <w:spacing w:line="227" w:lineRule="auto"/>
        <w:ind w:left="3"/>
        <w:rPr>
          <w:rFonts w:ascii="SimHei" w:eastAsia="SimHei" w:hAnsi="SimHei" w:cs="SimHei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6"/>
          <w:sz w:val="20"/>
          <w:szCs w:val="20"/>
        </w:rPr>
        <w:t xml:space="preserve">3.1  </w:t>
      </w:r>
      <w:r>
        <w:rPr>
          <w:rFonts w:ascii="SimHei" w:eastAsia="SimHei" w:hAnsi="SimHei" w:cs="SimHei"/>
          <w:color w:val="231F20"/>
          <w:spacing w:val="6"/>
          <w:sz w:val="20"/>
          <w:szCs w:val="20"/>
        </w:rPr>
        <w:t>研究方法</w:t>
      </w:r>
    </w:p>
    <w:p>
      <w:pPr>
        <w:pStyle w:val="BodyText"/>
        <w:spacing w:before="77" w:line="194" w:lineRule="auto"/>
        <w:ind w:left="3"/>
      </w:pPr>
      <w:r>
        <w:rPr>
          <w:rFonts w:ascii="Times New Roman" w:eastAsia="Times New Roman" w:hAnsi="Times New Roman" w:cs="Times New Roman"/>
          <w:b/>
          <w:bCs/>
          <w:color w:val="231F20"/>
          <w:spacing w:val="11"/>
        </w:rPr>
        <w:t xml:space="preserve">3.1.1  </w:t>
      </w:r>
      <w:r>
        <w:rPr>
          <w:rFonts w:ascii="Times New Roman" w:eastAsia="Times New Roman" w:hAnsi="Times New Roman" w:cs="Times New Roman"/>
          <w:color w:val="231F20"/>
        </w:rPr>
        <w:t>PageRank</w:t>
      </w:r>
      <w:r>
        <w:rPr>
          <w:color w:val="231F20"/>
          <w:spacing w:val="11"/>
        </w:rPr>
        <w:t>中心度</w:t>
      </w:r>
    </w:p>
    <w:p>
      <w:pPr>
        <w:pStyle w:val="BodyText"/>
        <w:spacing w:before="41" w:line="226" w:lineRule="auto"/>
        <w:ind w:left="1" w:firstLine="420"/>
        <w:jc w:val="both"/>
      </w:pPr>
      <w:r>
        <w:rPr>
          <w:color w:val="231F20"/>
          <w:spacing w:val="20"/>
        </w:rPr>
        <w:t>脆弱性分析中的一个关键问题是关键节点的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9"/>
        </w:rPr>
        <w:t>识别，关键节点影响着整个网络的安全性，在确定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13"/>
        </w:rPr>
        <w:t>关键节点之后，可以通过加强与关键节点的联结、</w:t>
      </w:r>
      <w:r>
        <w:rPr>
          <w:color w:val="231F20"/>
        </w:rPr>
        <w:t xml:space="preserve"> </w:t>
      </w:r>
      <w:r>
        <w:rPr>
          <w:color w:val="231F20"/>
          <w:spacing w:val="8"/>
        </w:rPr>
        <w:t>或寻求新的替代路径来增强网络稳健性</w:t>
      </w:r>
      <w:r>
        <w:rPr>
          <w:rFonts w:ascii="Times New Roman" w:eastAsia="Times New Roman" w:hAnsi="Times New Roman" w:cs="Times New Roman"/>
          <w:color w:val="231F20"/>
          <w:spacing w:val="8"/>
          <w:position w:val="8"/>
          <w:sz w:val="10"/>
          <w:szCs w:val="10"/>
        </w:rPr>
        <w:t xml:space="preserve">[44] </w:t>
      </w:r>
      <w:r>
        <w:rPr>
          <w:color w:val="231F20"/>
          <w:spacing w:val="8"/>
        </w:rPr>
        <w:t>。贸易网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1"/>
        </w:rPr>
        <w:t>络中的节点具有</w:t>
      </w:r>
      <w:r>
        <w:rPr>
          <w:color w:val="231F20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"/>
        </w:rPr>
        <w:t>3</w:t>
      </w:r>
      <w:r>
        <w:rPr>
          <w:rFonts w:ascii="Times New Roman" w:eastAsia="Times New Roman" w:hAnsi="Times New Roman" w:cs="Times New Roman"/>
          <w:color w:val="231F20"/>
          <w:spacing w:val="-19"/>
        </w:rPr>
        <w:t xml:space="preserve"> </w:t>
      </w:r>
      <w:r>
        <w:rPr>
          <w:color w:val="231F20"/>
          <w:spacing w:val="1"/>
        </w:rPr>
        <w:t>类网络特征：中心性、联系强度和</w:t>
      </w:r>
      <w:r>
        <w:rPr>
          <w:color w:val="231F20"/>
        </w:rPr>
        <w:t xml:space="preserve">  </w:t>
      </w:r>
      <w:r>
        <w:rPr>
          <w:color w:val="231F20"/>
          <w:spacing w:val="7"/>
        </w:rPr>
        <w:t>网络异质性</w:t>
      </w:r>
      <w:r>
        <w:rPr>
          <w:rFonts w:ascii="Times New Roman" w:eastAsia="Times New Roman" w:hAnsi="Times New Roman" w:cs="Times New Roman"/>
          <w:color w:val="231F20"/>
          <w:spacing w:val="7"/>
          <w:position w:val="8"/>
          <w:sz w:val="10"/>
          <w:szCs w:val="10"/>
        </w:rPr>
        <w:t xml:space="preserve">[45] </w:t>
      </w:r>
      <w:r>
        <w:rPr>
          <w:color w:val="231F20"/>
          <w:spacing w:val="7"/>
        </w:rPr>
        <w:t>。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7"/>
        </w:rPr>
        <w:t>由于贸易网络是一个高度关联的网</w:t>
      </w:r>
      <w:r>
        <w:rPr>
          <w:color w:val="231F20"/>
        </w:rPr>
        <w:t xml:space="preserve">  </w:t>
      </w:r>
      <w:r>
        <w:rPr>
          <w:color w:val="231F20"/>
          <w:spacing w:val="-7"/>
        </w:rPr>
        <w:t xml:space="preserve">络，某些国家（地区）的中心度指标达到或接近 </w:t>
      </w:r>
      <w:r>
        <w:rPr>
          <w:rFonts w:ascii="Times New Roman" w:eastAsia="Times New Roman" w:hAnsi="Times New Roman" w:cs="Times New Roman"/>
          <w:color w:val="231F20"/>
          <w:spacing w:val="-7"/>
        </w:rPr>
        <w:t>1</w:t>
      </w:r>
      <w:r>
        <w:rPr>
          <w:color w:val="231F20"/>
          <w:spacing w:val="-7"/>
        </w:rPr>
        <w:t xml:space="preserve">，不  </w:t>
      </w:r>
      <w:r>
        <w:rPr>
          <w:color w:val="231F20"/>
          <w:spacing w:val="6"/>
        </w:rPr>
        <w:t>便于模拟节点失效情景</w:t>
      </w:r>
      <w:r>
        <w:rPr>
          <w:color w:val="231F20"/>
          <w:spacing w:val="-18"/>
        </w:rPr>
        <w:t xml:space="preserve"> </w:t>
      </w:r>
      <w:r>
        <w:rPr>
          <w:color w:val="231F20"/>
          <w:spacing w:val="6"/>
        </w:rPr>
        <w:t>。为此，本文引入</w:t>
      </w:r>
      <w:r>
        <w:rPr>
          <w:color w:val="231F20"/>
          <w:spacing w:val="-27"/>
        </w:rPr>
        <w:t xml:space="preserve"> </w:t>
      </w:r>
      <w:r>
        <w:rPr>
          <w:rFonts w:ascii="Times New Roman" w:eastAsia="Times New Roman" w:hAnsi="Times New Roman" w:cs="Times New Roman"/>
          <w:color w:val="231F20"/>
        </w:rPr>
        <w:t>PageRank</w:t>
      </w:r>
      <w:r>
        <w:rPr>
          <w:rFonts w:ascii="Times New Roman" w:eastAsia="Times New Roman" w:hAnsi="Times New Roman" w:cs="Times New Roman"/>
          <w:color w:val="231F20"/>
          <w:spacing w:val="6"/>
        </w:rPr>
        <w:t xml:space="preserve">  </w:t>
      </w:r>
      <w:r>
        <w:rPr>
          <w:color w:val="231F20"/>
          <w:spacing w:val="19"/>
        </w:rPr>
        <w:t>中心度算法来识别锂产业链贸易网络中的关键节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7"/>
        </w:rPr>
        <w:t>点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7"/>
        </w:rPr>
        <w:t>。近年来，越来越多的学者使用</w:t>
      </w:r>
      <w:r>
        <w:rPr>
          <w:color w:val="231F20"/>
          <w:spacing w:val="-28"/>
        </w:rPr>
        <w:t xml:space="preserve"> </w:t>
      </w:r>
      <w:r>
        <w:rPr>
          <w:rFonts w:ascii="Times New Roman" w:eastAsia="Times New Roman" w:hAnsi="Times New Roman" w:cs="Times New Roman"/>
          <w:color w:val="231F20"/>
        </w:rPr>
        <w:t>PageRank</w:t>
      </w:r>
      <w:r>
        <w:rPr>
          <w:color w:val="231F20"/>
          <w:spacing w:val="7"/>
        </w:rPr>
        <w:t>中心度</w:t>
      </w:r>
      <w:r>
        <w:rPr>
          <w:color w:val="231F20"/>
        </w:rPr>
        <w:t xml:space="preserve">  </w:t>
      </w:r>
      <w:r>
        <w:rPr>
          <w:color w:val="231F20"/>
          <w:spacing w:val="9"/>
        </w:rPr>
        <w:t>对世界贸易网络格局进行研究，因为该算法不仅可</w:t>
      </w:r>
      <w:r>
        <w:rPr>
          <w:color w:val="231F20"/>
          <w:spacing w:val="4"/>
        </w:rPr>
        <w:t xml:space="preserve">  </w:t>
      </w:r>
      <w:r>
        <w:rPr>
          <w:color w:val="231F20"/>
          <w:spacing w:val="9"/>
        </w:rPr>
        <w:t>以全面反映贸易网络特征，还进一步强化了贸易关</w:t>
      </w:r>
      <w:r>
        <w:rPr>
          <w:color w:val="231F20"/>
          <w:spacing w:val="4"/>
        </w:rPr>
        <w:t xml:space="preserve">  </w:t>
      </w:r>
      <w:r>
        <w:rPr>
          <w:color w:val="231F20"/>
          <w:spacing w:val="7"/>
        </w:rPr>
        <w:t>联且弱化了相连节点中心度的影响</w:t>
      </w:r>
      <w:r>
        <w:rPr>
          <w:rFonts w:ascii="Times New Roman" w:eastAsia="Times New Roman" w:hAnsi="Times New Roman" w:cs="Times New Roman"/>
          <w:color w:val="231F20"/>
          <w:spacing w:val="7"/>
          <w:position w:val="8"/>
          <w:sz w:val="10"/>
          <w:szCs w:val="10"/>
        </w:rPr>
        <w:t>[46]</w:t>
      </w:r>
      <w:r>
        <w:rPr>
          <w:color w:val="231F20"/>
          <w:spacing w:val="7"/>
        </w:rPr>
        <w:t>。</w:t>
      </w:r>
    </w:p>
    <w:p>
      <w:pPr>
        <w:pStyle w:val="BodyText"/>
        <w:spacing w:before="28" w:line="224" w:lineRule="auto"/>
        <w:ind w:left="4" w:right="78" w:firstLine="419"/>
        <w:jc w:val="both"/>
      </w:pPr>
      <w:r>
        <w:rPr>
          <w:rFonts w:ascii="Times New Roman" w:eastAsia="Times New Roman" w:hAnsi="Times New Roman" w:cs="Times New Roman"/>
          <w:color w:val="231F20"/>
        </w:rPr>
        <w:t>PageRank</w:t>
      </w:r>
      <w:r>
        <w:rPr>
          <w:rFonts w:ascii="Times New Roman" w:eastAsia="Times New Roman" w:hAnsi="Times New Roman" w:cs="Times New Roman"/>
          <w:color w:val="231F20"/>
          <w:spacing w:val="25"/>
        </w:rPr>
        <w:t xml:space="preserve"> </w:t>
      </w:r>
      <w:r>
        <w:rPr>
          <w:color w:val="231F20"/>
          <w:spacing w:val="6"/>
        </w:rPr>
        <w:t xml:space="preserve">中心度于 </w:t>
      </w:r>
      <w:r>
        <w:rPr>
          <w:rFonts w:ascii="Times New Roman" w:eastAsia="Times New Roman" w:hAnsi="Times New Roman" w:cs="Times New Roman"/>
          <w:color w:val="231F20"/>
          <w:spacing w:val="6"/>
        </w:rPr>
        <w:t xml:space="preserve">1999 </w:t>
      </w:r>
      <w:r>
        <w:rPr>
          <w:color w:val="231F20"/>
          <w:spacing w:val="6"/>
        </w:rPr>
        <w:t>年提出，被</w:t>
      </w:r>
      <w:r>
        <w:rPr>
          <w:color w:val="231F20"/>
          <w:spacing w:val="-11"/>
        </w:rPr>
        <w:t xml:space="preserve"> </w:t>
      </w:r>
      <w:r>
        <w:rPr>
          <w:rFonts w:ascii="Times New Roman" w:eastAsia="Times New Roman" w:hAnsi="Times New Roman" w:cs="Times New Roman"/>
          <w:color w:val="231F20"/>
        </w:rPr>
        <w:t>Google</w:t>
      </w:r>
      <w:r>
        <w:rPr>
          <w:rFonts w:ascii="Times New Roman" w:eastAsia="Times New Roman" w:hAnsi="Times New Roman" w:cs="Times New Roman"/>
          <w:color w:val="231F20"/>
          <w:spacing w:val="6"/>
        </w:rPr>
        <w:t xml:space="preserve"> </w:t>
      </w:r>
      <w:r>
        <w:rPr>
          <w:color w:val="231F20"/>
          <w:spacing w:val="6"/>
        </w:rPr>
        <w:t>应</w:t>
      </w:r>
      <w:r>
        <w:rPr>
          <w:color w:val="231F20"/>
        </w:rPr>
        <w:t xml:space="preserve"> </w:t>
      </w:r>
      <w:r>
        <w:rPr>
          <w:color w:val="231F20"/>
          <w:spacing w:val="17"/>
        </w:rPr>
        <w:t>用于对网页搜索排名进行分析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17"/>
        </w:rPr>
        <w:t>。作为一种综合考</w:t>
      </w:r>
      <w:r>
        <w:rPr>
          <w:color w:val="231F20"/>
        </w:rPr>
        <w:t xml:space="preserve"> </w:t>
      </w:r>
      <w:r>
        <w:rPr>
          <w:color w:val="231F20"/>
          <w:spacing w:val="8"/>
        </w:rPr>
        <w:t>虑全局网络关联的迭代算法，既反映各节点“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8"/>
        </w:rPr>
        <w:t>中心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枢纽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2"/>
        </w:rPr>
        <w:t>”状态，同时也体现了“近朱者赤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2"/>
        </w:rPr>
        <w:t>”的</w:t>
      </w:r>
      <w:r>
        <w:rPr>
          <w:color w:val="231F20"/>
          <w:spacing w:val="-3"/>
        </w:rPr>
        <w:t>网络关联</w:t>
      </w:r>
      <w:r>
        <w:rPr>
          <w:color w:val="231F20"/>
        </w:rPr>
        <w:t xml:space="preserve"> </w:t>
      </w:r>
      <w:r>
        <w:rPr>
          <w:color w:val="231F20"/>
          <w:spacing w:val="8"/>
        </w:rPr>
        <w:t>特征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8"/>
        </w:rPr>
        <w:t>。</w:t>
      </w:r>
      <w:r>
        <w:rPr>
          <w:rFonts w:ascii="Times New Roman" w:eastAsia="Times New Roman" w:hAnsi="Times New Roman" w:cs="Times New Roman"/>
          <w:color w:val="231F20"/>
        </w:rPr>
        <w:t>PageRank</w:t>
      </w:r>
      <w:r>
        <w:rPr>
          <w:color w:val="231F20"/>
          <w:spacing w:val="8"/>
        </w:rPr>
        <w:t>中心度可以反映国家（地区）对资</w:t>
      </w:r>
      <w:r>
        <w:rPr>
          <w:color w:val="231F20"/>
        </w:rPr>
        <w:t xml:space="preserve"> </w:t>
      </w:r>
      <w:r>
        <w:rPr>
          <w:color w:val="231F20"/>
        </w:rPr>
        <w:t>源的控制能力，并且可以促进一国（地区）在国际分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8"/>
        </w:rPr>
        <w:t>工网络中形成强大的引领能力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8"/>
        </w:rPr>
        <w:t>。其计算公式为：</w:t>
      </w:r>
    </w:p>
    <w:p>
      <w:pPr>
        <w:pStyle w:val="BodyText"/>
        <w:spacing w:line="538" w:lineRule="exact"/>
        <w:jc w:val="right"/>
      </w:pPr>
      <w:r>
        <w:rPr>
          <w:rFonts w:ascii="Times New Roman" w:eastAsia="Times New Roman" w:hAnsi="Times New Roman" w:cs="Times New Roman"/>
          <w:i/>
          <w:iCs/>
          <w:color w:val="231F20"/>
          <w:position w:val="9"/>
        </w:rPr>
        <w:t>PageRank</w:t>
      </w:r>
      <w:r>
        <w:rPr>
          <w:rFonts w:ascii="Times New Roman" w:eastAsia="Times New Roman" w:hAnsi="Times New Roman" w:cs="Times New Roman"/>
          <w:i/>
          <w:iCs/>
          <w:color w:val="231F20"/>
          <w:position w:val="5"/>
          <w:sz w:val="10"/>
          <w:szCs w:val="10"/>
        </w:rPr>
        <w:t>it</w:t>
      </w:r>
      <w:r>
        <w:rPr>
          <w:rFonts w:ascii="Times New Roman" w:eastAsia="Times New Roman" w:hAnsi="Times New Roman" w:cs="Times New Roman"/>
          <w:i/>
          <w:iCs/>
          <w:color w:val="231F20"/>
          <w:spacing w:val="6"/>
          <w:position w:val="5"/>
          <w:sz w:val="10"/>
          <w:szCs w:val="10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6"/>
          <w:position w:val="9"/>
        </w:rPr>
        <w:t>=</w:t>
      </w:r>
      <w:r>
        <w:rPr>
          <w:rFonts w:ascii="Times New Roman" w:eastAsia="Times New Roman" w:hAnsi="Times New Roman" w:cs="Times New Roman"/>
          <w:color w:val="231F20"/>
          <w:spacing w:val="32"/>
          <w:w w:val="101"/>
          <w:position w:val="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position w:val="17"/>
        </w:rPr>
        <w:t xml:space="preserve">1 </w:t>
      </w:r>
      <w:r>
        <w:ruby>
          <w:rubyPr>
            <w:rubyAlign w:val="left"/>
            <w:hps w:val="20"/>
            <w:hpsRaise w:val="6"/>
            <w:hpsBaseText w:val="20"/>
          </w:rubyPr>
          <w:rt>
            <w:r>
              <w:rPr>
                <w:rFonts w:ascii="NSimSun" w:eastAsia="NSimSun" w:hAnsi="NSimSun" w:cs="NSimSun"/>
                <w:color w:val="231F20"/>
                <w:w w:val="106"/>
                <w:position w:val="10"/>
              </w:rPr>
              <w:t>-</w:t>
            </w:r>
          </w:rt>
          <w:rubyBase>
            <w:r>
              <w:rPr>
                <w:rFonts w:ascii="Times New Roman" w:eastAsia="Times New Roman" w:hAnsi="Times New Roman" w:cs="Times New Roman"/>
                <w:i/>
                <w:iCs/>
                <w:color w:val="231F20"/>
                <w:w w:val="106"/>
                <w:position w:val="-4"/>
              </w:rPr>
              <w:t>n</w:t>
            </w:r>
          </w:rubyBase>
        </w:ruby>
      </w:r>
      <w:r>
        <w:rPr>
          <w:rFonts w:ascii="Times New Roman" w:eastAsia="Times New Roman" w:hAnsi="Times New Roman" w:cs="Times New Roman"/>
          <w:i/>
          <w:iCs/>
          <w:color w:val="231F20"/>
          <w:spacing w:val="-9"/>
          <w:position w:val="-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spacing w:val="6"/>
          <w:position w:val="17"/>
        </w:rPr>
        <w:t>c</w:t>
      </w:r>
      <w:r>
        <w:rPr>
          <w:rFonts w:ascii="Times New Roman" w:eastAsia="Times New Roman" w:hAnsi="Times New Roman" w:cs="Times New Roman"/>
          <w:i/>
          <w:iCs/>
          <w:color w:val="231F20"/>
          <w:spacing w:val="23"/>
          <w:w w:val="101"/>
          <w:position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position w:val="9"/>
        </w:rPr>
        <w:t>+</w:t>
      </w:r>
      <w:r>
        <w:rPr>
          <w:rFonts w:ascii="Times New Roman" w:eastAsia="Times New Roman" w:hAnsi="Times New Roman" w:cs="Times New Roman"/>
          <w:i/>
          <w:iCs/>
          <w:color w:val="231F20"/>
          <w:position w:val="9"/>
        </w:rPr>
        <w:t>c</w:t>
      </w:r>
      <w:r>
        <w:rPr>
          <w:position w:val="-11"/>
        </w:rPr>
        <w:drawing>
          <wp:inline distT="0" distB="0" distL="0" distR="0">
            <wp:extent cx="166758" cy="319274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6758" cy="319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i/>
          <w:iCs/>
          <w:color w:val="231F20"/>
          <w:position w:val="9"/>
        </w:rPr>
        <w:t>A</w:t>
      </w:r>
      <w:r>
        <w:rPr>
          <w:rFonts w:ascii="Times New Roman" w:eastAsia="Times New Roman" w:hAnsi="Times New Roman" w:cs="Times New Roman"/>
          <w:i/>
          <w:iCs/>
          <w:color w:val="231F20"/>
          <w:position w:val="5"/>
          <w:sz w:val="10"/>
          <w:szCs w:val="10"/>
        </w:rPr>
        <w:t>ji</w:t>
      </w:r>
      <w:r>
        <w:rPr>
          <w:rFonts w:ascii="Times New Roman" w:eastAsia="Times New Roman" w:hAnsi="Times New Roman" w:cs="Times New Roman"/>
          <w:i/>
          <w:iCs/>
          <w:color w:val="231F20"/>
          <w:spacing w:val="17"/>
          <w:position w:val="5"/>
          <w:sz w:val="10"/>
          <w:szCs w:val="1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position w:val="23"/>
        </w:rPr>
        <w:t>Pa</w:t>
      </w:r>
      <w:r>
        <w:ruby>
          <w:rubyPr>
            <w:rubyAlign w:val="left"/>
            <w:hps w:val="20"/>
            <w:hpsRaise w:val="12"/>
            <w:hpsBaseText w:val="20"/>
          </w:rubyPr>
          <w:rt>
            <w:r>
              <w:rPr>
                <w:rFonts w:ascii="Times New Roman" w:eastAsia="Times New Roman" w:hAnsi="Times New Roman" w:cs="Times New Roman"/>
                <w:i/>
                <w:iCs/>
                <w:color w:val="231F20"/>
                <w:w w:val="104"/>
                <w:position w:val="10"/>
              </w:rPr>
              <w:t>geR</w:t>
            </w:r>
          </w:rt>
          <w:rubyBase>
            <w:r>
              <w:rPr>
                <w:rFonts w:ascii="Times New Roman" w:eastAsia="Times New Roman" w:hAnsi="Times New Roman" w:cs="Times New Roman"/>
                <w:i/>
                <w:iCs/>
                <w:color w:val="231F20"/>
                <w:w w:val="116"/>
                <w:position w:val="-4"/>
              </w:rPr>
              <w:t>Out</w:t>
            </w:r>
          </w:rubyBase>
        </w:ruby>
      </w:r>
      <w:r>
        <w:rPr>
          <w:position w:val="-11"/>
        </w:rPr>
        <w:drawing>
          <wp:inline distT="0" distB="0" distL="0" distR="0">
            <wp:extent cx="63054" cy="33844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3054" cy="338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color w:val="231F20"/>
          <w:position w:val="23"/>
        </w:rPr>
        <w:t>nk</w:t>
      </w:r>
      <w:r>
        <w:rPr>
          <w:rFonts w:ascii="Times New Roman" w:eastAsia="Times New Roman" w:hAnsi="Times New Roman" w:cs="Times New Roman"/>
          <w:i/>
          <w:iCs/>
          <w:color w:val="231F20"/>
          <w:position w:val="19"/>
          <w:sz w:val="10"/>
          <w:szCs w:val="10"/>
        </w:rPr>
        <w:t>jt</w:t>
      </w:r>
      <w:r>
        <w:rPr>
          <w:rFonts w:ascii="Times New Roman" w:eastAsia="Times New Roman" w:hAnsi="Times New Roman" w:cs="Times New Roman"/>
          <w:i/>
          <w:iCs/>
          <w:color w:val="231F20"/>
          <w:spacing w:val="1"/>
          <w:position w:val="19"/>
          <w:sz w:val="10"/>
          <w:szCs w:val="10"/>
        </w:rPr>
        <w:t xml:space="preserve">         </w:t>
      </w:r>
      <w:r>
        <w:rPr>
          <w:color w:val="231F20"/>
          <w:spacing w:val="6"/>
          <w:position w:val="9"/>
        </w:rPr>
        <w:t>（</w:t>
      </w:r>
      <w:r>
        <w:rPr>
          <w:color w:val="231F20"/>
          <w:spacing w:val="-4"/>
          <w:position w:val="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6"/>
          <w:position w:val="9"/>
        </w:rPr>
        <w:t>1</w:t>
      </w:r>
      <w:r>
        <w:rPr>
          <w:color w:val="231F20"/>
          <w:spacing w:val="6"/>
          <w:position w:val="9"/>
        </w:rPr>
        <w:t>）</w:t>
      </w:r>
    </w:p>
    <w:p>
      <w:pPr>
        <w:pStyle w:val="BodyText"/>
        <w:spacing w:before="106" w:line="227" w:lineRule="auto"/>
        <w:ind w:left="4" w:right="78"/>
        <w:jc w:val="both"/>
      </w:pPr>
      <w:r>
        <w:rPr>
          <w:color w:val="231F20"/>
          <w:spacing w:val="13"/>
        </w:rPr>
        <w:t>式中：</w:t>
      </w:r>
      <w:r>
        <w:rPr>
          <w:rFonts w:ascii="Times New Roman" w:eastAsia="Times New Roman" w:hAnsi="Times New Roman" w:cs="Times New Roman"/>
          <w:i/>
          <w:iCs/>
          <w:color w:val="231F20"/>
        </w:rPr>
        <w:t>PageRank</w:t>
      </w:r>
      <w:r>
        <w:rPr>
          <w:rFonts w:ascii="Times New Roman" w:eastAsia="Times New Roman" w:hAnsi="Times New Roman" w:cs="Times New Roman"/>
          <w:i/>
          <w:iCs/>
          <w:color w:val="231F20"/>
          <w:position w:val="-4"/>
          <w:sz w:val="10"/>
          <w:szCs w:val="10"/>
        </w:rPr>
        <w:t>it</w:t>
      </w:r>
      <w:r>
        <w:rPr>
          <w:rFonts w:ascii="Times New Roman" w:eastAsia="Times New Roman" w:hAnsi="Times New Roman" w:cs="Times New Roman"/>
          <w:i/>
          <w:iCs/>
          <w:color w:val="231F20"/>
          <w:spacing w:val="13"/>
          <w:position w:val="-4"/>
          <w:sz w:val="10"/>
          <w:szCs w:val="10"/>
        </w:rPr>
        <w:t xml:space="preserve">  </w:t>
      </w:r>
      <w:r>
        <w:rPr>
          <w:color w:val="231F20"/>
          <w:spacing w:val="13"/>
        </w:rPr>
        <w:t>表示第</w:t>
      </w:r>
      <w:r>
        <w:rPr>
          <w:color w:val="231F20"/>
          <w:spacing w:val="-1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spacing w:val="13"/>
        </w:rPr>
        <w:t>t</w:t>
      </w:r>
      <w:r>
        <w:rPr>
          <w:rFonts w:ascii="Times New Roman" w:eastAsia="Times New Roman" w:hAnsi="Times New Roman" w:cs="Times New Roman"/>
          <w:i/>
          <w:iCs/>
          <w:color w:val="231F20"/>
          <w:spacing w:val="-19"/>
        </w:rPr>
        <w:t xml:space="preserve"> </w:t>
      </w:r>
      <w:r>
        <w:rPr>
          <w:color w:val="231F20"/>
          <w:spacing w:val="13"/>
        </w:rPr>
        <w:t>年节点</w:t>
      </w:r>
      <w:r>
        <w:rPr>
          <w:color w:val="231F20"/>
          <w:spacing w:val="-2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spacing w:val="13"/>
        </w:rPr>
        <w:t>i</w:t>
      </w:r>
      <w:r>
        <w:rPr>
          <w:color w:val="231F20"/>
          <w:spacing w:val="13"/>
        </w:rPr>
        <w:t>的</w:t>
      </w:r>
      <w:r>
        <w:rPr>
          <w:color w:val="231F20"/>
          <w:spacing w:val="-28"/>
        </w:rPr>
        <w:t xml:space="preserve"> </w:t>
      </w:r>
      <w:r>
        <w:rPr>
          <w:rFonts w:ascii="Times New Roman" w:eastAsia="Times New Roman" w:hAnsi="Times New Roman" w:cs="Times New Roman"/>
          <w:color w:val="231F20"/>
        </w:rPr>
        <w:t>PageRank</w:t>
      </w:r>
      <w:r>
        <w:rPr>
          <w:color w:val="231F20"/>
          <w:spacing w:val="13"/>
        </w:rPr>
        <w:t>中心</w:t>
      </w:r>
      <w:r>
        <w:rPr>
          <w:color w:val="231F20"/>
        </w:rPr>
        <w:t xml:space="preserve"> </w:t>
      </w:r>
      <w:r>
        <w:rPr>
          <w:color w:val="231F20"/>
          <w:spacing w:val="11"/>
        </w:rPr>
        <w:t>度；</w:t>
      </w:r>
      <w:r>
        <w:rPr>
          <w:rFonts w:ascii="Times New Roman" w:eastAsia="Times New Roman" w:hAnsi="Times New Roman" w:cs="Times New Roman"/>
          <w:i/>
          <w:iCs/>
          <w:color w:val="231F20"/>
          <w:spacing w:val="11"/>
        </w:rPr>
        <w:t>n</w:t>
      </w:r>
      <w:r>
        <w:rPr>
          <w:color w:val="231F20"/>
          <w:spacing w:val="11"/>
        </w:rPr>
        <w:t>为贸易网络中节点的个数；</w:t>
      </w:r>
      <w:r>
        <w:rPr>
          <w:rFonts w:ascii="Times New Roman" w:eastAsia="Times New Roman" w:hAnsi="Times New Roman" w:cs="Times New Roman"/>
          <w:b/>
          <w:bCs/>
          <w:i/>
          <w:iCs/>
          <w:color w:val="231F20"/>
        </w:rPr>
        <w:t>A</w:t>
      </w:r>
      <w:r>
        <w:rPr>
          <w:rFonts w:ascii="Times New Roman" w:eastAsia="Times New Roman" w:hAnsi="Times New Roman" w:cs="Times New Roman"/>
          <w:i/>
          <w:iCs/>
          <w:color w:val="231F20"/>
          <w:position w:val="-4"/>
          <w:sz w:val="10"/>
          <w:szCs w:val="10"/>
        </w:rPr>
        <w:t>ji</w:t>
      </w:r>
      <w:r>
        <w:rPr>
          <w:rFonts w:ascii="Times New Roman" w:eastAsia="Times New Roman" w:hAnsi="Times New Roman" w:cs="Times New Roman"/>
          <w:i/>
          <w:iCs/>
          <w:color w:val="231F20"/>
          <w:spacing w:val="16"/>
          <w:w w:val="103"/>
          <w:position w:val="-4"/>
          <w:sz w:val="10"/>
          <w:szCs w:val="10"/>
        </w:rPr>
        <w:t xml:space="preserve">  </w:t>
      </w:r>
      <w:r>
        <w:rPr>
          <w:color w:val="231F20"/>
          <w:spacing w:val="11"/>
        </w:rPr>
        <w:t>为有向节点转</w:t>
      </w:r>
      <w:r>
        <w:rPr>
          <w:color w:val="231F20"/>
        </w:rPr>
        <w:t xml:space="preserve"> </w:t>
      </w:r>
      <w:r>
        <w:rPr>
          <w:color w:val="231F20"/>
          <w:spacing w:val="11"/>
        </w:rPr>
        <w:t>移矩阵；</w:t>
      </w:r>
      <w:r>
        <w:rPr>
          <w:rFonts w:ascii="Times New Roman" w:eastAsia="Times New Roman" w:hAnsi="Times New Roman" w:cs="Times New Roman"/>
          <w:i/>
          <w:iCs/>
          <w:color w:val="231F20"/>
        </w:rPr>
        <w:t>Out</w:t>
      </w:r>
      <w:r>
        <w:rPr>
          <w:rFonts w:ascii="Times New Roman" w:eastAsia="Times New Roman" w:hAnsi="Times New Roman" w:cs="Times New Roman"/>
          <w:i/>
          <w:iCs/>
          <w:color w:val="231F20"/>
          <w:position w:val="-4"/>
          <w:sz w:val="10"/>
          <w:szCs w:val="10"/>
        </w:rPr>
        <w:t>jt</w:t>
      </w:r>
      <w:r>
        <w:rPr>
          <w:rFonts w:ascii="Times New Roman" w:eastAsia="Times New Roman" w:hAnsi="Times New Roman" w:cs="Times New Roman"/>
          <w:i/>
          <w:iCs/>
          <w:color w:val="231F20"/>
          <w:spacing w:val="10"/>
          <w:w w:val="103"/>
          <w:position w:val="-4"/>
          <w:sz w:val="10"/>
          <w:szCs w:val="10"/>
        </w:rPr>
        <w:t xml:space="preserve">  </w:t>
      </w:r>
      <w:r>
        <w:rPr>
          <w:color w:val="231F20"/>
          <w:spacing w:val="11"/>
        </w:rPr>
        <w:t>为节点</w:t>
      </w:r>
      <w:r>
        <w:rPr>
          <w:rFonts w:ascii="Times New Roman" w:eastAsia="Times New Roman" w:hAnsi="Times New Roman" w:cs="Times New Roman"/>
          <w:i/>
          <w:iCs/>
          <w:color w:val="231F20"/>
          <w:spacing w:val="11"/>
        </w:rPr>
        <w:t>j</w:t>
      </w:r>
      <w:r>
        <w:rPr>
          <w:color w:val="231F20"/>
          <w:spacing w:val="11"/>
        </w:rPr>
        <w:t>的出度；</w:t>
      </w:r>
      <w:r>
        <w:rPr>
          <w:rFonts w:ascii="Times New Roman" w:eastAsia="Times New Roman" w:hAnsi="Times New Roman" w:cs="Times New Roman"/>
          <w:i/>
          <w:iCs/>
          <w:color w:val="231F20"/>
          <w:spacing w:val="11"/>
        </w:rPr>
        <w:t>c</w:t>
      </w:r>
      <w:r>
        <w:rPr>
          <w:color w:val="231F20"/>
          <w:spacing w:val="11"/>
        </w:rPr>
        <w:t>为每个节点的初始</w:t>
      </w:r>
    </w:p>
    <w:p>
      <w:pPr>
        <w:spacing w:before="235" w:line="179" w:lineRule="auto"/>
        <w:ind w:left="3089"/>
        <w:rPr>
          <w:rFonts w:ascii="Arial" w:eastAsia="Arial" w:hAnsi="Arial" w:cs="Arial"/>
          <w:sz w:val="20"/>
          <w:szCs w:val="20"/>
        </w:rPr>
      </w:pPr>
      <w:hyperlink r:id="rId11" w:history="1">
        <w:r>
          <w:rPr>
            <w:rFonts w:ascii="Arial" w:eastAsia="Arial" w:hAnsi="Arial" w:cs="Arial"/>
            <w:i/>
            <w:iCs/>
            <w:color w:val="808285"/>
            <w:w w:val="91"/>
            <w:sz w:val="20"/>
            <w:szCs w:val="20"/>
          </w:rPr>
          <w:t>http://www.resci.cn</w:t>
        </w:r>
      </w:hyperlink>
    </w:p>
    <w:p>
      <w:pPr>
        <w:spacing w:line="179" w:lineRule="auto"/>
        <w:rPr>
          <w:rFonts w:ascii="Arial" w:eastAsia="Arial" w:hAnsi="Arial" w:cs="Arial"/>
          <w:sz w:val="20"/>
          <w:szCs w:val="20"/>
        </w:rPr>
        <w:sectPr>
          <w:footerReference w:type="default" r:id="rId19"/>
          <w:type w:val="nextPage"/>
          <w:pgSz w:w="11906" w:h="15582"/>
          <w:pgMar w:top="1100" w:right="1055" w:bottom="1" w:left="1131" w:header="0" w:footer="0" w:gutter="0"/>
          <w:pgNumType w:start="9"/>
          <w:cols w:num="2" w:space="708" w:equalWidth="0">
            <w:col w:w="4932" w:space="100"/>
            <w:col w:w="4688" w:space="0"/>
          </w:cols>
          <w:titlePg w:val="0"/>
        </w:sectPr>
      </w:pPr>
    </w:p>
    <w:p>
      <w:pPr>
        <w:spacing w:line="218" w:lineRule="exact"/>
      </w:pPr>
    </w:p>
    <w:p>
      <w:pPr>
        <w:spacing w:line="218" w:lineRule="exact"/>
        <w:sectPr>
          <w:headerReference w:type="default" r:id="rId20"/>
          <w:footerReference w:type="default" r:id="rId21"/>
          <w:pgSz w:w="11906" w:h="15582"/>
          <w:pgMar w:top="1540" w:right="1057" w:bottom="1" w:left="1055" w:header="1139" w:footer="0" w:gutter="0"/>
          <w:pgNumType w:start="10"/>
          <w:cols w:num="1" w:space="708" w:equalWidth="0">
            <w:col w:w="9794" w:space="0"/>
          </w:cols>
        </w:sectPr>
      </w:pPr>
    </w:p>
    <w:p>
      <w:pPr>
        <w:pStyle w:val="BodyText"/>
        <w:spacing w:before="47" w:line="208" w:lineRule="auto"/>
        <w:ind w:left="81"/>
      </w:pPr>
      <w:r>
        <w:rPr>
          <w:color w:val="231F20"/>
          <w:spacing w:val="-5"/>
        </w:rPr>
        <w:t>权重，本文对其取均值，具体结果由幂迭代算法所得。</w:t>
      </w:r>
    </w:p>
    <w:p>
      <w:pPr>
        <w:pStyle w:val="BodyText"/>
        <w:spacing w:before="31" w:line="205" w:lineRule="auto"/>
        <w:ind w:left="81"/>
      </w:pPr>
      <w:r>
        <w:rPr>
          <w:rFonts w:ascii="Times New Roman" w:eastAsia="Times New Roman" w:hAnsi="Times New Roman" w:cs="Times New Roman"/>
          <w:b/>
          <w:bCs/>
          <w:color w:val="231F20"/>
          <w:spacing w:val="4"/>
        </w:rPr>
        <w:t>3.1.2</w:t>
      </w:r>
      <w:r>
        <w:rPr>
          <w:rFonts w:ascii="Times New Roman" w:eastAsia="Times New Roman" w:hAnsi="Times New Roman" w:cs="Times New Roman"/>
          <w:b/>
          <w:bCs/>
          <w:color w:val="231F20"/>
          <w:spacing w:val="12"/>
        </w:rPr>
        <w:t xml:space="preserve">  </w:t>
      </w:r>
      <w:r>
        <w:rPr>
          <w:color w:val="231F20"/>
          <w:spacing w:val="4"/>
        </w:rPr>
        <w:t>攻击策略</w:t>
      </w:r>
    </w:p>
    <w:p>
      <w:pPr>
        <w:pStyle w:val="BodyText"/>
        <w:tabs>
          <w:tab w:val="left" w:pos="101"/>
        </w:tabs>
        <w:spacing w:before="23" w:line="225" w:lineRule="auto"/>
        <w:ind w:right="258" w:firstLine="503"/>
        <w:jc w:val="both"/>
      </w:pPr>
      <w:r>
        <w:rPr>
          <w:color w:val="231F20"/>
          <w:spacing w:val="9"/>
        </w:rPr>
        <w:t>一般而言，网络受到的扰动多源于随机策略和</w:t>
      </w:r>
      <w:r>
        <w:rPr>
          <w:color w:val="231F20"/>
          <w:spacing w:val="1"/>
        </w:rPr>
        <w:t xml:space="preserve">  </w:t>
      </w:r>
      <w:r>
        <w:rPr>
          <w:color w:val="231F20"/>
          <w:spacing w:val="13"/>
        </w:rPr>
        <w:t>确定性策略，因此，脆弱性评估中的假定攻击策略</w:t>
      </w:r>
      <w:r>
        <w:rPr>
          <w:color w:val="231F20"/>
        </w:rPr>
        <w:t xml:space="preserve">  </w:t>
      </w:r>
      <w:r>
        <w:rPr>
          <w:color w:val="231F20"/>
          <w:spacing w:val="21"/>
        </w:rPr>
        <w:t>法主要涉及两种场景：随机攻击和蓄意攻击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21"/>
        </w:rPr>
        <w:t>。其</w:t>
      </w:r>
      <w:r>
        <w:rPr>
          <w:color w:val="231F20"/>
        </w:rPr>
        <w:t xml:space="preserve">  </w:t>
      </w:r>
      <w:r>
        <w:rPr>
          <w:color w:val="231F20"/>
          <w:spacing w:val="13"/>
        </w:rPr>
        <w:t>中，随机攻击是指按照一定的概率随机删除网</w:t>
      </w:r>
      <w:r>
        <w:rPr>
          <w:color w:val="231F20"/>
          <w:spacing w:val="12"/>
        </w:rPr>
        <w:t>络中</w:t>
      </w:r>
      <w:r>
        <w:rPr>
          <w:color w:val="231F20"/>
        </w:rPr>
        <w:t xml:space="preserve">  </w:t>
      </w:r>
      <w:r>
        <w:rPr>
          <w:color w:val="231F20"/>
          <w:spacing w:val="13"/>
        </w:rPr>
        <w:t>的节点，这种评估方式主要适用于随机事件对</w:t>
      </w:r>
      <w:r>
        <w:rPr>
          <w:color w:val="231F20"/>
          <w:spacing w:val="12"/>
        </w:rPr>
        <w:t>于网</w:t>
      </w:r>
      <w:r>
        <w:rPr>
          <w:color w:val="231F20"/>
        </w:rPr>
        <w:t xml:space="preserve">  </w:t>
      </w:r>
      <w:r>
        <w:rPr>
          <w:color w:val="231F20"/>
          <w:spacing w:val="13"/>
        </w:rPr>
        <w:t>络的影响；蓄意攻击是按照节点的重要程度对</w:t>
      </w:r>
      <w:r>
        <w:rPr>
          <w:color w:val="231F20"/>
          <w:spacing w:val="12"/>
        </w:rPr>
        <w:t>网络</w:t>
      </w:r>
      <w:r>
        <w:rPr>
          <w:color w:val="231F20"/>
        </w:rPr>
        <w:t xml:space="preserve">  </w:t>
      </w:r>
      <w:r>
        <w:rPr>
          <w:color w:val="231F20"/>
          <w:spacing w:val="13"/>
        </w:rPr>
        <w:t>中的节点进行依次删除，反映到锂产业链贸易网络</w:t>
      </w:r>
      <w:r>
        <w:rPr>
          <w:color w:val="231F20"/>
        </w:rPr>
        <w:t xml:space="preserve">  </w:t>
      </w:r>
      <w:r>
        <w:rPr>
          <w:color w:val="231F20"/>
          <w:spacing w:val="3"/>
        </w:rPr>
        <w:t>中，即表现为地缘政治冲突、贸易摩擦、经济制裁等</w:t>
      </w:r>
      <w:r>
        <w:rPr>
          <w:color w:val="231F20"/>
          <w:spacing w:val="8"/>
        </w:rPr>
        <w:t xml:space="preserve">  </w:t>
      </w:r>
      <w:r>
        <w:rPr>
          <w:color w:val="231F20"/>
          <w:spacing w:val="9"/>
        </w:rPr>
        <w:t>所带来的扰动对网络产生的影响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9"/>
        </w:rPr>
        <w:t>。</w:t>
      </w:r>
      <w:r>
        <w:rPr>
          <w:color w:val="231F20"/>
          <w:spacing w:val="-20"/>
        </w:rPr>
        <w:t xml:space="preserve"> </w:t>
      </w:r>
      <w:r>
        <w:rPr>
          <w:color w:val="231F20"/>
          <w:spacing w:val="9"/>
        </w:rPr>
        <w:t>目前，对于非持</w:t>
      </w:r>
      <w:r>
        <w:rPr>
          <w:color w:val="231F20"/>
        </w:rPr>
        <w:t xml:space="preserve">  </w:t>
      </w:r>
      <w:r>
        <w:rPr>
          <w:color w:val="231F20"/>
          <w:spacing w:val="13"/>
        </w:rPr>
        <w:t>续攻击研究较少，原因在于非持续攻击的仿真</w:t>
      </w:r>
      <w:r>
        <w:rPr>
          <w:color w:val="231F20"/>
          <w:spacing w:val="12"/>
        </w:rPr>
        <w:t>容易</w:t>
      </w:r>
      <w:r>
        <w:rPr>
          <w:color w:val="231F20"/>
        </w:rPr>
        <w:t xml:space="preserve">  </w:t>
      </w:r>
      <w:r>
        <w:rPr>
          <w:color w:val="231F20"/>
          <w:spacing w:val="19"/>
        </w:rPr>
        <w:t>脱离现实需求，其研究结果的现实映射较差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19"/>
        </w:rPr>
        <w:t>。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19"/>
        </w:rPr>
        <w:t>因</w:t>
      </w:r>
      <w:r>
        <w:rPr>
          <w:color w:val="231F20"/>
        </w:rPr>
        <w:t xml:space="preserve">  </w:t>
      </w:r>
      <w:r>
        <w:rPr>
          <w:color w:val="231F20"/>
          <w:spacing w:val="13"/>
        </w:rPr>
        <w:t>此，本文采用假定攻击策略法中蓄意攻击的</w:t>
      </w:r>
      <w:r>
        <w:rPr>
          <w:color w:val="231F20"/>
          <w:spacing w:val="12"/>
        </w:rPr>
        <w:t>方式模</w:t>
      </w:r>
      <w:r>
        <w:rPr>
          <w:color w:val="231F20"/>
        </w:rPr>
        <w:t xml:space="preserve">  </w:t>
      </w:r>
      <w:r>
        <w:rPr>
          <w:color w:val="231F20"/>
          <w:spacing w:val="23"/>
        </w:rPr>
        <w:t>拟了锂产业链贸易网络脆弱性的波动情况，并以</w:t>
      </w:r>
      <w:r>
        <w:rPr>
          <w:color w:val="231F20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5"/>
        </w:rPr>
        <w:t xml:space="preserve">2021 </w:t>
      </w:r>
      <w:r>
        <w:rPr>
          <w:color w:val="231F20"/>
          <w:spacing w:val="15"/>
        </w:rPr>
        <w:t>年为案例，模拟了其</w:t>
      </w:r>
      <w:r>
        <w:rPr>
          <w:color w:val="231F20"/>
        </w:rPr>
        <w:t xml:space="preserve"> </w:t>
      </w:r>
      <w:r>
        <w:rPr>
          <w:rFonts w:ascii="Times New Roman" w:eastAsia="Times New Roman" w:hAnsi="Times New Roman" w:cs="Times New Roman"/>
          <w:color w:val="231F20"/>
        </w:rPr>
        <w:t>PageRank</w:t>
      </w:r>
      <w:r>
        <w:rPr>
          <w:rFonts w:ascii="Times New Roman" w:eastAsia="Times New Roman" w:hAnsi="Times New Roman" w:cs="Times New Roman"/>
          <w:color w:val="231F20"/>
          <w:spacing w:val="15"/>
        </w:rPr>
        <w:t xml:space="preserve"> </w:t>
      </w:r>
      <w:r>
        <w:rPr>
          <w:color w:val="231F20"/>
          <w:spacing w:val="15"/>
        </w:rPr>
        <w:t>中心度排名前</w:t>
      </w:r>
      <w:r>
        <w:rPr>
          <w:color w:val="231F20"/>
        </w:rPr>
        <w:t xml:space="preserve">  </w:t>
      </w:r>
      <w:r>
        <w:rPr>
          <w:rFonts w:ascii="Times New Roman" w:eastAsia="Times New Roman" w:hAnsi="Times New Roman" w:cs="Times New Roman"/>
          <w:color w:val="231F20"/>
        </w:rPr>
        <w:tab/>
      </w:r>
      <w:r>
        <w:rPr>
          <w:rFonts w:ascii="Times New Roman" w:eastAsia="Times New Roman" w:hAnsi="Times New Roman" w:cs="Times New Roman"/>
          <w:color w:val="231F20"/>
          <w:spacing w:val="9"/>
        </w:rPr>
        <w:t>10%</w:t>
      </w:r>
      <w:r>
        <w:rPr>
          <w:color w:val="231F20"/>
          <w:spacing w:val="9"/>
        </w:rPr>
        <w:t>节点逐一失效后的网络特征值变化，并列出了</w:t>
      </w:r>
      <w:r>
        <w:rPr>
          <w:color w:val="231F20"/>
          <w:spacing w:val="5"/>
        </w:rPr>
        <w:t xml:space="preserve">  </w:t>
      </w:r>
      <w:r>
        <w:rPr>
          <w:color w:val="231F20"/>
          <w:spacing w:val="14"/>
        </w:rPr>
        <w:t>基于</w:t>
      </w:r>
      <w:r>
        <w:rPr>
          <w:color w:val="231F20"/>
          <w:spacing w:val="-28"/>
        </w:rPr>
        <w:t xml:space="preserve"> </w:t>
      </w:r>
      <w:r>
        <w:rPr>
          <w:rFonts w:ascii="Times New Roman" w:eastAsia="Times New Roman" w:hAnsi="Times New Roman" w:cs="Times New Roman"/>
          <w:color w:val="231F20"/>
        </w:rPr>
        <w:t>PageRank</w:t>
      </w:r>
      <w:r>
        <w:rPr>
          <w:color w:val="231F20"/>
          <w:spacing w:val="14"/>
        </w:rPr>
        <w:t xml:space="preserve">中心度前 </w:t>
      </w:r>
      <w:r>
        <w:rPr>
          <w:rFonts w:ascii="Times New Roman" w:eastAsia="Times New Roman" w:hAnsi="Times New Roman" w:cs="Times New Roman"/>
          <w:color w:val="231F20"/>
          <w:spacing w:val="14"/>
        </w:rPr>
        <w:t>10%</w:t>
      </w:r>
      <w:r>
        <w:rPr>
          <w:color w:val="231F20"/>
          <w:spacing w:val="14"/>
        </w:rPr>
        <w:t>节点失效后的变化率，</w:t>
      </w:r>
      <w:r>
        <w:rPr>
          <w:color w:val="231F20"/>
        </w:rPr>
        <w:t xml:space="preserve"> </w:t>
      </w:r>
      <w:r>
        <w:rPr>
          <w:color w:val="231F20"/>
          <w:spacing w:val="23"/>
        </w:rPr>
        <w:t>以此反映锂产业链全球贸易网络中重要节点国家</w:t>
      </w:r>
      <w:r>
        <w:rPr>
          <w:color w:val="231F20"/>
        </w:rPr>
        <w:t xml:space="preserve">  </w:t>
      </w:r>
      <w:r>
        <w:rPr>
          <w:color w:val="231F20"/>
          <w:spacing w:val="2"/>
        </w:rPr>
        <w:t>（地区）退出对锂产业链网络脆弱性的影响。</w:t>
      </w:r>
    </w:p>
    <w:p>
      <w:pPr>
        <w:pStyle w:val="BodyText"/>
        <w:spacing w:before="38" w:line="204" w:lineRule="auto"/>
        <w:ind w:left="80"/>
      </w:pPr>
      <w:r>
        <w:rPr>
          <w:rFonts w:ascii="Times New Roman" w:eastAsia="Times New Roman" w:hAnsi="Times New Roman" w:cs="Times New Roman"/>
          <w:b/>
          <w:bCs/>
          <w:color w:val="231F20"/>
          <w:spacing w:val="6"/>
        </w:rPr>
        <w:t xml:space="preserve">3.1.3  </w:t>
      </w:r>
      <w:r>
        <w:rPr>
          <w:color w:val="231F20"/>
          <w:spacing w:val="6"/>
        </w:rPr>
        <w:t>脆弱性评价指标</w:t>
      </w:r>
    </w:p>
    <w:p>
      <w:pPr>
        <w:pStyle w:val="BodyText"/>
        <w:spacing w:before="24" w:line="220" w:lineRule="auto"/>
        <w:ind w:left="79" w:right="244" w:firstLine="427"/>
        <w:jc w:val="both"/>
      </w:pPr>
      <w:r>
        <w:rPr>
          <w:color w:val="231F20"/>
          <w:spacing w:val="8"/>
        </w:rPr>
        <w:t xml:space="preserve">为了分析锂产业链贸易网络脆弱性变化，需要  </w:t>
      </w:r>
      <w:r>
        <w:rPr>
          <w:color w:val="231F20"/>
          <w:spacing w:val="17"/>
        </w:rPr>
        <w:t>选择对其影响最为相关的网络特征值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17"/>
        </w:rPr>
        <w:t>。现有网络</w:t>
      </w:r>
      <w:r>
        <w:rPr>
          <w:color w:val="231F20"/>
        </w:rPr>
        <w:t xml:space="preserve">  </w:t>
      </w:r>
      <w:r>
        <w:rPr>
          <w:color w:val="231F20"/>
          <w:spacing w:val="19"/>
        </w:rPr>
        <w:t>脆弱性研究可以细分为基于拓扑结构的脆弱性研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17"/>
        </w:rPr>
        <w:t>究和基于系统的脆弱性研究两类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17"/>
        </w:rPr>
        <w:t>。在基于拓扑结</w:t>
      </w:r>
      <w:r>
        <w:rPr>
          <w:color w:val="231F20"/>
        </w:rPr>
        <w:t xml:space="preserve">  </w:t>
      </w:r>
      <w:r>
        <w:rPr>
          <w:color w:val="231F20"/>
          <w:spacing w:val="9"/>
        </w:rPr>
        <w:t>构的脆弱性研究中，网络效率和连通性是两项重要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1"/>
        </w:rPr>
        <w:t>的性能指标</w:t>
      </w:r>
      <w:r>
        <w:rPr>
          <w:rFonts w:ascii="Times New Roman" w:eastAsia="Times New Roman" w:hAnsi="Times New Roman" w:cs="Times New Roman"/>
          <w:color w:val="231F20"/>
          <w:spacing w:val="1"/>
          <w:position w:val="8"/>
          <w:sz w:val="10"/>
          <w:szCs w:val="10"/>
        </w:rPr>
        <w:t>[47]</w:t>
      </w:r>
      <w:r>
        <w:rPr>
          <w:color w:val="231F20"/>
          <w:spacing w:val="1"/>
        </w:rPr>
        <w:t>；基于系统的脆弱性研究更侧重于网络</w:t>
      </w:r>
      <w:r>
        <w:rPr>
          <w:color w:val="231F20"/>
          <w:spacing w:val="6"/>
        </w:rPr>
        <w:t xml:space="preserve">  </w:t>
      </w:r>
      <w:r>
        <w:rPr>
          <w:color w:val="231F20"/>
          <w:spacing w:val="7"/>
        </w:rPr>
        <w:t>的功能性，网络流是反映网络性能的最佳指标</w:t>
      </w:r>
      <w:r>
        <w:rPr>
          <w:rFonts w:ascii="Times New Roman" w:eastAsia="Times New Roman" w:hAnsi="Times New Roman" w:cs="Times New Roman"/>
          <w:color w:val="231F20"/>
          <w:spacing w:val="7"/>
          <w:position w:val="8"/>
          <w:sz w:val="10"/>
          <w:szCs w:val="10"/>
        </w:rPr>
        <w:t>[4</w:t>
      </w:r>
      <w:r>
        <w:rPr>
          <w:rFonts w:ascii="Times New Roman" w:eastAsia="Times New Roman" w:hAnsi="Times New Roman" w:cs="Times New Roman"/>
          <w:color w:val="231F20"/>
          <w:spacing w:val="6"/>
          <w:position w:val="8"/>
          <w:sz w:val="10"/>
          <w:szCs w:val="10"/>
        </w:rPr>
        <w:t>8,49]</w:t>
      </w:r>
      <w:r>
        <w:rPr>
          <w:color w:val="231F20"/>
          <w:spacing w:val="6"/>
        </w:rPr>
        <w:t>。</w:t>
      </w:r>
      <w:r>
        <w:rPr>
          <w:color w:val="231F20"/>
        </w:rPr>
        <w:t xml:space="preserve"> </w:t>
      </w:r>
      <w:r>
        <w:rPr>
          <w:color w:val="231F20"/>
          <w:spacing w:val="9"/>
        </w:rPr>
        <w:t>本文选取了反映网络聚集程度的集聚系数，反映贸</w:t>
      </w:r>
      <w:r>
        <w:rPr>
          <w:color w:val="231F20"/>
          <w:spacing w:val="4"/>
        </w:rPr>
        <w:t xml:space="preserve">  </w:t>
      </w:r>
      <w:r>
        <w:rPr>
          <w:color w:val="231F20"/>
          <w:spacing w:val="9"/>
        </w:rPr>
        <w:t>易交互效率高低的平均最短路径，反映节点间互动</w:t>
      </w:r>
      <w:r>
        <w:rPr>
          <w:color w:val="231F20"/>
          <w:spacing w:val="4"/>
        </w:rPr>
        <w:t xml:space="preserve">  </w:t>
      </w:r>
      <w:r>
        <w:rPr>
          <w:color w:val="231F20"/>
          <w:spacing w:val="19"/>
        </w:rPr>
        <w:t>能力的介数中心性和反映网络中要素流动难易程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4" w:line="218" w:lineRule="auto"/>
        <w:ind w:left="3" w:right="78"/>
      </w:pPr>
      <w:r>
        <w:rPr>
          <w:color w:val="231F20"/>
          <w:spacing w:val="19"/>
        </w:rPr>
        <w:t>度的网络效率来量化锂产业链的网络脆弱性变化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1"/>
        </w:rPr>
        <w:t xml:space="preserve">情况，指标选取依据如表 </w:t>
      </w:r>
      <w:r>
        <w:rPr>
          <w:rFonts w:ascii="Times New Roman" w:eastAsia="Times New Roman" w:hAnsi="Times New Roman" w:cs="Times New Roman"/>
          <w:color w:val="231F20"/>
          <w:spacing w:val="-1"/>
        </w:rPr>
        <w:t>1</w:t>
      </w:r>
      <w:r>
        <w:rPr>
          <w:rFonts w:ascii="Times New Roman" w:eastAsia="Times New Roman" w:hAnsi="Times New Roman" w:cs="Times New Roman"/>
          <w:color w:val="231F20"/>
          <w:spacing w:val="-16"/>
        </w:rPr>
        <w:t xml:space="preserve"> </w:t>
      </w:r>
      <w:r>
        <w:rPr>
          <w:color w:val="231F20"/>
          <w:spacing w:val="-1"/>
        </w:rPr>
        <w:t>所示。</w:t>
      </w:r>
    </w:p>
    <w:p>
      <w:pPr>
        <w:pStyle w:val="BodyText"/>
        <w:spacing w:before="26" w:line="218" w:lineRule="auto"/>
        <w:ind w:left="2" w:right="14" w:firstLine="340"/>
      </w:pPr>
      <w:r>
        <w:rPr>
          <w:color w:val="231F20"/>
          <w:spacing w:val="-6"/>
        </w:rPr>
        <w:t>（</w:t>
      </w:r>
      <w:r>
        <w:rPr>
          <w:color w:val="231F20"/>
          <w:spacing w:val="-27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6"/>
        </w:rPr>
        <w:t>1</w:t>
      </w:r>
      <w:r>
        <w:rPr>
          <w:color w:val="231F20"/>
          <w:spacing w:val="-6"/>
        </w:rPr>
        <w:t>）集聚系数（</w:t>
      </w:r>
      <w:r>
        <w:rPr>
          <w:rFonts w:ascii="Times New Roman" w:eastAsia="Times New Roman" w:hAnsi="Times New Roman" w:cs="Times New Roman"/>
          <w:i/>
          <w:iCs/>
          <w:color w:val="231F20"/>
          <w:spacing w:val="-6"/>
        </w:rPr>
        <w:t>C</w:t>
      </w:r>
      <w:r>
        <w:rPr>
          <w:color w:val="231F20"/>
          <w:spacing w:val="-6"/>
        </w:rPr>
        <w:t>）在本文中反映了网络集聚性，</w:t>
      </w:r>
      <w:r>
        <w:rPr>
          <w:color w:val="231F20"/>
        </w:rPr>
        <w:t xml:space="preserve"> </w:t>
      </w:r>
      <w:r>
        <w:rPr>
          <w:color w:val="231F20"/>
          <w:spacing w:val="7"/>
        </w:rPr>
        <w:t>公式如下：</w:t>
      </w:r>
    </w:p>
    <w:p>
      <w:pPr>
        <w:pStyle w:val="BodyText"/>
        <w:spacing w:before="12" w:line="241" w:lineRule="auto"/>
        <w:jc w:val="right"/>
      </w:pPr>
      <w:r>
        <w:rPr>
          <w:rFonts w:ascii="Times New Roman" w:eastAsia="Times New Roman" w:hAnsi="Times New Roman" w:cs="Times New Roman"/>
          <w:i/>
          <w:iCs/>
          <w:color w:val="231F20"/>
          <w:spacing w:val="-5"/>
          <w:position w:val="5"/>
        </w:rPr>
        <w:t>C</w:t>
      </w:r>
      <w:r>
        <w:rPr>
          <w:rFonts w:ascii="Times New Roman" w:eastAsia="Times New Roman" w:hAnsi="Times New Roman" w:cs="Times New Roman"/>
          <w:i/>
          <w:iCs/>
          <w:color w:val="231F20"/>
          <w:spacing w:val="-15"/>
          <w:position w:val="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5"/>
          <w:position w:val="5"/>
        </w:rPr>
        <w:t xml:space="preserve">= </w:t>
      </w:r>
      <w:r>
        <w:rPr>
          <w:position w:val="-11"/>
        </w:rPr>
        <w:drawing>
          <wp:inline distT="0" distB="0" distL="0" distR="0">
            <wp:extent cx="114406" cy="257603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14406" cy="257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3"/>
        </w:rPr>
        <w:drawing>
          <wp:inline distT="0" distB="0" distL="0" distR="0">
            <wp:extent cx="166832" cy="31927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6832" cy="3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4"/>
        </w:rPr>
        <w:drawing>
          <wp:inline distT="0" distB="0" distL="0" distR="0">
            <wp:extent cx="454713" cy="309584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54713" cy="309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231F20"/>
          <w:spacing w:val="1"/>
          <w:position w:val="5"/>
        </w:rPr>
        <w:t xml:space="preserve">                      </w:t>
      </w:r>
      <w:r>
        <w:rPr>
          <w:color w:val="231F20"/>
          <w:spacing w:val="-5"/>
          <w:position w:val="5"/>
        </w:rPr>
        <w:t>（</w:t>
      </w:r>
      <w:r>
        <w:rPr>
          <w:color w:val="231F20"/>
          <w:spacing w:val="-16"/>
          <w:position w:val="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5"/>
          <w:position w:val="5"/>
        </w:rPr>
        <w:t>2</w:t>
      </w:r>
      <w:r>
        <w:rPr>
          <w:color w:val="231F20"/>
          <w:spacing w:val="-5"/>
          <w:position w:val="5"/>
        </w:rPr>
        <w:t>）</w:t>
      </w:r>
    </w:p>
    <w:p>
      <w:pPr>
        <w:pStyle w:val="BodyText"/>
        <w:spacing w:before="82" w:line="225" w:lineRule="auto"/>
        <w:ind w:left="4" w:right="76"/>
      </w:pPr>
      <w:r>
        <w:rPr>
          <w:color w:val="231F20"/>
          <w:spacing w:val="6"/>
        </w:rPr>
        <w:t>式中：</w:t>
      </w:r>
      <w:r>
        <w:rPr>
          <w:rFonts w:ascii="Times New Roman" w:eastAsia="Times New Roman" w:hAnsi="Times New Roman" w:cs="Times New Roman"/>
          <w:i/>
          <w:iCs/>
          <w:color w:val="231F20"/>
        </w:rPr>
        <w:t>k</w:t>
      </w:r>
      <w:r>
        <w:rPr>
          <w:rFonts w:ascii="Times New Roman" w:eastAsia="Times New Roman" w:hAnsi="Times New Roman" w:cs="Times New Roman"/>
          <w:i/>
          <w:iCs/>
          <w:color w:val="231F20"/>
          <w:position w:val="-5"/>
          <w:sz w:val="12"/>
          <w:szCs w:val="12"/>
        </w:rPr>
        <w:t>i</w:t>
      </w:r>
      <w:r>
        <w:rPr>
          <w:rFonts w:ascii="Times New Roman" w:eastAsia="Times New Roman" w:hAnsi="Times New Roman" w:cs="Times New Roman"/>
          <w:i/>
          <w:iCs/>
          <w:color w:val="231F20"/>
          <w:spacing w:val="6"/>
          <w:position w:val="-5"/>
          <w:sz w:val="12"/>
          <w:szCs w:val="12"/>
        </w:rPr>
        <w:t xml:space="preserve">  </w:t>
      </w:r>
      <w:r>
        <w:rPr>
          <w:color w:val="231F20"/>
          <w:spacing w:val="6"/>
        </w:rPr>
        <w:t xml:space="preserve">为节点 </w:t>
      </w:r>
      <w:r>
        <w:rPr>
          <w:rFonts w:ascii="Arial" w:eastAsia="Arial" w:hAnsi="Arial" w:cs="Arial"/>
          <w:i/>
          <w:iCs/>
          <w:color w:val="231F20"/>
          <w:spacing w:val="6"/>
        </w:rPr>
        <w:t xml:space="preserve">i </w:t>
      </w:r>
      <w:r>
        <w:rPr>
          <w:color w:val="231F20"/>
          <w:spacing w:val="6"/>
        </w:rPr>
        <w:t>的度值</w:t>
      </w:r>
      <w:r>
        <w:rPr>
          <w:rFonts w:ascii="Times New Roman" w:eastAsia="Times New Roman" w:hAnsi="Times New Roman" w:cs="Times New Roman"/>
          <w:color w:val="231F20"/>
          <w:spacing w:val="6"/>
        </w:rPr>
        <w:t xml:space="preserve">; </w:t>
      </w:r>
      <w:r>
        <w:rPr>
          <w:rFonts w:ascii="Times New Roman" w:eastAsia="Times New Roman" w:hAnsi="Times New Roman" w:cs="Times New Roman"/>
          <w:i/>
          <w:iCs/>
          <w:color w:val="231F20"/>
          <w:spacing w:val="6"/>
        </w:rPr>
        <w:t xml:space="preserve">m </w:t>
      </w:r>
      <w:r>
        <w:rPr>
          <w:color w:val="231F20"/>
          <w:spacing w:val="6"/>
        </w:rPr>
        <w:t xml:space="preserve">为节点 </w:t>
      </w:r>
      <w:r>
        <w:rPr>
          <w:rFonts w:ascii="Times New Roman" w:eastAsia="Times New Roman" w:hAnsi="Times New Roman" w:cs="Times New Roman"/>
          <w:i/>
          <w:iCs/>
          <w:color w:val="231F20"/>
          <w:spacing w:val="6"/>
        </w:rPr>
        <w:t>i</w:t>
      </w:r>
      <w:r>
        <w:rPr>
          <w:rFonts w:ascii="Times New Roman" w:eastAsia="Times New Roman" w:hAnsi="Times New Roman" w:cs="Times New Roman"/>
          <w:i/>
          <w:iCs/>
          <w:color w:val="231F20"/>
          <w:spacing w:val="27"/>
          <w:w w:val="101"/>
        </w:rPr>
        <w:t xml:space="preserve"> </w:t>
      </w:r>
      <w:r>
        <w:rPr>
          <w:color w:val="231F20"/>
          <w:spacing w:val="6"/>
        </w:rPr>
        <w:t>的</w:t>
      </w:r>
      <w:r>
        <w:rPr>
          <w:color w:val="231F20"/>
          <w:spacing w:val="5"/>
        </w:rPr>
        <w:t>各邻居之间</w:t>
      </w:r>
      <w:r>
        <w:rPr>
          <w:color w:val="231F20"/>
        </w:rPr>
        <w:t xml:space="preserve"> </w:t>
      </w:r>
      <w:r>
        <w:rPr>
          <w:color w:val="231F20"/>
          <w:spacing w:val="7"/>
        </w:rPr>
        <w:t>边的数量。</w:t>
      </w:r>
    </w:p>
    <w:p>
      <w:pPr>
        <w:pStyle w:val="BodyText"/>
        <w:spacing w:before="26" w:line="218" w:lineRule="auto"/>
        <w:ind w:left="3" w:right="77" w:firstLine="339"/>
      </w:pPr>
      <w:r>
        <w:rPr>
          <w:color w:val="231F20"/>
          <w:spacing w:val="2"/>
        </w:rPr>
        <w:t>（</w:t>
      </w:r>
      <w:r>
        <w:rPr>
          <w:rFonts w:ascii="Times New Roman" w:eastAsia="Times New Roman" w:hAnsi="Times New Roman" w:cs="Times New Roman"/>
          <w:color w:val="231F20"/>
          <w:spacing w:val="2"/>
        </w:rPr>
        <w:t>2</w:t>
      </w:r>
      <w:r>
        <w:rPr>
          <w:color w:val="231F20"/>
          <w:spacing w:val="2"/>
        </w:rPr>
        <w:t>）平均最短路径（</w:t>
      </w:r>
      <w:r>
        <w:rPr>
          <w:rFonts w:ascii="Times New Roman" w:eastAsia="Times New Roman" w:hAnsi="Times New Roman" w:cs="Times New Roman"/>
          <w:i/>
          <w:iCs/>
          <w:color w:val="231F20"/>
          <w:spacing w:val="2"/>
        </w:rPr>
        <w:t>L</w:t>
      </w:r>
      <w:r>
        <w:rPr>
          <w:color w:val="231F20"/>
          <w:spacing w:val="2"/>
        </w:rPr>
        <w:t>）在本文中反映了网络传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5"/>
        </w:rPr>
        <w:t>输性，公式如下：</w:t>
      </w:r>
    </w:p>
    <w:p>
      <w:pPr>
        <w:pStyle w:val="BodyText"/>
        <w:spacing w:before="14"/>
        <w:jc w:val="right"/>
      </w:pPr>
      <w:r>
        <w:rPr>
          <w:rFonts w:ascii="Times New Roman" w:eastAsia="Times New Roman" w:hAnsi="Times New Roman" w:cs="Times New Roman"/>
          <w:i/>
          <w:iCs/>
          <w:color w:val="231F20"/>
          <w:spacing w:val="-2"/>
          <w:position w:val="5"/>
        </w:rPr>
        <w:t>L</w:t>
      </w:r>
      <w:r>
        <w:rPr>
          <w:rFonts w:ascii="Times New Roman" w:eastAsia="Times New Roman" w:hAnsi="Times New Roman" w:cs="Times New Roman"/>
          <w:i/>
          <w:iCs/>
          <w:color w:val="231F20"/>
          <w:spacing w:val="-3"/>
          <w:position w:val="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2"/>
          <w:position w:val="5"/>
        </w:rPr>
        <w:t xml:space="preserve">= </w:t>
      </w:r>
      <w:r>
        <w:rPr>
          <w:position w:val="-12"/>
        </w:rPr>
        <w:drawing>
          <wp:inline distT="0" distB="0" distL="0" distR="0">
            <wp:extent cx="400009" cy="258403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0009" cy="258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4"/>
        </w:rPr>
        <w:drawing>
          <wp:inline distT="0" distB="0" distL="0" distR="0">
            <wp:extent cx="166846" cy="31927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6846" cy="3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4"/>
        </w:rPr>
        <w:drawing>
          <wp:inline distT="0" distB="0" distL="0" distR="0">
            <wp:extent cx="166846" cy="319275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6846" cy="3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color w:val="231F20"/>
          <w:spacing w:val="-2"/>
          <w:position w:val="5"/>
        </w:rPr>
        <w:t>d</w:t>
      </w:r>
      <w:r>
        <w:rPr>
          <w:rFonts w:ascii="Times New Roman" w:eastAsia="Times New Roman" w:hAnsi="Times New Roman" w:cs="Times New Roman"/>
          <w:i/>
          <w:iCs/>
          <w:color w:val="231F20"/>
          <w:spacing w:val="-2"/>
          <w:sz w:val="12"/>
          <w:szCs w:val="12"/>
        </w:rPr>
        <w:t xml:space="preserve">ij                                     </w:t>
      </w:r>
      <w:r>
        <w:rPr>
          <w:color w:val="231F20"/>
          <w:spacing w:val="-2"/>
          <w:position w:val="5"/>
        </w:rPr>
        <w:t>（</w:t>
      </w:r>
      <w:r>
        <w:rPr>
          <w:color w:val="231F20"/>
          <w:spacing w:val="-26"/>
          <w:position w:val="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2"/>
          <w:position w:val="5"/>
        </w:rPr>
        <w:t>3</w:t>
      </w:r>
      <w:r>
        <w:rPr>
          <w:color w:val="231F20"/>
          <w:spacing w:val="-2"/>
          <w:position w:val="5"/>
        </w:rPr>
        <w:t>）</w:t>
      </w:r>
    </w:p>
    <w:p>
      <w:pPr>
        <w:pStyle w:val="BodyText"/>
        <w:spacing w:before="106" w:line="234" w:lineRule="auto"/>
        <w:ind w:left="4" w:right="76"/>
      </w:pPr>
      <w:r>
        <w:rPr>
          <w:color w:val="231F20"/>
          <w:spacing w:val="8"/>
        </w:rPr>
        <w:t>式中：</w:t>
      </w:r>
      <w:r>
        <w:rPr>
          <w:rFonts w:ascii="Times New Roman" w:eastAsia="Times New Roman" w:hAnsi="Times New Roman" w:cs="Times New Roman"/>
          <w:i/>
          <w:iCs/>
          <w:color w:val="231F20"/>
        </w:rPr>
        <w:t>d</w:t>
      </w:r>
      <w:r>
        <w:rPr>
          <w:rFonts w:ascii="Times New Roman" w:eastAsia="Times New Roman" w:hAnsi="Times New Roman" w:cs="Times New Roman"/>
          <w:i/>
          <w:iCs/>
          <w:color w:val="231F20"/>
          <w:position w:val="-5"/>
          <w:sz w:val="12"/>
          <w:szCs w:val="12"/>
        </w:rPr>
        <w:t>ij</w:t>
      </w:r>
      <w:r>
        <w:rPr>
          <w:rFonts w:ascii="Times New Roman" w:eastAsia="Times New Roman" w:hAnsi="Times New Roman" w:cs="Times New Roman"/>
          <w:i/>
          <w:iCs/>
          <w:color w:val="231F20"/>
          <w:spacing w:val="8"/>
          <w:position w:val="-5"/>
          <w:sz w:val="12"/>
          <w:szCs w:val="12"/>
        </w:rPr>
        <w:t xml:space="preserve">  </w:t>
      </w:r>
      <w:r>
        <w:rPr>
          <w:color w:val="231F20"/>
          <w:spacing w:val="8"/>
        </w:rPr>
        <w:t xml:space="preserve">为节点 </w:t>
      </w:r>
      <w:r>
        <w:rPr>
          <w:rFonts w:ascii="Times New Roman" w:eastAsia="Times New Roman" w:hAnsi="Times New Roman" w:cs="Times New Roman"/>
          <w:i/>
          <w:iCs/>
          <w:color w:val="231F20"/>
          <w:spacing w:val="8"/>
        </w:rPr>
        <w:t>i</w:t>
      </w:r>
      <w:r>
        <w:rPr>
          <w:rFonts w:ascii="Times New Roman" w:eastAsia="Times New Roman" w:hAnsi="Times New Roman" w:cs="Times New Roman"/>
          <w:i/>
          <w:iCs/>
          <w:color w:val="231F20"/>
          <w:spacing w:val="27"/>
          <w:w w:val="101"/>
        </w:rPr>
        <w:t xml:space="preserve"> </w:t>
      </w:r>
      <w:r>
        <w:rPr>
          <w:color w:val="231F20"/>
          <w:spacing w:val="8"/>
        </w:rPr>
        <w:t xml:space="preserve">和节点 </w:t>
      </w:r>
      <w:r>
        <w:rPr>
          <w:rFonts w:ascii="Times New Roman" w:eastAsia="Times New Roman" w:hAnsi="Times New Roman" w:cs="Times New Roman"/>
          <w:i/>
          <w:iCs/>
          <w:color w:val="231F20"/>
          <w:spacing w:val="8"/>
        </w:rPr>
        <w:t>j</w:t>
      </w:r>
      <w:r>
        <w:rPr>
          <w:rFonts w:ascii="Times New Roman" w:eastAsia="Times New Roman" w:hAnsi="Times New Roman" w:cs="Times New Roman"/>
          <w:i/>
          <w:iCs/>
          <w:color w:val="231F20"/>
          <w:spacing w:val="19"/>
        </w:rPr>
        <w:t xml:space="preserve"> </w:t>
      </w:r>
      <w:r>
        <w:rPr>
          <w:color w:val="231F20"/>
          <w:spacing w:val="8"/>
        </w:rPr>
        <w:t>之间的最短路径，即最</w:t>
      </w:r>
      <w:r>
        <w:rPr>
          <w:color w:val="231F20"/>
        </w:rPr>
        <w:t xml:space="preserve"> </w:t>
      </w:r>
      <w:r>
        <w:rPr>
          <w:color w:val="231F20"/>
          <w:spacing w:val="6"/>
        </w:rPr>
        <w:t>短边数。</w:t>
      </w:r>
    </w:p>
    <w:p>
      <w:pPr>
        <w:pStyle w:val="BodyText"/>
        <w:spacing w:before="26" w:line="218" w:lineRule="auto"/>
        <w:ind w:left="3" w:right="76" w:firstLine="339"/>
      </w:pPr>
      <w:r>
        <w:rPr>
          <w:color w:val="231F20"/>
          <w:spacing w:val="-4"/>
        </w:rPr>
        <w:t>（</w:t>
      </w:r>
      <w:r>
        <w:rPr>
          <w:rFonts w:ascii="Times New Roman" w:eastAsia="Times New Roman" w:hAnsi="Times New Roman" w:cs="Times New Roman"/>
          <w:color w:val="231F20"/>
          <w:spacing w:val="-4"/>
        </w:rPr>
        <w:t>3</w:t>
      </w:r>
      <w:r>
        <w:rPr>
          <w:color w:val="231F20"/>
          <w:spacing w:val="-4"/>
        </w:rPr>
        <w:t>）介数中心性（</w:t>
      </w:r>
      <w:r>
        <w:rPr>
          <w:rFonts w:ascii="Times New Roman" w:eastAsia="Times New Roman" w:hAnsi="Times New Roman" w:cs="Times New Roman"/>
          <w:i/>
          <w:iCs/>
          <w:color w:val="231F20"/>
          <w:spacing w:val="-4"/>
        </w:rPr>
        <w:t>BC</w:t>
      </w:r>
      <w:r>
        <w:rPr>
          <w:color w:val="231F20"/>
          <w:spacing w:val="-4"/>
        </w:rPr>
        <w:t>）在本文中反映了网络互动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7"/>
        </w:rPr>
        <w:t>性，公式如下：</w:t>
      </w:r>
    </w:p>
    <w:p>
      <w:pPr>
        <w:pStyle w:val="BodyText"/>
        <w:spacing w:before="11" w:line="560" w:lineRule="exact"/>
        <w:jc w:val="right"/>
      </w:pPr>
      <w:r>
        <w:rPr>
          <w:rFonts w:ascii="Times New Roman" w:eastAsia="Times New Roman" w:hAnsi="Times New Roman" w:cs="Times New Roman"/>
          <w:i/>
          <w:iCs/>
          <w:color w:val="231F20"/>
          <w:spacing w:val="-3"/>
          <w:position w:val="9"/>
        </w:rPr>
        <w:t>BC</w:t>
      </w:r>
      <w:r>
        <w:rPr>
          <w:rFonts w:ascii="Times New Roman" w:eastAsia="Times New Roman" w:hAnsi="Times New Roman" w:cs="Times New Roman"/>
          <w:i/>
          <w:iCs/>
          <w:color w:val="231F20"/>
          <w:spacing w:val="-3"/>
          <w:position w:val="5"/>
          <w:sz w:val="12"/>
          <w:szCs w:val="12"/>
        </w:rPr>
        <w:t>i</w:t>
      </w:r>
      <w:r>
        <w:rPr>
          <w:rFonts w:ascii="Times New Roman" w:eastAsia="Times New Roman" w:hAnsi="Times New Roman" w:cs="Times New Roman"/>
          <w:i/>
          <w:iCs/>
          <w:color w:val="231F20"/>
          <w:spacing w:val="29"/>
          <w:position w:val="5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3"/>
          <w:position w:val="9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231F20"/>
          <w:spacing w:val="-3"/>
          <w:position w:val="-8"/>
          <w:sz w:val="12"/>
          <w:szCs w:val="12"/>
        </w:rPr>
        <w:t>s</w:t>
      </w:r>
      <w:r>
        <w:rPr>
          <w:position w:val="-11"/>
          <w:sz w:val="12"/>
          <w:szCs w:val="12"/>
        </w:rPr>
        <w:drawing>
          <wp:inline distT="0" distB="0" distL="0" distR="0">
            <wp:extent cx="171816" cy="299774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71816" cy="299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color w:val="231F20"/>
          <w:spacing w:val="-3"/>
          <w:position w:val="-8"/>
          <w:sz w:val="12"/>
          <w:szCs w:val="12"/>
        </w:rPr>
        <w:t>l</w:t>
      </w:r>
      <w:r>
        <w:rPr>
          <w:rFonts w:ascii="Times New Roman" w:eastAsia="Times New Roman" w:hAnsi="Times New Roman" w:cs="Times New Roman"/>
          <w:i/>
          <w:iCs/>
          <w:color w:val="231F20"/>
          <w:spacing w:val="-9"/>
          <w:position w:val="-8"/>
          <w:sz w:val="12"/>
          <w:szCs w:val="12"/>
        </w:rPr>
        <w:t xml:space="preserve"> </w:t>
      </w:r>
      <w:r>
        <w:rPr>
          <w:position w:val="-11"/>
          <w:sz w:val="12"/>
          <w:szCs w:val="12"/>
        </w:rPr>
        <w:drawing>
          <wp:inline distT="0" distB="0" distL="0" distR="0">
            <wp:extent cx="160354" cy="352829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0354" cy="352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color w:val="231F20"/>
          <w:spacing w:val="1"/>
          <w:position w:val="-8"/>
          <w:sz w:val="12"/>
          <w:szCs w:val="12"/>
        </w:rPr>
        <w:t xml:space="preserve">                       </w:t>
      </w:r>
      <w:r>
        <w:rPr>
          <w:rFonts w:ascii="Times New Roman" w:eastAsia="Times New Roman" w:hAnsi="Times New Roman" w:cs="Times New Roman"/>
          <w:i/>
          <w:iCs/>
          <w:color w:val="231F20"/>
          <w:position w:val="-8"/>
          <w:sz w:val="12"/>
          <w:szCs w:val="12"/>
        </w:rPr>
        <w:t xml:space="preserve">                    </w:t>
      </w:r>
      <w:r>
        <w:rPr>
          <w:color w:val="231F20"/>
          <w:spacing w:val="-3"/>
          <w:position w:val="9"/>
        </w:rPr>
        <w:t>（</w:t>
      </w:r>
      <w:r>
        <w:rPr>
          <w:color w:val="231F20"/>
          <w:spacing w:val="-29"/>
          <w:position w:val="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3"/>
          <w:position w:val="9"/>
        </w:rPr>
        <w:t>4</w:t>
      </w:r>
      <w:r>
        <w:rPr>
          <w:color w:val="231F20"/>
          <w:spacing w:val="-3"/>
          <w:position w:val="9"/>
        </w:rPr>
        <w:t>）</w:t>
      </w:r>
    </w:p>
    <w:p>
      <w:pPr>
        <w:pStyle w:val="BodyText"/>
        <w:spacing w:before="80" w:line="299" w:lineRule="exact"/>
        <w:ind w:left="4"/>
      </w:pPr>
      <w:r>
        <w:rPr>
          <w:color w:val="231F20"/>
          <w:spacing w:val="6"/>
          <w:position w:val="3"/>
        </w:rPr>
        <w:t>式中：</w:t>
      </w:r>
      <w:r>
        <w:rPr>
          <w:rFonts w:ascii="Times New Roman" w:eastAsia="Times New Roman" w:hAnsi="Times New Roman" w:cs="Times New Roman"/>
          <w:i/>
          <w:iCs/>
          <w:color w:val="231F20"/>
          <w:position w:val="3"/>
        </w:rPr>
        <w:t>g</w:t>
      </w:r>
      <w:r>
        <w:ruby>
          <w:rubyPr>
            <w:rubyAlign w:val="left"/>
            <w:hps w:val="12"/>
            <w:hpsRaise w:val="8"/>
            <w:hpsBaseText w:val="20"/>
          </w:rubyPr>
          <w:rt>
            <w:r>
              <w:rPr>
                <w:rFonts w:ascii="Times New Roman" w:eastAsia="Times New Roman" w:hAnsi="Times New Roman" w:cs="Times New Roman"/>
                <w:i/>
                <w:iCs/>
                <w:color w:val="231F20"/>
                <w:w w:val="147"/>
                <w:position w:val="3"/>
                <w:sz w:val="12"/>
                <w:szCs w:val="12"/>
              </w:rPr>
              <w:t>i</w:t>
            </w:r>
          </w:rt>
          <w:rubyBase>
            <w:r>
              <w:rPr>
                <w:rFonts w:ascii="Times New Roman" w:eastAsia="Times New Roman" w:hAnsi="Times New Roman" w:cs="Times New Roman"/>
                <w:i/>
                <w:iCs/>
                <w:color w:val="231F20"/>
                <w:w w:val="114"/>
                <w:position w:val="-2"/>
                <w:sz w:val="12"/>
                <w:szCs w:val="12"/>
              </w:rPr>
              <w:t>s</w:t>
            </w:r>
          </w:rubyBase>
        </w:ruby>
      </w:r>
      <w:r>
        <w:rPr>
          <w:rFonts w:ascii="Times New Roman" w:eastAsia="Times New Roman" w:hAnsi="Times New Roman" w:cs="Times New Roman"/>
          <w:i/>
          <w:iCs/>
          <w:color w:val="231F20"/>
          <w:position w:val="-2"/>
          <w:sz w:val="12"/>
          <w:szCs w:val="12"/>
        </w:rPr>
        <w:t>l</w:t>
      </w:r>
      <w:r>
        <w:rPr>
          <w:rFonts w:ascii="Times New Roman" w:eastAsia="Times New Roman" w:hAnsi="Times New Roman" w:cs="Times New Roman"/>
          <w:i/>
          <w:iCs/>
          <w:color w:val="231F20"/>
          <w:spacing w:val="6"/>
          <w:position w:val="-2"/>
          <w:sz w:val="12"/>
          <w:szCs w:val="12"/>
        </w:rPr>
        <w:t xml:space="preserve">  </w:t>
      </w:r>
      <w:r>
        <w:rPr>
          <w:color w:val="231F20"/>
          <w:spacing w:val="6"/>
          <w:position w:val="3"/>
        </w:rPr>
        <w:t xml:space="preserve">为这些路径经过节点 </w:t>
      </w:r>
      <w:r>
        <w:rPr>
          <w:rFonts w:ascii="Arial" w:eastAsia="Arial" w:hAnsi="Arial" w:cs="Arial"/>
          <w:i/>
          <w:iCs/>
          <w:color w:val="231F20"/>
          <w:spacing w:val="6"/>
          <w:position w:val="3"/>
        </w:rPr>
        <w:t xml:space="preserve">i </w:t>
      </w:r>
      <w:r>
        <w:rPr>
          <w:color w:val="231F20"/>
          <w:spacing w:val="6"/>
          <w:position w:val="3"/>
        </w:rPr>
        <w:t>的次数；</w:t>
      </w:r>
      <w:r>
        <w:rPr>
          <w:rFonts w:ascii="Times New Roman" w:eastAsia="Times New Roman" w:hAnsi="Times New Roman" w:cs="Times New Roman"/>
          <w:i/>
          <w:iCs/>
          <w:color w:val="231F20"/>
          <w:position w:val="3"/>
        </w:rPr>
        <w:t>g</w:t>
      </w:r>
      <w:r>
        <w:rPr>
          <w:rFonts w:ascii="Times New Roman" w:eastAsia="Times New Roman" w:hAnsi="Times New Roman" w:cs="Times New Roman"/>
          <w:i/>
          <w:iCs/>
          <w:color w:val="231F20"/>
          <w:position w:val="-2"/>
          <w:sz w:val="12"/>
          <w:szCs w:val="12"/>
        </w:rPr>
        <w:t>sl</w:t>
      </w:r>
      <w:r>
        <w:rPr>
          <w:rFonts w:ascii="Times New Roman" w:eastAsia="Times New Roman" w:hAnsi="Times New Roman" w:cs="Times New Roman"/>
          <w:i/>
          <w:iCs/>
          <w:color w:val="231F20"/>
          <w:spacing w:val="6"/>
          <w:position w:val="-2"/>
          <w:sz w:val="12"/>
          <w:szCs w:val="12"/>
        </w:rPr>
        <w:t xml:space="preserve">  </w:t>
      </w:r>
      <w:r>
        <w:rPr>
          <w:color w:val="231F20"/>
          <w:spacing w:val="6"/>
          <w:position w:val="3"/>
        </w:rPr>
        <w:t>为节点</w:t>
      </w:r>
    </w:p>
    <w:p>
      <w:pPr>
        <w:pStyle w:val="BodyText"/>
        <w:spacing w:before="65" w:line="208" w:lineRule="auto"/>
      </w:pPr>
      <w:r>
        <w:rPr>
          <w:rFonts w:ascii="Times New Roman" w:eastAsia="Times New Roman" w:hAnsi="Times New Roman" w:cs="Times New Roman"/>
          <w:i/>
          <w:iCs/>
          <w:color w:val="231F20"/>
          <w:spacing w:val="8"/>
        </w:rPr>
        <w:t xml:space="preserve">s </w:t>
      </w:r>
      <w:r>
        <w:rPr>
          <w:color w:val="231F20"/>
          <w:spacing w:val="8"/>
        </w:rPr>
        <w:t>到节点</w:t>
      </w:r>
      <w:r>
        <w:rPr>
          <w:color w:val="231F20"/>
          <w:spacing w:val="-1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231F20"/>
          <w:spacing w:val="8"/>
        </w:rPr>
        <w:t>l</w:t>
      </w:r>
      <w:r>
        <w:rPr>
          <w:color w:val="231F20"/>
          <w:spacing w:val="8"/>
        </w:rPr>
        <w:t>的最短路径的数量。</w:t>
      </w:r>
    </w:p>
    <w:p>
      <w:pPr>
        <w:pStyle w:val="BodyText"/>
        <w:spacing w:before="28" w:line="218" w:lineRule="auto"/>
        <w:ind w:left="2" w:right="14" w:firstLine="340"/>
      </w:pPr>
      <w:r>
        <w:rPr>
          <w:color w:val="231F20"/>
          <w:spacing w:val="-4"/>
        </w:rPr>
        <w:t>（</w:t>
      </w:r>
      <w:r>
        <w:rPr>
          <w:rFonts w:ascii="Times New Roman" w:eastAsia="Times New Roman" w:hAnsi="Times New Roman" w:cs="Times New Roman"/>
          <w:color w:val="231F20"/>
          <w:spacing w:val="-4"/>
        </w:rPr>
        <w:t>4</w:t>
      </w:r>
      <w:r>
        <w:rPr>
          <w:color w:val="231F20"/>
          <w:spacing w:val="-4"/>
        </w:rPr>
        <w:t>）网络效率（</w:t>
      </w:r>
      <w:r>
        <w:rPr>
          <w:rFonts w:ascii="Times New Roman" w:eastAsia="Times New Roman" w:hAnsi="Times New Roman" w:cs="Times New Roman"/>
          <w:i/>
          <w:iCs/>
          <w:color w:val="231F20"/>
          <w:spacing w:val="-4"/>
        </w:rPr>
        <w:t>E</w:t>
      </w:r>
      <w:r>
        <w:rPr>
          <w:color w:val="231F20"/>
          <w:spacing w:val="-4"/>
        </w:rPr>
        <w:t>）在本文中反映了网络效</w:t>
      </w:r>
      <w:r>
        <w:rPr>
          <w:color w:val="231F20"/>
          <w:spacing w:val="-5"/>
        </w:rPr>
        <w:t>率性，</w:t>
      </w:r>
      <w:r>
        <w:rPr>
          <w:color w:val="231F20"/>
        </w:rPr>
        <w:t xml:space="preserve"> </w:t>
      </w:r>
      <w:r>
        <w:rPr>
          <w:color w:val="231F20"/>
          <w:spacing w:val="7"/>
        </w:rPr>
        <w:t>公式如下：</w:t>
      </w:r>
    </w:p>
    <w:p>
      <w:pPr>
        <w:pStyle w:val="BodyText"/>
        <w:spacing w:before="9" w:line="236" w:lineRule="auto"/>
        <w:jc w:val="right"/>
      </w:pPr>
      <w:r>
        <w:rPr>
          <w:rFonts w:ascii="Times New Roman" w:eastAsia="Times New Roman" w:hAnsi="Times New Roman" w:cs="Times New Roman"/>
          <w:i/>
          <w:iCs/>
          <w:color w:val="231F20"/>
          <w:spacing w:val="-1"/>
          <w:position w:val="6"/>
        </w:rPr>
        <w:t>E</w:t>
      </w:r>
      <w:r>
        <w:rPr>
          <w:rFonts w:ascii="Times New Roman" w:eastAsia="Times New Roman" w:hAnsi="Times New Roman" w:cs="Times New Roman"/>
          <w:i/>
          <w:iCs/>
          <w:color w:val="231F20"/>
          <w:spacing w:val="-11"/>
          <w:position w:val="6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1"/>
          <w:position w:val="6"/>
        </w:rPr>
        <w:t xml:space="preserve">= </w:t>
      </w:r>
      <w:r>
        <w:rPr>
          <w:position w:val="-10"/>
        </w:rPr>
        <w:drawing>
          <wp:inline distT="0" distB="0" distL="0" distR="0">
            <wp:extent cx="409881" cy="258403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09881" cy="258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4"/>
        </w:rPr>
        <w:drawing>
          <wp:inline distT="0" distB="0" distL="0" distR="0">
            <wp:extent cx="170964" cy="339430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70964" cy="33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color w:val="231F20"/>
          <w:spacing w:val="-1"/>
          <w:position w:val="-12"/>
          <w:sz w:val="12"/>
          <w:szCs w:val="12"/>
        </w:rPr>
        <w:t>j</w:t>
      </w:r>
      <w:r>
        <w:rPr>
          <w:rFonts w:ascii="Times New Roman" w:eastAsia="Times New Roman" w:hAnsi="Times New Roman" w:cs="Times New Roman"/>
          <w:i/>
          <w:iCs/>
          <w:color w:val="231F20"/>
          <w:spacing w:val="-8"/>
          <w:position w:val="-12"/>
          <w:sz w:val="12"/>
          <w:szCs w:val="12"/>
        </w:rPr>
        <w:t xml:space="preserve"> </w:t>
      </w:r>
      <w:r>
        <w:rPr>
          <w:position w:val="-14"/>
          <w:sz w:val="12"/>
          <w:szCs w:val="12"/>
        </w:rPr>
        <w:drawing>
          <wp:inline distT="0" distB="0" distL="0" distR="0">
            <wp:extent cx="200467" cy="33943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00467" cy="33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color w:val="231F20"/>
          <w:spacing w:val="-1"/>
          <w:position w:val="-12"/>
          <w:sz w:val="12"/>
          <w:szCs w:val="12"/>
        </w:rPr>
        <w:t>j</w:t>
      </w:r>
      <w:r>
        <w:rPr>
          <w:rFonts w:ascii="Times New Roman" w:eastAsia="Times New Roman" w:hAnsi="Times New Roman" w:cs="Times New Roman"/>
          <w:color w:val="231F20"/>
          <w:spacing w:val="-1"/>
          <w:position w:val="-12"/>
          <w:sz w:val="12"/>
          <w:szCs w:val="12"/>
        </w:rPr>
        <w:t>)</w:t>
      </w:r>
      <w:r>
        <w:rPr>
          <w:rFonts w:ascii="Times New Roman" w:eastAsia="Times New Roman" w:hAnsi="Times New Roman" w:cs="Times New Roman"/>
          <w:i/>
          <w:iCs/>
          <w:color w:val="231F20"/>
          <w:spacing w:val="-1"/>
          <w:position w:val="6"/>
        </w:rPr>
        <w:t>h</w:t>
      </w:r>
      <w:r>
        <w:rPr>
          <w:rFonts w:ascii="Times New Roman" w:eastAsia="Times New Roman" w:hAnsi="Times New Roman" w:cs="Times New Roman"/>
          <w:i/>
          <w:iCs/>
          <w:color w:val="231F20"/>
          <w:spacing w:val="-1"/>
          <w:position w:val="1"/>
          <w:sz w:val="12"/>
          <w:szCs w:val="12"/>
        </w:rPr>
        <w:t>ij</w:t>
      </w:r>
      <w:r>
        <w:rPr>
          <w:rFonts w:ascii="Times New Roman" w:eastAsia="Times New Roman" w:hAnsi="Times New Roman" w:cs="Times New Roman"/>
          <w:i/>
          <w:iCs/>
          <w:color w:val="231F20"/>
          <w:position w:val="1"/>
          <w:sz w:val="12"/>
          <w:szCs w:val="12"/>
        </w:rPr>
        <w:t xml:space="preserve">                               </w:t>
      </w:r>
      <w:r>
        <w:rPr>
          <w:color w:val="231F20"/>
          <w:spacing w:val="-1"/>
          <w:position w:val="6"/>
        </w:rPr>
        <w:t>（</w:t>
      </w:r>
      <w:r>
        <w:rPr>
          <w:color w:val="231F20"/>
          <w:spacing w:val="-9"/>
          <w:position w:val="6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1"/>
          <w:position w:val="6"/>
        </w:rPr>
        <w:t>5</w:t>
      </w:r>
      <w:r>
        <w:rPr>
          <w:color w:val="231F20"/>
          <w:spacing w:val="-1"/>
          <w:position w:val="6"/>
        </w:rPr>
        <w:t>）</w:t>
      </w:r>
    </w:p>
    <w:p>
      <w:pPr>
        <w:pStyle w:val="BodyText"/>
        <w:spacing w:before="117" w:line="204" w:lineRule="auto"/>
        <w:ind w:left="4"/>
      </w:pPr>
      <w:r>
        <w:rPr>
          <w:color w:val="231F20"/>
          <w:spacing w:val="1"/>
        </w:rPr>
        <w:t>式中：</w:t>
      </w:r>
      <w:r>
        <w:rPr>
          <w:rFonts w:ascii="Times New Roman" w:eastAsia="Times New Roman" w:hAnsi="Times New Roman" w:cs="Times New Roman"/>
          <w:i/>
          <w:iCs/>
          <w:color w:val="231F20"/>
        </w:rPr>
        <w:t>h</w:t>
      </w:r>
      <w:r>
        <w:rPr>
          <w:rFonts w:ascii="Times New Roman" w:eastAsia="Times New Roman" w:hAnsi="Times New Roman" w:cs="Times New Roman"/>
          <w:i/>
          <w:iCs/>
          <w:color w:val="231F20"/>
          <w:position w:val="-4"/>
          <w:sz w:val="12"/>
          <w:szCs w:val="12"/>
        </w:rPr>
        <w:t>ij</w:t>
      </w:r>
      <w:r>
        <w:rPr>
          <w:rFonts w:ascii="Times New Roman" w:eastAsia="Times New Roman" w:hAnsi="Times New Roman" w:cs="Times New Roman"/>
          <w:i/>
          <w:iCs/>
          <w:color w:val="231F20"/>
          <w:spacing w:val="1"/>
          <w:position w:val="-4"/>
          <w:sz w:val="12"/>
          <w:szCs w:val="12"/>
        </w:rPr>
        <w:t xml:space="preserve">  </w:t>
      </w:r>
      <w:r>
        <w:rPr>
          <w:color w:val="231F20"/>
          <w:spacing w:val="1"/>
        </w:rPr>
        <w:t xml:space="preserve">为距离 </w:t>
      </w:r>
      <w:r>
        <w:rPr>
          <w:rFonts w:ascii="Times New Roman" w:eastAsia="Times New Roman" w:hAnsi="Times New Roman" w:cs="Times New Roman"/>
          <w:i/>
          <w:iCs/>
          <w:color w:val="231F20"/>
        </w:rPr>
        <w:t>d</w:t>
      </w:r>
      <w:r>
        <w:rPr>
          <w:rFonts w:ascii="Times New Roman" w:eastAsia="Times New Roman" w:hAnsi="Times New Roman" w:cs="Times New Roman"/>
          <w:i/>
          <w:iCs/>
          <w:color w:val="231F20"/>
          <w:position w:val="-4"/>
          <w:sz w:val="12"/>
          <w:szCs w:val="12"/>
        </w:rPr>
        <w:t>ij</w:t>
      </w:r>
      <w:r>
        <w:rPr>
          <w:rFonts w:ascii="Times New Roman" w:eastAsia="Times New Roman" w:hAnsi="Times New Roman" w:cs="Times New Roman"/>
          <w:i/>
          <w:iCs/>
          <w:color w:val="231F20"/>
          <w:spacing w:val="1"/>
          <w:position w:val="-4"/>
          <w:sz w:val="12"/>
          <w:szCs w:val="12"/>
        </w:rPr>
        <w:t xml:space="preserve">  </w:t>
      </w:r>
      <w:r>
        <w:rPr>
          <w:color w:val="231F20"/>
          <w:spacing w:val="1"/>
        </w:rPr>
        <w:t>的倒数。</w:t>
      </w:r>
    </w:p>
    <w:p>
      <w:pPr>
        <w:spacing w:before="80" w:line="227" w:lineRule="auto"/>
        <w:ind w:left="3"/>
        <w:rPr>
          <w:rFonts w:ascii="SimHei" w:eastAsia="SimHei" w:hAnsi="SimHei" w:cs="SimHei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6"/>
          <w:sz w:val="20"/>
          <w:szCs w:val="20"/>
        </w:rPr>
        <w:t xml:space="preserve">3.2  </w:t>
      </w:r>
      <w:r>
        <w:rPr>
          <w:rFonts w:ascii="SimHei" w:eastAsia="SimHei" w:hAnsi="SimHei" w:cs="SimHei"/>
          <w:color w:val="231F20"/>
          <w:spacing w:val="6"/>
          <w:sz w:val="20"/>
          <w:szCs w:val="20"/>
        </w:rPr>
        <w:t>数据来源</w:t>
      </w:r>
    </w:p>
    <w:p>
      <w:pPr>
        <w:pStyle w:val="BodyText"/>
        <w:spacing w:before="63" w:line="212" w:lineRule="auto"/>
        <w:ind w:left="3" w:right="76" w:firstLine="423"/>
        <w:jc w:val="both"/>
      </w:pPr>
      <w:r>
        <w:rPr>
          <w:color w:val="231F20"/>
          <w:spacing w:val="9"/>
        </w:rPr>
        <w:t>现有对于锂产业链的产品选择尚未统一，但结</w:t>
      </w:r>
      <w:r>
        <w:rPr>
          <w:color w:val="231F20"/>
        </w:rPr>
        <w:t xml:space="preserve"> </w:t>
      </w:r>
      <w:r>
        <w:rPr>
          <w:color w:val="231F20"/>
          <w:spacing w:val="-2"/>
          <w:position w:val="-1"/>
        </w:rPr>
        <w:t>合</w:t>
      </w:r>
      <w:r>
        <w:rPr>
          <w:color w:val="231F20"/>
          <w:spacing w:val="-14"/>
          <w:position w:val="-1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2"/>
          <w:position w:val="-1"/>
        </w:rPr>
        <w:t>Tian</w:t>
      </w:r>
      <w:r>
        <w:rPr>
          <w:color w:val="231F20"/>
          <w:spacing w:val="-2"/>
          <w:position w:val="-1"/>
        </w:rPr>
        <w:t>等</w:t>
      </w:r>
      <w:r>
        <w:rPr>
          <w:rFonts w:ascii="Times New Roman" w:eastAsia="Times New Roman" w:hAnsi="Times New Roman" w:cs="Times New Roman"/>
          <w:color w:val="231F20"/>
          <w:spacing w:val="-2"/>
          <w:position w:val="7"/>
          <w:sz w:val="10"/>
          <w:szCs w:val="10"/>
        </w:rPr>
        <w:t>[55]</w:t>
      </w:r>
      <w:r>
        <w:rPr>
          <w:color w:val="231F20"/>
          <w:spacing w:val="-2"/>
          <w:position w:val="-1"/>
        </w:rPr>
        <w:t>、</w:t>
      </w:r>
      <w:r>
        <w:rPr>
          <w:rFonts w:ascii="Times New Roman" w:eastAsia="Times New Roman" w:hAnsi="Times New Roman" w:cs="Times New Roman"/>
          <w:color w:val="231F20"/>
          <w:spacing w:val="-2"/>
          <w:position w:val="-1"/>
        </w:rPr>
        <w:t>Shao</w:t>
      </w:r>
      <w:r>
        <w:rPr>
          <w:color w:val="231F20"/>
          <w:spacing w:val="-2"/>
          <w:position w:val="-1"/>
        </w:rPr>
        <w:t>等</w:t>
      </w:r>
      <w:r>
        <w:rPr>
          <w:rFonts w:ascii="Times New Roman" w:eastAsia="Times New Roman" w:hAnsi="Times New Roman" w:cs="Times New Roman"/>
          <w:color w:val="231F20"/>
          <w:spacing w:val="-2"/>
          <w:position w:val="7"/>
          <w:sz w:val="10"/>
          <w:szCs w:val="10"/>
        </w:rPr>
        <w:t>[56]</w:t>
      </w:r>
      <w:r>
        <w:rPr>
          <w:color w:val="231F20"/>
          <w:spacing w:val="-2"/>
          <w:position w:val="-1"/>
        </w:rPr>
        <w:t>、</w:t>
      </w:r>
      <w:r>
        <w:rPr>
          <w:rFonts w:ascii="Times New Roman" w:eastAsia="Times New Roman" w:hAnsi="Times New Roman" w:cs="Times New Roman"/>
          <w:color w:val="231F20"/>
          <w:spacing w:val="-2"/>
          <w:position w:val="-1"/>
        </w:rPr>
        <w:t>Chen</w:t>
      </w:r>
      <w:r>
        <w:rPr>
          <w:color w:val="231F20"/>
          <w:spacing w:val="-2"/>
          <w:position w:val="-1"/>
        </w:rPr>
        <w:t>等</w:t>
      </w:r>
      <w:r>
        <w:rPr>
          <w:rFonts w:ascii="Times New Roman" w:eastAsia="Times New Roman" w:hAnsi="Times New Roman" w:cs="Times New Roman"/>
          <w:color w:val="231F20"/>
          <w:spacing w:val="-2"/>
          <w:position w:val="7"/>
          <w:sz w:val="10"/>
          <w:szCs w:val="10"/>
        </w:rPr>
        <w:t>[57]</w:t>
      </w:r>
      <w:r>
        <w:rPr>
          <w:color w:val="231F20"/>
          <w:spacing w:val="-2"/>
          <w:position w:val="-1"/>
        </w:rPr>
        <w:t>、</w:t>
      </w:r>
      <w:r>
        <w:rPr>
          <w:rFonts w:ascii="Times New Roman" w:eastAsia="Times New Roman" w:hAnsi="Times New Roman" w:cs="Times New Roman"/>
          <w:color w:val="231F20"/>
          <w:spacing w:val="-2"/>
          <w:position w:val="-1"/>
        </w:rPr>
        <w:t>Hu</w:t>
      </w:r>
      <w:r>
        <w:rPr>
          <w:rFonts w:ascii="Times New Roman" w:eastAsia="Times New Roman" w:hAnsi="Times New Roman" w:cs="Times New Roman"/>
          <w:color w:val="231F20"/>
          <w:spacing w:val="-12"/>
          <w:position w:val="-1"/>
        </w:rPr>
        <w:t xml:space="preserve"> </w:t>
      </w:r>
      <w:r>
        <w:rPr>
          <w:color w:val="231F20"/>
          <w:spacing w:val="-2"/>
          <w:position w:val="-1"/>
        </w:rPr>
        <w:t>等</w:t>
      </w:r>
      <w:r>
        <w:rPr>
          <w:rFonts w:ascii="Times New Roman" w:eastAsia="Times New Roman" w:hAnsi="Times New Roman" w:cs="Times New Roman"/>
          <w:color w:val="231F20"/>
          <w:spacing w:val="-2"/>
          <w:position w:val="7"/>
          <w:sz w:val="10"/>
          <w:szCs w:val="10"/>
        </w:rPr>
        <w:t>[58]</w:t>
      </w:r>
      <w:r>
        <w:rPr>
          <w:color w:val="231F20"/>
          <w:spacing w:val="-2"/>
          <w:position w:val="-1"/>
        </w:rPr>
        <w:t>、</w:t>
      </w:r>
      <w:r>
        <w:rPr>
          <w:rFonts w:ascii="Times New Roman" w:eastAsia="Times New Roman" w:hAnsi="Times New Roman" w:cs="Times New Roman"/>
          <w:color w:val="231F20"/>
          <w:spacing w:val="-2"/>
          <w:position w:val="-1"/>
        </w:rPr>
        <w:t>Sun</w:t>
      </w:r>
      <w:r>
        <w:rPr>
          <w:rFonts w:ascii="Times New Roman" w:eastAsia="Times New Roman" w:hAnsi="Times New Roman" w:cs="Times New Roman"/>
          <w:color w:val="231F20"/>
          <w:spacing w:val="-13"/>
          <w:position w:val="-1"/>
        </w:rPr>
        <w:t xml:space="preserve"> </w:t>
      </w:r>
      <w:r>
        <w:rPr>
          <w:color w:val="231F20"/>
          <w:spacing w:val="-2"/>
          <w:position w:val="-1"/>
        </w:rPr>
        <w:t>等</w:t>
      </w:r>
      <w:r>
        <w:rPr>
          <w:rFonts w:ascii="Times New Roman" w:eastAsia="Times New Roman" w:hAnsi="Times New Roman" w:cs="Times New Roman"/>
          <w:color w:val="231F20"/>
          <w:spacing w:val="-2"/>
          <w:position w:val="7"/>
          <w:sz w:val="10"/>
          <w:szCs w:val="10"/>
        </w:rPr>
        <w:t>[59]</w:t>
      </w:r>
      <w:r>
        <w:rPr>
          <w:rFonts w:ascii="Times New Roman" w:eastAsia="Times New Roman" w:hAnsi="Times New Roman" w:cs="Times New Roman"/>
          <w:color w:val="231F20"/>
          <w:position w:val="7"/>
          <w:sz w:val="10"/>
          <w:szCs w:val="10"/>
        </w:rPr>
        <w:t xml:space="preserve"> </w:t>
      </w:r>
      <w:r>
        <w:rPr>
          <w:color w:val="231F20"/>
          <w:spacing w:val="3"/>
        </w:rPr>
        <w:t>的研究，确定了覆盖锂产业链上游、中游和下游</w:t>
      </w:r>
      <w:r>
        <w:rPr>
          <w:color w:val="231F20"/>
          <w:spacing w:val="2"/>
        </w:rPr>
        <w:t>的</w:t>
      </w:r>
      <w:r>
        <w:rPr>
          <w:color w:val="231F20"/>
          <w:spacing w:val="-22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2"/>
        </w:rPr>
        <w:t>9</w:t>
      </w:r>
      <w:r>
        <w:rPr>
          <w:rFonts w:ascii="Times New Roman" w:eastAsia="Times New Roman" w:hAnsi="Times New Roman" w:cs="Times New Roman"/>
          <w:color w:val="231F20"/>
        </w:rPr>
        <w:t xml:space="preserve"> </w:t>
      </w:r>
      <w:r>
        <w:rPr>
          <w:color w:val="231F20"/>
        </w:rPr>
        <w:t>种相关产品（表</w:t>
      </w:r>
      <w:r>
        <w:rPr>
          <w:color w:val="231F20"/>
          <w:spacing w:val="-14"/>
        </w:rPr>
        <w:t xml:space="preserve"> </w:t>
      </w:r>
      <w:r>
        <w:rPr>
          <w:rFonts w:ascii="Times New Roman" w:eastAsia="Times New Roman" w:hAnsi="Times New Roman" w:cs="Times New Roman"/>
          <w:color w:val="231F20"/>
        </w:rPr>
        <w:t>2</w:t>
      </w:r>
      <w:r>
        <w:rPr>
          <w:color w:val="231F20"/>
        </w:rPr>
        <w:t xml:space="preserve">）。 锂广泛应用于电池、陶瓷、玻 </w:t>
      </w:r>
      <w:r>
        <w:rPr>
          <w:color w:val="231F20"/>
          <w:spacing w:val="-1"/>
        </w:rPr>
        <w:t>璃、润滑剂、制冷液、核工业以及光电等行业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2"/>
        </w:rPr>
        <w:t>。随着</w:t>
      </w:r>
    </w:p>
    <w:p>
      <w:pPr>
        <w:spacing w:line="212" w:lineRule="auto"/>
        <w:sectPr>
          <w:headerReference w:type="default" r:id="rId33"/>
          <w:footerReference w:type="default" r:id="rId34"/>
          <w:type w:val="continuous"/>
          <w:pgSz w:w="11906" w:h="15582"/>
          <w:pgMar w:top="1540" w:right="1057" w:bottom="1" w:left="1055" w:header="1139" w:footer="0" w:gutter="0"/>
          <w:pgNumType w:start="11"/>
          <w:cols w:num="2" w:space="708" w:equalWidth="0">
            <w:col w:w="5008" w:space="100"/>
            <w:col w:w="4686" w:space="0"/>
          </w:cols>
        </w:sectPr>
      </w:pPr>
    </w:p>
    <w:p>
      <w:pPr>
        <w:spacing w:before="271" w:line="229" w:lineRule="auto"/>
        <w:ind w:left="3253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color w:val="231F20"/>
          <w:spacing w:val="7"/>
          <w:sz w:val="17"/>
          <w:szCs w:val="17"/>
        </w:rPr>
        <w:t>表</w:t>
      </w:r>
      <w:r>
        <w:rPr>
          <w:rFonts w:ascii="SimHei" w:eastAsia="SimHei" w:hAnsi="SimHei" w:cs="SimHei"/>
          <w:color w:val="231F20"/>
          <w:spacing w:val="-38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17"/>
          <w:szCs w:val="17"/>
        </w:rPr>
        <w:t xml:space="preserve">1   </w:t>
      </w:r>
      <w:r>
        <w:rPr>
          <w:rFonts w:ascii="SimHei" w:eastAsia="SimHei" w:hAnsi="SimHei" w:cs="SimHei"/>
          <w:color w:val="231F20"/>
          <w:spacing w:val="7"/>
          <w:sz w:val="17"/>
          <w:szCs w:val="17"/>
        </w:rPr>
        <w:t>锂产业链脆弱性衡量指标及选取依据</w:t>
      </w:r>
    </w:p>
    <w:p>
      <w:pPr>
        <w:spacing w:before="122" w:line="202" w:lineRule="auto"/>
        <w:ind w:left="1639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color w:val="231F20"/>
          <w:spacing w:val="4"/>
          <w:sz w:val="15"/>
          <w:szCs w:val="15"/>
        </w:rPr>
        <w:t>Table</w:t>
      </w:r>
      <w:r>
        <w:rPr>
          <w:rFonts w:ascii="Times New Roman" w:eastAsia="Times New Roman" w:hAnsi="Times New Roman" w:cs="Times New Roman"/>
          <w:color w:val="231F20"/>
          <w:spacing w:val="2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15"/>
          <w:szCs w:val="15"/>
        </w:rPr>
        <w:t>1   Measurement indicators and sele</w:t>
      </w:r>
      <w:r>
        <w:rPr>
          <w:rFonts w:ascii="Times New Roman" w:eastAsia="Times New Roman" w:hAnsi="Times New Roman" w:cs="Times New Roman"/>
          <w:color w:val="231F20"/>
          <w:spacing w:val="3"/>
          <w:sz w:val="15"/>
          <w:szCs w:val="15"/>
        </w:rPr>
        <w:t>ction criteria for vulnerability</w:t>
      </w:r>
      <w:r>
        <w:rPr>
          <w:rFonts w:ascii="Times New Roman" w:eastAsia="Times New Roman" w:hAnsi="Times New Roman" w:cs="Times New Roman"/>
          <w:color w:val="231F20"/>
          <w:spacing w:val="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3"/>
          <w:sz w:val="15"/>
          <w:szCs w:val="15"/>
        </w:rPr>
        <w:t>in the</w:t>
      </w:r>
      <w:r>
        <w:rPr>
          <w:rFonts w:ascii="Times New Roman" w:eastAsia="Times New Roman" w:hAnsi="Times New Roman" w:cs="Times New Roman"/>
          <w:color w:val="231F20"/>
          <w:spacing w:val="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3"/>
          <w:sz w:val="15"/>
          <w:szCs w:val="15"/>
        </w:rPr>
        <w:t>lithium</w:t>
      </w:r>
      <w:r>
        <w:rPr>
          <w:rFonts w:ascii="Times New Roman" w:eastAsia="Times New Roman" w:hAnsi="Times New Roman" w:cs="Times New Roman"/>
          <w:color w:val="231F20"/>
          <w:spacing w:val="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3"/>
          <w:sz w:val="15"/>
          <w:szCs w:val="15"/>
        </w:rPr>
        <w:t>industrial</w:t>
      </w:r>
      <w:r>
        <w:rPr>
          <w:rFonts w:ascii="Times New Roman" w:eastAsia="Times New Roman" w:hAnsi="Times New Roman" w:cs="Times New Roman"/>
          <w:color w:val="231F20"/>
          <w:spacing w:val="8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3"/>
          <w:sz w:val="15"/>
          <w:szCs w:val="15"/>
        </w:rPr>
        <w:t>chain</w:t>
      </w:r>
    </w:p>
    <w:p>
      <w:pPr>
        <w:spacing w:line="86" w:lineRule="exact"/>
        <w:sectPr>
          <w:headerReference w:type="default" r:id="rId35"/>
          <w:footerReference w:type="default" r:id="rId36"/>
          <w:type w:val="continuous"/>
          <w:pgSz w:w="11906" w:h="15582"/>
          <w:pgMar w:top="1540" w:right="1057" w:bottom="1" w:left="1055" w:header="1139" w:footer="0" w:gutter="0"/>
          <w:pgNumType w:start="12"/>
          <w:cols w:num="1" w:space="708" w:equalWidth="0">
            <w:col w:w="9794" w:space="0"/>
          </w:cols>
        </w:sectPr>
      </w:pPr>
    </w:p>
    <w:tbl>
      <w:tblPr>
        <w:tblStyle w:val="TableNormal0"/>
        <w:tblW w:w="9637" w:type="dxa"/>
        <w:tblInd w:w="7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642"/>
        <w:gridCol w:w="6926"/>
        <w:gridCol w:w="1069"/>
      </w:tblGrid>
      <w:tr>
        <w:tblPrEx>
          <w:tblW w:w="9637" w:type="dxa"/>
          <w:tblInd w:w="7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5"/>
        </w:trPr>
        <w:tc>
          <w:tcPr>
            <w:tcW w:w="1642" w:type="dxa"/>
            <w:tcBorders>
              <w:top w:val="single" w:sz="6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8" w:line="202" w:lineRule="auto"/>
              <w:ind w:left="719"/>
            </w:pPr>
            <w:r>
              <w:rPr>
                <w:color w:val="231F20"/>
                <w:spacing w:val="7"/>
              </w:rPr>
              <w:t>指标</w:t>
            </w:r>
          </w:p>
        </w:tc>
        <w:tc>
          <w:tcPr>
            <w:tcW w:w="6926" w:type="dxa"/>
            <w:tcBorders>
              <w:top w:val="single" w:sz="6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8" w:line="202" w:lineRule="auto"/>
              <w:ind w:left="3289"/>
            </w:pPr>
            <w:r>
              <w:rPr>
                <w:color w:val="231F20"/>
                <w:spacing w:val="9"/>
              </w:rPr>
              <w:t>说明</w:t>
            </w:r>
          </w:p>
        </w:tc>
        <w:tc>
          <w:tcPr>
            <w:tcW w:w="1069" w:type="dxa"/>
            <w:tcBorders>
              <w:top w:val="single" w:sz="6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8" w:line="202" w:lineRule="auto"/>
              <w:ind w:left="147"/>
            </w:pPr>
            <w:r>
              <w:rPr>
                <w:color w:val="231F20"/>
                <w:spacing w:val="9"/>
              </w:rPr>
              <w:t>参考依据</w:t>
            </w:r>
          </w:p>
        </w:tc>
      </w:tr>
      <w:tr>
        <w:tblPrEx>
          <w:tblW w:w="9637" w:type="dxa"/>
          <w:tblInd w:w="78" w:type="dxa"/>
          <w:tblLayout w:type="fixed"/>
        </w:tblPrEx>
        <w:trPr>
          <w:trHeight w:val="489"/>
        </w:trPr>
        <w:tc>
          <w:tcPr>
            <w:tcW w:w="1642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42" w:line="206" w:lineRule="auto"/>
              <w:ind w:left="172"/>
            </w:pPr>
            <w:r>
              <w:rPr>
                <w:color w:val="231F20"/>
                <w:spacing w:val="-3"/>
              </w:rPr>
              <w:t>集聚系数（</w:t>
            </w:r>
            <w:r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-3"/>
              </w:rPr>
              <w:t>C</w:t>
            </w:r>
            <w:r>
              <w:rPr>
                <w:color w:val="231F20"/>
                <w:spacing w:val="-3"/>
              </w:rPr>
              <w:t>）</w:t>
            </w:r>
          </w:p>
        </w:tc>
        <w:tc>
          <w:tcPr>
            <w:tcW w:w="6926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41" w:line="204" w:lineRule="auto"/>
              <w:ind w:left="280" w:right="139"/>
            </w:pPr>
            <w:r>
              <w:rPr>
                <w:color w:val="231F20"/>
                <w:spacing w:val="8"/>
              </w:rPr>
              <w:t>集聚系数指在一个网络中，各个节点聚集在一起的程度</w:t>
            </w:r>
            <w:r>
              <w:rPr>
                <w:color w:val="231F20"/>
                <w:spacing w:val="-18"/>
              </w:rPr>
              <w:t xml:space="preserve"> </w:t>
            </w:r>
            <w:r>
              <w:rPr>
                <w:color w:val="231F20"/>
                <w:spacing w:val="8"/>
              </w:rPr>
              <w:t>。度量一个整体网络的贸易密切性，即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9"/>
              </w:rPr>
              <w:t>该网络中各个节点的聚类系数的平均值</w:t>
            </w:r>
          </w:p>
        </w:tc>
        <w:tc>
          <w:tcPr>
            <w:tcW w:w="1069" w:type="dxa"/>
            <w:tcBorders>
              <w:top w:val="single" w:sz="4" w:space="0" w:color="000000"/>
            </w:tcBorders>
            <w:vAlign w:val="top"/>
          </w:tcPr>
          <w:p>
            <w:pPr>
              <w:spacing w:before="42" w:line="177" w:lineRule="exact"/>
              <w:ind w:left="242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position w:val="2"/>
                <w:sz w:val="15"/>
                <w:szCs w:val="15"/>
              </w:rPr>
              <w:t>[39]</w:t>
            </w:r>
          </w:p>
        </w:tc>
      </w:tr>
      <w:tr>
        <w:tblPrEx>
          <w:tblW w:w="9637" w:type="dxa"/>
          <w:tblInd w:w="78" w:type="dxa"/>
          <w:tblLayout w:type="fixed"/>
        </w:tblPrEx>
        <w:trPr>
          <w:trHeight w:val="731"/>
        </w:trPr>
        <w:tc>
          <w:tcPr>
            <w:tcW w:w="1642" w:type="dxa"/>
            <w:vAlign w:val="top"/>
          </w:tcPr>
          <w:p>
            <w:pPr>
              <w:pStyle w:val="TableText"/>
              <w:spacing w:before="63" w:line="206" w:lineRule="auto"/>
              <w:ind w:left="172"/>
            </w:pPr>
            <w:r>
              <w:rPr>
                <w:color w:val="231F20"/>
                <w:spacing w:val="-1"/>
              </w:rPr>
              <w:t>平均最短路径（</w:t>
            </w:r>
            <w:r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-1"/>
              </w:rPr>
              <w:t>L</w:t>
            </w:r>
            <w:r>
              <w:rPr>
                <w:color w:val="231F20"/>
                <w:spacing w:val="-1"/>
              </w:rPr>
              <w:t>）</w:t>
            </w:r>
          </w:p>
        </w:tc>
        <w:tc>
          <w:tcPr>
            <w:tcW w:w="6926" w:type="dxa"/>
            <w:vAlign w:val="top"/>
          </w:tcPr>
          <w:p>
            <w:pPr>
              <w:pStyle w:val="TableText"/>
              <w:spacing w:before="64" w:line="204" w:lineRule="auto"/>
              <w:ind w:left="283" w:right="92" w:hanging="3"/>
              <w:jc w:val="both"/>
            </w:pPr>
            <w:r>
              <w:rPr>
                <w:color w:val="231F20"/>
                <w:spacing w:val="8"/>
              </w:rPr>
              <w:t>平均最短路径指经过网络中两个节点之间路径的平均值，反映节点间的平均分离程度</w:t>
            </w:r>
            <w:r>
              <w:rPr>
                <w:color w:val="231F20"/>
                <w:spacing w:val="-18"/>
              </w:rPr>
              <w:t xml:space="preserve"> </w:t>
            </w:r>
            <w:r>
              <w:rPr>
                <w:color w:val="231F20"/>
                <w:spacing w:val="8"/>
              </w:rPr>
              <w:t>。衡量网</w:t>
            </w:r>
            <w:r>
              <w:rPr>
                <w:color w:val="231F20"/>
              </w:rPr>
              <w:t xml:space="preserve">  </w:t>
            </w:r>
            <w:r>
              <w:rPr>
                <w:color w:val="231F20"/>
                <w:spacing w:val="10"/>
              </w:rPr>
              <w:t>络中各节点之间进行贸易交互效率的高低，数值越大说明贸易之间</w:t>
            </w:r>
            <w:r>
              <w:rPr>
                <w:color w:val="231F20"/>
                <w:spacing w:val="9"/>
              </w:rPr>
              <w:t>传输需要跨越的边数越多，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9"/>
              </w:rPr>
              <w:t>贸易效率越低</w:t>
            </w:r>
          </w:p>
        </w:tc>
        <w:tc>
          <w:tcPr>
            <w:tcW w:w="1069" w:type="dxa"/>
            <w:vAlign w:val="top"/>
          </w:tcPr>
          <w:p>
            <w:pPr>
              <w:spacing w:before="63" w:line="177" w:lineRule="exact"/>
              <w:ind w:left="242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pacing w:val="2"/>
                <w:position w:val="2"/>
                <w:sz w:val="15"/>
                <w:szCs w:val="15"/>
              </w:rPr>
              <w:t>[50,51]</w:t>
            </w:r>
          </w:p>
        </w:tc>
      </w:tr>
      <w:tr>
        <w:tblPrEx>
          <w:tblW w:w="9637" w:type="dxa"/>
          <w:tblInd w:w="78" w:type="dxa"/>
          <w:tblLayout w:type="fixed"/>
        </w:tblPrEx>
        <w:trPr>
          <w:trHeight w:val="509"/>
        </w:trPr>
        <w:tc>
          <w:tcPr>
            <w:tcW w:w="1642" w:type="dxa"/>
            <w:vAlign w:val="top"/>
          </w:tcPr>
          <w:p>
            <w:pPr>
              <w:pStyle w:val="TableText"/>
              <w:spacing w:before="69" w:line="206" w:lineRule="auto"/>
              <w:ind w:left="172"/>
            </w:pPr>
            <w:r>
              <w:rPr>
                <w:color w:val="231F20"/>
                <w:spacing w:val="-1"/>
              </w:rPr>
              <w:t>介数中心性（</w:t>
            </w:r>
            <w:r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-1"/>
              </w:rPr>
              <w:t>BC</w:t>
            </w:r>
            <w:r>
              <w:rPr>
                <w:color w:val="231F20"/>
                <w:spacing w:val="-1"/>
              </w:rPr>
              <w:t>）</w:t>
            </w:r>
          </w:p>
        </w:tc>
        <w:tc>
          <w:tcPr>
            <w:tcW w:w="6926" w:type="dxa"/>
            <w:vAlign w:val="top"/>
          </w:tcPr>
          <w:p>
            <w:pPr>
              <w:pStyle w:val="TableText"/>
              <w:spacing w:before="70" w:line="200" w:lineRule="auto"/>
              <w:ind w:left="284" w:right="140" w:hanging="4"/>
            </w:pPr>
            <w:r>
              <w:rPr>
                <w:color w:val="231F20"/>
                <w:spacing w:val="12"/>
              </w:rPr>
              <w:t>介数中心性指网络中最短路径穿过该节点的次数</w:t>
            </w:r>
            <w:r>
              <w:rPr>
                <w:color w:val="231F20"/>
                <w:spacing w:val="-21"/>
              </w:rPr>
              <w:t xml:space="preserve"> </w:t>
            </w:r>
            <w:r>
              <w:rPr>
                <w:color w:val="231F20"/>
                <w:spacing w:val="12"/>
              </w:rPr>
              <w:t>。衡量在网络中发挥桥梁作用的节点的中介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5"/>
              </w:rPr>
              <w:t>能力，代表了某节点与其他节点之间的互动程度</w:t>
            </w:r>
          </w:p>
        </w:tc>
        <w:tc>
          <w:tcPr>
            <w:tcW w:w="1069" w:type="dxa"/>
            <w:vAlign w:val="top"/>
          </w:tcPr>
          <w:p>
            <w:pPr>
              <w:spacing w:before="69" w:line="177" w:lineRule="exact"/>
              <w:ind w:left="242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pacing w:val="2"/>
                <w:position w:val="2"/>
                <w:sz w:val="15"/>
                <w:szCs w:val="15"/>
              </w:rPr>
              <w:t>[52,53]</w:t>
            </w:r>
          </w:p>
        </w:tc>
      </w:tr>
      <w:tr>
        <w:tblPrEx>
          <w:tblW w:w="9637" w:type="dxa"/>
          <w:tblInd w:w="78" w:type="dxa"/>
          <w:tblLayout w:type="fixed"/>
        </w:tblPrEx>
        <w:trPr>
          <w:trHeight w:val="524"/>
        </w:trPr>
        <w:tc>
          <w:tcPr>
            <w:tcW w:w="1642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1" w:line="206" w:lineRule="auto"/>
              <w:ind w:left="187"/>
            </w:pPr>
            <w:r>
              <w:rPr>
                <w:color w:val="231F20"/>
                <w:spacing w:val="-6"/>
              </w:rPr>
              <w:t>网络效率（</w:t>
            </w:r>
            <w:r>
              <w:rPr>
                <w:rFonts w:ascii="Times New Roman" w:eastAsia="Times New Roman" w:hAnsi="Times New Roman" w:cs="Times New Roman"/>
                <w:i/>
                <w:iCs/>
                <w:color w:val="231F20"/>
                <w:spacing w:val="-6"/>
              </w:rPr>
              <w:t>E</w:t>
            </w:r>
            <w:r>
              <w:rPr>
                <w:color w:val="231F20"/>
                <w:spacing w:val="-6"/>
              </w:rPr>
              <w:t>）</w:t>
            </w:r>
          </w:p>
        </w:tc>
        <w:tc>
          <w:tcPr>
            <w:tcW w:w="6926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0" w:line="207" w:lineRule="auto"/>
              <w:ind w:left="281" w:right="139" w:firstLine="14"/>
            </w:pPr>
            <w:r>
              <w:rPr>
                <w:color w:val="231F20"/>
                <w:spacing w:val="8"/>
              </w:rPr>
              <w:t>网络效率指网络所有节点效率的总和，反映要素在网络中流动的难易程度，即效率值越高连通</w:t>
            </w:r>
            <w:r>
              <w:rPr>
                <w:color w:val="231F20"/>
                <w:spacing w:val="12"/>
              </w:rPr>
              <w:t xml:space="preserve"> </w:t>
            </w:r>
            <w:r>
              <w:rPr>
                <w:color w:val="231F20"/>
                <w:spacing w:val="9"/>
              </w:rPr>
              <w:t>性越好</w:t>
            </w:r>
          </w:p>
        </w:tc>
        <w:tc>
          <w:tcPr>
            <w:tcW w:w="1069" w:type="dxa"/>
            <w:tcBorders>
              <w:bottom w:val="single" w:sz="6" w:space="0" w:color="000000"/>
            </w:tcBorders>
            <w:vAlign w:val="top"/>
          </w:tcPr>
          <w:p>
            <w:pPr>
              <w:spacing w:before="70" w:line="177" w:lineRule="exact"/>
              <w:ind w:left="242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position w:val="2"/>
                <w:sz w:val="15"/>
                <w:szCs w:val="15"/>
              </w:rPr>
              <w:t>[54]</w:t>
            </w:r>
          </w:p>
        </w:tc>
      </w:tr>
    </w:tbl>
    <w:p>
      <w:pPr>
        <w:spacing w:before="253" w:line="179" w:lineRule="auto"/>
        <w:ind w:left="97"/>
        <w:rPr>
          <w:rFonts w:ascii="Arial" w:eastAsia="Arial" w:hAnsi="Arial" w:cs="Arial"/>
          <w:sz w:val="20"/>
          <w:szCs w:val="20"/>
        </w:rPr>
      </w:pPr>
      <w:hyperlink r:id="rId37" w:history="1">
        <w:r>
          <w:rPr>
            <w:rFonts w:ascii="Arial" w:eastAsia="Arial" w:hAnsi="Arial" w:cs="Arial"/>
            <w:i/>
            <w:iCs/>
            <w:color w:val="808285"/>
            <w:w w:val="90"/>
            <w:sz w:val="20"/>
            <w:szCs w:val="20"/>
          </w:rPr>
          <w:t>http://www.resci.net</w:t>
        </w:r>
      </w:hyperlink>
    </w:p>
    <w:p>
      <w:pPr>
        <w:spacing w:line="179" w:lineRule="auto"/>
        <w:rPr>
          <w:rFonts w:ascii="Arial" w:eastAsia="Arial" w:hAnsi="Arial" w:cs="Arial"/>
          <w:sz w:val="20"/>
          <w:szCs w:val="20"/>
        </w:rPr>
        <w:sectPr>
          <w:headerReference w:type="default" r:id="rId38"/>
          <w:footerReference w:type="default" r:id="rId39"/>
          <w:type w:val="nextPage"/>
          <w:pgSz w:w="11906" w:h="15582"/>
          <w:pgMar w:top="1540" w:right="1057" w:bottom="1" w:left="1055" w:header="1139" w:footer="0" w:gutter="0"/>
          <w:pgNumType w:start="13"/>
          <w:cols w:num="1" w:space="708" w:equalWidth="0">
            <w:col w:w="9794" w:space="0"/>
          </w:cols>
          <w:titlePg w:val="0"/>
        </w:sectPr>
      </w:pPr>
    </w:p>
    <w:p>
      <w:pPr>
        <w:spacing w:before="109"/>
      </w:pPr>
    </w:p>
    <w:p>
      <w:pPr>
        <w:spacing w:before="108"/>
      </w:pPr>
    </w:p>
    <w:p>
      <w:pPr>
        <w:sectPr>
          <w:headerReference w:type="default" r:id="rId40"/>
          <w:footerReference w:type="default" r:id="rId41"/>
          <w:pgSz w:w="11906" w:h="15582"/>
          <w:pgMar w:top="400" w:right="929" w:bottom="1" w:left="1056" w:header="0" w:footer="0" w:gutter="0"/>
          <w:pgNumType w:start="14"/>
          <w:cols w:num="1" w:space="708" w:equalWidth="0">
            <w:col w:w="9920" w:space="0"/>
          </w:cols>
        </w:sectPr>
      </w:pPr>
    </w:p>
    <w:p>
      <w:pPr>
        <w:pStyle w:val="BodyText"/>
        <w:spacing w:before="240" w:line="165" w:lineRule="auto"/>
        <w:ind w:left="74"/>
        <w:rPr>
          <w:sz w:val="17"/>
          <w:szCs w:val="17"/>
        </w:rPr>
      </w:pPr>
      <w:r>
        <w:rPr>
          <w:rFonts w:ascii="NSimSun" w:eastAsia="NSimSun" w:hAnsi="NSimSun" w:cs="NSimSun"/>
          <w:color w:val="231F20"/>
          <w:spacing w:val="9"/>
          <w:sz w:val="17"/>
          <w:szCs w:val="17"/>
        </w:rPr>
        <w:t>2024</w:t>
      </w:r>
      <w:r>
        <w:rPr>
          <w:color w:val="231F20"/>
          <w:spacing w:val="9"/>
          <w:sz w:val="17"/>
          <w:szCs w:val="17"/>
        </w:rPr>
        <w:t>年</w:t>
      </w:r>
      <w:r>
        <w:rPr>
          <w:color w:val="231F20"/>
          <w:spacing w:val="-8"/>
          <w:sz w:val="17"/>
          <w:szCs w:val="17"/>
        </w:rPr>
        <w:t xml:space="preserve"> </w:t>
      </w:r>
      <w:r>
        <w:rPr>
          <w:rFonts w:ascii="NSimSun" w:eastAsia="NSimSun" w:hAnsi="NSimSun" w:cs="NSimSun"/>
          <w:color w:val="231F20"/>
          <w:spacing w:val="9"/>
          <w:sz w:val="17"/>
          <w:szCs w:val="17"/>
        </w:rPr>
        <w:t>1</w:t>
      </w:r>
      <w:r>
        <w:rPr>
          <w:color w:val="231F20"/>
          <w:spacing w:val="9"/>
          <w:sz w:val="17"/>
          <w:szCs w:val="17"/>
        </w:rPr>
        <w:t>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8" w:line="195" w:lineRule="auto"/>
        <w:ind w:left="1569"/>
        <w:rPr>
          <w:rFonts w:ascii="Times New Roman" w:eastAsia="Times New Roman" w:hAnsi="Times New Roman" w:cs="Times New Roman"/>
        </w:rPr>
      </w:pPr>
      <w:r>
        <w:rPr>
          <w:color w:val="231F20"/>
          <w:spacing w:val="3"/>
          <w:sz w:val="17"/>
          <w:szCs w:val="17"/>
        </w:rPr>
        <w:t xml:space="preserve">左芝鲤等：全球锂产业链贸易格局演化及脆弱性分析                </w:t>
      </w:r>
      <w:r>
        <w:rPr>
          <w:color w:val="231F20"/>
          <w:spacing w:val="2"/>
          <w:sz w:val="17"/>
          <w:szCs w:val="17"/>
        </w:rPr>
        <w:t xml:space="preserve">                                   </w:t>
      </w:r>
      <w:r>
        <w:rPr>
          <w:rFonts w:ascii="Times New Roman" w:eastAsia="Times New Roman" w:hAnsi="Times New Roman" w:cs="Times New Roman"/>
          <w:color w:val="231F20"/>
          <w:spacing w:val="2"/>
          <w:position w:val="-2"/>
        </w:rPr>
        <w:t>117</w:t>
      </w:r>
    </w:p>
    <w:p>
      <w:pPr>
        <w:spacing w:before="26" w:line="62" w:lineRule="exact"/>
      </w:pPr>
      <w:r>
        <w:rPr>
          <w:position w:val="-1"/>
        </w:rPr>
        <w:drawing>
          <wp:inline distT="0" distB="0" distL="0" distR="0">
            <wp:extent cx="5429181" cy="3895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29181" cy="3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2" w:lineRule="exact"/>
        <w:sectPr>
          <w:headerReference w:type="default" r:id="rId42"/>
          <w:footerReference w:type="default" r:id="rId43"/>
          <w:type w:val="continuous"/>
          <w:pgSz w:w="11906" w:h="15582"/>
          <w:pgMar w:top="400" w:right="929" w:bottom="1" w:left="1056" w:header="0" w:footer="0" w:gutter="0"/>
          <w:pgNumType w:start="15"/>
          <w:cols w:num="2" w:space="708" w:equalWidth="0">
            <w:col w:w="1068" w:space="100"/>
            <w:col w:w="8752" w:space="0"/>
          </w:cols>
        </w:sectPr>
      </w:pPr>
    </w:p>
    <w:p>
      <w:pPr>
        <w:spacing w:line="217" w:lineRule="exact"/>
      </w:pPr>
    </w:p>
    <w:p>
      <w:pPr>
        <w:spacing w:line="217" w:lineRule="exact"/>
        <w:sectPr>
          <w:headerReference w:type="default" r:id="rId44"/>
          <w:footerReference w:type="default" r:id="rId45"/>
          <w:type w:val="continuous"/>
          <w:pgSz w:w="11906" w:h="15582"/>
          <w:pgMar w:top="400" w:right="929" w:bottom="1" w:left="1056" w:header="0" w:footer="0" w:gutter="0"/>
          <w:pgNumType w:start="16"/>
          <w:cols w:num="1" w:space="708" w:equalWidth="0">
            <w:col w:w="9920" w:space="0"/>
          </w:cols>
        </w:sectPr>
      </w:pPr>
    </w:p>
    <w:p>
      <w:pPr>
        <w:spacing w:before="53" w:line="229" w:lineRule="auto"/>
        <w:ind w:left="1060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color w:val="231F20"/>
          <w:spacing w:val="9"/>
          <w:sz w:val="17"/>
          <w:szCs w:val="17"/>
        </w:rPr>
        <w:t>表</w:t>
      </w:r>
      <w:r>
        <w:rPr>
          <w:rFonts w:ascii="Times New Roman" w:eastAsia="Times New Roman" w:hAnsi="Times New Roman" w:cs="Times New Roman"/>
          <w:b/>
          <w:bCs/>
          <w:color w:val="231F20"/>
          <w:spacing w:val="9"/>
          <w:sz w:val="17"/>
          <w:szCs w:val="17"/>
        </w:rPr>
        <w:t xml:space="preserve">2   </w:t>
      </w:r>
      <w:r>
        <w:rPr>
          <w:rFonts w:ascii="SimHei" w:eastAsia="SimHei" w:hAnsi="SimHei" w:cs="SimHei"/>
          <w:color w:val="231F20"/>
          <w:spacing w:val="9"/>
          <w:sz w:val="17"/>
          <w:szCs w:val="17"/>
        </w:rPr>
        <w:t>本文所涉及的产品海关代码</w:t>
      </w:r>
    </w:p>
    <w:p>
      <w:pPr>
        <w:spacing w:before="122" w:line="202" w:lineRule="auto"/>
        <w:ind w:left="333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color w:val="231F20"/>
          <w:spacing w:val="4"/>
          <w:sz w:val="15"/>
          <w:szCs w:val="15"/>
        </w:rPr>
        <w:t>Table 2   Customs codes for the pr</w:t>
      </w:r>
      <w:r>
        <w:rPr>
          <w:rFonts w:ascii="Times New Roman" w:eastAsia="Times New Roman" w:hAnsi="Times New Roman" w:cs="Times New Roman"/>
          <w:color w:val="231F20"/>
          <w:spacing w:val="3"/>
          <w:sz w:val="15"/>
          <w:szCs w:val="15"/>
        </w:rPr>
        <w:t>oducts involved</w:t>
      </w:r>
      <w:r>
        <w:rPr>
          <w:rFonts w:ascii="Times New Roman" w:eastAsia="Times New Roman" w:hAnsi="Times New Roman" w:cs="Times New Roman"/>
          <w:color w:val="231F20"/>
          <w:spacing w:val="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3"/>
          <w:sz w:val="15"/>
          <w:szCs w:val="15"/>
        </w:rPr>
        <w:t>in</w:t>
      </w:r>
      <w:r>
        <w:rPr>
          <w:rFonts w:ascii="Times New Roman" w:eastAsia="Times New Roman" w:hAnsi="Times New Roman" w:cs="Times New Roman"/>
          <w:color w:val="231F20"/>
          <w:spacing w:val="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3"/>
          <w:sz w:val="15"/>
          <w:szCs w:val="15"/>
        </w:rPr>
        <w:t>this</w:t>
      </w:r>
      <w:r>
        <w:rPr>
          <w:rFonts w:ascii="Times New Roman" w:eastAsia="Times New Roman" w:hAnsi="Times New Roman" w:cs="Times New Roman"/>
          <w:color w:val="231F20"/>
          <w:spacing w:val="10"/>
          <w:w w:val="10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3"/>
          <w:sz w:val="15"/>
          <w:szCs w:val="15"/>
        </w:rPr>
        <w:t>study</w:t>
      </w:r>
    </w:p>
    <w:p>
      <w:pPr>
        <w:spacing w:line="86" w:lineRule="exact"/>
      </w:pPr>
    </w:p>
    <w:tbl>
      <w:tblPr>
        <w:tblStyle w:val="TableNormal1"/>
        <w:tblW w:w="4535" w:type="dxa"/>
        <w:tblInd w:w="7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15"/>
        <w:gridCol w:w="851"/>
        <w:gridCol w:w="2039"/>
        <w:gridCol w:w="1030"/>
      </w:tblGrid>
      <w:tr>
        <w:tblPrEx>
          <w:tblW w:w="4535" w:type="dxa"/>
          <w:tblInd w:w="7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5"/>
        </w:trPr>
        <w:tc>
          <w:tcPr>
            <w:tcW w:w="615" w:type="dxa"/>
            <w:tcBorders>
              <w:top w:val="single" w:sz="6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4" w:line="206" w:lineRule="auto"/>
              <w:ind w:left="47"/>
            </w:pPr>
            <w:r>
              <w:rPr>
                <w:color w:val="231F20"/>
                <w:spacing w:val="8"/>
              </w:rPr>
              <w:t>产业链</w:t>
            </w:r>
          </w:p>
        </w:tc>
        <w:tc>
          <w:tcPr>
            <w:tcW w:w="851" w:type="dxa"/>
            <w:tcBorders>
              <w:top w:val="single" w:sz="6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4" w:line="206" w:lineRule="auto"/>
              <w:ind w:left="123"/>
            </w:pPr>
            <w:r>
              <w:rPr>
                <w:color w:val="231F20"/>
                <w:spacing w:val="9"/>
              </w:rPr>
              <w:t>海关编码</w:t>
            </w:r>
          </w:p>
        </w:tc>
        <w:tc>
          <w:tcPr>
            <w:tcW w:w="2039" w:type="dxa"/>
            <w:tcBorders>
              <w:top w:val="single" w:sz="6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4" w:line="206" w:lineRule="auto"/>
              <w:ind w:left="750"/>
            </w:pPr>
            <w:r>
              <w:rPr>
                <w:color w:val="231F20"/>
                <w:spacing w:val="9"/>
              </w:rPr>
              <w:t>产品名称</w:t>
            </w:r>
          </w:p>
        </w:tc>
        <w:tc>
          <w:tcPr>
            <w:tcW w:w="1030" w:type="dxa"/>
            <w:tcBorders>
              <w:top w:val="single" w:sz="6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5" w:line="205" w:lineRule="auto"/>
              <w:ind w:left="48"/>
            </w:pPr>
            <w:r>
              <w:rPr>
                <w:color w:val="231F20"/>
                <w:spacing w:val="9"/>
              </w:rPr>
              <w:t>数据覆盖年份</w:t>
            </w:r>
          </w:p>
        </w:tc>
      </w:tr>
      <w:tr>
        <w:tblPrEx>
          <w:tblW w:w="4535" w:type="dxa"/>
          <w:tblInd w:w="77" w:type="dxa"/>
          <w:tblLayout w:type="fixed"/>
        </w:tblPrEx>
        <w:trPr>
          <w:trHeight w:val="829"/>
        </w:trPr>
        <w:tc>
          <w:tcPr>
            <w:tcW w:w="615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42" w:line="283" w:lineRule="exact"/>
              <w:ind w:left="127"/>
            </w:pPr>
            <w:r>
              <w:rPr>
                <w:color w:val="231F20"/>
                <w:spacing w:val="8"/>
                <w:position w:val="8"/>
              </w:rPr>
              <w:t>上游</w:t>
            </w:r>
          </w:p>
          <w:p>
            <w:pPr>
              <w:pStyle w:val="TableText"/>
              <w:spacing w:line="211" w:lineRule="auto"/>
              <w:ind w:left="143"/>
            </w:pPr>
            <w:r>
              <w:rPr>
                <w:color w:val="231F20"/>
              </w:rPr>
              <w:t>中游</w:t>
            </w:r>
          </w:p>
        </w:tc>
        <w:tc>
          <w:tcPr>
            <w:tcW w:w="851" w:type="dxa"/>
            <w:tcBorders>
              <w:top w:val="single" w:sz="4" w:space="0" w:color="000000"/>
            </w:tcBorders>
            <w:vAlign w:val="top"/>
          </w:tcPr>
          <w:p>
            <w:pPr>
              <w:spacing w:before="77" w:line="394" w:lineRule="auto"/>
              <w:ind w:left="99" w:right="69"/>
              <w:jc w:val="both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z w:val="15"/>
                <w:szCs w:val="15"/>
              </w:rPr>
              <w:t>HS</w:t>
            </w:r>
            <w:r>
              <w:rPr>
                <w:rFonts w:ascii="Times New Roman" w:eastAsia="Times New Roman" w:hAnsi="Times New Roman" w:cs="Times New Roman"/>
                <w:color w:val="231F20"/>
                <w:spacing w:val="6"/>
                <w:sz w:val="15"/>
                <w:szCs w:val="15"/>
              </w:rPr>
              <w:t>280519</w:t>
            </w:r>
            <w:r>
              <w:rPr>
                <w:rFonts w:ascii="Times New Roman" w:eastAsia="Times New Roman" w:hAnsi="Times New Roman" w:cs="Times New Roman"/>
                <w:color w:val="231F20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1F20"/>
                <w:sz w:val="15"/>
                <w:szCs w:val="15"/>
              </w:rPr>
              <w:t>HS</w:t>
            </w:r>
            <w:r>
              <w:rPr>
                <w:rFonts w:ascii="Times New Roman" w:eastAsia="Times New Roman" w:hAnsi="Times New Roman" w:cs="Times New Roman"/>
                <w:color w:val="231F20"/>
                <w:spacing w:val="6"/>
                <w:sz w:val="15"/>
                <w:szCs w:val="15"/>
              </w:rPr>
              <w:t>282520</w:t>
            </w:r>
          </w:p>
          <w:p>
            <w:pPr>
              <w:spacing w:line="195" w:lineRule="auto"/>
              <w:ind w:left="9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z w:val="15"/>
                <w:szCs w:val="15"/>
              </w:rPr>
              <w:t>HS</w:t>
            </w:r>
            <w:r>
              <w:rPr>
                <w:rFonts w:ascii="Times New Roman" w:eastAsia="Times New Roman" w:hAnsi="Times New Roman" w:cs="Times New Roman"/>
                <w:color w:val="231F20"/>
                <w:spacing w:val="6"/>
                <w:sz w:val="15"/>
                <w:szCs w:val="15"/>
              </w:rPr>
              <w:t>283691</w:t>
            </w:r>
          </w:p>
        </w:tc>
        <w:tc>
          <w:tcPr>
            <w:tcW w:w="2039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42" w:line="238" w:lineRule="auto"/>
              <w:ind w:left="79" w:right="123" w:hanging="1"/>
            </w:pPr>
            <w:r>
              <w:rPr>
                <w:color w:val="231F20"/>
                <w:spacing w:val="3"/>
              </w:rPr>
              <w:t>锂；其他碱金属及碱土金属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1"/>
              </w:rPr>
              <w:t>氢氧化锂；锂的氧化物</w:t>
            </w:r>
          </w:p>
          <w:p>
            <w:pPr>
              <w:pStyle w:val="TableText"/>
              <w:spacing w:before="57" w:line="195" w:lineRule="auto"/>
              <w:ind w:left="77"/>
            </w:pPr>
            <w:r>
              <w:rPr>
                <w:color w:val="231F20"/>
                <w:spacing w:val="9"/>
              </w:rPr>
              <w:t>碳酸锂</w:t>
            </w:r>
          </w:p>
        </w:tc>
        <w:tc>
          <w:tcPr>
            <w:tcW w:w="1030" w:type="dxa"/>
            <w:tcBorders>
              <w:top w:val="single" w:sz="4" w:space="0" w:color="000000"/>
            </w:tcBorders>
            <w:vAlign w:val="top"/>
          </w:tcPr>
          <w:p>
            <w:pPr>
              <w:spacing w:before="78" w:line="394" w:lineRule="auto"/>
              <w:ind w:left="128" w:right="104"/>
              <w:jc w:val="both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pacing w:val="5"/>
                <w:sz w:val="15"/>
                <w:szCs w:val="15"/>
              </w:rPr>
              <w:t>2000—2021</w:t>
            </w:r>
            <w:r>
              <w:rPr>
                <w:rFonts w:ascii="Times New Roman" w:eastAsia="Times New Roman" w:hAnsi="Times New Roman" w:cs="Times New Roman"/>
                <w:color w:val="231F20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1F20"/>
                <w:spacing w:val="5"/>
                <w:sz w:val="15"/>
                <w:szCs w:val="15"/>
              </w:rPr>
              <w:t>2000—2021</w:t>
            </w:r>
          </w:p>
          <w:p>
            <w:pPr>
              <w:spacing w:line="195" w:lineRule="auto"/>
              <w:ind w:left="12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pacing w:val="5"/>
                <w:sz w:val="15"/>
                <w:szCs w:val="15"/>
              </w:rPr>
              <w:t>2000—2021</w:t>
            </w:r>
          </w:p>
        </w:tc>
      </w:tr>
      <w:tr>
        <w:tblPrEx>
          <w:tblW w:w="4535" w:type="dxa"/>
          <w:tblInd w:w="77" w:type="dxa"/>
          <w:tblLayout w:type="fixed"/>
        </w:tblPrEx>
        <w:trPr>
          <w:trHeight w:val="1934"/>
        </w:trPr>
        <w:tc>
          <w:tcPr>
            <w:tcW w:w="615" w:type="dxa"/>
            <w:tcBorders>
              <w:bottom w:val="single" w:sz="6" w:space="0" w:color="000000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4" w:line="212" w:lineRule="auto"/>
              <w:ind w:left="127"/>
            </w:pPr>
            <w:r>
              <w:rPr>
                <w:color w:val="231F20"/>
                <w:spacing w:val="8"/>
              </w:rPr>
              <w:t>下游</w:t>
            </w:r>
          </w:p>
        </w:tc>
        <w:tc>
          <w:tcPr>
            <w:tcW w:w="851" w:type="dxa"/>
            <w:tcBorders>
              <w:bottom w:val="single" w:sz="6" w:space="0" w:color="000000"/>
            </w:tcBorders>
            <w:vAlign w:val="top"/>
          </w:tcPr>
          <w:p>
            <w:pPr>
              <w:spacing w:before="99" w:line="394" w:lineRule="auto"/>
              <w:ind w:left="99" w:right="69"/>
              <w:jc w:val="both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z w:val="15"/>
                <w:szCs w:val="15"/>
              </w:rPr>
              <w:t>HS</w:t>
            </w:r>
            <w:r>
              <w:rPr>
                <w:rFonts w:ascii="Times New Roman" w:eastAsia="Times New Roman" w:hAnsi="Times New Roman" w:cs="Times New Roman"/>
                <w:color w:val="231F20"/>
                <w:spacing w:val="6"/>
                <w:sz w:val="15"/>
                <w:szCs w:val="15"/>
              </w:rPr>
              <w:t>290433</w:t>
            </w:r>
            <w:r>
              <w:rPr>
                <w:rFonts w:ascii="Times New Roman" w:eastAsia="Times New Roman" w:hAnsi="Times New Roman" w:cs="Times New Roman"/>
                <w:color w:val="231F20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1F20"/>
                <w:sz w:val="15"/>
                <w:szCs w:val="15"/>
              </w:rPr>
              <w:t>HS</w:t>
            </w:r>
            <w:r>
              <w:rPr>
                <w:rFonts w:ascii="Times New Roman" w:eastAsia="Times New Roman" w:hAnsi="Times New Roman" w:cs="Times New Roman"/>
                <w:color w:val="231F20"/>
                <w:spacing w:val="6"/>
                <w:sz w:val="15"/>
                <w:szCs w:val="15"/>
              </w:rPr>
              <w:t>282690</w:t>
            </w:r>
            <w:r>
              <w:rPr>
                <w:rFonts w:ascii="Times New Roman" w:eastAsia="Times New Roman" w:hAnsi="Times New Roman" w:cs="Times New Roman"/>
                <w:color w:val="231F20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1F20"/>
                <w:sz w:val="15"/>
                <w:szCs w:val="15"/>
              </w:rPr>
              <w:t>HS</w:t>
            </w:r>
            <w:r>
              <w:rPr>
                <w:rFonts w:ascii="Times New Roman" w:eastAsia="Times New Roman" w:hAnsi="Times New Roman" w:cs="Times New Roman"/>
                <w:color w:val="231F20"/>
                <w:spacing w:val="6"/>
                <w:sz w:val="15"/>
                <w:szCs w:val="15"/>
              </w:rPr>
              <w:t>282739</w:t>
            </w:r>
            <w:r>
              <w:rPr>
                <w:rFonts w:ascii="Times New Roman" w:eastAsia="Times New Roman" w:hAnsi="Times New Roman" w:cs="Times New Roman"/>
                <w:color w:val="231F20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1F20"/>
                <w:sz w:val="15"/>
                <w:szCs w:val="15"/>
              </w:rPr>
              <w:t>HS</w:t>
            </w:r>
            <w:r>
              <w:rPr>
                <w:rFonts w:ascii="Times New Roman" w:eastAsia="Times New Roman" w:hAnsi="Times New Roman" w:cs="Times New Roman"/>
                <w:color w:val="231F20"/>
                <w:spacing w:val="6"/>
                <w:sz w:val="15"/>
                <w:szCs w:val="15"/>
              </w:rPr>
              <w:t>284169</w:t>
            </w:r>
            <w:r>
              <w:rPr>
                <w:rFonts w:ascii="Times New Roman" w:eastAsia="Times New Roman" w:hAnsi="Times New Roman" w:cs="Times New Roman"/>
                <w:color w:val="231F20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1F20"/>
                <w:sz w:val="15"/>
                <w:szCs w:val="15"/>
              </w:rPr>
              <w:t>HS</w:t>
            </w:r>
            <w:r>
              <w:rPr>
                <w:rFonts w:ascii="Times New Roman" w:eastAsia="Times New Roman" w:hAnsi="Times New Roman" w:cs="Times New Roman"/>
                <w:color w:val="231F20"/>
                <w:spacing w:val="6"/>
                <w:sz w:val="15"/>
                <w:szCs w:val="15"/>
              </w:rPr>
              <w:t>850650</w:t>
            </w:r>
          </w:p>
          <w:p>
            <w:pPr>
              <w:spacing w:line="195" w:lineRule="auto"/>
              <w:ind w:left="9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z w:val="15"/>
                <w:szCs w:val="15"/>
              </w:rPr>
              <w:t>HS</w:t>
            </w:r>
            <w:r>
              <w:rPr>
                <w:rFonts w:ascii="Times New Roman" w:eastAsia="Times New Roman" w:hAnsi="Times New Roman" w:cs="Times New Roman"/>
                <w:color w:val="231F20"/>
                <w:spacing w:val="6"/>
                <w:sz w:val="15"/>
                <w:szCs w:val="15"/>
              </w:rPr>
              <w:t>850760</w:t>
            </w:r>
          </w:p>
        </w:tc>
        <w:tc>
          <w:tcPr>
            <w:tcW w:w="2039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64" w:line="283" w:lineRule="exact"/>
              <w:ind w:left="78"/>
            </w:pPr>
            <w:r>
              <w:rPr>
                <w:color w:val="231F20"/>
                <w:spacing w:val="9"/>
                <w:position w:val="8"/>
              </w:rPr>
              <w:t>全氟辛基磺酸锂</w:t>
            </w:r>
          </w:p>
          <w:p>
            <w:pPr>
              <w:pStyle w:val="TableText"/>
              <w:spacing w:line="211" w:lineRule="auto"/>
              <w:ind w:left="78"/>
            </w:pPr>
            <w:r>
              <w:rPr>
                <w:color w:val="231F20"/>
                <w:spacing w:val="9"/>
              </w:rPr>
              <w:t>六氟磷酸锂</w:t>
            </w:r>
          </w:p>
          <w:p>
            <w:pPr>
              <w:pStyle w:val="TableText"/>
              <w:spacing w:before="57" w:line="213" w:lineRule="auto"/>
              <w:ind w:left="79"/>
            </w:pPr>
            <w:r>
              <w:rPr>
                <w:color w:val="231F20"/>
                <w:spacing w:val="8"/>
              </w:rPr>
              <w:t>氯化锂</w:t>
            </w:r>
          </w:p>
          <w:p>
            <w:pPr>
              <w:pStyle w:val="TableText"/>
              <w:spacing w:before="54" w:line="212" w:lineRule="auto"/>
              <w:ind w:left="77"/>
            </w:pPr>
            <w:r>
              <w:rPr>
                <w:color w:val="231F20"/>
                <w:spacing w:val="9"/>
              </w:rPr>
              <w:t>锰酸锂</w:t>
            </w:r>
          </w:p>
          <w:p>
            <w:pPr>
              <w:pStyle w:val="TableText"/>
              <w:spacing w:before="56" w:line="212" w:lineRule="auto"/>
              <w:ind w:left="78"/>
            </w:pPr>
            <w:r>
              <w:rPr>
                <w:color w:val="231F20"/>
                <w:spacing w:val="9"/>
              </w:rPr>
              <w:t>锂的原电池及原电池组</w:t>
            </w:r>
          </w:p>
          <w:p>
            <w:pPr>
              <w:pStyle w:val="TableText"/>
              <w:spacing w:before="56" w:line="206" w:lineRule="auto"/>
              <w:ind w:left="78" w:right="43" w:firstLine="1"/>
            </w:pPr>
            <w:r>
              <w:rPr>
                <w:color w:val="231F20"/>
                <w:spacing w:val="9"/>
              </w:rPr>
              <w:t>纯电动汽车或插电式混合动</w:t>
            </w:r>
            <w:r>
              <w:rPr>
                <w:color w:val="231F20"/>
                <w:spacing w:val="5"/>
              </w:rPr>
              <w:t xml:space="preserve"> </w:t>
            </w:r>
            <w:r>
              <w:rPr>
                <w:color w:val="231F20"/>
                <w:spacing w:val="9"/>
              </w:rPr>
              <w:t>力汽车用锂离子蓄电池单体</w:t>
            </w:r>
          </w:p>
        </w:tc>
        <w:tc>
          <w:tcPr>
            <w:tcW w:w="1030" w:type="dxa"/>
            <w:tcBorders>
              <w:bottom w:val="single" w:sz="6" w:space="0" w:color="000000"/>
            </w:tcBorders>
            <w:vAlign w:val="top"/>
          </w:tcPr>
          <w:p>
            <w:pPr>
              <w:spacing w:before="100" w:line="394" w:lineRule="auto"/>
              <w:ind w:left="128" w:right="104"/>
              <w:jc w:val="both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pacing w:val="5"/>
                <w:sz w:val="15"/>
                <w:szCs w:val="15"/>
              </w:rPr>
              <w:t>2016—2021</w:t>
            </w:r>
            <w:r>
              <w:rPr>
                <w:rFonts w:ascii="Times New Roman" w:eastAsia="Times New Roman" w:hAnsi="Times New Roman" w:cs="Times New Roman"/>
                <w:color w:val="231F20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1F20"/>
                <w:spacing w:val="5"/>
                <w:sz w:val="15"/>
                <w:szCs w:val="15"/>
              </w:rPr>
              <w:t>2000—2021</w:t>
            </w:r>
            <w:r>
              <w:rPr>
                <w:rFonts w:ascii="Times New Roman" w:eastAsia="Times New Roman" w:hAnsi="Times New Roman" w:cs="Times New Roman"/>
                <w:color w:val="231F20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1F20"/>
                <w:spacing w:val="5"/>
                <w:sz w:val="15"/>
                <w:szCs w:val="15"/>
              </w:rPr>
              <w:t>2000—2021</w:t>
            </w:r>
            <w:r>
              <w:rPr>
                <w:rFonts w:ascii="Times New Roman" w:eastAsia="Times New Roman" w:hAnsi="Times New Roman" w:cs="Times New Roman"/>
                <w:color w:val="231F20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1F20"/>
                <w:spacing w:val="5"/>
                <w:sz w:val="15"/>
                <w:szCs w:val="15"/>
              </w:rPr>
              <w:t>2000—2021</w:t>
            </w:r>
            <w:r>
              <w:rPr>
                <w:rFonts w:ascii="Times New Roman" w:eastAsia="Times New Roman" w:hAnsi="Times New Roman" w:cs="Times New Roman"/>
                <w:color w:val="231F20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1F20"/>
                <w:spacing w:val="5"/>
                <w:sz w:val="15"/>
                <w:szCs w:val="15"/>
              </w:rPr>
              <w:t>2000—2021</w:t>
            </w:r>
          </w:p>
          <w:p>
            <w:pPr>
              <w:spacing w:line="195" w:lineRule="auto"/>
              <w:ind w:left="13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pacing w:val="4"/>
                <w:sz w:val="15"/>
                <w:szCs w:val="15"/>
              </w:rPr>
              <w:t>2011—2021</w:t>
            </w:r>
          </w:p>
        </w:tc>
      </w:tr>
    </w:tbl>
    <w:p>
      <w:pPr>
        <w:pStyle w:val="BodyText"/>
        <w:spacing w:before="271" w:line="241" w:lineRule="auto"/>
        <w:ind w:right="243" w:firstLine="100"/>
        <w:jc w:val="both"/>
      </w:pPr>
      <w:r>
        <w:rPr>
          <w:color w:val="231F20"/>
          <w:spacing w:val="-1"/>
        </w:rPr>
        <w:t>电脑、数码相机、手机、移动电动工具等电子产品的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16"/>
        </w:rPr>
        <w:t>不断发展，电池行业已经成为锂最大的消费领域。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13"/>
        </w:rPr>
        <w:t>在此，仅考虑锂产业链下游的头部行业作为</w:t>
      </w:r>
      <w:r>
        <w:rPr>
          <w:color w:val="231F20"/>
          <w:spacing w:val="12"/>
        </w:rPr>
        <w:t>研究对</w:t>
      </w:r>
      <w:r>
        <w:rPr>
          <w:color w:val="231F20"/>
        </w:rPr>
        <w:t xml:space="preserve">  </w:t>
      </w:r>
      <w:r>
        <w:rPr>
          <w:color w:val="231F20"/>
          <w:spacing w:val="21"/>
        </w:rPr>
        <w:t>象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21"/>
        </w:rPr>
        <w:t>。产品数据来源于联合国商品贸易统计数据库</w:t>
      </w:r>
      <w:r>
        <w:rPr>
          <w:color w:val="231F20"/>
        </w:rPr>
        <w:t xml:space="preserve">  </w:t>
      </w:r>
      <w:r>
        <w:rPr>
          <w:color w:val="231F20"/>
          <w:spacing w:val="15"/>
        </w:rPr>
        <w:t>（</w:t>
      </w:r>
      <w:r>
        <w:rPr>
          <w:rFonts w:ascii="Times New Roman" w:eastAsia="Times New Roman" w:hAnsi="Times New Roman" w:cs="Times New Roman"/>
          <w:color w:val="231F20"/>
        </w:rPr>
        <w:t>United</w:t>
      </w:r>
      <w:r>
        <w:rPr>
          <w:rFonts w:ascii="Times New Roman" w:eastAsia="Times New Roman" w:hAnsi="Times New Roman" w:cs="Times New Roman"/>
          <w:color w:val="231F20"/>
          <w:spacing w:val="15"/>
        </w:rPr>
        <w:t xml:space="preserve">  </w:t>
      </w:r>
      <w:r>
        <w:rPr>
          <w:rFonts w:ascii="Times New Roman" w:eastAsia="Times New Roman" w:hAnsi="Times New Roman" w:cs="Times New Roman"/>
          <w:color w:val="231F20"/>
        </w:rPr>
        <w:t>Nations</w:t>
      </w:r>
      <w:r>
        <w:rPr>
          <w:rFonts w:ascii="Times New Roman" w:eastAsia="Times New Roman" w:hAnsi="Times New Roman" w:cs="Times New Roman"/>
          <w:color w:val="231F20"/>
          <w:spacing w:val="15"/>
        </w:rPr>
        <w:t xml:space="preserve">   </w:t>
      </w:r>
      <w:r>
        <w:rPr>
          <w:rFonts w:ascii="Times New Roman" w:eastAsia="Times New Roman" w:hAnsi="Times New Roman" w:cs="Times New Roman"/>
          <w:color w:val="231F20"/>
        </w:rPr>
        <w:t>Commodity</w:t>
      </w:r>
      <w:r>
        <w:rPr>
          <w:rFonts w:ascii="Times New Roman" w:eastAsia="Times New Roman" w:hAnsi="Times New Roman" w:cs="Times New Roman"/>
          <w:color w:val="231F20"/>
          <w:spacing w:val="20"/>
        </w:rPr>
        <w:t xml:space="preserve">  </w:t>
      </w:r>
      <w:r>
        <w:rPr>
          <w:rFonts w:ascii="Times New Roman" w:eastAsia="Times New Roman" w:hAnsi="Times New Roman" w:cs="Times New Roman"/>
          <w:color w:val="231F20"/>
        </w:rPr>
        <w:t>Trade</w:t>
      </w:r>
      <w:r>
        <w:rPr>
          <w:rFonts w:ascii="Times New Roman" w:eastAsia="Times New Roman" w:hAnsi="Times New Roman" w:cs="Times New Roman"/>
          <w:color w:val="231F20"/>
          <w:spacing w:val="22"/>
        </w:rPr>
        <w:t xml:space="preserve">  </w:t>
      </w:r>
      <w:r>
        <w:rPr>
          <w:rFonts w:ascii="Times New Roman" w:eastAsia="Times New Roman" w:hAnsi="Times New Roman" w:cs="Times New Roman"/>
          <w:color w:val="231F20"/>
        </w:rPr>
        <w:t>Statistic</w:t>
      </w:r>
      <w:r>
        <w:rPr>
          <w:rFonts w:ascii="Times New Roman" w:eastAsia="Times New Roman" w:hAnsi="Times New Roman" w:cs="Times New Roman"/>
          <w:color w:val="231F20"/>
          <w:spacing w:val="17"/>
        </w:rPr>
        <w:t xml:space="preserve">  </w:t>
      </w:r>
      <w:r>
        <w:rPr>
          <w:rFonts w:ascii="Times New Roman" w:eastAsia="Times New Roman" w:hAnsi="Times New Roman" w:cs="Times New Roman"/>
          <w:color w:val="231F20"/>
        </w:rPr>
        <w:t>Data</w:t>
      </w:r>
      <w:r>
        <w:rPr>
          <w:rFonts w:ascii="Times New Roman" w:eastAsia="Times New Roman" w:hAnsi="Times New Roman" w:cs="Times New Roman"/>
          <w:color w:val="231F20"/>
          <w:spacing w:val="15"/>
        </w:rPr>
        <w:t xml:space="preserve">-  </w:t>
      </w:r>
      <w:r>
        <w:rPr>
          <w:rFonts w:ascii="Times New Roman" w:eastAsia="Times New Roman" w:hAnsi="Times New Roman" w:cs="Times New Roman"/>
          <w:color w:val="231F20"/>
        </w:rPr>
        <w:t>base</w:t>
      </w:r>
      <w:r>
        <w:rPr>
          <w:color w:val="231F20"/>
          <w:spacing w:val="8"/>
        </w:rPr>
        <w:t>，</w:t>
      </w:r>
      <w:r>
        <w:rPr>
          <w:rFonts w:ascii="Times New Roman" w:eastAsia="Times New Roman" w:hAnsi="Times New Roman" w:cs="Times New Roman"/>
          <w:color w:val="231F20"/>
        </w:rPr>
        <w:t>UN</w:t>
      </w:r>
      <w:r>
        <w:rPr>
          <w:rFonts w:ascii="Times New Roman" w:eastAsia="Times New Roman" w:hAnsi="Times New Roman" w:cs="Times New Roman"/>
          <w:color w:val="231F20"/>
          <w:spacing w:val="51"/>
        </w:rPr>
        <w:t xml:space="preserve"> </w:t>
      </w:r>
      <w:r>
        <w:rPr>
          <w:rFonts w:ascii="Times New Roman" w:eastAsia="Times New Roman" w:hAnsi="Times New Roman" w:cs="Times New Roman"/>
          <w:color w:val="231F20"/>
        </w:rPr>
        <w:t>Comtrade</w:t>
      </w:r>
      <w:r>
        <w:rPr>
          <w:color w:val="231F20"/>
          <w:spacing w:val="-47"/>
          <w:w w:val="98"/>
        </w:rPr>
        <w:t>），</w:t>
      </w:r>
      <w:r>
        <w:rPr>
          <w:color w:val="231F20"/>
          <w:spacing w:val="8"/>
        </w:rPr>
        <w:t xml:space="preserve">基 于 </w:t>
      </w:r>
      <w:r>
        <w:rPr>
          <w:rFonts w:ascii="Times New Roman" w:eastAsia="Times New Roman" w:hAnsi="Times New Roman" w:cs="Times New Roman"/>
          <w:color w:val="231F20"/>
        </w:rPr>
        <w:t>python</w:t>
      </w:r>
      <w:r>
        <w:rPr>
          <w:rFonts w:ascii="Times New Roman" w:eastAsia="Times New Roman" w:hAnsi="Times New Roman" w:cs="Times New Roman"/>
          <w:color w:val="231F20"/>
          <w:spacing w:val="27"/>
          <w:w w:val="101"/>
        </w:rPr>
        <w:t xml:space="preserve"> </w:t>
      </w:r>
      <w:r>
        <w:rPr>
          <w:color w:val="231F20"/>
          <w:spacing w:val="8"/>
        </w:rPr>
        <w:t>收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8"/>
        </w:rPr>
        <w:t xml:space="preserve">集 了 </w:t>
      </w:r>
      <w:r>
        <w:rPr>
          <w:rFonts w:ascii="Times New Roman" w:eastAsia="Times New Roman" w:hAnsi="Times New Roman" w:cs="Times New Roman"/>
          <w:color w:val="231F20"/>
          <w:spacing w:val="8"/>
        </w:rPr>
        <w:t xml:space="preserve">2000—  </w:t>
      </w:r>
      <w:r>
        <w:rPr>
          <w:rFonts w:ascii="Times New Roman" w:eastAsia="Times New Roman" w:hAnsi="Times New Roman" w:cs="Times New Roman"/>
          <w:color w:val="231F20"/>
          <w:spacing w:val="11"/>
        </w:rPr>
        <w:t>2021</w:t>
      </w:r>
      <w:r>
        <w:rPr>
          <w:rFonts w:ascii="Times New Roman" w:eastAsia="Times New Roman" w:hAnsi="Times New Roman" w:cs="Times New Roman"/>
          <w:color w:val="231F20"/>
          <w:spacing w:val="-6"/>
        </w:rPr>
        <w:t xml:space="preserve"> </w:t>
      </w:r>
      <w:r>
        <w:rPr>
          <w:color w:val="231F20"/>
          <w:spacing w:val="11"/>
        </w:rPr>
        <w:t>年</w:t>
      </w:r>
      <w:r>
        <w:rPr>
          <w:color w:val="231F20"/>
          <w:spacing w:val="-19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1"/>
        </w:rPr>
        <w:t>9</w:t>
      </w:r>
      <w:r>
        <w:rPr>
          <w:rFonts w:ascii="Times New Roman" w:eastAsia="Times New Roman" w:hAnsi="Times New Roman" w:cs="Times New Roman"/>
          <w:color w:val="231F20"/>
          <w:spacing w:val="-13"/>
        </w:rPr>
        <w:t xml:space="preserve"> </w:t>
      </w:r>
      <w:r>
        <w:rPr>
          <w:color w:val="231F20"/>
          <w:spacing w:val="11"/>
        </w:rPr>
        <w:t>种产品的全球贸易额数据，并根据产业链</w:t>
      </w:r>
      <w:r>
        <w:rPr>
          <w:color w:val="231F20"/>
        </w:rPr>
        <w:t xml:space="preserve">  </w:t>
      </w:r>
      <w:r>
        <w:rPr>
          <w:color w:val="231F20"/>
          <w:spacing w:val="17"/>
        </w:rPr>
        <w:t>分类对相应产品贸易额进行了加总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17"/>
        </w:rPr>
        <w:t>。</w:t>
      </w:r>
      <w:r>
        <w:rPr>
          <w:rFonts w:ascii="Times New Roman" w:eastAsia="Times New Roman" w:hAnsi="Times New Roman" w:cs="Times New Roman"/>
          <w:color w:val="231F20"/>
        </w:rPr>
        <w:t>UN</w:t>
      </w:r>
      <w:r>
        <w:rPr>
          <w:rFonts w:ascii="Times New Roman" w:eastAsia="Times New Roman" w:hAnsi="Times New Roman" w:cs="Times New Roman"/>
          <w:color w:val="231F20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231F20"/>
        </w:rPr>
        <w:t>Comtrade</w:t>
      </w:r>
      <w:r>
        <w:rPr>
          <w:rFonts w:ascii="Times New Roman" w:eastAsia="Times New Roman" w:hAnsi="Times New Roman" w:cs="Times New Roman"/>
          <w:color w:val="231F20"/>
          <w:spacing w:val="17"/>
        </w:rPr>
        <w:t xml:space="preserve">  </w:t>
      </w:r>
      <w:r>
        <w:rPr>
          <w:color w:val="231F20"/>
          <w:spacing w:val="13"/>
        </w:rPr>
        <w:t>以其广泛的覆盖面而广受认可，但是由于收集过程</w:t>
      </w:r>
      <w:r>
        <w:rPr>
          <w:color w:val="231F20"/>
        </w:rPr>
        <w:t xml:space="preserve">  </w:t>
      </w:r>
      <w:r>
        <w:rPr>
          <w:color w:val="231F20"/>
          <w:spacing w:val="13"/>
        </w:rPr>
        <w:t>和测量标准的差异使得数据存在一些问题，主要包</w:t>
      </w:r>
      <w:r>
        <w:rPr>
          <w:color w:val="231F20"/>
        </w:rPr>
        <w:t xml:space="preserve">  </w:t>
      </w:r>
      <w:r>
        <w:rPr>
          <w:color w:val="231F20"/>
          <w:spacing w:val="-3"/>
        </w:rPr>
        <w:t>括：</w:t>
      </w:r>
      <w:r>
        <w:rPr>
          <w:rFonts w:ascii="NSimSun" w:eastAsia="NSimSun" w:hAnsi="NSimSun" w:cs="NSimSun"/>
          <w:color w:val="231F20"/>
          <w:spacing w:val="-3"/>
        </w:rPr>
        <w:t>①</w:t>
      </w:r>
      <w:r>
        <w:rPr>
          <w:color w:val="231F20"/>
          <w:spacing w:val="-3"/>
        </w:rPr>
        <w:t>存在某些国家（地区）间的贸易额（量）为</w:t>
      </w:r>
      <w:r>
        <w:rPr>
          <w:rFonts w:ascii="Times New Roman" w:eastAsia="Times New Roman" w:hAnsi="Times New Roman" w:cs="Times New Roman"/>
          <w:color w:val="231F20"/>
          <w:spacing w:val="-3"/>
        </w:rPr>
        <w:t xml:space="preserve">0 </w:t>
      </w:r>
      <w:r>
        <w:rPr>
          <w:color w:val="231F20"/>
          <w:spacing w:val="-3"/>
        </w:rPr>
        <w:t>的</w:t>
      </w:r>
      <w:r>
        <w:rPr>
          <w:color w:val="231F20"/>
          <w:spacing w:val="5"/>
        </w:rPr>
        <w:t xml:space="preserve">  </w:t>
      </w:r>
      <w:r>
        <w:rPr>
          <w:color w:val="231F20"/>
          <w:spacing w:val="-7"/>
        </w:rPr>
        <w:t>情况；</w:t>
      </w:r>
      <w:r>
        <w:rPr>
          <w:rFonts w:ascii="NSimSun" w:eastAsia="NSimSun" w:hAnsi="NSimSun" w:cs="NSimSun"/>
          <w:color w:val="231F20"/>
          <w:spacing w:val="-7"/>
        </w:rPr>
        <w:t>②</w:t>
      </w:r>
      <w:r>
        <w:rPr>
          <w:rFonts w:ascii="Times New Roman" w:eastAsia="Times New Roman" w:hAnsi="Times New Roman" w:cs="Times New Roman"/>
          <w:i/>
          <w:iCs/>
          <w:color w:val="231F20"/>
          <w:spacing w:val="-7"/>
        </w:rPr>
        <w:t>i</w:t>
      </w:r>
      <w:r>
        <w:rPr>
          <w:rFonts w:ascii="Times New Roman" w:eastAsia="Times New Roman" w:hAnsi="Times New Roman" w:cs="Times New Roman"/>
          <w:i/>
          <w:iCs/>
          <w:color w:val="231F20"/>
          <w:spacing w:val="25"/>
        </w:rPr>
        <w:t xml:space="preserve"> </w:t>
      </w:r>
      <w:r>
        <w:rPr>
          <w:color w:val="231F20"/>
          <w:spacing w:val="-7"/>
        </w:rPr>
        <w:t>国（地区）进（出）口</w:t>
      </w:r>
      <w:r>
        <w:rPr>
          <w:rFonts w:ascii="Times New Roman" w:eastAsia="Times New Roman" w:hAnsi="Times New Roman" w:cs="Times New Roman"/>
          <w:i/>
          <w:iCs/>
          <w:color w:val="231F20"/>
          <w:spacing w:val="-7"/>
        </w:rPr>
        <w:t>j</w:t>
      </w:r>
      <w:r>
        <w:rPr>
          <w:rFonts w:ascii="Times New Roman" w:eastAsia="Times New Roman" w:hAnsi="Times New Roman" w:cs="Times New Roman"/>
          <w:i/>
          <w:iCs/>
          <w:color w:val="231F20"/>
          <w:spacing w:val="15"/>
        </w:rPr>
        <w:t xml:space="preserve"> </w:t>
      </w:r>
      <w:r>
        <w:rPr>
          <w:color w:val="231F20"/>
          <w:spacing w:val="-7"/>
        </w:rPr>
        <w:t xml:space="preserve">国（地区）的贸易额  </w:t>
      </w:r>
      <w:r>
        <w:rPr>
          <w:color w:val="231F20"/>
          <w:spacing w:val="-9"/>
        </w:rPr>
        <w:t>（量）与</w:t>
      </w:r>
      <w:r>
        <w:rPr>
          <w:rFonts w:ascii="Times New Roman" w:eastAsia="Times New Roman" w:hAnsi="Times New Roman" w:cs="Times New Roman"/>
          <w:i/>
          <w:iCs/>
          <w:color w:val="231F20"/>
          <w:spacing w:val="-9"/>
        </w:rPr>
        <w:t>j</w:t>
      </w:r>
      <w:r>
        <w:rPr>
          <w:rFonts w:ascii="Times New Roman" w:eastAsia="Times New Roman" w:hAnsi="Times New Roman" w:cs="Times New Roman"/>
          <w:i/>
          <w:iCs/>
          <w:color w:val="231F20"/>
          <w:spacing w:val="25"/>
          <w:w w:val="101"/>
        </w:rPr>
        <w:t xml:space="preserve"> </w:t>
      </w:r>
      <w:r>
        <w:rPr>
          <w:color w:val="231F20"/>
          <w:spacing w:val="-9"/>
        </w:rPr>
        <w:t xml:space="preserve">国（地区）出（进）口 </w:t>
      </w:r>
      <w:r>
        <w:rPr>
          <w:rFonts w:ascii="Times New Roman" w:eastAsia="Times New Roman" w:hAnsi="Times New Roman" w:cs="Times New Roman"/>
          <w:i/>
          <w:iCs/>
          <w:color w:val="231F20"/>
          <w:spacing w:val="-9"/>
        </w:rPr>
        <w:t>i</w:t>
      </w:r>
      <w:r>
        <w:rPr>
          <w:rFonts w:ascii="Times New Roman" w:eastAsia="Times New Roman" w:hAnsi="Times New Roman" w:cs="Times New Roman"/>
          <w:i/>
          <w:iCs/>
          <w:color w:val="231F20"/>
          <w:spacing w:val="18"/>
          <w:w w:val="101"/>
        </w:rPr>
        <w:t xml:space="preserve"> </w:t>
      </w:r>
      <w:r>
        <w:rPr>
          <w:color w:val="231F20"/>
          <w:spacing w:val="-9"/>
        </w:rPr>
        <w:t xml:space="preserve">国（地区）的贸易额  </w:t>
      </w:r>
      <w:r>
        <w:rPr>
          <w:color w:val="231F20"/>
          <w:spacing w:val="3"/>
        </w:rPr>
        <w:t>（量）存在出入</w:t>
      </w:r>
      <w:r>
        <w:rPr>
          <w:rFonts w:ascii="Times New Roman" w:eastAsia="Times New Roman" w:hAnsi="Times New Roman" w:cs="Times New Roman"/>
          <w:color w:val="231F20"/>
          <w:spacing w:val="3"/>
          <w:position w:val="8"/>
          <w:sz w:val="10"/>
          <w:szCs w:val="10"/>
        </w:rPr>
        <w:t xml:space="preserve">[60] </w:t>
      </w:r>
      <w:r>
        <w:rPr>
          <w:color w:val="231F20"/>
          <w:spacing w:val="3"/>
        </w:rPr>
        <w:t>。对于第一种问题，将这些没有值</w:t>
      </w:r>
      <w:r>
        <w:rPr>
          <w:color w:val="231F20"/>
          <w:spacing w:val="6"/>
        </w:rPr>
        <w:t xml:space="preserve">  </w:t>
      </w:r>
      <w:r>
        <w:rPr>
          <w:color w:val="231F20"/>
          <w:spacing w:val="3"/>
        </w:rPr>
        <w:t>的国家（地区）间贸易关系进行了剔除；对于第二种</w:t>
      </w:r>
      <w:r>
        <w:rPr>
          <w:color w:val="231F20"/>
          <w:spacing w:val="7"/>
        </w:rPr>
        <w:t xml:space="preserve">  </w:t>
      </w:r>
      <w:r>
        <w:rPr>
          <w:color w:val="231F20"/>
          <w:spacing w:val="13"/>
        </w:rPr>
        <w:t>问题，可能的原因是各国统计口径的差异，对</w:t>
      </w:r>
      <w:r>
        <w:rPr>
          <w:color w:val="231F20"/>
          <w:spacing w:val="12"/>
        </w:rPr>
        <w:t>两者</w:t>
      </w:r>
      <w:r>
        <w:rPr>
          <w:color w:val="231F20"/>
        </w:rPr>
        <w:t xml:space="preserve">  </w:t>
      </w:r>
      <w:r>
        <w:rPr>
          <w:color w:val="231F20"/>
          <w:spacing w:val="18"/>
        </w:rPr>
        <w:t>进行了均值处理。</w:t>
      </w:r>
    </w:p>
    <w:p>
      <w:pPr>
        <w:spacing w:before="46" w:line="363" w:lineRule="exact"/>
        <w:ind w:left="84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5"/>
          <w:position w:val="1"/>
          <w:sz w:val="27"/>
          <w:szCs w:val="27"/>
        </w:rPr>
        <w:t>4</w:t>
      </w:r>
      <w:r>
        <w:rPr>
          <w:rFonts w:ascii="Times New Roman" w:eastAsia="Times New Roman" w:hAnsi="Times New Roman" w:cs="Times New Roman"/>
          <w:b/>
          <w:bCs/>
          <w:color w:val="231F20"/>
          <w:spacing w:val="8"/>
          <w:position w:val="1"/>
          <w:sz w:val="27"/>
          <w:szCs w:val="27"/>
        </w:rPr>
        <w:t xml:space="preserve">   </w:t>
      </w:r>
      <w:r>
        <w:rPr>
          <w:rFonts w:ascii="SimHei" w:eastAsia="SimHei" w:hAnsi="SimHei" w:cs="SimHei"/>
          <w:color w:val="231F20"/>
          <w:spacing w:val="5"/>
          <w:position w:val="1"/>
          <w:sz w:val="27"/>
          <w:szCs w:val="27"/>
        </w:rPr>
        <w:t>结果与分析</w:t>
      </w:r>
    </w:p>
    <w:p>
      <w:pPr>
        <w:spacing w:before="65" w:line="227" w:lineRule="auto"/>
        <w:ind w:left="82"/>
        <w:rPr>
          <w:rFonts w:ascii="SimHei" w:eastAsia="SimHei" w:hAnsi="SimHei" w:cs="SimHei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20"/>
          <w:szCs w:val="20"/>
        </w:rPr>
        <w:t xml:space="preserve">4.1  </w:t>
      </w:r>
      <w:r>
        <w:rPr>
          <w:rFonts w:ascii="SimHei" w:eastAsia="SimHei" w:hAnsi="SimHei" w:cs="SimHei"/>
          <w:color w:val="231F20"/>
          <w:spacing w:val="7"/>
          <w:sz w:val="20"/>
          <w:szCs w:val="20"/>
        </w:rPr>
        <w:t>锂产业链贸易流向分析</w:t>
      </w:r>
    </w:p>
    <w:p>
      <w:pPr>
        <w:pStyle w:val="BodyText"/>
        <w:spacing w:before="92" w:line="239" w:lineRule="auto"/>
        <w:ind w:left="81" w:right="256" w:firstLine="419"/>
        <w:jc w:val="both"/>
      </w:pPr>
      <w:r>
        <w:rPr>
          <w:color w:val="231F20"/>
          <w:spacing w:val="19"/>
        </w:rPr>
        <w:t>基于</w:t>
      </w:r>
      <w:r>
        <w:rPr>
          <w:color w:val="231F20"/>
          <w:spacing w:val="-22"/>
        </w:rPr>
        <w:t xml:space="preserve"> </w:t>
      </w:r>
      <w:r>
        <w:rPr>
          <w:rFonts w:ascii="Times New Roman" w:eastAsia="Times New Roman" w:hAnsi="Times New Roman" w:cs="Times New Roman"/>
          <w:color w:val="231F20"/>
        </w:rPr>
        <w:t>UN</w:t>
      </w:r>
      <w:r>
        <w:rPr>
          <w:rFonts w:ascii="Times New Roman" w:eastAsia="Times New Roman" w:hAnsi="Times New Roman" w:cs="Times New Roman"/>
          <w:color w:val="231F20"/>
          <w:spacing w:val="19"/>
        </w:rPr>
        <w:t xml:space="preserve"> </w:t>
      </w:r>
      <w:r>
        <w:rPr>
          <w:rFonts w:ascii="Times New Roman" w:eastAsia="Times New Roman" w:hAnsi="Times New Roman" w:cs="Times New Roman"/>
          <w:color w:val="231F20"/>
        </w:rPr>
        <w:t>Comtrade</w:t>
      </w:r>
      <w:r>
        <w:rPr>
          <w:color w:val="231F20"/>
          <w:spacing w:val="19"/>
        </w:rPr>
        <w:t>中</w:t>
      </w:r>
      <w:r>
        <w:rPr>
          <w:rFonts w:ascii="Times New Roman" w:eastAsia="Times New Roman" w:hAnsi="Times New Roman" w:cs="Times New Roman"/>
          <w:color w:val="231F20"/>
          <w:spacing w:val="19"/>
        </w:rPr>
        <w:t>9</w:t>
      </w:r>
      <w:r>
        <w:rPr>
          <w:rFonts w:ascii="Times New Roman" w:eastAsia="Times New Roman" w:hAnsi="Times New Roman" w:cs="Times New Roman"/>
          <w:color w:val="231F20"/>
          <w:spacing w:val="-15"/>
        </w:rPr>
        <w:t xml:space="preserve"> </w:t>
      </w:r>
      <w:r>
        <w:rPr>
          <w:color w:val="231F20"/>
          <w:spacing w:val="19"/>
        </w:rPr>
        <w:t>种相关产品的全球贸易</w:t>
      </w:r>
      <w:r>
        <w:rPr>
          <w:color w:val="231F20"/>
        </w:rPr>
        <w:t xml:space="preserve">  </w:t>
      </w:r>
      <w:r>
        <w:rPr>
          <w:color w:val="231F20"/>
          <w:spacing w:val="12"/>
        </w:rPr>
        <w:t>数据绘制</w:t>
      </w:r>
      <w:r>
        <w:rPr>
          <w:color w:val="231F20"/>
          <w:spacing w:val="-18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</w:rPr>
        <w:t>2000</w:t>
      </w:r>
      <w:r>
        <w:rPr>
          <w:rFonts w:ascii="Times New Roman" w:eastAsia="Times New Roman" w:hAnsi="Times New Roman" w:cs="Times New Roman"/>
          <w:color w:val="231F20"/>
          <w:spacing w:val="-6"/>
        </w:rPr>
        <w:t xml:space="preserve"> </w:t>
      </w:r>
      <w:r>
        <w:rPr>
          <w:color w:val="231F20"/>
          <w:spacing w:val="12"/>
        </w:rPr>
        <w:t>年和</w:t>
      </w:r>
      <w:r>
        <w:rPr>
          <w:color w:val="231F20"/>
          <w:spacing w:val="-18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2"/>
        </w:rPr>
        <w:t>2021</w:t>
      </w:r>
      <w:r>
        <w:rPr>
          <w:rFonts w:ascii="Times New Roman" w:eastAsia="Times New Roman" w:hAnsi="Times New Roman" w:cs="Times New Roman"/>
          <w:color w:val="231F20"/>
          <w:spacing w:val="-6"/>
        </w:rPr>
        <w:t xml:space="preserve"> </w:t>
      </w:r>
      <w:r>
        <w:rPr>
          <w:color w:val="231F20"/>
          <w:spacing w:val="12"/>
        </w:rPr>
        <w:t>年全球贸易流向</w:t>
      </w:r>
      <w:r>
        <w:rPr>
          <w:color w:val="231F20"/>
          <w:spacing w:val="11"/>
        </w:rPr>
        <w:t>图发现，</w:t>
      </w:r>
      <w:r>
        <w:rPr>
          <w:color w:val="231F20"/>
        </w:rPr>
        <w:t xml:space="preserve"> </w:t>
      </w:r>
      <w:r>
        <w:rPr>
          <w:color w:val="231F20"/>
          <w:spacing w:val="12"/>
        </w:rPr>
        <w:t xml:space="preserve">锂产业链的上游呈现贸易分散化的特征（图 </w:t>
      </w:r>
      <w:r>
        <w:rPr>
          <w:rFonts w:ascii="Times New Roman" w:eastAsia="Times New Roman" w:hAnsi="Times New Roman" w:cs="Times New Roman"/>
          <w:color w:val="231F20"/>
          <w:spacing w:val="12"/>
        </w:rPr>
        <w:t>1</w:t>
      </w:r>
      <w:r>
        <w:rPr>
          <w:color w:val="231F20"/>
          <w:spacing w:val="-28"/>
          <w:w w:val="59"/>
        </w:rPr>
        <w:t>），</w:t>
      </w:r>
      <w:r>
        <w:rPr>
          <w:color w:val="231F20"/>
          <w:spacing w:val="12"/>
        </w:rPr>
        <w:t>由</w:t>
      </w:r>
      <w:r>
        <w:rPr>
          <w:color w:val="231F20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5"/>
        </w:rPr>
        <w:t>2000</w:t>
      </w:r>
      <w:r>
        <w:rPr>
          <w:rFonts w:ascii="Times New Roman" w:eastAsia="Times New Roman" w:hAnsi="Times New Roman" w:cs="Times New Roman"/>
          <w:color w:val="231F20"/>
          <w:spacing w:val="7"/>
        </w:rPr>
        <w:t xml:space="preserve"> </w:t>
      </w:r>
      <w:r>
        <w:rPr>
          <w:color w:val="231F20"/>
          <w:spacing w:val="15"/>
        </w:rPr>
        <w:t>年的以美国为核心的亚太区块和以德国为核</w:t>
      </w:r>
      <w:r>
        <w:rPr>
          <w:color w:val="231F20"/>
        </w:rPr>
        <w:t xml:space="preserve">  </w:t>
      </w:r>
      <w:r>
        <w:rPr>
          <w:color w:val="231F20"/>
          <w:spacing w:val="4"/>
        </w:rPr>
        <w:t>心的欧洲区块的“两极格局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4"/>
        </w:rPr>
        <w:t>”逐渐裂变为</w:t>
      </w:r>
      <w:r>
        <w:rPr>
          <w:color w:val="231F20"/>
          <w:spacing w:val="-21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</w:rPr>
        <w:t>2021</w:t>
      </w:r>
      <w:r>
        <w:rPr>
          <w:rFonts w:ascii="Times New Roman" w:eastAsia="Times New Roman" w:hAnsi="Times New Roman" w:cs="Times New Roman"/>
          <w:color w:val="231F20"/>
          <w:spacing w:val="-10"/>
        </w:rPr>
        <w:t xml:space="preserve"> </w:t>
      </w:r>
      <w:r>
        <w:rPr>
          <w:color w:val="231F20"/>
          <w:spacing w:val="4"/>
        </w:rPr>
        <w:t>年的</w:t>
      </w:r>
      <w:r>
        <w:rPr>
          <w:color w:val="231F20"/>
        </w:rPr>
        <w:t xml:space="preserve">  </w:t>
      </w:r>
      <w:r>
        <w:rPr>
          <w:color w:val="231F20"/>
          <w:spacing w:val="9"/>
        </w:rPr>
        <w:t>中国占主导的“多极格局”；随着新能源革命的驱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9"/>
        </w:rPr>
        <w:t>动，锂资源的供需矛盾进一步加剧，虽然中国具有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9"/>
        </w:rPr>
        <w:t>得天独厚的资源优势，锂矿储量位居全球第四，尤</w:t>
      </w:r>
    </w:p>
    <w:p>
      <w:pPr>
        <w:spacing w:line="14" w:lineRule="auto"/>
        <w:rPr>
          <w:rFonts w:ascii="Arial"/>
          <w:sz w:val="2"/>
        </w:rPr>
        <w:sectPr>
          <w:headerReference w:type="default" r:id="rId46"/>
          <w:footerReference w:type="default" r:id="rId47"/>
          <w:type w:val="continuous"/>
          <w:pgSz w:w="11906" w:h="15582"/>
          <w:pgMar w:top="400" w:right="929" w:bottom="1" w:left="1056" w:header="0" w:footer="0" w:gutter="0"/>
          <w:pgNumType w:start="17"/>
          <w:cols w:num="2" w:space="708" w:equalWidth="0">
            <w:col w:w="5006" w:space="100"/>
            <w:col w:w="4814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235" w:lineRule="auto"/>
        <w:ind w:left="1" w:right="204" w:firstLine="2"/>
        <w:jc w:val="both"/>
      </w:pPr>
      <w:r>
        <w:rPr>
          <w:color w:val="231F20"/>
          <w:spacing w:val="9"/>
        </w:rPr>
        <w:t>其是盐湖型锂矿储量具有显著优势，但资源总量难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19"/>
        </w:rPr>
        <w:t>以长期支撑中国作为全球最大锂动力电池生产国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9"/>
        </w:rPr>
        <w:t>和出口地的地位，这使得中国锂资源对外依存度较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8"/>
        </w:rPr>
        <w:t>高</w:t>
      </w:r>
      <w:r>
        <w:rPr>
          <w:color w:val="231F20"/>
          <w:spacing w:val="-29"/>
        </w:rPr>
        <w:t xml:space="preserve"> </w:t>
      </w:r>
      <w:r>
        <w:rPr>
          <w:color w:val="231F20"/>
          <w:spacing w:val="8"/>
        </w:rPr>
        <w:t>。随着各国开始追求进口替代国多元化，锂产业</w:t>
      </w:r>
      <w:r>
        <w:rPr>
          <w:color w:val="231F20"/>
        </w:rPr>
        <w:t xml:space="preserve"> </w:t>
      </w:r>
      <w:r>
        <w:rPr>
          <w:color w:val="231F20"/>
          <w:spacing w:val="9"/>
        </w:rPr>
        <w:t>链上游的国际贸易呈现分散化的特征。</w:t>
      </w:r>
    </w:p>
    <w:p>
      <w:pPr>
        <w:pStyle w:val="BodyText"/>
        <w:spacing w:before="46" w:line="237" w:lineRule="auto"/>
        <w:ind w:left="3" w:firstLine="421"/>
      </w:pPr>
      <w:r>
        <w:rPr>
          <w:color w:val="231F20"/>
          <w:spacing w:val="13"/>
        </w:rPr>
        <w:t>锂产业链中游呈现贸易集中化的特征（图</w:t>
      </w:r>
      <w:r>
        <w:rPr>
          <w:rFonts w:ascii="Times New Roman" w:eastAsia="Times New Roman" w:hAnsi="Times New Roman" w:cs="Times New Roman"/>
          <w:color w:val="231F20"/>
          <w:spacing w:val="13"/>
        </w:rPr>
        <w:t>2</w:t>
      </w:r>
      <w:r>
        <w:rPr>
          <w:color w:val="231F20"/>
          <w:spacing w:val="-47"/>
          <w:w w:val="98"/>
        </w:rPr>
        <w:t>），</w:t>
      </w:r>
      <w:r>
        <w:rPr>
          <w:color w:val="231F20"/>
        </w:rPr>
        <w:t xml:space="preserve">   </w:t>
      </w:r>
      <w:r>
        <w:rPr>
          <w:color w:val="231F20"/>
          <w:spacing w:val="4"/>
        </w:rPr>
        <w:t>由</w:t>
      </w:r>
      <w:r>
        <w:rPr>
          <w:color w:val="231F20"/>
          <w:spacing w:val="-1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</w:rPr>
        <w:t>2000</w:t>
      </w:r>
      <w:r>
        <w:rPr>
          <w:rFonts w:ascii="Times New Roman" w:eastAsia="Times New Roman" w:hAnsi="Times New Roman" w:cs="Times New Roman"/>
          <w:color w:val="231F20"/>
          <w:spacing w:val="-11"/>
        </w:rPr>
        <w:t xml:space="preserve"> </w:t>
      </w:r>
      <w:r>
        <w:rPr>
          <w:color w:val="231F20"/>
          <w:spacing w:val="4"/>
        </w:rPr>
        <w:t>年以美国、日本、欧洲为核心的“三足鼎立</w:t>
      </w:r>
      <w:r>
        <w:rPr>
          <w:color w:val="231F20"/>
          <w:spacing w:val="-35"/>
        </w:rPr>
        <w:t xml:space="preserve"> </w:t>
      </w:r>
      <w:r>
        <w:rPr>
          <w:color w:val="231F20"/>
          <w:spacing w:val="4"/>
        </w:rPr>
        <w:t>”</w:t>
      </w:r>
      <w:r>
        <w:rPr>
          <w:color w:val="231F20"/>
        </w:rPr>
        <w:t xml:space="preserve"> </w:t>
      </w:r>
      <w:r>
        <w:rPr>
          <w:color w:val="231F20"/>
          <w:spacing w:val="4"/>
        </w:rPr>
        <w:t>格局逐渐转变为</w:t>
      </w:r>
      <w:r>
        <w:rPr>
          <w:color w:val="231F20"/>
          <w:spacing w:val="-1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</w:rPr>
        <w:t>2021</w:t>
      </w:r>
      <w:r>
        <w:rPr>
          <w:rFonts w:ascii="Times New Roman" w:eastAsia="Times New Roman" w:hAnsi="Times New Roman" w:cs="Times New Roman"/>
          <w:color w:val="231F20"/>
          <w:spacing w:val="-15"/>
        </w:rPr>
        <w:t xml:space="preserve"> </w:t>
      </w:r>
      <w:r>
        <w:rPr>
          <w:color w:val="231F20"/>
          <w:spacing w:val="4"/>
        </w:rPr>
        <w:t xml:space="preserve">年以中国和韩国为核心的“两    </w:t>
      </w:r>
      <w:r>
        <w:rPr>
          <w:color w:val="231F20"/>
          <w:spacing w:val="7"/>
        </w:rPr>
        <w:t xml:space="preserve">极格局”。中国凭借其成本优势在锂产业链中游成    </w:t>
      </w:r>
      <w:r>
        <w:rPr>
          <w:color w:val="231F20"/>
        </w:rPr>
        <w:t>为不可替代的一部分，作为“世界工厂”、</w:t>
      </w:r>
      <w:r>
        <w:rPr>
          <w:color w:val="231F20"/>
          <w:spacing w:val="-1"/>
        </w:rPr>
        <w:t xml:space="preserve">锂盐加工    </w:t>
      </w:r>
      <w:r>
        <w:rPr>
          <w:color w:val="231F20"/>
          <w:spacing w:val="7"/>
        </w:rPr>
        <w:t xml:space="preserve">大国，中国掌握了全球绝大多数的锂加工产能，逐    </w:t>
      </w:r>
      <w:r>
        <w:rPr>
          <w:color w:val="231F20"/>
          <w:spacing w:val="7"/>
        </w:rPr>
        <w:t xml:space="preserve">渐跻身锂产业链中游全球贸易的核心位置，与韩国    </w:t>
      </w:r>
      <w:r>
        <w:rPr>
          <w:color w:val="231F20"/>
          <w:spacing w:val="-4"/>
        </w:rPr>
        <w:t>形成“两极格局”。</w:t>
      </w:r>
    </w:p>
    <w:p>
      <w:pPr>
        <w:pStyle w:val="BodyText"/>
        <w:spacing w:before="50" w:line="236" w:lineRule="auto"/>
        <w:ind w:left="3" w:right="204" w:firstLine="420"/>
      </w:pPr>
      <w:r>
        <w:rPr>
          <w:color w:val="231F20"/>
          <w:spacing w:val="22"/>
        </w:rPr>
        <w:t xml:space="preserve">锂产业链下游呈现极化转移现象（图 </w:t>
      </w:r>
      <w:r>
        <w:rPr>
          <w:rFonts w:ascii="Times New Roman" w:eastAsia="Times New Roman" w:hAnsi="Times New Roman" w:cs="Times New Roman"/>
          <w:color w:val="231F20"/>
          <w:spacing w:val="22"/>
        </w:rPr>
        <w:t>3</w:t>
      </w:r>
      <w:r>
        <w:rPr>
          <w:color w:val="231F20"/>
          <w:spacing w:val="-32"/>
          <w:w w:val="67"/>
        </w:rPr>
        <w:t>），</w:t>
      </w:r>
      <w:r>
        <w:rPr>
          <w:color w:val="231F20"/>
          <w:spacing w:val="22"/>
        </w:rPr>
        <w:t>由</w:t>
      </w:r>
      <w:r>
        <w:rPr>
          <w:color w:val="231F2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</w:rPr>
        <w:t>2000</w:t>
      </w:r>
      <w:r>
        <w:rPr>
          <w:rFonts w:ascii="Times New Roman" w:eastAsia="Times New Roman" w:hAnsi="Times New Roman" w:cs="Times New Roman"/>
          <w:color w:val="231F20"/>
          <w:spacing w:val="-9"/>
        </w:rPr>
        <w:t xml:space="preserve"> </w:t>
      </w:r>
      <w:r>
        <w:rPr>
          <w:color w:val="231F20"/>
          <w:spacing w:val="4"/>
        </w:rPr>
        <w:t>年的以日本为核心的“单极格局</w:t>
      </w:r>
      <w:r>
        <w:rPr>
          <w:color w:val="231F20"/>
          <w:spacing w:val="-35"/>
        </w:rPr>
        <w:t xml:space="preserve"> </w:t>
      </w:r>
      <w:r>
        <w:rPr>
          <w:color w:val="231F20"/>
          <w:spacing w:val="4"/>
        </w:rPr>
        <w:t>”转化为</w:t>
      </w:r>
      <w:r>
        <w:rPr>
          <w:color w:val="231F20"/>
          <w:spacing w:val="-21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3"/>
        </w:rPr>
        <w:t>2021</w:t>
      </w:r>
      <w:r>
        <w:rPr>
          <w:rFonts w:ascii="Times New Roman" w:eastAsia="Times New Roman" w:hAnsi="Times New Roman" w:cs="Times New Roman"/>
          <w:color w:val="231F20"/>
        </w:rPr>
        <w:t xml:space="preserve"> </w:t>
      </w:r>
      <w:r>
        <w:rPr>
          <w:color w:val="231F20"/>
          <w:spacing w:val="9"/>
        </w:rPr>
        <w:t>年以中国为核心的“单极格局”。随着中国新能源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9"/>
        </w:rPr>
        <w:t>汽车产业的急速发展和国家战略布局的深化，其在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9"/>
        </w:rPr>
        <w:t>锂产业链下游的产品需求骤增，推动锂产业链下游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9"/>
        </w:rPr>
        <w:t>的全球贸易格局的深刻变革，逐渐取代日本成为锂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8"/>
        </w:rPr>
        <w:t>产业链下游的核心贸易国家。</w:t>
      </w:r>
    </w:p>
    <w:p>
      <w:pPr>
        <w:pStyle w:val="BodyText"/>
        <w:spacing w:before="47" w:line="238" w:lineRule="auto"/>
        <w:ind w:right="130" w:firstLine="423"/>
      </w:pPr>
      <w:r>
        <w:rPr>
          <w:color w:val="231F20"/>
          <w:spacing w:val="20"/>
        </w:rPr>
        <w:t>锂产业链各端格局的变革是市场和生产双重</w:t>
      </w:r>
      <w:r>
        <w:rPr>
          <w:color w:val="231F20"/>
          <w:spacing w:val="2"/>
        </w:rPr>
        <w:t xml:space="preserve">  </w:t>
      </w:r>
      <w:r>
        <w:rPr>
          <w:color w:val="231F20"/>
        </w:rPr>
        <w:t>作用的产物，欧洲市场、北美市场、亚洲市场相互竞</w:t>
      </w:r>
      <w:r>
        <w:rPr>
          <w:color w:val="231F20"/>
          <w:spacing w:val="3"/>
        </w:rPr>
        <w:t xml:space="preserve">  </w:t>
      </w:r>
      <w:r>
        <w:rPr>
          <w:color w:val="231F20"/>
        </w:rPr>
        <w:t>争、相互支撑，与此同时，各个区域内要素的供给也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7"/>
        </w:rPr>
        <w:t>相对独立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7"/>
        </w:rPr>
        <w:t>。</w:t>
      </w:r>
      <w:r>
        <w:rPr>
          <w:color w:val="231F20"/>
          <w:spacing w:val="-39"/>
        </w:rPr>
        <w:t xml:space="preserve"> </w:t>
      </w:r>
      <w:r>
        <w:rPr>
          <w:color w:val="231F20"/>
          <w:spacing w:val="7"/>
        </w:rPr>
        <w:t>中国是全球最大的锂矿石加工中心，在</w:t>
      </w:r>
      <w:r>
        <w:rPr>
          <w:color w:val="231F20"/>
        </w:rPr>
        <w:t xml:space="preserve">  </w:t>
      </w:r>
      <w:r>
        <w:rPr>
          <w:color w:val="231F20"/>
          <w:spacing w:val="9"/>
        </w:rPr>
        <w:t>动力电池材料、系统和工艺方面正在加快创新，动</w:t>
      </w:r>
      <w:r>
        <w:rPr>
          <w:color w:val="231F20"/>
          <w:spacing w:val="4"/>
        </w:rPr>
        <w:t xml:space="preserve">  </w:t>
      </w:r>
      <w:r>
        <w:rPr>
          <w:color w:val="231F20"/>
        </w:rPr>
        <w:t>力电池单体技术、关键材料技术、制造技术、测试评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12"/>
        </w:rPr>
        <w:t>价技术等正在快速提升，已经达到全球领先水平。</w:t>
      </w:r>
      <w:r>
        <w:rPr>
          <w:color w:val="231F20"/>
          <w:spacing w:val="17"/>
          <w:w w:val="101"/>
        </w:rPr>
        <w:t xml:space="preserve"> </w:t>
      </w:r>
      <w:r>
        <w:rPr>
          <w:color w:val="231F20"/>
          <w:spacing w:val="9"/>
        </w:rPr>
        <w:t>此外，中国在节能与新能源汽车领域具备良好的基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9"/>
        </w:rPr>
        <w:t>础，是全球第三大锂电池生产国，拥有庞大的产业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8"/>
        </w:rPr>
        <w:t>规模和完善的产业链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8"/>
        </w:rPr>
        <w:t>。在成本最小化的推动下，中</w:t>
      </w:r>
      <w:r>
        <w:rPr>
          <w:color w:val="231F20"/>
        </w:rPr>
        <w:t xml:space="preserve">  </w:t>
      </w:r>
      <w:r>
        <w:rPr>
          <w:color w:val="231F20"/>
          <w:spacing w:val="9"/>
        </w:rPr>
        <w:t>国在全球锂产业链贸易网络中的价值日益明显。</w:t>
      </w:r>
    </w:p>
    <w:p>
      <w:pPr>
        <w:spacing w:before="54" w:line="227" w:lineRule="auto"/>
        <w:ind w:left="3"/>
        <w:rPr>
          <w:rFonts w:ascii="SimHei" w:eastAsia="SimHei" w:hAnsi="SimHei" w:cs="SimHei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7"/>
          <w:sz w:val="20"/>
          <w:szCs w:val="20"/>
        </w:rPr>
        <w:t xml:space="preserve">4.2  </w:t>
      </w:r>
      <w:r>
        <w:rPr>
          <w:rFonts w:ascii="SimHei" w:eastAsia="SimHei" w:hAnsi="SimHei" w:cs="SimHei"/>
          <w:color w:val="231F20"/>
          <w:spacing w:val="7"/>
          <w:sz w:val="20"/>
          <w:szCs w:val="20"/>
        </w:rPr>
        <w:t>节点重要度核密度估计</w:t>
      </w:r>
    </w:p>
    <w:p>
      <w:pPr>
        <w:pStyle w:val="BodyText"/>
        <w:spacing w:before="96" w:line="236" w:lineRule="auto"/>
        <w:ind w:left="1" w:right="127" w:firstLine="419"/>
      </w:pPr>
      <w:r>
        <w:rPr>
          <w:color w:val="231F20"/>
          <w:spacing w:val="12"/>
        </w:rPr>
        <w:t>本文基于</w:t>
      </w:r>
      <w:r>
        <w:rPr>
          <w:color w:val="231F20"/>
          <w:spacing w:val="-25"/>
        </w:rPr>
        <w:t xml:space="preserve"> </w:t>
      </w:r>
      <w:r>
        <w:rPr>
          <w:rFonts w:ascii="Times New Roman" w:eastAsia="Times New Roman" w:hAnsi="Times New Roman" w:cs="Times New Roman"/>
          <w:color w:val="231F20"/>
        </w:rPr>
        <w:t>Python</w:t>
      </w:r>
      <w:r>
        <w:rPr>
          <w:color w:val="231F20"/>
          <w:spacing w:val="12"/>
        </w:rPr>
        <w:t>分别计算出锂产业链</w:t>
      </w:r>
      <w:r>
        <w:rPr>
          <w:rFonts w:ascii="Times New Roman" w:eastAsia="Times New Roman" w:hAnsi="Times New Roman" w:cs="Times New Roman"/>
          <w:color w:val="231F20"/>
          <w:spacing w:val="12"/>
        </w:rPr>
        <w:t>2000</w:t>
      </w:r>
      <w:r>
        <w:rPr>
          <w:rFonts w:ascii="Times New Roman" w:eastAsia="Times New Roman" w:hAnsi="Times New Roman" w:cs="Times New Roman"/>
          <w:color w:val="231F20"/>
          <w:spacing w:val="-16"/>
        </w:rPr>
        <w:t xml:space="preserve"> </w:t>
      </w:r>
      <w:r>
        <w:rPr>
          <w:color w:val="231F20"/>
          <w:spacing w:val="12"/>
        </w:rPr>
        <w:t>年、</w:t>
      </w:r>
      <w:r>
        <w:rPr>
          <w:color w:val="231F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</w:rPr>
        <w:t>2021</w:t>
      </w:r>
      <w:r>
        <w:rPr>
          <w:rFonts w:ascii="Times New Roman" w:eastAsia="Times New Roman" w:hAnsi="Times New Roman" w:cs="Times New Roman"/>
          <w:color w:val="231F20"/>
          <w:spacing w:val="-1"/>
        </w:rPr>
        <w:t xml:space="preserve"> </w:t>
      </w:r>
      <w:r>
        <w:rPr>
          <w:color w:val="231F20"/>
          <w:spacing w:val="4"/>
        </w:rPr>
        <w:t>年的</w:t>
      </w:r>
      <w:r>
        <w:rPr>
          <w:color w:val="231F20"/>
          <w:spacing w:val="-29"/>
        </w:rPr>
        <w:t xml:space="preserve"> </w:t>
      </w:r>
      <w:r>
        <w:rPr>
          <w:rFonts w:ascii="Times New Roman" w:eastAsia="Times New Roman" w:hAnsi="Times New Roman" w:cs="Times New Roman"/>
          <w:color w:val="231F20"/>
        </w:rPr>
        <w:t>PageRank</w:t>
      </w:r>
      <w:r>
        <w:rPr>
          <w:color w:val="231F20"/>
          <w:spacing w:val="4"/>
        </w:rPr>
        <w:t xml:space="preserve">中心度，前 </w:t>
      </w:r>
      <w:r>
        <w:rPr>
          <w:rFonts w:ascii="Times New Roman" w:eastAsia="Times New Roman" w:hAnsi="Times New Roman" w:cs="Times New Roman"/>
          <w:color w:val="231F20"/>
          <w:spacing w:val="4"/>
        </w:rPr>
        <w:t>10%</w:t>
      </w:r>
      <w:r>
        <w:rPr>
          <w:color w:val="231F20"/>
          <w:spacing w:val="4"/>
        </w:rPr>
        <w:t>的节点分布如表</w:t>
      </w:r>
      <w:r>
        <w:rPr>
          <w:color w:val="231F20"/>
        </w:rPr>
        <w:t xml:space="preserve">  </w:t>
      </w:r>
      <w:r>
        <w:rPr>
          <w:rFonts w:ascii="Times New Roman" w:eastAsia="Times New Roman" w:hAnsi="Times New Roman" w:cs="Times New Roman"/>
          <w:color w:val="231F20"/>
          <w:spacing w:val="10"/>
        </w:rPr>
        <w:t>3</w:t>
      </w:r>
      <w:r>
        <w:rPr>
          <w:rFonts w:ascii="Times New Roman" w:eastAsia="Times New Roman" w:hAnsi="Times New Roman" w:cs="Times New Roman"/>
          <w:color w:val="231F20"/>
          <w:spacing w:val="1"/>
        </w:rPr>
        <w:t xml:space="preserve"> </w:t>
      </w:r>
      <w:r>
        <w:rPr>
          <w:color w:val="231F20"/>
          <w:spacing w:val="10"/>
        </w:rPr>
        <w:t>所示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10"/>
        </w:rPr>
        <w:t>。锂产业链的上游、中游和下游的贸易网络</w:t>
      </w:r>
      <w:r>
        <w:rPr>
          <w:color w:val="231F20"/>
        </w:rPr>
        <w:t xml:space="preserve">  </w:t>
      </w:r>
      <w:r>
        <w:rPr>
          <w:color w:val="231F20"/>
          <w:spacing w:val="6"/>
        </w:rPr>
        <w:t>中</w:t>
      </w:r>
      <w:r>
        <w:rPr>
          <w:color w:val="231F20"/>
          <w:spacing w:val="-12"/>
        </w:rPr>
        <w:t xml:space="preserve"> </w:t>
      </w:r>
      <w:r>
        <w:rPr>
          <w:rFonts w:ascii="Times New Roman" w:eastAsia="Times New Roman" w:hAnsi="Times New Roman" w:cs="Times New Roman"/>
          <w:color w:val="231F20"/>
        </w:rPr>
        <w:t>PageRank</w:t>
      </w:r>
      <w:r>
        <w:rPr>
          <w:color w:val="231F20"/>
          <w:spacing w:val="6"/>
        </w:rPr>
        <w:t xml:space="preserve">中心度排名前 </w:t>
      </w:r>
      <w:r>
        <w:rPr>
          <w:rFonts w:ascii="Times New Roman" w:eastAsia="Times New Roman" w:hAnsi="Times New Roman" w:cs="Times New Roman"/>
          <w:color w:val="231F20"/>
          <w:spacing w:val="6"/>
        </w:rPr>
        <w:t>10%</w:t>
      </w:r>
      <w:r>
        <w:rPr>
          <w:color w:val="231F20"/>
          <w:spacing w:val="6"/>
        </w:rPr>
        <w:t>的国家（地区）变化</w:t>
      </w:r>
      <w:r>
        <w:rPr>
          <w:color w:val="231F20"/>
        </w:rPr>
        <w:t xml:space="preserve">  </w:t>
      </w:r>
      <w:r>
        <w:rPr>
          <w:color w:val="231F20"/>
          <w:spacing w:val="5"/>
        </w:rPr>
        <w:t>较大，这</w:t>
      </w:r>
      <w:r>
        <w:rPr>
          <w:color w:val="231F20"/>
          <w:spacing w:val="-11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5"/>
        </w:rPr>
        <w:t>20</w:t>
      </w:r>
      <w:r>
        <w:rPr>
          <w:rFonts w:ascii="Times New Roman" w:eastAsia="Times New Roman" w:hAnsi="Times New Roman" w:cs="Times New Roman"/>
          <w:color w:val="231F20"/>
          <w:spacing w:val="-10"/>
        </w:rPr>
        <w:t xml:space="preserve"> </w:t>
      </w:r>
      <w:r>
        <w:rPr>
          <w:color w:val="231F20"/>
          <w:spacing w:val="5"/>
        </w:rPr>
        <w:t>年间，锂产业链上游和中游的贸易网络</w:t>
      </w:r>
      <w:r>
        <w:rPr>
          <w:color w:val="231F20"/>
        </w:rPr>
        <w:t xml:space="preserve">  </w:t>
      </w:r>
      <w:r>
        <w:rPr>
          <w:color w:val="231F20"/>
          <w:spacing w:val="6"/>
        </w:rPr>
        <w:t>呈现收缩趋势，其</w:t>
      </w:r>
      <w:r>
        <w:rPr>
          <w:color w:val="231F20"/>
          <w:spacing w:val="-13"/>
        </w:rPr>
        <w:t xml:space="preserve"> </w:t>
      </w:r>
      <w:r>
        <w:rPr>
          <w:rFonts w:ascii="Times New Roman" w:eastAsia="Times New Roman" w:hAnsi="Times New Roman" w:cs="Times New Roman"/>
          <w:color w:val="231F20"/>
        </w:rPr>
        <w:t>PageRank</w:t>
      </w:r>
      <w:r>
        <w:rPr>
          <w:color w:val="231F20"/>
          <w:spacing w:val="6"/>
        </w:rPr>
        <w:t xml:space="preserve">中心度排名前 </w:t>
      </w:r>
      <w:r>
        <w:rPr>
          <w:rFonts w:ascii="Times New Roman" w:eastAsia="Times New Roman" w:hAnsi="Times New Roman" w:cs="Times New Roman"/>
          <w:color w:val="231F20"/>
          <w:spacing w:val="6"/>
        </w:rPr>
        <w:t>10%</w:t>
      </w:r>
      <w:r>
        <w:rPr>
          <w:color w:val="231F20"/>
          <w:spacing w:val="6"/>
        </w:rPr>
        <w:t>的国</w:t>
      </w:r>
      <w:r>
        <w:rPr>
          <w:color w:val="231F20"/>
        </w:rPr>
        <w:t xml:space="preserve">  </w:t>
      </w:r>
      <w:r>
        <w:rPr>
          <w:color w:val="231F20"/>
          <w:spacing w:val="1"/>
        </w:rPr>
        <w:t xml:space="preserve">家（地区）分别减少了 </w:t>
      </w:r>
      <w:r>
        <w:rPr>
          <w:rFonts w:ascii="Times New Roman" w:eastAsia="Times New Roman" w:hAnsi="Times New Roman" w:cs="Times New Roman"/>
          <w:color w:val="231F20"/>
          <w:spacing w:val="1"/>
        </w:rPr>
        <w:t>1</w:t>
      </w:r>
      <w:r>
        <w:rPr>
          <w:rFonts w:ascii="Times New Roman" w:eastAsia="Times New Roman" w:hAnsi="Times New Roman" w:cs="Times New Roman"/>
          <w:color w:val="231F20"/>
          <w:spacing w:val="-7"/>
        </w:rPr>
        <w:t xml:space="preserve"> </w:t>
      </w:r>
      <w:r>
        <w:rPr>
          <w:color w:val="231F20"/>
          <w:spacing w:val="1"/>
        </w:rPr>
        <w:t>个和</w:t>
      </w:r>
      <w:r>
        <w:rPr>
          <w:color w:val="231F20"/>
          <w:spacing w:val="-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"/>
        </w:rPr>
        <w:t>4</w:t>
      </w:r>
      <w:r>
        <w:rPr>
          <w:rFonts w:ascii="Times New Roman" w:eastAsia="Times New Roman" w:hAnsi="Times New Roman" w:cs="Times New Roman"/>
          <w:color w:val="231F20"/>
          <w:spacing w:val="-12"/>
        </w:rPr>
        <w:t xml:space="preserve"> </w:t>
      </w:r>
      <w:r>
        <w:rPr>
          <w:color w:val="231F20"/>
          <w:spacing w:val="1"/>
        </w:rPr>
        <w:t>个；锂产业链下游的</w:t>
      </w:r>
    </w:p>
    <w:p>
      <w:pPr>
        <w:spacing w:before="199" w:line="179" w:lineRule="auto"/>
        <w:ind w:left="3089"/>
        <w:rPr>
          <w:rFonts w:ascii="Arial" w:eastAsia="Arial" w:hAnsi="Arial" w:cs="Arial"/>
          <w:sz w:val="20"/>
          <w:szCs w:val="20"/>
        </w:rPr>
      </w:pPr>
      <w:hyperlink r:id="rId11" w:history="1">
        <w:r>
          <w:rPr>
            <w:rFonts w:ascii="Arial" w:eastAsia="Arial" w:hAnsi="Arial" w:cs="Arial"/>
            <w:i/>
            <w:iCs/>
            <w:color w:val="808285"/>
            <w:w w:val="91"/>
            <w:sz w:val="20"/>
            <w:szCs w:val="20"/>
          </w:rPr>
          <w:t>http://www.resci.cn</w:t>
        </w:r>
      </w:hyperlink>
    </w:p>
    <w:p>
      <w:pPr>
        <w:spacing w:line="179" w:lineRule="auto"/>
        <w:rPr>
          <w:rFonts w:ascii="Arial" w:eastAsia="Arial" w:hAnsi="Arial" w:cs="Arial"/>
          <w:sz w:val="20"/>
          <w:szCs w:val="20"/>
        </w:rPr>
        <w:sectPr>
          <w:headerReference w:type="default" r:id="rId48"/>
          <w:footerReference w:type="default" r:id="rId49"/>
          <w:type w:val="nextPage"/>
          <w:pgSz w:w="11906" w:h="15582"/>
          <w:pgMar w:top="400" w:right="929" w:bottom="1" w:left="1056" w:header="0" w:footer="0" w:gutter="0"/>
          <w:pgNumType w:start="18"/>
          <w:cols w:num="2" w:space="708" w:equalWidth="0">
            <w:col w:w="5006" w:space="100"/>
            <w:col w:w="4814" w:space="0"/>
          </w:cols>
          <w:titlePg w:val="0"/>
        </w:sect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12524" w:lineRule="exact"/>
        <w:ind w:firstLine="1724"/>
      </w:pPr>
      <w:r>
        <w:rPr>
          <w:position w:val="-250"/>
        </w:rPr>
        <w:drawing>
          <wp:inline distT="0" distB="0" distL="0" distR="0">
            <wp:extent cx="3906162" cy="7952760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906162" cy="79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5" w:line="231" w:lineRule="exact"/>
        <w:ind w:left="3131"/>
        <w:rPr>
          <w:rFonts w:ascii="SimHei" w:eastAsia="SimHei" w:hAnsi="SimHei" w:cs="SimHei"/>
          <w:sz w:val="17"/>
          <w:szCs w:val="17"/>
        </w:rPr>
        <w:sectPr>
          <w:headerReference w:type="default" r:id="rId51"/>
          <w:footerReference w:type="default" r:id="rId52"/>
          <w:pgSz w:w="11906" w:h="15582"/>
          <w:pgMar w:top="1540" w:right="1151" w:bottom="1" w:left="1152" w:header="1139" w:footer="0" w:gutter="0"/>
          <w:pgNumType w:start="19"/>
          <w:cols w:space="708"/>
        </w:sectPr>
      </w:pPr>
      <w:r>
        <w:rPr>
          <w:rFonts w:ascii="SimHei" w:eastAsia="SimHei" w:hAnsi="SimHei" w:cs="SimHei"/>
          <w:color w:val="231F20"/>
          <w:spacing w:val="6"/>
          <w:position w:val="1"/>
          <w:sz w:val="17"/>
          <w:szCs w:val="17"/>
        </w:rPr>
        <w:t>图</w:t>
      </w:r>
      <w:r>
        <w:rPr>
          <w:rFonts w:ascii="SimHei" w:eastAsia="SimHei" w:hAnsi="SimHei" w:cs="SimHei"/>
          <w:color w:val="231F20"/>
          <w:spacing w:val="-46"/>
          <w:position w:val="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6"/>
          <w:position w:val="1"/>
          <w:sz w:val="17"/>
          <w:szCs w:val="17"/>
        </w:rPr>
        <w:t>1   2000</w:t>
      </w:r>
      <w:r>
        <w:rPr>
          <w:rFonts w:ascii="Times New Roman" w:eastAsia="Times New Roman" w:hAnsi="Times New Roman" w:cs="Times New Roman"/>
          <w:b/>
          <w:bCs/>
          <w:color w:val="231F20"/>
          <w:spacing w:val="-12"/>
          <w:position w:val="1"/>
          <w:sz w:val="17"/>
          <w:szCs w:val="17"/>
        </w:rPr>
        <w:t xml:space="preserve"> </w:t>
      </w:r>
      <w:r>
        <w:rPr>
          <w:rFonts w:ascii="SimHei" w:eastAsia="SimHei" w:hAnsi="SimHei" w:cs="SimHei"/>
          <w:color w:val="231F20"/>
          <w:spacing w:val="6"/>
          <w:position w:val="1"/>
          <w:sz w:val="17"/>
          <w:szCs w:val="17"/>
        </w:rPr>
        <w:t>和</w:t>
      </w:r>
      <w:r>
        <w:rPr>
          <w:rFonts w:ascii="Times New Roman" w:eastAsia="Times New Roman" w:hAnsi="Times New Roman" w:cs="Times New Roman"/>
          <w:b/>
          <w:bCs/>
          <w:color w:val="231F20"/>
          <w:spacing w:val="6"/>
          <w:position w:val="1"/>
          <w:sz w:val="17"/>
          <w:szCs w:val="17"/>
        </w:rPr>
        <w:t>2021</w:t>
      </w:r>
      <w:r>
        <w:rPr>
          <w:rFonts w:ascii="Times New Roman" w:eastAsia="Times New Roman" w:hAnsi="Times New Roman" w:cs="Times New Roman"/>
          <w:b/>
          <w:bCs/>
          <w:color w:val="231F20"/>
          <w:spacing w:val="-9"/>
          <w:position w:val="1"/>
          <w:sz w:val="17"/>
          <w:szCs w:val="17"/>
        </w:rPr>
        <w:t xml:space="preserve"> </w:t>
      </w:r>
      <w:r>
        <w:rPr>
          <w:rFonts w:ascii="SimHei" w:eastAsia="SimHei" w:hAnsi="SimHei" w:cs="SimHei"/>
          <w:color w:val="231F20"/>
          <w:spacing w:val="6"/>
          <w:position w:val="1"/>
          <w:sz w:val="17"/>
          <w:szCs w:val="17"/>
        </w:rPr>
        <w:t>年锂产业链上游贸易流向</w:t>
      </w:r>
    </w:p>
    <w:p>
      <w:pPr>
        <w:spacing w:before="76" w:line="177" w:lineRule="exact"/>
        <w:ind w:left="2094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Figure</w:t>
      </w:r>
      <w:r>
        <w:rPr>
          <w:rFonts w:ascii="Times New Roman" w:eastAsia="Times New Roman" w:hAnsi="Times New Roman" w:cs="Times New Roman"/>
          <w:color w:val="231F20"/>
          <w:spacing w:val="23"/>
          <w:w w:val="101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position w:val="2"/>
          <w:sz w:val="15"/>
          <w:szCs w:val="15"/>
        </w:rPr>
        <w:t xml:space="preserve">1  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Trade</w:t>
      </w:r>
      <w:r>
        <w:rPr>
          <w:rFonts w:ascii="Times New Roman" w:eastAsia="Times New Roman" w:hAnsi="Times New Roman" w:cs="Times New Roman"/>
          <w:color w:val="231F20"/>
          <w:spacing w:val="14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flows</w:t>
      </w:r>
      <w:r>
        <w:rPr>
          <w:rFonts w:ascii="Times New Roman" w:eastAsia="Times New Roman" w:hAnsi="Times New Roman" w:cs="Times New Roman"/>
          <w:color w:val="231F20"/>
          <w:spacing w:val="14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in</w:t>
      </w:r>
      <w:r>
        <w:rPr>
          <w:rFonts w:ascii="Times New Roman" w:eastAsia="Times New Roman" w:hAnsi="Times New Roman" w:cs="Times New Roman"/>
          <w:color w:val="231F20"/>
          <w:spacing w:val="14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the</w:t>
      </w:r>
      <w:r>
        <w:rPr>
          <w:rFonts w:ascii="Times New Roman" w:eastAsia="Times New Roman" w:hAnsi="Times New Roman" w:cs="Times New Roman"/>
          <w:color w:val="231F20"/>
          <w:spacing w:val="14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upstream</w:t>
      </w:r>
      <w:r>
        <w:rPr>
          <w:rFonts w:ascii="Times New Roman" w:eastAsia="Times New Roman" w:hAnsi="Times New Roman" w:cs="Times New Roman"/>
          <w:color w:val="231F20"/>
          <w:spacing w:val="14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of</w:t>
      </w:r>
      <w:r>
        <w:rPr>
          <w:rFonts w:ascii="Times New Roman" w:eastAsia="Times New Roman" w:hAnsi="Times New Roman" w:cs="Times New Roman"/>
          <w:color w:val="231F20"/>
          <w:spacing w:val="-12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the</w:t>
      </w:r>
      <w:r>
        <w:rPr>
          <w:rFonts w:ascii="Times New Roman" w:eastAsia="Times New Roman" w:hAnsi="Times New Roman" w:cs="Times New Roman"/>
          <w:color w:val="231F20"/>
          <w:spacing w:val="14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lithium</w:t>
      </w:r>
      <w:r>
        <w:rPr>
          <w:rFonts w:ascii="Times New Roman" w:eastAsia="Times New Roman" w:hAnsi="Times New Roman" w:cs="Times New Roman"/>
          <w:color w:val="231F20"/>
          <w:spacing w:val="14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industrial</w:t>
      </w:r>
      <w:r>
        <w:rPr>
          <w:rFonts w:ascii="Times New Roman" w:eastAsia="Times New Roman" w:hAnsi="Times New Roman" w:cs="Times New Roman"/>
          <w:color w:val="231F20"/>
          <w:spacing w:val="7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chain</w:t>
      </w:r>
      <w:r>
        <w:rPr>
          <w:rFonts w:ascii="Times New Roman" w:eastAsia="Times New Roman" w:hAnsi="Times New Roman" w:cs="Times New Roman"/>
          <w:color w:val="231F20"/>
          <w:spacing w:val="14"/>
          <w:position w:val="2"/>
          <w:sz w:val="15"/>
          <w:szCs w:val="15"/>
        </w:rPr>
        <w:t>, 2000</w:t>
      </w:r>
      <w:r>
        <w:rPr>
          <w:rFonts w:ascii="Times New Roman" w:eastAsia="Times New Roman" w:hAnsi="Times New Roman" w:cs="Times New Roman"/>
          <w:color w:val="231F20"/>
          <w:spacing w:val="9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and</w:t>
      </w:r>
      <w:r>
        <w:rPr>
          <w:rFonts w:ascii="Times New Roman" w:eastAsia="Times New Roman" w:hAnsi="Times New Roman" w:cs="Times New Roman"/>
          <w:color w:val="231F20"/>
          <w:spacing w:val="5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4"/>
          <w:position w:val="2"/>
          <w:sz w:val="15"/>
          <w:szCs w:val="15"/>
        </w:rPr>
        <w:t>2021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57" w:line="179" w:lineRule="auto"/>
        <w:rPr>
          <w:rFonts w:ascii="Arial" w:eastAsia="Arial" w:hAnsi="Arial" w:cs="Arial"/>
          <w:sz w:val="20"/>
          <w:szCs w:val="20"/>
        </w:rPr>
      </w:pPr>
      <w:hyperlink r:id="rId37" w:history="1">
        <w:r>
          <w:rPr>
            <w:rFonts w:ascii="Arial" w:eastAsia="Arial" w:hAnsi="Arial" w:cs="Arial"/>
            <w:i/>
            <w:iCs/>
            <w:color w:val="808285"/>
            <w:w w:val="90"/>
            <w:sz w:val="20"/>
            <w:szCs w:val="20"/>
          </w:rPr>
          <w:t>http://www.resci.net</w:t>
        </w:r>
      </w:hyperlink>
    </w:p>
    <w:p>
      <w:pPr>
        <w:spacing w:line="179" w:lineRule="auto"/>
        <w:rPr>
          <w:rFonts w:ascii="Arial" w:eastAsia="Arial" w:hAnsi="Arial" w:cs="Arial"/>
          <w:sz w:val="20"/>
          <w:szCs w:val="20"/>
        </w:rPr>
        <w:sectPr>
          <w:headerReference w:type="default" r:id="rId53"/>
          <w:footerReference w:type="default" r:id="rId54"/>
          <w:type w:val="nextPage"/>
          <w:pgSz w:w="11906" w:h="15582"/>
          <w:pgMar w:top="1540" w:right="1151" w:bottom="1" w:left="1152" w:header="1139" w:footer="0" w:gutter="0"/>
          <w:pgNumType w:start="20"/>
          <w:cols w:space="708"/>
          <w:titlePg w:val="0"/>
        </w:sectPr>
      </w:pPr>
    </w:p>
    <w:p>
      <w:pPr>
        <w:spacing w:line="331" w:lineRule="auto"/>
        <w:rPr>
          <w:rFonts w:ascii="Arial"/>
          <w:sz w:val="21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1412279</wp:posOffset>
            </wp:positionH>
            <wp:positionV relativeFrom="page">
              <wp:posOffset>891699</wp:posOffset>
            </wp:positionV>
            <wp:extent cx="5429181" cy="38950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29181" cy="38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73" w:line="165" w:lineRule="auto"/>
        <w:ind w:right="9"/>
        <w:jc w:val="right"/>
        <w:rPr>
          <w:rFonts w:ascii="Times New Roman" w:eastAsia="Times New Roman" w:hAnsi="Times New Roman" w:cs="Times New Roman"/>
        </w:rPr>
      </w:pPr>
      <w:r>
        <w:rPr>
          <w:color w:val="231F20"/>
          <w:spacing w:val="3"/>
          <w:sz w:val="17"/>
          <w:szCs w:val="17"/>
        </w:rPr>
        <w:t xml:space="preserve">左芝鲤等：全球锂产业链贸易格局演化及脆弱性分析                </w:t>
      </w:r>
      <w:r>
        <w:rPr>
          <w:color w:val="231F20"/>
          <w:spacing w:val="2"/>
          <w:sz w:val="17"/>
          <w:szCs w:val="17"/>
        </w:rPr>
        <w:t xml:space="preserve">                                   </w:t>
      </w:r>
      <w:r>
        <w:rPr>
          <w:rFonts w:ascii="Times New Roman" w:eastAsia="Times New Roman" w:hAnsi="Times New Roman" w:cs="Times New Roman"/>
          <w:color w:val="231F20"/>
          <w:spacing w:val="2"/>
          <w:position w:val="-2"/>
        </w:rPr>
        <w:t>119</w:t>
      </w:r>
    </w:p>
    <w:p>
      <w:pPr>
        <w:pStyle w:val="BodyText"/>
        <w:spacing w:line="209" w:lineRule="auto"/>
        <w:rPr>
          <w:sz w:val="17"/>
          <w:szCs w:val="17"/>
        </w:rPr>
      </w:pPr>
      <w:r>
        <w:rPr>
          <w:rFonts w:ascii="NSimSun" w:eastAsia="NSimSun" w:hAnsi="NSimSun" w:cs="NSimSun"/>
          <w:color w:val="231F20"/>
          <w:spacing w:val="9"/>
          <w:sz w:val="17"/>
          <w:szCs w:val="17"/>
        </w:rPr>
        <w:t>2024</w:t>
      </w:r>
      <w:r>
        <w:rPr>
          <w:color w:val="231F20"/>
          <w:spacing w:val="9"/>
          <w:sz w:val="17"/>
          <w:szCs w:val="17"/>
        </w:rPr>
        <w:t>年</w:t>
      </w:r>
      <w:r>
        <w:rPr>
          <w:color w:val="231F20"/>
          <w:spacing w:val="-8"/>
          <w:sz w:val="17"/>
          <w:szCs w:val="17"/>
        </w:rPr>
        <w:t xml:space="preserve"> </w:t>
      </w:r>
      <w:r>
        <w:rPr>
          <w:rFonts w:ascii="NSimSun" w:eastAsia="NSimSun" w:hAnsi="NSimSun" w:cs="NSimSun"/>
          <w:color w:val="231F20"/>
          <w:spacing w:val="9"/>
          <w:sz w:val="17"/>
          <w:szCs w:val="17"/>
        </w:rPr>
        <w:t>1</w:t>
      </w:r>
      <w:r>
        <w:rPr>
          <w:color w:val="231F20"/>
          <w:spacing w:val="9"/>
          <w:sz w:val="17"/>
          <w:szCs w:val="17"/>
        </w:rPr>
        <w:t>月</w:t>
      </w:r>
    </w:p>
    <w:p>
      <w:pPr>
        <w:spacing w:before="218" w:line="12480" w:lineRule="exact"/>
        <w:ind w:firstLine="1491"/>
      </w:pPr>
      <w:r>
        <w:rPr>
          <w:position w:val="-249"/>
        </w:rPr>
        <w:drawing>
          <wp:inline distT="0" distB="0" distL="0" distR="0">
            <wp:extent cx="4229022" cy="7924913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229022" cy="7924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5" w:line="231" w:lineRule="exact"/>
        <w:ind w:left="3152"/>
        <w:rPr>
          <w:rFonts w:ascii="SimHei" w:eastAsia="SimHei" w:hAnsi="SimHei" w:cs="SimHei"/>
          <w:sz w:val="17"/>
          <w:szCs w:val="17"/>
        </w:rPr>
        <w:sectPr>
          <w:headerReference w:type="default" r:id="rId56"/>
          <w:footerReference w:type="default" r:id="rId57"/>
          <w:pgSz w:w="11906" w:h="15582"/>
          <w:pgMar w:top="400" w:right="1131" w:bottom="1" w:left="1131" w:header="0" w:footer="0" w:gutter="0"/>
          <w:pgNumType w:start="21"/>
          <w:cols w:space="708"/>
        </w:sectPr>
      </w:pPr>
      <w:r>
        <w:rPr>
          <w:rFonts w:ascii="SimHei" w:eastAsia="SimHei" w:hAnsi="SimHei" w:cs="SimHei"/>
          <w:color w:val="231F20"/>
          <w:spacing w:val="7"/>
          <w:position w:val="1"/>
          <w:sz w:val="17"/>
          <w:szCs w:val="17"/>
        </w:rPr>
        <w:t>图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position w:val="1"/>
          <w:sz w:val="17"/>
          <w:szCs w:val="17"/>
        </w:rPr>
        <w:t>2   2000</w:t>
      </w:r>
      <w:r>
        <w:rPr>
          <w:rFonts w:ascii="Times New Roman" w:eastAsia="Times New Roman" w:hAnsi="Times New Roman" w:cs="Times New Roman"/>
          <w:b/>
          <w:bCs/>
          <w:color w:val="231F20"/>
          <w:spacing w:val="2"/>
          <w:position w:val="1"/>
          <w:sz w:val="17"/>
          <w:szCs w:val="17"/>
        </w:rPr>
        <w:t xml:space="preserve"> </w:t>
      </w:r>
      <w:r>
        <w:rPr>
          <w:rFonts w:ascii="SimHei" w:eastAsia="SimHei" w:hAnsi="SimHei" w:cs="SimHei"/>
          <w:color w:val="231F20"/>
          <w:spacing w:val="7"/>
          <w:position w:val="1"/>
          <w:sz w:val="17"/>
          <w:szCs w:val="17"/>
        </w:rPr>
        <w:t>和</w:t>
      </w:r>
      <w:r>
        <w:rPr>
          <w:rFonts w:ascii="Times New Roman" w:eastAsia="Times New Roman" w:hAnsi="Times New Roman" w:cs="Times New Roman"/>
          <w:b/>
          <w:bCs/>
          <w:color w:val="231F20"/>
          <w:spacing w:val="7"/>
          <w:position w:val="1"/>
          <w:sz w:val="17"/>
          <w:szCs w:val="17"/>
        </w:rPr>
        <w:t>2021</w:t>
      </w:r>
      <w:r>
        <w:rPr>
          <w:rFonts w:ascii="Times New Roman" w:eastAsia="Times New Roman" w:hAnsi="Times New Roman" w:cs="Times New Roman"/>
          <w:b/>
          <w:bCs/>
          <w:color w:val="231F20"/>
          <w:spacing w:val="-9"/>
          <w:position w:val="1"/>
          <w:sz w:val="17"/>
          <w:szCs w:val="17"/>
        </w:rPr>
        <w:t xml:space="preserve"> </w:t>
      </w:r>
      <w:r>
        <w:rPr>
          <w:rFonts w:ascii="SimHei" w:eastAsia="SimHei" w:hAnsi="SimHei" w:cs="SimHei"/>
          <w:color w:val="231F20"/>
          <w:spacing w:val="7"/>
          <w:position w:val="1"/>
          <w:sz w:val="17"/>
          <w:szCs w:val="17"/>
        </w:rPr>
        <w:t>年锂产业链中游贸易流向</w:t>
      </w:r>
    </w:p>
    <w:p>
      <w:pPr>
        <w:spacing w:before="76" w:line="177" w:lineRule="exact"/>
        <w:ind w:left="2070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Figure</w:t>
      </w:r>
      <w:r>
        <w:rPr>
          <w:rFonts w:ascii="Times New Roman" w:eastAsia="Times New Roman" w:hAnsi="Times New Roman" w:cs="Times New Roman"/>
          <w:color w:val="231F20"/>
          <w:spacing w:val="15"/>
          <w:position w:val="2"/>
          <w:sz w:val="15"/>
          <w:szCs w:val="15"/>
        </w:rPr>
        <w:t xml:space="preserve"> 2  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Trade</w:t>
      </w:r>
      <w:r>
        <w:rPr>
          <w:rFonts w:ascii="Times New Roman" w:eastAsia="Times New Roman" w:hAnsi="Times New Roman" w:cs="Times New Roman"/>
          <w:color w:val="231F20"/>
          <w:spacing w:val="15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flows</w:t>
      </w:r>
      <w:r>
        <w:rPr>
          <w:rFonts w:ascii="Times New Roman" w:eastAsia="Times New Roman" w:hAnsi="Times New Roman" w:cs="Times New Roman"/>
          <w:color w:val="231F20"/>
          <w:spacing w:val="15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in</w:t>
      </w:r>
      <w:r>
        <w:rPr>
          <w:rFonts w:ascii="Times New Roman" w:eastAsia="Times New Roman" w:hAnsi="Times New Roman" w:cs="Times New Roman"/>
          <w:color w:val="231F20"/>
          <w:spacing w:val="15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the</w:t>
      </w:r>
      <w:r>
        <w:rPr>
          <w:rFonts w:ascii="Times New Roman" w:eastAsia="Times New Roman" w:hAnsi="Times New Roman" w:cs="Times New Roman"/>
          <w:color w:val="231F20"/>
          <w:spacing w:val="15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midstream</w:t>
      </w:r>
      <w:r>
        <w:rPr>
          <w:rFonts w:ascii="Times New Roman" w:eastAsia="Times New Roman" w:hAnsi="Times New Roman" w:cs="Times New Roman"/>
          <w:color w:val="231F20"/>
          <w:spacing w:val="15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of</w:t>
      </w:r>
      <w:r>
        <w:rPr>
          <w:rFonts w:ascii="Times New Roman" w:eastAsia="Times New Roman" w:hAnsi="Times New Roman" w:cs="Times New Roman"/>
          <w:color w:val="231F20"/>
          <w:spacing w:val="-10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the</w:t>
      </w:r>
      <w:r>
        <w:rPr>
          <w:rFonts w:ascii="Times New Roman" w:eastAsia="Times New Roman" w:hAnsi="Times New Roman" w:cs="Times New Roman"/>
          <w:color w:val="231F20"/>
          <w:spacing w:val="15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lithium</w:t>
      </w:r>
      <w:r>
        <w:rPr>
          <w:rFonts w:ascii="Times New Roman" w:eastAsia="Times New Roman" w:hAnsi="Times New Roman" w:cs="Times New Roman"/>
          <w:color w:val="231F20"/>
          <w:spacing w:val="15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industrial</w:t>
      </w:r>
      <w:r>
        <w:rPr>
          <w:rFonts w:ascii="Times New Roman" w:eastAsia="Times New Roman" w:hAnsi="Times New Roman" w:cs="Times New Roman"/>
          <w:color w:val="231F20"/>
          <w:spacing w:val="8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chain</w:t>
      </w:r>
      <w:r>
        <w:rPr>
          <w:rFonts w:ascii="Times New Roman" w:eastAsia="Times New Roman" w:hAnsi="Times New Roman" w:cs="Times New Roman"/>
          <w:color w:val="231F20"/>
          <w:spacing w:val="15"/>
          <w:position w:val="2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color w:val="231F20"/>
          <w:spacing w:val="5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position w:val="2"/>
          <w:sz w:val="15"/>
          <w:szCs w:val="15"/>
        </w:rPr>
        <w:t>2000</w:t>
      </w:r>
      <w:r>
        <w:rPr>
          <w:rFonts w:ascii="Times New Roman" w:eastAsia="Times New Roman" w:hAnsi="Times New Roman" w:cs="Times New Roman"/>
          <w:color w:val="231F20"/>
          <w:spacing w:val="8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position w:val="2"/>
          <w:sz w:val="15"/>
          <w:szCs w:val="15"/>
        </w:rPr>
        <w:t>and</w:t>
      </w:r>
      <w:r>
        <w:rPr>
          <w:rFonts w:ascii="Times New Roman" w:eastAsia="Times New Roman" w:hAnsi="Times New Roman" w:cs="Times New Roman"/>
          <w:color w:val="231F20"/>
          <w:spacing w:val="6"/>
          <w:position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5"/>
          <w:position w:val="2"/>
          <w:sz w:val="15"/>
          <w:szCs w:val="15"/>
        </w:rPr>
        <w:t>2021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59" w:line="179" w:lineRule="auto"/>
        <w:jc w:val="right"/>
        <w:rPr>
          <w:rFonts w:ascii="Arial" w:eastAsia="Arial" w:hAnsi="Arial" w:cs="Arial"/>
          <w:sz w:val="20"/>
          <w:szCs w:val="20"/>
        </w:rPr>
      </w:pPr>
      <w:hyperlink r:id="rId11" w:history="1">
        <w:r>
          <w:rPr>
            <w:rFonts w:ascii="Arial" w:eastAsia="Arial" w:hAnsi="Arial" w:cs="Arial"/>
            <w:i/>
            <w:iCs/>
            <w:color w:val="808285"/>
            <w:w w:val="90"/>
            <w:sz w:val="20"/>
            <w:szCs w:val="20"/>
          </w:rPr>
          <w:t>http://www.resci.cn</w:t>
        </w:r>
      </w:hyperlink>
    </w:p>
    <w:p>
      <w:pPr>
        <w:spacing w:line="179" w:lineRule="auto"/>
        <w:rPr>
          <w:rFonts w:ascii="Arial" w:eastAsia="Arial" w:hAnsi="Arial" w:cs="Arial"/>
          <w:sz w:val="20"/>
          <w:szCs w:val="20"/>
        </w:rPr>
        <w:sectPr>
          <w:headerReference w:type="default" r:id="rId58"/>
          <w:footerReference w:type="default" r:id="rId59"/>
          <w:type w:val="nextPage"/>
          <w:pgSz w:w="11906" w:h="15582"/>
          <w:pgMar w:top="400" w:right="1131" w:bottom="1" w:left="1131" w:header="0" w:footer="0" w:gutter="0"/>
          <w:pgNumType w:start="22"/>
          <w:cols w:space="708"/>
          <w:titlePg w:val="0"/>
        </w:sectPr>
      </w:pPr>
    </w:p>
    <w:p>
      <w:pPr>
        <w:spacing w:before="234" w:line="12626" w:lineRule="exact"/>
        <w:ind w:firstLine="1630"/>
      </w:pPr>
      <w:r>
        <w:rPr>
          <w:position w:val="-252"/>
        </w:rPr>
        <w:drawing>
          <wp:inline distT="0" distB="0" distL="0" distR="0">
            <wp:extent cx="4169662" cy="8017912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4169662" cy="8017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2"/>
        <w:ind w:left="3327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color w:val="231F20"/>
          <w:spacing w:val="1"/>
          <w:sz w:val="17"/>
          <w:szCs w:val="17"/>
        </w:rPr>
        <w:t>图</w:t>
      </w:r>
      <w:r>
        <w:rPr>
          <w:rFonts w:ascii="Times New Roman" w:eastAsia="Times New Roman" w:hAnsi="Times New Roman" w:cs="Times New Roman"/>
          <w:b/>
          <w:bCs/>
          <w:color w:val="231F20"/>
          <w:spacing w:val="1"/>
          <w:sz w:val="17"/>
          <w:szCs w:val="17"/>
        </w:rPr>
        <w:t>3   2000</w:t>
      </w:r>
      <w:r>
        <w:rPr>
          <w:rFonts w:ascii="Times New Roman" w:eastAsia="Times New Roman" w:hAnsi="Times New Roman" w:cs="Times New Roman"/>
          <w:b/>
          <w:bCs/>
          <w:color w:val="231F20"/>
          <w:spacing w:val="-14"/>
          <w:sz w:val="17"/>
          <w:szCs w:val="17"/>
        </w:rPr>
        <w:t xml:space="preserve"> </w:t>
      </w:r>
      <w:r>
        <w:rPr>
          <w:rFonts w:ascii="SimHei" w:eastAsia="SimHei" w:hAnsi="SimHei" w:cs="SimHei"/>
          <w:color w:val="231F20"/>
          <w:spacing w:val="1"/>
          <w:sz w:val="17"/>
          <w:szCs w:val="17"/>
        </w:rPr>
        <w:t>和</w:t>
      </w:r>
      <w:r>
        <w:rPr>
          <w:rFonts w:ascii="Times New Roman" w:eastAsia="Times New Roman" w:hAnsi="Times New Roman" w:cs="Times New Roman"/>
          <w:b/>
          <w:bCs/>
          <w:color w:val="231F20"/>
          <w:spacing w:val="1"/>
          <w:sz w:val="17"/>
          <w:szCs w:val="17"/>
        </w:rPr>
        <w:t>2021</w:t>
      </w:r>
      <w:r>
        <w:rPr>
          <w:rFonts w:ascii="Times New Roman" w:eastAsia="Times New Roman" w:hAnsi="Times New Roman" w:cs="Times New Roman"/>
          <w:b/>
          <w:bCs/>
          <w:color w:val="231F20"/>
          <w:spacing w:val="-11"/>
          <w:sz w:val="17"/>
          <w:szCs w:val="17"/>
        </w:rPr>
        <w:t xml:space="preserve"> </w:t>
      </w:r>
      <w:r>
        <w:rPr>
          <w:rFonts w:ascii="SimHei" w:eastAsia="SimHei" w:hAnsi="SimHei" w:cs="SimHei"/>
          <w:color w:val="231F20"/>
          <w:spacing w:val="1"/>
          <w:sz w:val="17"/>
          <w:szCs w:val="17"/>
        </w:rPr>
        <w:t>年锂产业链下游贸易流向</w:t>
      </w:r>
    </w:p>
    <w:p>
      <w:pPr>
        <w:spacing w:before="71" w:line="234" w:lineRule="auto"/>
        <w:ind w:left="2211"/>
        <w:rPr>
          <w:rFonts w:ascii="Times New Roman" w:eastAsia="Times New Roman" w:hAnsi="Times New Roman" w:cs="Times New Roman"/>
          <w:sz w:val="15"/>
          <w:szCs w:val="15"/>
        </w:rPr>
        <w:sectPr>
          <w:headerReference w:type="default" r:id="rId61"/>
          <w:footerReference w:type="default" r:id="rId62"/>
          <w:pgSz w:w="11906" w:h="15582"/>
          <w:pgMar w:top="1540" w:right="1151" w:bottom="1" w:left="1152" w:header="1139" w:footer="0" w:gutter="0"/>
          <w:pgNumType w:start="23"/>
          <w:cols w:space="708"/>
        </w:sectPr>
      </w:pPr>
      <w:r>
        <w:rPr>
          <w:rFonts w:ascii="Times New Roman" w:eastAsia="Times New Roman" w:hAnsi="Times New Roman" w:cs="Times New Roman"/>
          <w:color w:val="231F20"/>
          <w:sz w:val="15"/>
          <w:szCs w:val="15"/>
        </w:rPr>
        <w:t>Figure</w:t>
      </w:r>
      <w:r>
        <w:rPr>
          <w:rFonts w:ascii="Times New Roman" w:eastAsia="Times New Roman" w:hAnsi="Times New Roman" w:cs="Times New Roman"/>
          <w:color w:val="231F20"/>
          <w:spacing w:val="2"/>
          <w:sz w:val="15"/>
          <w:szCs w:val="15"/>
        </w:rPr>
        <w:t xml:space="preserve"> 3   </w:t>
      </w:r>
      <w:r>
        <w:rPr>
          <w:rFonts w:ascii="Times New Roman" w:eastAsia="Times New Roman" w:hAnsi="Times New Roman" w:cs="Times New Roman"/>
          <w:color w:val="231F20"/>
          <w:sz w:val="15"/>
          <w:szCs w:val="15"/>
        </w:rPr>
        <w:t>Trade</w:t>
      </w:r>
      <w:r>
        <w:rPr>
          <w:rFonts w:ascii="Times New Roman" w:eastAsia="Times New Roman" w:hAnsi="Times New Roman" w:cs="Times New Roman"/>
          <w:color w:val="231F2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15"/>
          <w:szCs w:val="15"/>
        </w:rPr>
        <w:t>flows</w:t>
      </w:r>
      <w:r>
        <w:rPr>
          <w:rFonts w:ascii="Times New Roman" w:eastAsia="Times New Roman" w:hAnsi="Times New Roman" w:cs="Times New Roman"/>
          <w:color w:val="231F2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15"/>
          <w:szCs w:val="15"/>
        </w:rPr>
        <w:t>in</w:t>
      </w:r>
      <w:r>
        <w:rPr>
          <w:rFonts w:ascii="Times New Roman" w:eastAsia="Times New Roman" w:hAnsi="Times New Roman" w:cs="Times New Roman"/>
          <w:color w:val="231F2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15"/>
          <w:szCs w:val="15"/>
        </w:rPr>
        <w:t>the</w:t>
      </w:r>
      <w:r>
        <w:rPr>
          <w:rFonts w:ascii="Times New Roman" w:eastAsia="Times New Roman" w:hAnsi="Times New Roman" w:cs="Times New Roman"/>
          <w:color w:val="231F2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15"/>
          <w:szCs w:val="15"/>
        </w:rPr>
        <w:t>downdstream</w:t>
      </w:r>
      <w:r>
        <w:rPr>
          <w:rFonts w:ascii="Times New Roman" w:eastAsia="Times New Roman" w:hAnsi="Times New Roman" w:cs="Times New Roman"/>
          <w:color w:val="231F20"/>
          <w:spacing w:val="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15"/>
          <w:szCs w:val="15"/>
        </w:rPr>
        <w:t>of</w:t>
      </w:r>
      <w:r>
        <w:rPr>
          <w:rFonts w:ascii="Times New Roman" w:eastAsia="Times New Roman" w:hAnsi="Times New Roman" w:cs="Times New Roman"/>
          <w:color w:val="231F20"/>
          <w:spacing w:val="-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15"/>
          <w:szCs w:val="15"/>
        </w:rPr>
        <w:t>the</w:t>
      </w:r>
      <w:r>
        <w:rPr>
          <w:rFonts w:ascii="Times New Roman" w:eastAsia="Times New Roman" w:hAnsi="Times New Roman" w:cs="Times New Roman"/>
          <w:color w:val="231F20"/>
          <w:spacing w:val="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15"/>
          <w:szCs w:val="15"/>
        </w:rPr>
        <w:t>lithium</w:t>
      </w:r>
      <w:r>
        <w:rPr>
          <w:rFonts w:ascii="Times New Roman" w:eastAsia="Times New Roman" w:hAnsi="Times New Roman" w:cs="Times New Roman"/>
          <w:color w:val="231F20"/>
          <w:spacing w:val="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15"/>
          <w:szCs w:val="15"/>
        </w:rPr>
        <w:t>industrial</w:t>
      </w:r>
      <w:r>
        <w:rPr>
          <w:rFonts w:ascii="Times New Roman" w:eastAsia="Times New Roman" w:hAnsi="Times New Roman" w:cs="Times New Roman"/>
          <w:color w:val="231F20"/>
          <w:spacing w:val="6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15"/>
          <w:szCs w:val="15"/>
        </w:rPr>
        <w:t>chain</w:t>
      </w:r>
      <w:r>
        <w:rPr>
          <w:rFonts w:ascii="Times New Roman" w:eastAsia="Times New Roman" w:hAnsi="Times New Roman" w:cs="Times New Roman"/>
          <w:color w:val="231F20"/>
          <w:spacing w:val="2"/>
          <w:sz w:val="15"/>
          <w:szCs w:val="15"/>
        </w:rPr>
        <w:t>, 2000</w:t>
      </w:r>
      <w:r>
        <w:rPr>
          <w:rFonts w:ascii="Times New Roman" w:eastAsia="Times New Roman" w:hAnsi="Times New Roman" w:cs="Times New Roman"/>
          <w:color w:val="231F20"/>
          <w:spacing w:val="6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15"/>
          <w:szCs w:val="15"/>
        </w:rPr>
        <w:t>and</w:t>
      </w:r>
      <w:r>
        <w:rPr>
          <w:rFonts w:ascii="Times New Roman" w:eastAsia="Times New Roman" w:hAnsi="Times New Roman" w:cs="Times New Roman"/>
          <w:color w:val="231F20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2"/>
          <w:sz w:val="15"/>
          <w:szCs w:val="15"/>
        </w:rPr>
        <w:t>2021</w:t>
      </w:r>
    </w:p>
    <w:p>
      <w:pPr>
        <w:spacing w:before="275" w:line="179" w:lineRule="auto"/>
        <w:rPr>
          <w:rFonts w:ascii="Arial" w:eastAsia="Arial" w:hAnsi="Arial" w:cs="Arial"/>
          <w:sz w:val="20"/>
          <w:szCs w:val="20"/>
        </w:rPr>
      </w:pPr>
      <w:hyperlink r:id="rId37" w:history="1">
        <w:r>
          <w:rPr>
            <w:rFonts w:ascii="Arial" w:eastAsia="Arial" w:hAnsi="Arial" w:cs="Arial"/>
            <w:i/>
            <w:iCs/>
            <w:color w:val="808285"/>
            <w:w w:val="90"/>
            <w:sz w:val="20"/>
            <w:szCs w:val="20"/>
          </w:rPr>
          <w:t>http://www.resci.net</w:t>
        </w:r>
      </w:hyperlink>
    </w:p>
    <w:p>
      <w:pPr>
        <w:spacing w:line="179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/>
      </w:r>
      <w:r>
        <w:rPr>
          <w:rFonts w:ascii="Arial" w:eastAsia="Arial" w:hAnsi="Arial" w:cs="Arial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https://d.book118.com/648025024042006041</w:t>
        </w:r>
      </w:hyperlink>
    </w:p>
    <w:p>
      <w:pPr>
        <w:spacing w:line="179" w:lineRule="auto"/>
        <w:rPr>
          <w:rFonts w:ascii="Arial" w:eastAsia="Arial" w:hAnsi="Arial" w:cs="Arial"/>
          <w:sz w:val="20"/>
          <w:szCs w:val="20"/>
        </w:rPr>
      </w:pPr>
    </w:p>
    <w:sectPr>
      <w:headerReference w:type="default" r:id="rId64"/>
      <w:footerReference w:type="default" r:id="rId65"/>
      <w:type w:val="nextPage"/>
      <w:pgSz w:w="11906" w:h="15582"/>
      <w:pgMar w:top="1540" w:right="1151" w:bottom="1" w:left="1152" w:header="1139" w:footer="0" w:gutter="0"/>
      <w:pgNumType w:start="2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5" w:lineRule="auto"/>
      <w:ind w:left="110"/>
      <w:rPr>
        <w:sz w:val="17"/>
        <w:szCs w:val="17"/>
      </w:rPr>
    </w:pPr>
    <w:r>
      <w:rPr>
        <w:rFonts w:ascii="Times New Roman" w:eastAsia="Times New Roman" w:hAnsi="Times New Roman" w:cs="Times New Roman"/>
        <w:color w:val="231F20"/>
        <w:spacing w:val="3"/>
        <w:position w:val="6"/>
        <w:u w:val="single" w:color="auto"/>
      </w:rPr>
      <w:t>116</w:t>
    </w:r>
    <w:r>
      <w:rPr>
        <w:rFonts w:ascii="Times New Roman" w:eastAsia="Times New Roman" w:hAnsi="Times New Roman" w:cs="Times New Roman"/>
        <w:color w:val="231F20"/>
        <w:spacing w:val="3"/>
        <w:position w:val="6"/>
        <w:u w:val="single" w:color="000000"/>
      </w:rPr>
      <w:t xml:space="preserve">                                                                         </w:t>
    </w:r>
    <w:r>
      <w:rPr>
        <w:rFonts w:ascii="Times New Roman" w:eastAsia="Times New Roman" w:hAnsi="Times New Roman" w:cs="Times New Roman"/>
        <w:color w:val="231F20"/>
        <w:spacing w:val="2"/>
        <w:position w:val="6"/>
        <w:u w:val="single" w:color="000000"/>
      </w:rPr>
      <w:t xml:space="preserve">     </w:t>
    </w:r>
    <w:r>
      <w:rPr>
        <w:color w:val="231F20"/>
        <w:spacing w:val="2"/>
        <w:position w:val="10"/>
        <w:sz w:val="17"/>
        <w:szCs w:val="17"/>
        <w:u w:val="single" w:color="auto"/>
      </w:rPr>
      <w:t>资</w:t>
    </w:r>
    <w:r>
      <w:rPr>
        <w:color w:val="231F20"/>
        <w:spacing w:val="2"/>
        <w:position w:val="10"/>
        <w:sz w:val="17"/>
        <w:szCs w:val="17"/>
        <w:u w:val="single" w:color="000000"/>
      </w:rPr>
      <w:t xml:space="preserve">  </w:t>
    </w:r>
    <w:r>
      <w:rPr>
        <w:color w:val="231F20"/>
        <w:spacing w:val="2"/>
        <w:position w:val="10"/>
        <w:sz w:val="17"/>
        <w:szCs w:val="17"/>
        <w:u w:val="single" w:color="auto"/>
      </w:rPr>
      <w:t>源</w:t>
    </w:r>
    <w:r>
      <w:rPr>
        <w:color w:val="231F20"/>
        <w:spacing w:val="42"/>
        <w:w w:val="101"/>
        <w:position w:val="10"/>
        <w:sz w:val="17"/>
        <w:szCs w:val="17"/>
        <w:u w:val="single" w:color="000000"/>
      </w:rPr>
      <w:t xml:space="preserve"> </w:t>
    </w:r>
    <w:r>
      <w:rPr>
        <w:color w:val="231F20"/>
        <w:spacing w:val="2"/>
        <w:position w:val="10"/>
        <w:sz w:val="17"/>
        <w:szCs w:val="17"/>
        <w:u w:val="single" w:color="auto"/>
      </w:rPr>
      <w:t>科</w:t>
    </w:r>
    <w:r>
      <w:rPr>
        <w:color w:val="231F20"/>
        <w:spacing w:val="45"/>
        <w:w w:val="101"/>
        <w:position w:val="10"/>
        <w:sz w:val="17"/>
        <w:szCs w:val="17"/>
        <w:u w:val="single" w:color="000000"/>
      </w:rPr>
      <w:t xml:space="preserve"> </w:t>
    </w:r>
    <w:r>
      <w:rPr>
        <w:color w:val="231F20"/>
        <w:spacing w:val="2"/>
        <w:position w:val="10"/>
        <w:sz w:val="17"/>
        <w:szCs w:val="17"/>
        <w:u w:val="single" w:color="auto"/>
      </w:rPr>
      <w:t>学</w:t>
    </w:r>
    <w:r>
      <w:rPr>
        <w:color w:val="231F20"/>
        <w:spacing w:val="2"/>
        <w:position w:val="10"/>
        <w:sz w:val="17"/>
        <w:szCs w:val="17"/>
        <w:u w:val="single" w:color="000000"/>
      </w:rPr>
      <w:t xml:space="preserve">                                                        </w:t>
    </w:r>
    <w:r>
      <w:rPr>
        <w:color w:val="231F20"/>
        <w:spacing w:val="6"/>
        <w:position w:val="10"/>
        <w:sz w:val="17"/>
        <w:szCs w:val="17"/>
      </w:rPr>
      <w:t xml:space="preserve">   </w:t>
    </w:r>
    <w:r>
      <w:rPr>
        <w:color w:val="231F20"/>
        <w:spacing w:val="2"/>
        <w:position w:val="-9"/>
        <w:sz w:val="17"/>
        <w:szCs w:val="17"/>
      </w:rPr>
      <w:t>第</w:t>
    </w:r>
    <w:r>
      <w:rPr>
        <w:color w:val="231F20"/>
        <w:spacing w:val="-24"/>
        <w:position w:val="-9"/>
        <w:sz w:val="17"/>
        <w:szCs w:val="17"/>
      </w:rPr>
      <w:t xml:space="preserve"> </w:t>
    </w:r>
    <w:r>
      <w:rPr>
        <w:rFonts w:ascii="NSimSun" w:eastAsia="NSimSun" w:hAnsi="NSimSun" w:cs="NSimSun"/>
        <w:color w:val="231F20"/>
        <w:spacing w:val="2"/>
        <w:position w:val="-9"/>
        <w:sz w:val="17"/>
        <w:szCs w:val="17"/>
      </w:rPr>
      <w:t>46</w:t>
    </w:r>
    <w:r>
      <w:rPr>
        <w:color w:val="231F20"/>
        <w:spacing w:val="2"/>
        <w:position w:val="-9"/>
        <w:sz w:val="17"/>
        <w:szCs w:val="17"/>
      </w:rPr>
      <w:t>卷 第</w:t>
    </w:r>
    <w:r>
      <w:rPr>
        <w:color w:val="231F20"/>
        <w:spacing w:val="-8"/>
        <w:position w:val="-9"/>
        <w:sz w:val="17"/>
        <w:szCs w:val="17"/>
      </w:rPr>
      <w:t xml:space="preserve"> </w:t>
    </w:r>
    <w:r>
      <w:rPr>
        <w:rFonts w:ascii="NSimSun" w:eastAsia="NSimSun" w:hAnsi="NSimSun" w:cs="NSimSun"/>
        <w:color w:val="231F20"/>
        <w:spacing w:val="2"/>
        <w:position w:val="-9"/>
        <w:sz w:val="17"/>
        <w:szCs w:val="17"/>
      </w:rPr>
      <w:t>1</w:t>
    </w:r>
    <w:r>
      <w:rPr>
        <w:color w:val="231F20"/>
        <w:spacing w:val="2"/>
        <w:position w:val="-9"/>
        <w:sz w:val="17"/>
        <w:szCs w:val="17"/>
      </w:rPr>
      <w:t>期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5" w:lineRule="auto"/>
      <w:ind w:left="110"/>
      <w:rPr>
        <w:sz w:val="17"/>
        <w:szCs w:val="17"/>
      </w:rPr>
    </w:pPr>
    <w:r>
      <w:rPr>
        <w:rFonts w:ascii="Times New Roman" w:eastAsia="Times New Roman" w:hAnsi="Times New Roman" w:cs="Times New Roman"/>
        <w:color w:val="231F20"/>
        <w:spacing w:val="3"/>
        <w:position w:val="6"/>
        <w:u w:val="single" w:color="auto"/>
      </w:rPr>
      <w:t>116</w:t>
    </w:r>
    <w:r>
      <w:rPr>
        <w:rFonts w:ascii="Times New Roman" w:eastAsia="Times New Roman" w:hAnsi="Times New Roman" w:cs="Times New Roman"/>
        <w:color w:val="231F20"/>
        <w:spacing w:val="3"/>
        <w:position w:val="6"/>
        <w:u w:val="single" w:color="000000"/>
      </w:rPr>
      <w:t xml:space="preserve">                                                                         </w:t>
    </w:r>
    <w:r>
      <w:rPr>
        <w:rFonts w:ascii="Times New Roman" w:eastAsia="Times New Roman" w:hAnsi="Times New Roman" w:cs="Times New Roman"/>
        <w:color w:val="231F20"/>
        <w:spacing w:val="2"/>
        <w:position w:val="6"/>
        <w:u w:val="single" w:color="000000"/>
      </w:rPr>
      <w:t xml:space="preserve">     </w:t>
    </w:r>
    <w:r>
      <w:rPr>
        <w:color w:val="231F20"/>
        <w:spacing w:val="2"/>
        <w:position w:val="10"/>
        <w:sz w:val="17"/>
        <w:szCs w:val="17"/>
        <w:u w:val="single" w:color="auto"/>
      </w:rPr>
      <w:t>资</w:t>
    </w:r>
    <w:r>
      <w:rPr>
        <w:color w:val="231F20"/>
        <w:spacing w:val="2"/>
        <w:position w:val="10"/>
        <w:sz w:val="17"/>
        <w:szCs w:val="17"/>
        <w:u w:val="single" w:color="000000"/>
      </w:rPr>
      <w:t xml:space="preserve">  </w:t>
    </w:r>
    <w:r>
      <w:rPr>
        <w:color w:val="231F20"/>
        <w:spacing w:val="2"/>
        <w:position w:val="10"/>
        <w:sz w:val="17"/>
        <w:szCs w:val="17"/>
        <w:u w:val="single" w:color="auto"/>
      </w:rPr>
      <w:t>源</w:t>
    </w:r>
    <w:r>
      <w:rPr>
        <w:color w:val="231F20"/>
        <w:spacing w:val="42"/>
        <w:w w:val="101"/>
        <w:position w:val="10"/>
        <w:sz w:val="17"/>
        <w:szCs w:val="17"/>
        <w:u w:val="single" w:color="000000"/>
      </w:rPr>
      <w:t xml:space="preserve"> </w:t>
    </w:r>
    <w:r>
      <w:rPr>
        <w:color w:val="231F20"/>
        <w:spacing w:val="2"/>
        <w:position w:val="10"/>
        <w:sz w:val="17"/>
        <w:szCs w:val="17"/>
        <w:u w:val="single" w:color="auto"/>
      </w:rPr>
      <w:t>科</w:t>
    </w:r>
    <w:r>
      <w:rPr>
        <w:color w:val="231F20"/>
        <w:spacing w:val="45"/>
        <w:w w:val="101"/>
        <w:position w:val="10"/>
        <w:sz w:val="17"/>
        <w:szCs w:val="17"/>
        <w:u w:val="single" w:color="000000"/>
      </w:rPr>
      <w:t xml:space="preserve"> </w:t>
    </w:r>
    <w:r>
      <w:rPr>
        <w:color w:val="231F20"/>
        <w:spacing w:val="2"/>
        <w:position w:val="10"/>
        <w:sz w:val="17"/>
        <w:szCs w:val="17"/>
        <w:u w:val="single" w:color="auto"/>
      </w:rPr>
      <w:t>学</w:t>
    </w:r>
    <w:r>
      <w:rPr>
        <w:color w:val="231F20"/>
        <w:spacing w:val="2"/>
        <w:position w:val="10"/>
        <w:sz w:val="17"/>
        <w:szCs w:val="17"/>
        <w:u w:val="single" w:color="000000"/>
      </w:rPr>
      <w:t xml:space="preserve">                                                        </w:t>
    </w:r>
    <w:r>
      <w:rPr>
        <w:color w:val="231F20"/>
        <w:spacing w:val="6"/>
        <w:position w:val="10"/>
        <w:sz w:val="17"/>
        <w:szCs w:val="17"/>
      </w:rPr>
      <w:t xml:space="preserve">   </w:t>
    </w:r>
    <w:r>
      <w:rPr>
        <w:color w:val="231F20"/>
        <w:spacing w:val="2"/>
        <w:position w:val="-9"/>
        <w:sz w:val="17"/>
        <w:szCs w:val="17"/>
      </w:rPr>
      <w:t>第</w:t>
    </w:r>
    <w:r>
      <w:rPr>
        <w:color w:val="231F20"/>
        <w:spacing w:val="-24"/>
        <w:position w:val="-9"/>
        <w:sz w:val="17"/>
        <w:szCs w:val="17"/>
      </w:rPr>
      <w:t xml:space="preserve"> </w:t>
    </w:r>
    <w:r>
      <w:rPr>
        <w:rFonts w:ascii="NSimSun" w:eastAsia="NSimSun" w:hAnsi="NSimSun" w:cs="NSimSun"/>
        <w:color w:val="231F20"/>
        <w:spacing w:val="2"/>
        <w:position w:val="-9"/>
        <w:sz w:val="17"/>
        <w:szCs w:val="17"/>
      </w:rPr>
      <w:t>46</w:t>
    </w:r>
    <w:r>
      <w:rPr>
        <w:color w:val="231F20"/>
        <w:spacing w:val="2"/>
        <w:position w:val="-9"/>
        <w:sz w:val="17"/>
        <w:szCs w:val="17"/>
      </w:rPr>
      <w:t>卷 第</w:t>
    </w:r>
    <w:r>
      <w:rPr>
        <w:color w:val="231F20"/>
        <w:spacing w:val="-8"/>
        <w:position w:val="-9"/>
        <w:sz w:val="17"/>
        <w:szCs w:val="17"/>
      </w:rPr>
      <w:t xml:space="preserve"> </w:t>
    </w:r>
    <w:r>
      <w:rPr>
        <w:rFonts w:ascii="NSimSun" w:eastAsia="NSimSun" w:hAnsi="NSimSun" w:cs="NSimSun"/>
        <w:color w:val="231F20"/>
        <w:spacing w:val="2"/>
        <w:position w:val="-9"/>
        <w:sz w:val="17"/>
        <w:szCs w:val="17"/>
      </w:rPr>
      <w:t>1</w:t>
    </w:r>
    <w:r>
      <w:rPr>
        <w:color w:val="231F20"/>
        <w:spacing w:val="2"/>
        <w:position w:val="-9"/>
        <w:sz w:val="17"/>
        <w:szCs w:val="17"/>
      </w:rPr>
      <w:t>期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5" w:lineRule="auto"/>
      <w:ind w:left="110"/>
      <w:rPr>
        <w:sz w:val="17"/>
        <w:szCs w:val="17"/>
      </w:rPr>
    </w:pPr>
    <w:r>
      <w:rPr>
        <w:rFonts w:ascii="Times New Roman" w:eastAsia="Times New Roman" w:hAnsi="Times New Roman" w:cs="Times New Roman"/>
        <w:color w:val="231F20"/>
        <w:spacing w:val="3"/>
        <w:position w:val="6"/>
        <w:u w:val="single" w:color="auto"/>
      </w:rPr>
      <w:t>116</w:t>
    </w:r>
    <w:r>
      <w:rPr>
        <w:rFonts w:ascii="Times New Roman" w:eastAsia="Times New Roman" w:hAnsi="Times New Roman" w:cs="Times New Roman"/>
        <w:color w:val="231F20"/>
        <w:spacing w:val="3"/>
        <w:position w:val="6"/>
        <w:u w:val="single" w:color="000000"/>
      </w:rPr>
      <w:t xml:space="preserve">                                                                         </w:t>
    </w:r>
    <w:r>
      <w:rPr>
        <w:rFonts w:ascii="Times New Roman" w:eastAsia="Times New Roman" w:hAnsi="Times New Roman" w:cs="Times New Roman"/>
        <w:color w:val="231F20"/>
        <w:spacing w:val="2"/>
        <w:position w:val="6"/>
        <w:u w:val="single" w:color="000000"/>
      </w:rPr>
      <w:t xml:space="preserve">     </w:t>
    </w:r>
    <w:r>
      <w:rPr>
        <w:color w:val="231F20"/>
        <w:spacing w:val="2"/>
        <w:position w:val="10"/>
        <w:sz w:val="17"/>
        <w:szCs w:val="17"/>
        <w:u w:val="single" w:color="auto"/>
      </w:rPr>
      <w:t>资</w:t>
    </w:r>
    <w:r>
      <w:rPr>
        <w:color w:val="231F20"/>
        <w:spacing w:val="2"/>
        <w:position w:val="10"/>
        <w:sz w:val="17"/>
        <w:szCs w:val="17"/>
        <w:u w:val="single" w:color="000000"/>
      </w:rPr>
      <w:t xml:space="preserve">  </w:t>
    </w:r>
    <w:r>
      <w:rPr>
        <w:color w:val="231F20"/>
        <w:spacing w:val="2"/>
        <w:position w:val="10"/>
        <w:sz w:val="17"/>
        <w:szCs w:val="17"/>
        <w:u w:val="single" w:color="auto"/>
      </w:rPr>
      <w:t>源</w:t>
    </w:r>
    <w:r>
      <w:rPr>
        <w:color w:val="231F20"/>
        <w:spacing w:val="42"/>
        <w:w w:val="101"/>
        <w:position w:val="10"/>
        <w:sz w:val="17"/>
        <w:szCs w:val="17"/>
        <w:u w:val="single" w:color="000000"/>
      </w:rPr>
      <w:t xml:space="preserve"> </w:t>
    </w:r>
    <w:r>
      <w:rPr>
        <w:color w:val="231F20"/>
        <w:spacing w:val="2"/>
        <w:position w:val="10"/>
        <w:sz w:val="17"/>
        <w:szCs w:val="17"/>
        <w:u w:val="single" w:color="auto"/>
      </w:rPr>
      <w:t>科</w:t>
    </w:r>
    <w:r>
      <w:rPr>
        <w:color w:val="231F20"/>
        <w:spacing w:val="45"/>
        <w:w w:val="101"/>
        <w:position w:val="10"/>
        <w:sz w:val="17"/>
        <w:szCs w:val="17"/>
        <w:u w:val="single" w:color="000000"/>
      </w:rPr>
      <w:t xml:space="preserve"> </w:t>
    </w:r>
    <w:r>
      <w:rPr>
        <w:color w:val="231F20"/>
        <w:spacing w:val="2"/>
        <w:position w:val="10"/>
        <w:sz w:val="17"/>
        <w:szCs w:val="17"/>
        <w:u w:val="single" w:color="auto"/>
      </w:rPr>
      <w:t>学</w:t>
    </w:r>
    <w:r>
      <w:rPr>
        <w:color w:val="231F20"/>
        <w:spacing w:val="2"/>
        <w:position w:val="10"/>
        <w:sz w:val="17"/>
        <w:szCs w:val="17"/>
        <w:u w:val="single" w:color="000000"/>
      </w:rPr>
      <w:t xml:space="preserve">                                                        </w:t>
    </w:r>
    <w:r>
      <w:rPr>
        <w:color w:val="231F20"/>
        <w:spacing w:val="6"/>
        <w:position w:val="10"/>
        <w:sz w:val="17"/>
        <w:szCs w:val="17"/>
      </w:rPr>
      <w:t xml:space="preserve">   </w:t>
    </w:r>
    <w:r>
      <w:rPr>
        <w:color w:val="231F20"/>
        <w:spacing w:val="2"/>
        <w:position w:val="-9"/>
        <w:sz w:val="17"/>
        <w:szCs w:val="17"/>
      </w:rPr>
      <w:t>第</w:t>
    </w:r>
    <w:r>
      <w:rPr>
        <w:color w:val="231F20"/>
        <w:spacing w:val="-24"/>
        <w:position w:val="-9"/>
        <w:sz w:val="17"/>
        <w:szCs w:val="17"/>
      </w:rPr>
      <w:t xml:space="preserve"> </w:t>
    </w:r>
    <w:r>
      <w:rPr>
        <w:rFonts w:ascii="NSimSun" w:eastAsia="NSimSun" w:hAnsi="NSimSun" w:cs="NSimSun"/>
        <w:color w:val="231F20"/>
        <w:spacing w:val="2"/>
        <w:position w:val="-9"/>
        <w:sz w:val="17"/>
        <w:szCs w:val="17"/>
      </w:rPr>
      <w:t>46</w:t>
    </w:r>
    <w:r>
      <w:rPr>
        <w:color w:val="231F20"/>
        <w:spacing w:val="2"/>
        <w:position w:val="-9"/>
        <w:sz w:val="17"/>
        <w:szCs w:val="17"/>
      </w:rPr>
      <w:t>卷 第</w:t>
    </w:r>
    <w:r>
      <w:rPr>
        <w:color w:val="231F20"/>
        <w:spacing w:val="-8"/>
        <w:position w:val="-9"/>
        <w:sz w:val="17"/>
        <w:szCs w:val="17"/>
      </w:rPr>
      <w:t xml:space="preserve"> </w:t>
    </w:r>
    <w:r>
      <w:rPr>
        <w:rFonts w:ascii="NSimSun" w:eastAsia="NSimSun" w:hAnsi="NSimSun" w:cs="NSimSun"/>
        <w:color w:val="231F20"/>
        <w:spacing w:val="2"/>
        <w:position w:val="-9"/>
        <w:sz w:val="17"/>
        <w:szCs w:val="17"/>
      </w:rPr>
      <w:t>1</w:t>
    </w:r>
    <w:r>
      <w:rPr>
        <w:color w:val="231F20"/>
        <w:spacing w:val="2"/>
        <w:position w:val="-9"/>
        <w:sz w:val="17"/>
        <w:szCs w:val="17"/>
      </w:rPr>
      <w:t>期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5" w:lineRule="auto"/>
      <w:ind w:left="110"/>
      <w:rPr>
        <w:sz w:val="17"/>
        <w:szCs w:val="17"/>
      </w:rPr>
    </w:pPr>
    <w:r>
      <w:rPr>
        <w:rFonts w:ascii="Times New Roman" w:eastAsia="Times New Roman" w:hAnsi="Times New Roman" w:cs="Times New Roman"/>
        <w:color w:val="231F20"/>
        <w:spacing w:val="3"/>
        <w:position w:val="6"/>
        <w:u w:val="single" w:color="auto"/>
      </w:rPr>
      <w:t>116</w:t>
    </w:r>
    <w:r>
      <w:rPr>
        <w:rFonts w:ascii="Times New Roman" w:eastAsia="Times New Roman" w:hAnsi="Times New Roman" w:cs="Times New Roman"/>
        <w:color w:val="231F20"/>
        <w:spacing w:val="3"/>
        <w:position w:val="6"/>
        <w:u w:val="single" w:color="000000"/>
      </w:rPr>
      <w:t xml:space="preserve">                                                                         </w:t>
    </w:r>
    <w:r>
      <w:rPr>
        <w:rFonts w:ascii="Times New Roman" w:eastAsia="Times New Roman" w:hAnsi="Times New Roman" w:cs="Times New Roman"/>
        <w:color w:val="231F20"/>
        <w:spacing w:val="2"/>
        <w:position w:val="6"/>
        <w:u w:val="single" w:color="000000"/>
      </w:rPr>
      <w:t xml:space="preserve">     </w:t>
    </w:r>
    <w:r>
      <w:rPr>
        <w:color w:val="231F20"/>
        <w:spacing w:val="2"/>
        <w:position w:val="10"/>
        <w:sz w:val="17"/>
        <w:szCs w:val="17"/>
        <w:u w:val="single" w:color="auto"/>
      </w:rPr>
      <w:t>资</w:t>
    </w:r>
    <w:r>
      <w:rPr>
        <w:color w:val="231F20"/>
        <w:spacing w:val="2"/>
        <w:position w:val="10"/>
        <w:sz w:val="17"/>
        <w:szCs w:val="17"/>
        <w:u w:val="single" w:color="000000"/>
      </w:rPr>
      <w:t xml:space="preserve">  </w:t>
    </w:r>
    <w:r>
      <w:rPr>
        <w:color w:val="231F20"/>
        <w:spacing w:val="2"/>
        <w:position w:val="10"/>
        <w:sz w:val="17"/>
        <w:szCs w:val="17"/>
        <w:u w:val="single" w:color="auto"/>
      </w:rPr>
      <w:t>源</w:t>
    </w:r>
    <w:r>
      <w:rPr>
        <w:color w:val="231F20"/>
        <w:spacing w:val="42"/>
        <w:w w:val="101"/>
        <w:position w:val="10"/>
        <w:sz w:val="17"/>
        <w:szCs w:val="17"/>
        <w:u w:val="single" w:color="000000"/>
      </w:rPr>
      <w:t xml:space="preserve"> </w:t>
    </w:r>
    <w:r>
      <w:rPr>
        <w:color w:val="231F20"/>
        <w:spacing w:val="2"/>
        <w:position w:val="10"/>
        <w:sz w:val="17"/>
        <w:szCs w:val="17"/>
        <w:u w:val="single" w:color="auto"/>
      </w:rPr>
      <w:t>科</w:t>
    </w:r>
    <w:r>
      <w:rPr>
        <w:color w:val="231F20"/>
        <w:spacing w:val="45"/>
        <w:w w:val="101"/>
        <w:position w:val="10"/>
        <w:sz w:val="17"/>
        <w:szCs w:val="17"/>
        <w:u w:val="single" w:color="000000"/>
      </w:rPr>
      <w:t xml:space="preserve"> </w:t>
    </w:r>
    <w:r>
      <w:rPr>
        <w:color w:val="231F20"/>
        <w:spacing w:val="2"/>
        <w:position w:val="10"/>
        <w:sz w:val="17"/>
        <w:szCs w:val="17"/>
        <w:u w:val="single" w:color="auto"/>
      </w:rPr>
      <w:t>学</w:t>
    </w:r>
    <w:r>
      <w:rPr>
        <w:color w:val="231F20"/>
        <w:spacing w:val="2"/>
        <w:position w:val="10"/>
        <w:sz w:val="17"/>
        <w:szCs w:val="17"/>
        <w:u w:val="single" w:color="000000"/>
      </w:rPr>
      <w:t xml:space="preserve">                                                        </w:t>
    </w:r>
    <w:r>
      <w:rPr>
        <w:color w:val="231F20"/>
        <w:spacing w:val="6"/>
        <w:position w:val="10"/>
        <w:sz w:val="17"/>
        <w:szCs w:val="17"/>
      </w:rPr>
      <w:t xml:space="preserve">   </w:t>
    </w:r>
    <w:r>
      <w:rPr>
        <w:color w:val="231F20"/>
        <w:spacing w:val="2"/>
        <w:position w:val="-9"/>
        <w:sz w:val="17"/>
        <w:szCs w:val="17"/>
      </w:rPr>
      <w:t>第</w:t>
    </w:r>
    <w:r>
      <w:rPr>
        <w:color w:val="231F20"/>
        <w:spacing w:val="-24"/>
        <w:position w:val="-9"/>
        <w:sz w:val="17"/>
        <w:szCs w:val="17"/>
      </w:rPr>
      <w:t xml:space="preserve"> </w:t>
    </w:r>
    <w:r>
      <w:rPr>
        <w:rFonts w:ascii="NSimSun" w:eastAsia="NSimSun" w:hAnsi="NSimSun" w:cs="NSimSun"/>
        <w:color w:val="231F20"/>
        <w:spacing w:val="2"/>
        <w:position w:val="-9"/>
        <w:sz w:val="17"/>
        <w:szCs w:val="17"/>
      </w:rPr>
      <w:t>46</w:t>
    </w:r>
    <w:r>
      <w:rPr>
        <w:color w:val="231F20"/>
        <w:spacing w:val="2"/>
        <w:position w:val="-9"/>
        <w:sz w:val="17"/>
        <w:szCs w:val="17"/>
      </w:rPr>
      <w:t>卷 第</w:t>
    </w:r>
    <w:r>
      <w:rPr>
        <w:color w:val="231F20"/>
        <w:spacing w:val="-8"/>
        <w:position w:val="-9"/>
        <w:sz w:val="17"/>
        <w:szCs w:val="17"/>
      </w:rPr>
      <w:t xml:space="preserve"> </w:t>
    </w:r>
    <w:r>
      <w:rPr>
        <w:rFonts w:ascii="NSimSun" w:eastAsia="NSimSun" w:hAnsi="NSimSun" w:cs="NSimSun"/>
        <w:color w:val="231F20"/>
        <w:spacing w:val="2"/>
        <w:position w:val="-9"/>
        <w:sz w:val="17"/>
        <w:szCs w:val="17"/>
      </w:rPr>
      <w:t>1</w:t>
    </w:r>
    <w:r>
      <w:rPr>
        <w:color w:val="231F20"/>
        <w:spacing w:val="2"/>
        <w:position w:val="-9"/>
        <w:sz w:val="17"/>
        <w:szCs w:val="17"/>
      </w:rPr>
      <w:t>期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5" w:lineRule="auto"/>
      <w:jc w:val="right"/>
      <w:rPr>
        <w:sz w:val="17"/>
        <w:szCs w:val="17"/>
      </w:rPr>
    </w:pPr>
    <w:r>
      <w:rPr>
        <w:rFonts w:ascii="Times New Roman" w:eastAsia="Times New Roman" w:hAnsi="Times New Roman" w:cs="Times New Roman"/>
        <w:color w:val="231F20"/>
        <w:spacing w:val="3"/>
        <w:position w:val="6"/>
        <w:u w:val="single" w:color="auto"/>
      </w:rPr>
      <w:t>118</w:t>
    </w:r>
    <w:r>
      <w:rPr>
        <w:rFonts w:ascii="Times New Roman" w:eastAsia="Times New Roman" w:hAnsi="Times New Roman" w:cs="Times New Roman"/>
        <w:color w:val="231F20"/>
        <w:spacing w:val="3"/>
        <w:position w:val="6"/>
        <w:u w:val="single" w:color="000000"/>
      </w:rPr>
      <w:t xml:space="preserve">                                                                         </w:t>
    </w:r>
    <w:r>
      <w:rPr>
        <w:rFonts w:ascii="Times New Roman" w:eastAsia="Times New Roman" w:hAnsi="Times New Roman" w:cs="Times New Roman"/>
        <w:color w:val="231F20"/>
        <w:spacing w:val="2"/>
        <w:position w:val="6"/>
        <w:u w:val="single" w:color="000000"/>
      </w:rPr>
      <w:t xml:space="preserve">     </w:t>
    </w:r>
    <w:r>
      <w:rPr>
        <w:color w:val="231F20"/>
        <w:spacing w:val="2"/>
        <w:position w:val="10"/>
        <w:sz w:val="17"/>
        <w:szCs w:val="17"/>
        <w:u w:val="single" w:color="auto"/>
      </w:rPr>
      <w:t>资</w:t>
    </w:r>
    <w:r>
      <w:rPr>
        <w:color w:val="231F20"/>
        <w:spacing w:val="2"/>
        <w:position w:val="10"/>
        <w:sz w:val="17"/>
        <w:szCs w:val="17"/>
        <w:u w:val="single" w:color="000000"/>
      </w:rPr>
      <w:t xml:space="preserve">  </w:t>
    </w:r>
    <w:r>
      <w:rPr>
        <w:color w:val="231F20"/>
        <w:spacing w:val="2"/>
        <w:position w:val="10"/>
        <w:sz w:val="17"/>
        <w:szCs w:val="17"/>
        <w:u w:val="single" w:color="auto"/>
      </w:rPr>
      <w:t>源</w:t>
    </w:r>
    <w:r>
      <w:rPr>
        <w:color w:val="231F20"/>
        <w:spacing w:val="42"/>
        <w:w w:val="101"/>
        <w:position w:val="10"/>
        <w:sz w:val="17"/>
        <w:szCs w:val="17"/>
        <w:u w:val="single" w:color="000000"/>
      </w:rPr>
      <w:t xml:space="preserve"> </w:t>
    </w:r>
    <w:r>
      <w:rPr>
        <w:color w:val="231F20"/>
        <w:spacing w:val="2"/>
        <w:position w:val="10"/>
        <w:sz w:val="17"/>
        <w:szCs w:val="17"/>
        <w:u w:val="single" w:color="auto"/>
      </w:rPr>
      <w:t>科</w:t>
    </w:r>
    <w:r>
      <w:rPr>
        <w:color w:val="231F20"/>
        <w:spacing w:val="45"/>
        <w:w w:val="101"/>
        <w:position w:val="10"/>
        <w:sz w:val="17"/>
        <w:szCs w:val="17"/>
        <w:u w:val="single" w:color="000000"/>
      </w:rPr>
      <w:t xml:space="preserve"> </w:t>
    </w:r>
    <w:r>
      <w:rPr>
        <w:color w:val="231F20"/>
        <w:spacing w:val="2"/>
        <w:position w:val="10"/>
        <w:sz w:val="17"/>
        <w:szCs w:val="17"/>
        <w:u w:val="single" w:color="auto"/>
      </w:rPr>
      <w:t>学</w:t>
    </w:r>
    <w:r>
      <w:rPr>
        <w:color w:val="231F20"/>
        <w:spacing w:val="2"/>
        <w:position w:val="10"/>
        <w:sz w:val="17"/>
        <w:szCs w:val="17"/>
        <w:u w:val="single" w:color="000000"/>
      </w:rPr>
      <w:t xml:space="preserve">                                                        </w:t>
    </w:r>
    <w:r>
      <w:rPr>
        <w:color w:val="231F20"/>
        <w:spacing w:val="6"/>
        <w:position w:val="10"/>
        <w:sz w:val="17"/>
        <w:szCs w:val="17"/>
      </w:rPr>
      <w:t xml:space="preserve">   </w:t>
    </w:r>
    <w:r>
      <w:rPr>
        <w:color w:val="231F20"/>
        <w:spacing w:val="2"/>
        <w:position w:val="-9"/>
        <w:sz w:val="17"/>
        <w:szCs w:val="17"/>
      </w:rPr>
      <w:t>第</w:t>
    </w:r>
    <w:r>
      <w:rPr>
        <w:color w:val="231F20"/>
        <w:spacing w:val="-24"/>
        <w:position w:val="-9"/>
        <w:sz w:val="17"/>
        <w:szCs w:val="17"/>
      </w:rPr>
      <w:t xml:space="preserve"> </w:t>
    </w:r>
    <w:r>
      <w:rPr>
        <w:rFonts w:ascii="NSimSun" w:eastAsia="NSimSun" w:hAnsi="NSimSun" w:cs="NSimSun"/>
        <w:color w:val="231F20"/>
        <w:spacing w:val="2"/>
        <w:position w:val="-9"/>
        <w:sz w:val="17"/>
        <w:szCs w:val="17"/>
      </w:rPr>
      <w:t>46</w:t>
    </w:r>
    <w:r>
      <w:rPr>
        <w:color w:val="231F20"/>
        <w:spacing w:val="2"/>
        <w:position w:val="-9"/>
        <w:sz w:val="17"/>
        <w:szCs w:val="17"/>
      </w:rPr>
      <w:t>卷 第</w:t>
    </w:r>
    <w:r>
      <w:rPr>
        <w:color w:val="231F20"/>
        <w:spacing w:val="-8"/>
        <w:position w:val="-9"/>
        <w:sz w:val="17"/>
        <w:szCs w:val="17"/>
      </w:rPr>
      <w:t xml:space="preserve"> </w:t>
    </w:r>
    <w:r>
      <w:rPr>
        <w:rFonts w:ascii="NSimSun" w:eastAsia="NSimSun" w:hAnsi="NSimSun" w:cs="NSimSun"/>
        <w:color w:val="231F20"/>
        <w:spacing w:val="2"/>
        <w:position w:val="-9"/>
        <w:sz w:val="17"/>
        <w:szCs w:val="17"/>
      </w:rPr>
      <w:t>1</w:t>
    </w:r>
    <w:r>
      <w:rPr>
        <w:color w:val="231F20"/>
        <w:spacing w:val="2"/>
        <w:position w:val="-9"/>
        <w:sz w:val="17"/>
        <w:szCs w:val="17"/>
      </w:rPr>
      <w:t>期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5" w:lineRule="auto"/>
      <w:jc w:val="right"/>
      <w:rPr>
        <w:sz w:val="17"/>
        <w:szCs w:val="17"/>
      </w:rPr>
    </w:pPr>
    <w:r>
      <w:rPr>
        <w:rFonts w:ascii="Times New Roman" w:eastAsia="Times New Roman" w:hAnsi="Times New Roman" w:cs="Times New Roman"/>
        <w:color w:val="231F20"/>
        <w:spacing w:val="3"/>
        <w:position w:val="6"/>
        <w:u w:val="single" w:color="auto"/>
      </w:rPr>
      <w:t>118</w:t>
    </w:r>
    <w:r>
      <w:rPr>
        <w:rFonts w:ascii="Times New Roman" w:eastAsia="Times New Roman" w:hAnsi="Times New Roman" w:cs="Times New Roman"/>
        <w:color w:val="231F20"/>
        <w:spacing w:val="3"/>
        <w:position w:val="6"/>
        <w:u w:val="single" w:color="000000"/>
      </w:rPr>
      <w:t xml:space="preserve">                                                                         </w:t>
    </w:r>
    <w:r>
      <w:rPr>
        <w:rFonts w:ascii="Times New Roman" w:eastAsia="Times New Roman" w:hAnsi="Times New Roman" w:cs="Times New Roman"/>
        <w:color w:val="231F20"/>
        <w:spacing w:val="2"/>
        <w:position w:val="6"/>
        <w:u w:val="single" w:color="000000"/>
      </w:rPr>
      <w:t xml:space="preserve">     </w:t>
    </w:r>
    <w:r>
      <w:rPr>
        <w:color w:val="231F20"/>
        <w:spacing w:val="2"/>
        <w:position w:val="10"/>
        <w:sz w:val="17"/>
        <w:szCs w:val="17"/>
        <w:u w:val="single" w:color="auto"/>
      </w:rPr>
      <w:t>资</w:t>
    </w:r>
    <w:r>
      <w:rPr>
        <w:color w:val="231F20"/>
        <w:spacing w:val="2"/>
        <w:position w:val="10"/>
        <w:sz w:val="17"/>
        <w:szCs w:val="17"/>
        <w:u w:val="single" w:color="000000"/>
      </w:rPr>
      <w:t xml:space="preserve">  </w:t>
    </w:r>
    <w:r>
      <w:rPr>
        <w:color w:val="231F20"/>
        <w:spacing w:val="2"/>
        <w:position w:val="10"/>
        <w:sz w:val="17"/>
        <w:szCs w:val="17"/>
        <w:u w:val="single" w:color="auto"/>
      </w:rPr>
      <w:t>源</w:t>
    </w:r>
    <w:r>
      <w:rPr>
        <w:color w:val="231F20"/>
        <w:spacing w:val="42"/>
        <w:w w:val="101"/>
        <w:position w:val="10"/>
        <w:sz w:val="17"/>
        <w:szCs w:val="17"/>
        <w:u w:val="single" w:color="000000"/>
      </w:rPr>
      <w:t xml:space="preserve"> </w:t>
    </w:r>
    <w:r>
      <w:rPr>
        <w:color w:val="231F20"/>
        <w:spacing w:val="2"/>
        <w:position w:val="10"/>
        <w:sz w:val="17"/>
        <w:szCs w:val="17"/>
        <w:u w:val="single" w:color="auto"/>
      </w:rPr>
      <w:t>科</w:t>
    </w:r>
    <w:r>
      <w:rPr>
        <w:color w:val="231F20"/>
        <w:spacing w:val="45"/>
        <w:w w:val="101"/>
        <w:position w:val="10"/>
        <w:sz w:val="17"/>
        <w:szCs w:val="17"/>
        <w:u w:val="single" w:color="000000"/>
      </w:rPr>
      <w:t xml:space="preserve"> </w:t>
    </w:r>
    <w:r>
      <w:rPr>
        <w:color w:val="231F20"/>
        <w:spacing w:val="2"/>
        <w:position w:val="10"/>
        <w:sz w:val="17"/>
        <w:szCs w:val="17"/>
        <w:u w:val="single" w:color="auto"/>
      </w:rPr>
      <w:t>学</w:t>
    </w:r>
    <w:r>
      <w:rPr>
        <w:color w:val="231F20"/>
        <w:spacing w:val="2"/>
        <w:position w:val="10"/>
        <w:sz w:val="17"/>
        <w:szCs w:val="17"/>
        <w:u w:val="single" w:color="000000"/>
      </w:rPr>
      <w:t xml:space="preserve">                                                        </w:t>
    </w:r>
    <w:r>
      <w:rPr>
        <w:color w:val="231F20"/>
        <w:spacing w:val="6"/>
        <w:position w:val="10"/>
        <w:sz w:val="17"/>
        <w:szCs w:val="17"/>
      </w:rPr>
      <w:t xml:space="preserve">   </w:t>
    </w:r>
    <w:r>
      <w:rPr>
        <w:color w:val="231F20"/>
        <w:spacing w:val="2"/>
        <w:position w:val="-9"/>
        <w:sz w:val="17"/>
        <w:szCs w:val="17"/>
      </w:rPr>
      <w:t>第</w:t>
    </w:r>
    <w:r>
      <w:rPr>
        <w:color w:val="231F20"/>
        <w:spacing w:val="-24"/>
        <w:position w:val="-9"/>
        <w:sz w:val="17"/>
        <w:szCs w:val="17"/>
      </w:rPr>
      <w:t xml:space="preserve"> </w:t>
    </w:r>
    <w:r>
      <w:rPr>
        <w:rFonts w:ascii="NSimSun" w:eastAsia="NSimSun" w:hAnsi="NSimSun" w:cs="NSimSun"/>
        <w:color w:val="231F20"/>
        <w:spacing w:val="2"/>
        <w:position w:val="-9"/>
        <w:sz w:val="17"/>
        <w:szCs w:val="17"/>
      </w:rPr>
      <w:t>46</w:t>
    </w:r>
    <w:r>
      <w:rPr>
        <w:color w:val="231F20"/>
        <w:spacing w:val="2"/>
        <w:position w:val="-9"/>
        <w:sz w:val="17"/>
        <w:szCs w:val="17"/>
      </w:rPr>
      <w:t>卷 第</w:t>
    </w:r>
    <w:r>
      <w:rPr>
        <w:color w:val="231F20"/>
        <w:spacing w:val="-8"/>
        <w:position w:val="-9"/>
        <w:sz w:val="17"/>
        <w:szCs w:val="17"/>
      </w:rPr>
      <w:t xml:space="preserve"> </w:t>
    </w:r>
    <w:r>
      <w:rPr>
        <w:rFonts w:ascii="NSimSun" w:eastAsia="NSimSun" w:hAnsi="NSimSun" w:cs="NSimSun"/>
        <w:color w:val="231F20"/>
        <w:spacing w:val="2"/>
        <w:position w:val="-9"/>
        <w:sz w:val="17"/>
        <w:szCs w:val="17"/>
      </w:rPr>
      <w:t>1</w:t>
    </w:r>
    <w:r>
      <w:rPr>
        <w:color w:val="231F20"/>
        <w:spacing w:val="2"/>
        <w:position w:val="-9"/>
        <w:sz w:val="17"/>
        <w:szCs w:val="17"/>
      </w:rPr>
      <w:t>期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5" w:lineRule="auto"/>
      <w:jc w:val="right"/>
      <w:rPr>
        <w:sz w:val="17"/>
        <w:szCs w:val="17"/>
      </w:rPr>
    </w:pPr>
    <w:r>
      <w:rPr>
        <w:rFonts w:ascii="Times New Roman" w:eastAsia="Times New Roman" w:hAnsi="Times New Roman" w:cs="Times New Roman"/>
        <w:color w:val="231F20"/>
        <w:spacing w:val="4"/>
        <w:position w:val="6"/>
        <w:u w:val="single" w:color="auto"/>
      </w:rPr>
      <w:t>120</w:t>
    </w:r>
    <w:r>
      <w:rPr>
        <w:rFonts w:ascii="Times New Roman" w:eastAsia="Times New Roman" w:hAnsi="Times New Roman" w:cs="Times New Roman"/>
        <w:color w:val="231F20"/>
        <w:position w:val="6"/>
        <w:u w:val="single" w:color="000000"/>
      </w:rPr>
      <w:t xml:space="preserve">                                                                                 </w:t>
    </w:r>
    <w:r>
      <w:rPr>
        <w:color w:val="231F20"/>
        <w:spacing w:val="4"/>
        <w:position w:val="10"/>
        <w:sz w:val="17"/>
        <w:szCs w:val="17"/>
        <w:u w:val="single" w:color="auto"/>
      </w:rPr>
      <w:t>资</w:t>
    </w:r>
    <w:r>
      <w:rPr>
        <w:color w:val="231F20"/>
        <w:spacing w:val="54"/>
        <w:position w:val="10"/>
        <w:sz w:val="17"/>
        <w:szCs w:val="17"/>
        <w:u w:val="single" w:color="000000"/>
      </w:rPr>
      <w:t xml:space="preserve"> </w:t>
    </w:r>
    <w:r>
      <w:rPr>
        <w:color w:val="231F20"/>
        <w:spacing w:val="4"/>
        <w:position w:val="10"/>
        <w:sz w:val="17"/>
        <w:szCs w:val="17"/>
        <w:u w:val="single" w:color="auto"/>
      </w:rPr>
      <w:t>源</w:t>
    </w:r>
    <w:r>
      <w:rPr>
        <w:color w:val="231F20"/>
        <w:spacing w:val="41"/>
        <w:w w:val="101"/>
        <w:position w:val="10"/>
        <w:sz w:val="17"/>
        <w:szCs w:val="17"/>
        <w:u w:val="single" w:color="000000"/>
      </w:rPr>
      <w:t xml:space="preserve"> </w:t>
    </w:r>
    <w:r>
      <w:rPr>
        <w:color w:val="231F20"/>
        <w:spacing w:val="4"/>
        <w:position w:val="10"/>
        <w:sz w:val="17"/>
        <w:szCs w:val="17"/>
        <w:u w:val="single" w:color="auto"/>
      </w:rPr>
      <w:t>科</w:t>
    </w:r>
    <w:r>
      <w:rPr>
        <w:color w:val="231F20"/>
        <w:spacing w:val="45"/>
        <w:w w:val="101"/>
        <w:position w:val="10"/>
        <w:sz w:val="17"/>
        <w:szCs w:val="17"/>
        <w:u w:val="single" w:color="000000"/>
      </w:rPr>
      <w:t xml:space="preserve"> </w:t>
    </w:r>
    <w:r>
      <w:rPr>
        <w:color w:val="231F20"/>
        <w:spacing w:val="4"/>
        <w:position w:val="10"/>
        <w:sz w:val="17"/>
        <w:szCs w:val="17"/>
        <w:u w:val="single" w:color="auto"/>
      </w:rPr>
      <w:t>学</w:t>
    </w:r>
    <w:r>
      <w:rPr>
        <w:color w:val="231F20"/>
        <w:spacing w:val="4"/>
        <w:position w:val="10"/>
        <w:sz w:val="17"/>
        <w:szCs w:val="17"/>
        <w:u w:val="single" w:color="000000"/>
      </w:rPr>
      <w:t xml:space="preserve">                </w:t>
    </w:r>
    <w:r>
      <w:rPr>
        <w:color w:val="231F20"/>
        <w:spacing w:val="3"/>
        <w:position w:val="10"/>
        <w:sz w:val="17"/>
        <w:szCs w:val="17"/>
        <w:u w:val="single" w:color="000000"/>
      </w:rPr>
      <w:t xml:space="preserve">                                        </w:t>
    </w:r>
    <w:r>
      <w:rPr>
        <w:color w:val="231F20"/>
        <w:spacing w:val="3"/>
        <w:position w:val="10"/>
        <w:sz w:val="17"/>
        <w:szCs w:val="17"/>
      </w:rPr>
      <w:t xml:space="preserve">   </w:t>
    </w:r>
    <w:r>
      <w:rPr>
        <w:color w:val="231F20"/>
        <w:spacing w:val="3"/>
        <w:position w:val="-9"/>
        <w:sz w:val="17"/>
        <w:szCs w:val="17"/>
      </w:rPr>
      <w:t>第</w:t>
    </w:r>
    <w:r>
      <w:rPr>
        <w:color w:val="231F20"/>
        <w:spacing w:val="-26"/>
        <w:position w:val="-9"/>
        <w:sz w:val="17"/>
        <w:szCs w:val="17"/>
      </w:rPr>
      <w:t xml:space="preserve"> </w:t>
    </w:r>
    <w:r>
      <w:rPr>
        <w:rFonts w:ascii="NSimSun" w:eastAsia="NSimSun" w:hAnsi="NSimSun" w:cs="NSimSun"/>
        <w:color w:val="231F20"/>
        <w:spacing w:val="3"/>
        <w:position w:val="-9"/>
        <w:sz w:val="17"/>
        <w:szCs w:val="17"/>
      </w:rPr>
      <w:t>46</w:t>
    </w:r>
    <w:r>
      <w:rPr>
        <w:color w:val="231F20"/>
        <w:spacing w:val="3"/>
        <w:position w:val="-9"/>
        <w:sz w:val="17"/>
        <w:szCs w:val="17"/>
      </w:rPr>
      <w:t>卷 第</w:t>
    </w:r>
    <w:r>
      <w:rPr>
        <w:color w:val="231F20"/>
        <w:spacing w:val="-8"/>
        <w:position w:val="-9"/>
        <w:sz w:val="17"/>
        <w:szCs w:val="17"/>
      </w:rPr>
      <w:t xml:space="preserve"> </w:t>
    </w:r>
    <w:r>
      <w:rPr>
        <w:rFonts w:ascii="NSimSun" w:eastAsia="NSimSun" w:hAnsi="NSimSun" w:cs="NSimSun"/>
        <w:color w:val="231F20"/>
        <w:spacing w:val="3"/>
        <w:position w:val="-9"/>
        <w:sz w:val="17"/>
        <w:szCs w:val="17"/>
      </w:rPr>
      <w:t>1</w:t>
    </w:r>
    <w:r>
      <w:rPr>
        <w:color w:val="231F20"/>
        <w:spacing w:val="3"/>
        <w:position w:val="-9"/>
        <w:sz w:val="17"/>
        <w:szCs w:val="17"/>
      </w:rPr>
      <w:t>期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5" w:lineRule="auto"/>
      <w:jc w:val="right"/>
      <w:rPr>
        <w:sz w:val="17"/>
        <w:szCs w:val="17"/>
      </w:rPr>
    </w:pPr>
    <w:r>
      <w:rPr>
        <w:rFonts w:ascii="Times New Roman" w:eastAsia="Times New Roman" w:hAnsi="Times New Roman" w:cs="Times New Roman"/>
        <w:color w:val="231F20"/>
        <w:spacing w:val="4"/>
        <w:position w:val="6"/>
        <w:u w:val="single" w:color="auto"/>
      </w:rPr>
      <w:t>120</w:t>
    </w:r>
    <w:r>
      <w:rPr>
        <w:rFonts w:ascii="Times New Roman" w:eastAsia="Times New Roman" w:hAnsi="Times New Roman" w:cs="Times New Roman"/>
        <w:color w:val="231F20"/>
        <w:position w:val="6"/>
        <w:u w:val="single" w:color="000000"/>
      </w:rPr>
      <w:t xml:space="preserve">                                                                                 </w:t>
    </w:r>
    <w:r>
      <w:rPr>
        <w:color w:val="231F20"/>
        <w:spacing w:val="4"/>
        <w:position w:val="10"/>
        <w:sz w:val="17"/>
        <w:szCs w:val="17"/>
        <w:u w:val="single" w:color="auto"/>
      </w:rPr>
      <w:t>资</w:t>
    </w:r>
    <w:r>
      <w:rPr>
        <w:color w:val="231F20"/>
        <w:spacing w:val="54"/>
        <w:position w:val="10"/>
        <w:sz w:val="17"/>
        <w:szCs w:val="17"/>
        <w:u w:val="single" w:color="000000"/>
      </w:rPr>
      <w:t xml:space="preserve"> </w:t>
    </w:r>
    <w:r>
      <w:rPr>
        <w:color w:val="231F20"/>
        <w:spacing w:val="4"/>
        <w:position w:val="10"/>
        <w:sz w:val="17"/>
        <w:szCs w:val="17"/>
        <w:u w:val="single" w:color="auto"/>
      </w:rPr>
      <w:t>源</w:t>
    </w:r>
    <w:r>
      <w:rPr>
        <w:color w:val="231F20"/>
        <w:spacing w:val="41"/>
        <w:w w:val="101"/>
        <w:position w:val="10"/>
        <w:sz w:val="17"/>
        <w:szCs w:val="17"/>
        <w:u w:val="single" w:color="000000"/>
      </w:rPr>
      <w:t xml:space="preserve"> </w:t>
    </w:r>
    <w:r>
      <w:rPr>
        <w:color w:val="231F20"/>
        <w:spacing w:val="4"/>
        <w:position w:val="10"/>
        <w:sz w:val="17"/>
        <w:szCs w:val="17"/>
        <w:u w:val="single" w:color="auto"/>
      </w:rPr>
      <w:t>科</w:t>
    </w:r>
    <w:r>
      <w:rPr>
        <w:color w:val="231F20"/>
        <w:spacing w:val="45"/>
        <w:w w:val="101"/>
        <w:position w:val="10"/>
        <w:sz w:val="17"/>
        <w:szCs w:val="17"/>
        <w:u w:val="single" w:color="000000"/>
      </w:rPr>
      <w:t xml:space="preserve"> </w:t>
    </w:r>
    <w:r>
      <w:rPr>
        <w:color w:val="231F20"/>
        <w:spacing w:val="4"/>
        <w:position w:val="10"/>
        <w:sz w:val="17"/>
        <w:szCs w:val="17"/>
        <w:u w:val="single" w:color="auto"/>
      </w:rPr>
      <w:t>学</w:t>
    </w:r>
    <w:r>
      <w:rPr>
        <w:color w:val="231F20"/>
        <w:spacing w:val="4"/>
        <w:position w:val="10"/>
        <w:sz w:val="17"/>
        <w:szCs w:val="17"/>
        <w:u w:val="single" w:color="000000"/>
      </w:rPr>
      <w:t xml:space="preserve">                </w:t>
    </w:r>
    <w:r>
      <w:rPr>
        <w:color w:val="231F20"/>
        <w:spacing w:val="3"/>
        <w:position w:val="10"/>
        <w:sz w:val="17"/>
        <w:szCs w:val="17"/>
        <w:u w:val="single" w:color="000000"/>
      </w:rPr>
      <w:t xml:space="preserve">                                        </w:t>
    </w:r>
    <w:r>
      <w:rPr>
        <w:color w:val="231F20"/>
        <w:spacing w:val="3"/>
        <w:position w:val="10"/>
        <w:sz w:val="17"/>
        <w:szCs w:val="17"/>
      </w:rPr>
      <w:t xml:space="preserve">   </w:t>
    </w:r>
    <w:r>
      <w:rPr>
        <w:color w:val="231F20"/>
        <w:spacing w:val="3"/>
        <w:position w:val="-9"/>
        <w:sz w:val="17"/>
        <w:szCs w:val="17"/>
      </w:rPr>
      <w:t>第</w:t>
    </w:r>
    <w:r>
      <w:rPr>
        <w:color w:val="231F20"/>
        <w:spacing w:val="-26"/>
        <w:position w:val="-9"/>
        <w:sz w:val="17"/>
        <w:szCs w:val="17"/>
      </w:rPr>
      <w:t xml:space="preserve"> </w:t>
    </w:r>
    <w:r>
      <w:rPr>
        <w:rFonts w:ascii="NSimSun" w:eastAsia="NSimSun" w:hAnsi="NSimSun" w:cs="NSimSun"/>
        <w:color w:val="231F20"/>
        <w:spacing w:val="3"/>
        <w:position w:val="-9"/>
        <w:sz w:val="17"/>
        <w:szCs w:val="17"/>
      </w:rPr>
      <w:t>46</w:t>
    </w:r>
    <w:r>
      <w:rPr>
        <w:color w:val="231F20"/>
        <w:spacing w:val="3"/>
        <w:position w:val="-9"/>
        <w:sz w:val="17"/>
        <w:szCs w:val="17"/>
      </w:rPr>
      <w:t>卷 第</w:t>
    </w:r>
    <w:r>
      <w:rPr>
        <w:color w:val="231F20"/>
        <w:spacing w:val="-8"/>
        <w:position w:val="-9"/>
        <w:sz w:val="17"/>
        <w:szCs w:val="17"/>
      </w:rPr>
      <w:t xml:space="preserve"> </w:t>
    </w:r>
    <w:r>
      <w:rPr>
        <w:rFonts w:ascii="NSimSun" w:eastAsia="NSimSun" w:hAnsi="NSimSun" w:cs="NSimSun"/>
        <w:color w:val="231F20"/>
        <w:spacing w:val="3"/>
        <w:position w:val="-9"/>
        <w:sz w:val="17"/>
        <w:szCs w:val="17"/>
      </w:rPr>
      <w:t>1</w:t>
    </w:r>
    <w:r>
      <w:rPr>
        <w:color w:val="231F20"/>
        <w:spacing w:val="3"/>
        <w:position w:val="-9"/>
        <w:sz w:val="17"/>
        <w:szCs w:val="17"/>
      </w:rPr>
      <w:t>期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5"/>
      <w:szCs w:val="1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hyperlink" Target="http://www.resci.cn" TargetMode="External" /><Relationship Id="rId12" Type="http://schemas.openxmlformats.org/officeDocument/2006/relationships/footer" Target="footer5.xml" /><Relationship Id="rId13" Type="http://schemas.openxmlformats.org/officeDocument/2006/relationships/image" Target="media/image4.png" /><Relationship Id="rId14" Type="http://schemas.openxmlformats.org/officeDocument/2006/relationships/footer" Target="footer6.xml" /><Relationship Id="rId15" Type="http://schemas.openxmlformats.org/officeDocument/2006/relationships/footer" Target="footer7.xml" /><Relationship Id="rId16" Type="http://schemas.openxmlformats.org/officeDocument/2006/relationships/footer" Target="footer8.xml" /><Relationship Id="rId17" Type="http://schemas.openxmlformats.org/officeDocument/2006/relationships/image" Target="media/image5.png" /><Relationship Id="rId18" Type="http://schemas.openxmlformats.org/officeDocument/2006/relationships/image" Target="media/image6.png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header" Target="header1.xml" /><Relationship Id="rId21" Type="http://schemas.openxmlformats.org/officeDocument/2006/relationships/footer" Target="footer10.xml" /><Relationship Id="rId22" Type="http://schemas.openxmlformats.org/officeDocument/2006/relationships/image" Target="media/image7.png" /><Relationship Id="rId23" Type="http://schemas.openxmlformats.org/officeDocument/2006/relationships/image" Target="media/image8.png" /><Relationship Id="rId24" Type="http://schemas.openxmlformats.org/officeDocument/2006/relationships/image" Target="media/image9.png" /><Relationship Id="rId25" Type="http://schemas.openxmlformats.org/officeDocument/2006/relationships/image" Target="media/image10.png" /><Relationship Id="rId26" Type="http://schemas.openxmlformats.org/officeDocument/2006/relationships/image" Target="media/image11.png" /><Relationship Id="rId27" Type="http://schemas.openxmlformats.org/officeDocument/2006/relationships/image" Target="media/image12.png" /><Relationship Id="rId28" Type="http://schemas.openxmlformats.org/officeDocument/2006/relationships/image" Target="media/image13.png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image" Target="media/image16.png" /><Relationship Id="rId32" Type="http://schemas.openxmlformats.org/officeDocument/2006/relationships/image" Target="media/image17.png" /><Relationship Id="rId33" Type="http://schemas.openxmlformats.org/officeDocument/2006/relationships/header" Target="header2.xml" /><Relationship Id="rId34" Type="http://schemas.openxmlformats.org/officeDocument/2006/relationships/footer" Target="footer11.xml" /><Relationship Id="rId35" Type="http://schemas.openxmlformats.org/officeDocument/2006/relationships/header" Target="header3.xml" /><Relationship Id="rId36" Type="http://schemas.openxmlformats.org/officeDocument/2006/relationships/footer" Target="footer12.xml" /><Relationship Id="rId37" Type="http://schemas.openxmlformats.org/officeDocument/2006/relationships/hyperlink" Target="http://www.resci.net" TargetMode="External" /><Relationship Id="rId38" Type="http://schemas.openxmlformats.org/officeDocument/2006/relationships/header" Target="header4.xml" /><Relationship Id="rId39" Type="http://schemas.openxmlformats.org/officeDocument/2006/relationships/footer" Target="footer13.xml" /><Relationship Id="rId4" Type="http://schemas.openxmlformats.org/officeDocument/2006/relationships/image" Target="media/image1.png" /><Relationship Id="rId40" Type="http://schemas.openxmlformats.org/officeDocument/2006/relationships/header" Target="header5.xml" /><Relationship Id="rId41" Type="http://schemas.openxmlformats.org/officeDocument/2006/relationships/footer" Target="footer14.xml" /><Relationship Id="rId42" Type="http://schemas.openxmlformats.org/officeDocument/2006/relationships/header" Target="header6.xml" /><Relationship Id="rId43" Type="http://schemas.openxmlformats.org/officeDocument/2006/relationships/footer" Target="footer15.xml" /><Relationship Id="rId44" Type="http://schemas.openxmlformats.org/officeDocument/2006/relationships/header" Target="header7.xml" /><Relationship Id="rId45" Type="http://schemas.openxmlformats.org/officeDocument/2006/relationships/footer" Target="footer16.xml" /><Relationship Id="rId46" Type="http://schemas.openxmlformats.org/officeDocument/2006/relationships/header" Target="header8.xml" /><Relationship Id="rId47" Type="http://schemas.openxmlformats.org/officeDocument/2006/relationships/footer" Target="footer17.xml" /><Relationship Id="rId48" Type="http://schemas.openxmlformats.org/officeDocument/2006/relationships/header" Target="header9.xml" /><Relationship Id="rId49" Type="http://schemas.openxmlformats.org/officeDocument/2006/relationships/footer" Target="footer18.xml" /><Relationship Id="rId5" Type="http://schemas.openxmlformats.org/officeDocument/2006/relationships/image" Target="media/image2.png" /><Relationship Id="rId50" Type="http://schemas.openxmlformats.org/officeDocument/2006/relationships/image" Target="media/image18.png" /><Relationship Id="rId51" Type="http://schemas.openxmlformats.org/officeDocument/2006/relationships/header" Target="header10.xml" /><Relationship Id="rId52" Type="http://schemas.openxmlformats.org/officeDocument/2006/relationships/footer" Target="footer19.xml" /><Relationship Id="rId53" Type="http://schemas.openxmlformats.org/officeDocument/2006/relationships/header" Target="header11.xml" /><Relationship Id="rId54" Type="http://schemas.openxmlformats.org/officeDocument/2006/relationships/footer" Target="footer20.xml" /><Relationship Id="rId55" Type="http://schemas.openxmlformats.org/officeDocument/2006/relationships/image" Target="media/image19.png" /><Relationship Id="rId56" Type="http://schemas.openxmlformats.org/officeDocument/2006/relationships/header" Target="header12.xml" /><Relationship Id="rId57" Type="http://schemas.openxmlformats.org/officeDocument/2006/relationships/footer" Target="footer21.xml" /><Relationship Id="rId58" Type="http://schemas.openxmlformats.org/officeDocument/2006/relationships/header" Target="header13.xml" /><Relationship Id="rId59" Type="http://schemas.openxmlformats.org/officeDocument/2006/relationships/footer" Target="footer22.xml" /><Relationship Id="rId6" Type="http://schemas.openxmlformats.org/officeDocument/2006/relationships/image" Target="media/image3.jpeg" /><Relationship Id="rId60" Type="http://schemas.openxmlformats.org/officeDocument/2006/relationships/image" Target="media/image20.png" /><Relationship Id="rId61" Type="http://schemas.openxmlformats.org/officeDocument/2006/relationships/header" Target="header14.xml" /><Relationship Id="rId62" Type="http://schemas.openxmlformats.org/officeDocument/2006/relationships/footer" Target="footer23.xml" /><Relationship Id="rId63" Type="http://schemas.openxmlformats.org/officeDocument/2006/relationships/hyperlink" Target="https://d.book118.com/648025024042006041" TargetMode="External" /><Relationship Id="rId64" Type="http://schemas.openxmlformats.org/officeDocument/2006/relationships/header" Target="header15.xml" /><Relationship Id="rId65" Type="http://schemas.openxmlformats.org/officeDocument/2006/relationships/footer" Target="footer24.xm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CNKI</dc:creator>
  <cp:revision>0</cp:revision>
  <dcterms:created xsi:type="dcterms:W3CDTF">2024-02-29T18:16:28Z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2024-02-29T18:31:20Z</vt:filetime>
  </property>
  <property fmtid="{D5CDD505-2E9C-101B-9397-08002B2CF9AE}" pid="3" name="CRO">
    <vt:lpwstr>wqlLaW5nc29mdCBQREYgdG8gV1BTIDkw</vt:lpwstr>
  </property>
</Properties>
</file>