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392" w:right="16" w:hanging="233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</w:t>
      </w:r>
      <w:r>
        <w:rPr>
          <w:rFonts w:ascii="SimSun" w:eastAsia="SimSun" w:hAnsi="SimSun" w:cs="SimSun"/>
          <w:spacing w:val="-1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能铜镍合金带、线材项目可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390231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一、高性能铜镍合金带、线材项目概</w:t>
          </w:r>
          <w:r>
            <w:rPr>
              <w:rFonts w:ascii="FangSong" w:eastAsia="FangSong" w:hAnsi="FangSong" w:cs="FangSong"/>
              <w:sz w:val="21"/>
              <w:szCs w:val="21"/>
            </w:rPr>
            <w:t>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(一)、高性能铜镍合金带、线材项目承办单位基本情况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二)、高性能铜镍合金带、线材项目概况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三)、高性能铜镍合金带、线材项目评价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(一)、高性能铜镍合金带、线材项目建设期原辅材料供应情况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)、高性能铜镍合金带、线材项目运营期原辅材料供应及质量管理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、高性能铜镍合金带、线材项目建设背景及必要性分析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四、高性能铜镍合金带、线材项目可行性研究报告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五、高性能铜镍合金带、线材项目选址说明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一)、高性能铜镍合金带、线材项目选址原则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(二)、高性能铜镍合金带、线材项目选址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高性能铜镍合金带、线材项目对环境的主要影响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一)、高性能铜镍合金带、线材项目进度安排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)、高性能铜镍合金带、线材项目实施保障措施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487129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476326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一)、高性能铜镍合金带、线材项目风险分析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二)、高性能铜镍合金带、线材项目风险对策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二、高性能铜镍合金带、线材项目管理与团队协作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一)、高性能铜镍合金带、线材项目管理方法论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(二)、高性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能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铜镍合金带、线材项目计划与进度管理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五)、高性能铜镍合金带、线材项目风险管理与应对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项目商业计划书是为了规范高性能铜镍合金带、线材项目的实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施步骤和计划而</w:t>
      </w:r>
      <w:r>
        <w:rPr>
          <w:rFonts w:ascii="FangSong" w:eastAsia="FangSong" w:hAnsi="FangSong" w:cs="FangSong"/>
          <w:spacing w:val="-4"/>
          <w:sz w:val="28"/>
          <w:szCs w:val="28"/>
        </w:rPr>
        <w:t>编</w:t>
      </w:r>
      <w:r>
        <w:rPr>
          <w:rFonts w:ascii="FangSong" w:eastAsia="FangSong" w:hAnsi="FangSong" w:cs="FangSong"/>
          <w:spacing w:val="-3"/>
          <w:sz w:val="28"/>
          <w:szCs w:val="28"/>
        </w:rPr>
        <w:t>写的。通过详细描述高性能铜镍合金带、线材项目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背景和目标，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估</w:t>
      </w:r>
      <w:r>
        <w:rPr>
          <w:rFonts w:ascii="FangSong" w:eastAsia="FangSong" w:hAnsi="FangSong" w:cs="FangSong"/>
          <w:spacing w:val="-8"/>
          <w:sz w:val="28"/>
          <w:szCs w:val="28"/>
        </w:rPr>
        <w:t>方法，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本方案旨在为项目相关人员提供一个清晰的指导和参考。请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注意，</w:t>
      </w:r>
      <w:r>
        <w:rPr>
          <w:rFonts w:ascii="FangSong" w:eastAsia="FangSong" w:hAnsi="FangSong" w:cs="FangSong"/>
          <w:spacing w:val="-3"/>
          <w:sz w:val="28"/>
          <w:szCs w:val="28"/>
        </w:rPr>
        <w:t>本</w:t>
      </w:r>
      <w:r>
        <w:rPr>
          <w:rFonts w:ascii="FangSong" w:eastAsia="FangSong" w:hAnsi="FangSong" w:cs="FangSong"/>
          <w:spacing w:val="-2"/>
          <w:sz w:val="28"/>
          <w:szCs w:val="28"/>
        </w:rPr>
        <w:t>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一、高性能铜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镍合金带、线材项目概论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(一)、高性能铜镍合金带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、线材项目承办单位基本情况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二)、高性能铜镍合金带、线材项目概况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4"/>
          <w:sz w:val="28"/>
          <w:szCs w:val="28"/>
        </w:rPr>
        <w:t>能铜镍合金带、线材项目名称：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高性能铜镍合金带、线材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sdt>
      <w:sdtPr>
        <w:rPr>
          <w:rFonts w:ascii="FangSong" w:eastAsia="FangSong" w:hAnsi="FangSong" w:cs="FangSong"/>
          <w:sz w:val="28"/>
          <w:szCs w:val="28"/>
        </w:rPr>
        <w:id w:val="1764161690"/>
        <w:docPartObj>
          <w:docPartGallery w:val="Table of Contents"/>
          <w:docPartUnique/>
        </w:docPartObj>
      </w:sdtPr>
      <w:sdtEndPr>
        <w:rPr>
          <w:rFonts w:ascii="FangSong" w:eastAsia="FangSong" w:hAnsi="FangSong" w:cs="FangSong"/>
          <w:sz w:val="28"/>
          <w:szCs w:val="28"/>
        </w:rPr>
      </w:sdtEndPr>
      <w:sdtContent>
        <w:p>
          <w:pPr>
            <w:spacing w:before="182" w:line="224" w:lineRule="auto"/>
            <w:ind w:left="33"/>
            <w:rPr>
              <w:rFonts w:ascii="FangSong" w:eastAsia="FangSong" w:hAnsi="FangSong" w:cs="FangSong"/>
              <w:sz w:val="28"/>
              <w:szCs w:val="28"/>
            </w:rPr>
          </w:pPr>
          <w:bookmarkStart w:id="6" w:name="_bookmark7"/>
          <w:bookmarkEnd w:id="6"/>
          <w:bookmarkStart w:id="7" w:name="_bookmark8"/>
          <w:bookmarkEnd w:id="7"/>
          <w:r>
            <w:rPr>
              <w:rFonts w:ascii="FangSong" w:eastAsia="FangSong" w:hAnsi="FangSong" w:cs="FangSong"/>
              <w:spacing w:val="-5"/>
              <w:sz w:val="28"/>
              <w:szCs w:val="28"/>
            </w:rPr>
            <w:t>项目</w:t>
          </w:r>
        </w:p>
        <w:p>
          <w:pPr>
            <w:spacing w:before="284" w:line="220" w:lineRule="auto"/>
            <w:ind w:left="60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4"/>
              <w:sz w:val="28"/>
              <w:szCs w:val="28"/>
            </w:rPr>
            <w:t>高性</w:t>
          </w:r>
          <w:r>
            <w:rPr>
              <w:rFonts w:ascii="FangSong" w:eastAsia="FangSong" w:hAnsi="FangSong" w:cs="FangSong"/>
              <w:spacing w:val="-7"/>
              <w:sz w:val="28"/>
              <w:szCs w:val="28"/>
            </w:rPr>
            <w:t>能铜镍合金带、线材项目类型：</w:t>
          </w:r>
          <w:r>
            <w:rPr>
              <w:rFonts w:ascii="FangSong" w:eastAsia="FangSong" w:hAnsi="FangSong" w:cs="FangSong"/>
              <w:spacing w:val="-7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7"/>
              <w:sz w:val="28"/>
              <w:szCs w:val="28"/>
            </w:rPr>
            <w:t>制造业</w:t>
          </w:r>
        </w:p>
        <w:p>
          <w:pPr>
            <w:spacing w:before="290" w:line="220" w:lineRule="auto"/>
            <w:ind w:left="60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23"/>
              <w:sz w:val="28"/>
              <w:szCs w:val="28"/>
            </w:rPr>
            <w:t>高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性能铜镍合金带、线材项目地点：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市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区</w:t>
          </w:r>
        </w:p>
        <w:p>
          <w:pPr>
            <w:spacing w:before="290" w:line="220" w:lineRule="auto"/>
            <w:ind w:left="60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高性能铜镍合金带、线材项目规模：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投资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万元，年产值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X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</w:t>
          </w:r>
        </w:p>
        <w:p>
          <w:pPr>
            <w:spacing w:before="290" w:line="222" w:lineRule="auto"/>
            <w:ind w:left="34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万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元，占地面积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平方米</w:t>
          </w:r>
        </w:p>
        <w:p>
          <w:pPr>
            <w:spacing w:before="287" w:line="220" w:lineRule="auto"/>
            <w:ind w:left="60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33"/>
              <w:sz w:val="28"/>
              <w:szCs w:val="28"/>
            </w:rPr>
            <w:t>高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性能铜镍合金带、线材项目周期：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建设期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个月，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运营期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XX</w:t>
          </w:r>
        </w:p>
      </w:sdtContent>
    </w:sdt>
    <w:p>
      <w:pPr>
        <w:spacing w:before="291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86" w:line="416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4"/>
          <w:sz w:val="28"/>
          <w:szCs w:val="28"/>
        </w:rPr>
        <w:t>能铜镍合金带、线材项目背景：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高性能铜镍合金带、线材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三)、高性能铜镍合金带、线材项目评价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该高性能铜镍合金带、线材项目处于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前景广阔，有望在未来取得可观的市场份额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性能铜镍合金</w:t>
      </w:r>
      <w:r>
        <w:rPr>
          <w:rFonts w:ascii="FangSong" w:eastAsia="FangSong" w:hAnsi="FangSong" w:cs="FangSong"/>
          <w:spacing w:val="-2"/>
          <w:sz w:val="28"/>
          <w:szCs w:val="28"/>
        </w:rPr>
        <w:t>带、线材项目具备较高的实施可行性。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9" w:lineRule="auto"/>
        <w:ind w:left="36" w:right="15" w:firstLine="4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一)、高性能铜镍合金带、线材项目建设期原辅材料供应情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5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能铜镍合金带、线材项目的建设和运营过程中，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的供应是确保工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顺利进行和产品质量稳定的重要环节。本章将详细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探讨高性能铜镍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金带、线材项目建设期和运营期的原辅材料供应情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况，以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相关的质量管理措施。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高性能铜镍合金带、线材项</w:t>
      </w:r>
      <w:r>
        <w:rPr>
          <w:rFonts w:ascii="FangSong" w:eastAsia="FangSong" w:hAnsi="FangSong" w:cs="FangSong"/>
          <w:sz w:val="28"/>
          <w:szCs w:val="28"/>
        </w:rPr>
        <w:t>目建设期原辅材料供应情况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能铜镍合金带、线材项目建设期间，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对工程进度和质量</w:t>
      </w:r>
      <w:r>
        <w:rPr>
          <w:rFonts w:ascii="FangSong" w:eastAsia="FangSong" w:hAnsi="FangSong" w:cs="FangSong"/>
          <w:spacing w:val="-3"/>
          <w:sz w:val="28"/>
          <w:szCs w:val="28"/>
        </w:rPr>
        <w:t>有着直接的影响。下面是高性能铜镍合金带、线材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418" w:lineRule="auto"/>
        <w:ind w:left="47" w:right="15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)、高性能铜镍合金带、线材项目运营期原辅材料供应及质量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43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性能铜镍合金带、线材项目进入运营期后，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应和质量管理同</w:t>
      </w:r>
      <w:r>
        <w:rPr>
          <w:rFonts w:ascii="FangSong" w:eastAsia="FangSong" w:hAnsi="FangSong" w:cs="FangSong"/>
          <w:spacing w:val="-5"/>
          <w:sz w:val="28"/>
          <w:szCs w:val="28"/>
        </w:rPr>
        <w:t>样</w:t>
      </w:r>
      <w:r>
        <w:rPr>
          <w:rFonts w:ascii="FangSong" w:eastAsia="FangSong" w:hAnsi="FangSong" w:cs="FangSong"/>
          <w:spacing w:val="-3"/>
          <w:sz w:val="28"/>
          <w:szCs w:val="28"/>
        </w:rPr>
        <w:t>至关重要。下面是高性能铜镍合金带、线材项目运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期原辅材料供应及质量管理的关键方面：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三、高性能铜镍合金带、线材项目建设背景及必要性分析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416" w:lineRule="auto"/>
        <w:ind w:left="33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9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6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四、高性能铜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镍合金带、线材项目可行性研究报告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能铜镍合金带、线材行业，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供卓越的体验和实用性，突显以下核心价值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18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10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上脱颖而出，成为消费者首选的高性能铜镍合金带、线材产品。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高性能铜镍合金</w:t>
      </w:r>
      <w:r>
        <w:rPr>
          <w:rFonts w:ascii="FangSong" w:eastAsia="FangSong" w:hAnsi="FangSong" w:cs="FangSong"/>
          <w:spacing w:val="-1"/>
          <w:sz w:val="28"/>
          <w:szCs w:val="28"/>
        </w:rPr>
        <w:t>带、线材项目总投资</w:t>
      </w:r>
    </w:p>
    <w:p>
      <w:pPr>
        <w:spacing w:before="292" w:line="411" w:lineRule="auto"/>
        <w:ind w:left="3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7"/>
          <w:sz w:val="28"/>
          <w:szCs w:val="28"/>
        </w:rPr>
        <w:t>的建设规模旨在实现一个全面、可持续的高性能铜镍合金带、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线材项目。高性能铜镍合金带、线材项目总投资将主要用于以下几个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我们将投入资金用于基础设施的修建，确保高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3"/>
          <w:sz w:val="28"/>
          <w:szCs w:val="28"/>
        </w:rPr>
        <w:t>能铜镍合金带、线材项目的顺利进行。</w:t>
      </w:r>
    </w:p>
    <w:p>
      <w:pPr>
        <w:spacing w:before="29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一部分资金将用于技术研发，以确保高性能铜镍合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金带、线</w:t>
      </w:r>
      <w:r>
        <w:rPr>
          <w:rFonts w:ascii="FangSong" w:eastAsia="FangSong" w:hAnsi="FangSong" w:cs="FangSong"/>
          <w:spacing w:val="-2"/>
          <w:sz w:val="28"/>
          <w:szCs w:val="28"/>
        </w:rPr>
        <w:t>材项目引领行业发展潮流，保持技术创新。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高性能铜镍合金带、</w:t>
      </w:r>
      <w:r>
        <w:rPr>
          <w:rFonts w:ascii="FangSong" w:eastAsia="FangSong" w:hAnsi="FangSong" w:cs="FangSong"/>
          <w:sz w:val="28"/>
          <w:szCs w:val="28"/>
        </w:rPr>
        <w:t>线材项目规模与产能</w:t>
      </w:r>
    </w:p>
    <w:p>
      <w:pPr>
        <w:spacing w:before="290" w:line="339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我们计划在高性能铜镍合金带、线材项目建设后的</w:t>
      </w:r>
      <w:r>
        <w:rPr>
          <w:rFonts w:ascii="FangSong" w:eastAsia="FangSong" w:hAnsi="FangSong" w:cs="FangSong"/>
          <w:spacing w:val="-7"/>
          <w:sz w:val="28"/>
          <w:szCs w:val="28"/>
        </w:rPr>
        <w:t>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</w:t>
      </w:r>
      <w:r>
        <w:rPr>
          <w:rFonts w:ascii="FangSong" w:eastAsia="FangSong" w:hAnsi="FangSong" w:cs="FangSong"/>
          <w:spacing w:val="-20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的年产量水平。</w:t>
      </w:r>
    </w:p>
    <w:p>
      <w:pPr>
        <w:spacing w:before="6" w:line="380" w:lineRule="auto"/>
        <w:ind w:left="33" w:right="10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性能铜镍合金带、线材项目规模：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高性能铜镍合金带、线材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高性能铜镍合金带、线材项目能够满足预期的产能需求，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的扩</w:t>
      </w:r>
      <w:r>
        <w:rPr>
          <w:rFonts w:ascii="FangSong" w:eastAsia="FangSong" w:hAnsi="FangSong" w:cs="FangSong"/>
          <w:spacing w:val="-4"/>
          <w:sz w:val="28"/>
          <w:szCs w:val="28"/>
        </w:rPr>
        <w:t>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以确保高性能铜镍合金带、线材项目的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10"/>
          <w:sz w:val="28"/>
          <w:szCs w:val="28"/>
        </w:rPr>
        <w:t>保性。</w:t>
      </w:r>
    </w:p>
    <w:p>
      <w:pPr>
        <w:spacing w:before="29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高性能铜镍合金带、线材项</w:t>
      </w:r>
      <w:r>
        <w:rPr>
          <w:rFonts w:ascii="FangSong" w:eastAsia="FangSong" w:hAnsi="FangSong" w:cs="FangSong"/>
          <w:sz w:val="28"/>
          <w:szCs w:val="28"/>
        </w:rPr>
        <w:t>目总投资与用地规模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该高性能铜镍合金带、线材项目总征地面积为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平方米(约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高性能铜</w:t>
      </w:r>
      <w:r>
        <w:rPr>
          <w:rFonts w:ascii="FangSong" w:eastAsia="FangSong" w:hAnsi="FangSong" w:cs="FangSong"/>
          <w:spacing w:val="-5"/>
          <w:sz w:val="28"/>
          <w:szCs w:val="28"/>
        </w:rPr>
        <w:t>镍</w:t>
      </w:r>
      <w:r>
        <w:rPr>
          <w:rFonts w:ascii="FangSong" w:eastAsia="FangSong" w:hAnsi="FangSong" w:cs="FangSong"/>
          <w:spacing w:val="-3"/>
          <w:sz w:val="28"/>
          <w:szCs w:val="28"/>
        </w:rPr>
        <w:t>合金带、线材项目规划的总建筑面积为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括规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10"/>
          <w:sz w:val="28"/>
          <w:szCs w:val="28"/>
        </w:rPr>
        <w:t>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计容建筑面积XXXX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筑工程投资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高性能铜镍合金带、线材项目计划购置设备共计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元。这些设备将在高性能铜镍合金带、线材项目运营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中发挥关键作用，</w:t>
      </w:r>
      <w:r>
        <w:rPr>
          <w:rFonts w:ascii="FangSong" w:eastAsia="FangSong" w:hAnsi="FangSong" w:cs="FangSong"/>
          <w:spacing w:val="-2"/>
          <w:sz w:val="28"/>
          <w:szCs w:val="28"/>
        </w:rPr>
        <w:t>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性能铜镍合金带、线材项目计划总投资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地费、建筑工程</w:t>
      </w:r>
      <w:r>
        <w:rPr>
          <w:rFonts w:ascii="FangSong" w:eastAsia="FangSong" w:hAnsi="FangSong" w:cs="FangSong"/>
          <w:spacing w:val="-5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资和设备购置费等多个方面的支出。预计年实现营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元，这将为高性能铜镍合金带、线材项目未来的发展提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五、高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性能铜镍合金带、线材项目选址说明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(一)、高性能铜镍合金带、线材项目选址原则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高性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铜镍合金带、线材项目选址必须与城乡建设总体规划保持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确保高性能铜镍合金带、线材项目的发展与当地城市规划和政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府</w:t>
      </w:r>
      <w:r>
        <w:rPr>
          <w:rFonts w:ascii="FangSong" w:eastAsia="FangSong" w:hAnsi="FangSong" w:cs="FangSong"/>
          <w:spacing w:val="-8"/>
          <w:sz w:val="28"/>
          <w:szCs w:val="28"/>
        </w:rPr>
        <w:t>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高性能铜镍合金带、线材项目有望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为城市功能提升和社会经济发展作出积极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贡</w:t>
      </w:r>
      <w:r>
        <w:rPr>
          <w:rFonts w:ascii="FangSong" w:eastAsia="FangSong" w:hAnsi="FangSong" w:cs="FangSong"/>
          <w:spacing w:val="-12"/>
          <w:sz w:val="28"/>
          <w:szCs w:val="28"/>
        </w:rPr>
        <w:t>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越的交通条件是高性能铜镍合金带、线材项目成功的关键因素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7"/>
          <w:sz w:val="28"/>
          <w:szCs w:val="28"/>
        </w:rPr>
        <w:t>并</w:t>
      </w:r>
      <w:r>
        <w:rPr>
          <w:rFonts w:ascii="FangSong" w:eastAsia="FangSong" w:hAnsi="FangSong" w:cs="FangSong"/>
          <w:spacing w:val="-5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高性能铜镍合金带、线材项目建设阶段，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件至关重要。平</w:t>
      </w:r>
      <w:r>
        <w:rPr>
          <w:rFonts w:ascii="FangSong" w:eastAsia="FangSong" w:hAnsi="FangSong" w:cs="FangSong"/>
          <w:spacing w:val="-4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的场地、容易获取的建筑材料以及适宜的施工场址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都将直接影响到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性能铜镍合金带、线材项目建设的顺利进行。这有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6" w:lineRule="auto"/>
        <w:ind w:left="38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高性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铜镍合金带、线材项目选址应与当地大气污染防治、水资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源利用以及自然生态环境保护政策相一致。我们将致力于在高性能</w:t>
      </w:r>
      <w:r>
        <w:rPr>
          <w:rFonts w:ascii="FangSong" w:eastAsia="FangSong" w:hAnsi="FangSong" w:cs="FangSong"/>
          <w:spacing w:val="-3"/>
          <w:sz w:val="28"/>
          <w:szCs w:val="28"/>
        </w:rPr>
        <w:t>铜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20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镍</w:t>
      </w:r>
      <w:r>
        <w:rPr>
          <w:rFonts w:ascii="FangSong" w:eastAsia="FangSong" w:hAnsi="FangSong" w:cs="FangSong"/>
          <w:spacing w:val="-7"/>
          <w:sz w:val="28"/>
          <w:szCs w:val="28"/>
        </w:rPr>
        <w:t>合金带、线材项目建设和运营过程中最大限度地减少对环境的影响，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保高性能铜镍合金带、线材项目的可持续发展，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并履行环境保护的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铜镍合金带、线材项目的需求与用地法规的要求，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性能铜镍合金带、线材项目的实施过程中获得更多的理解和支持。</w:t>
      </w:r>
    </w:p>
    <w:p>
      <w:pPr>
        <w:spacing w:before="2" w:line="415" w:lineRule="auto"/>
        <w:ind w:left="30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确保高性能铜镍合金带、线材项目的长期成功和对社会的积极贡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二)、高性能铜镍合金带、线材项目选址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高性能铜镍合金带、线材项目的地理位置时，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经济技术开发区的理想位置。选址的一些关键因素和考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虑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4" w:right="36" w:firstLine="2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的分销，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为高性能铜镍合金带、线材项目的顺利推进提供了有力支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持。这将显著减轻高性能铜镍合金带、线材项目的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财务压</w:t>
      </w:r>
      <w:r>
        <w:rPr>
          <w:rFonts w:ascii="FangSong" w:eastAsia="FangSong" w:hAnsi="FangSong" w:cs="FangSong"/>
          <w:spacing w:val="-5"/>
          <w:sz w:val="28"/>
          <w:szCs w:val="28"/>
        </w:rPr>
        <w:t>力</w:t>
      </w:r>
      <w:r>
        <w:rPr>
          <w:rFonts w:ascii="FangSong" w:eastAsia="FangSong" w:hAnsi="FangSong" w:cs="FangSong"/>
          <w:spacing w:val="-3"/>
          <w:sz w:val="28"/>
          <w:szCs w:val="28"/>
        </w:rPr>
        <w:t>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为高性能铜镍合金带、线材项目提供了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丰富的合作机会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高度重视生态环境的保护。选址处有利于建设绿色、环保型的高性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能铜镍合金带、</w:t>
      </w:r>
      <w:r>
        <w:rPr>
          <w:rFonts w:ascii="FangSong" w:eastAsia="FangSong" w:hAnsi="FangSong" w:cs="FangSong"/>
          <w:spacing w:val="-2"/>
          <w:sz w:val="28"/>
          <w:szCs w:val="28"/>
        </w:rPr>
        <w:t>线材项目，与当地的生态环境相协调。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铜镍合金带、线材项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选址于此，将与该地区未来的发展同频共振，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高性能铜镍合金带、线材项目在长远的未来奠定坚实基础。</w:t>
      </w:r>
    </w:p>
    <w:p>
      <w:pPr>
        <w:spacing w:before="2" w:line="414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确保高性能铜镍合金带、线材项目的建设与运营与当地发展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划相协调，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为高性能铜镍合金带、线材项目的成功提供全方位的支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高性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铜镍合金带、线材项目的成功实施不仅依赖于选址的地理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位</w:t>
      </w:r>
      <w:r>
        <w:rPr>
          <w:rFonts w:ascii="FangSong" w:eastAsia="FangSong" w:hAnsi="FangSong" w:cs="FangSong"/>
          <w:spacing w:val="-18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为高性能铜镍合金带、线材项目的建设提供了必要的基础支持，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低了建设和运营阶段的风险。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确保高性能铜镍合金带、线材项目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选址符合当地的用地规划要求。这有助于高性能铜镍合金带、线材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目在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规范围内进行建设，并最大限度地发挥土地的效益。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性能铜镍合金带、线材项目的用工提供了充足的保障，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进高层次、高技能的专业人才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括税收、用地等方面的优惠政策。这为高性能铜镍合金带、线材项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7"/>
          <w:sz w:val="28"/>
          <w:szCs w:val="28"/>
        </w:rPr>
        <w:t>目创造了更加宽松的经济环境。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高性能铜镍合金带、线材项目的过程中，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环境监测和保护要求。当地的环境保护部门将与我们密切合作，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保高性能铜镍合金</w:t>
      </w:r>
      <w:r>
        <w:rPr>
          <w:rFonts w:ascii="FangSong" w:eastAsia="FangSong" w:hAnsi="FangSong" w:cs="FangSong"/>
          <w:spacing w:val="-3"/>
          <w:sz w:val="28"/>
          <w:szCs w:val="28"/>
        </w:rPr>
        <w:t>带、线材项目在不对周边环境造成负面影响的前提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34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性能铜镍合金带、线材项目所在区域的安全设施完备，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的消防、防汛等安全系统。这为高性能铜镍合金带、线材项目的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运行提供了可靠的支持，减小了安全风险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能铜镍合金带、线材项目提供了明确的建设方向，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工业高性能铜镍合</w:t>
      </w:r>
      <w:r>
        <w:rPr>
          <w:rFonts w:ascii="FangSong" w:eastAsia="FangSong" w:hAnsi="FangSong" w:cs="FangSong"/>
          <w:spacing w:val="-2"/>
          <w:sz w:val="28"/>
          <w:szCs w:val="28"/>
        </w:rPr>
        <w:t>金带、线材项目的规划和要求。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9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高性能铜镍合金带、线材项目所在地区容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6"/>
          <w:sz w:val="28"/>
          <w:szCs w:val="28"/>
        </w:rPr>
        <w:t>筑密度都有具体的控制指标。我们将确保高性能铜镍合金带、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线</w:t>
      </w:r>
      <w:r>
        <w:rPr>
          <w:rFonts w:ascii="FangSong" w:eastAsia="FangSong" w:hAnsi="FangSong" w:cs="FangSong"/>
          <w:spacing w:val="-8"/>
          <w:sz w:val="28"/>
          <w:szCs w:val="28"/>
        </w:rPr>
        <w:t>材项目建设在合理的容积率和建筑密度范围内，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以充分利用土地资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源，提高高性能铜</w:t>
      </w:r>
      <w:r>
        <w:rPr>
          <w:rFonts w:ascii="FangSong" w:eastAsia="FangSong" w:hAnsi="FangSong" w:cs="FangSong"/>
          <w:spacing w:val="-2"/>
          <w:sz w:val="28"/>
          <w:szCs w:val="28"/>
        </w:rPr>
        <w:t>镍合金带、线材项目效益。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途划分是用地控制的核心之一。根据高性能铜镍合金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带</w:t>
      </w:r>
      <w:r>
        <w:rPr>
          <w:rFonts w:ascii="FangSong" w:eastAsia="FangSong" w:hAnsi="FangSong" w:cs="FangSong"/>
          <w:spacing w:val="-22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线材项目的性质，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险，保持高性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铜镍合金带、线材项目的合法性和可持续性。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限。</w:t>
      </w:r>
      <w:r>
        <w:rPr>
          <w:rFonts w:ascii="FangSong" w:eastAsia="FangSong" w:hAnsi="FangSong" w:cs="FangSong"/>
          <w:spacing w:val="-7"/>
          <w:sz w:val="28"/>
          <w:szCs w:val="28"/>
        </w:rPr>
        <w:t>我</w:t>
      </w:r>
      <w:r>
        <w:rPr>
          <w:rFonts w:ascii="FangSong" w:eastAsia="FangSong" w:hAnsi="FangSong" w:cs="FangSong"/>
          <w:spacing w:val="-4"/>
          <w:sz w:val="28"/>
          <w:szCs w:val="28"/>
        </w:rPr>
        <w:t>们将严格按照规定的利用年限进行高性能铜镍合金带、线材项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目建设和</w:t>
      </w:r>
      <w:r>
        <w:rPr>
          <w:rFonts w:ascii="FangSong" w:eastAsia="FangSong" w:hAnsi="FangSong" w:cs="FangSong"/>
          <w:spacing w:val="-4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能铜镍合金带、线材项目建设完成后，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的复垦工作，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和维护土地的自然环境，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减小高性能铜镍合金带、线材项目对周边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土</w:t>
      </w:r>
      <w:r>
        <w:rPr>
          <w:rFonts w:ascii="FangSong" w:eastAsia="FangSong" w:hAnsi="FangSong" w:cs="FangSong"/>
          <w:spacing w:val="-7"/>
          <w:sz w:val="28"/>
          <w:szCs w:val="28"/>
        </w:rPr>
        <w:t>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我们将确保高性能铜镍合</w:t>
      </w:r>
      <w:r>
        <w:rPr>
          <w:rFonts w:ascii="FangSong" w:eastAsia="FangSong" w:hAnsi="FangSong" w:cs="FangSong"/>
          <w:spacing w:val="-7"/>
          <w:sz w:val="28"/>
          <w:szCs w:val="28"/>
        </w:rPr>
        <w:t>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带</w:t>
      </w:r>
      <w:r>
        <w:rPr>
          <w:rFonts w:ascii="FangSong" w:eastAsia="FangSong" w:hAnsi="FangSong" w:cs="FangSong"/>
          <w:spacing w:val="-12"/>
          <w:sz w:val="28"/>
          <w:szCs w:val="28"/>
        </w:rPr>
        <w:t>、线材项目在法规框架内合规建设，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可持续的发展空间。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。这为高性能铜镍合金带、线材项目提供了便捷的物流通道，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原材料采购和成品销售，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提高了高性能铜镍合金带、线材项目的市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场</w:t>
      </w:r>
      <w:r>
        <w:rPr>
          <w:rFonts w:ascii="FangSong" w:eastAsia="FangSong" w:hAnsi="FangSong" w:cs="FangSong"/>
          <w:spacing w:val="-9"/>
          <w:sz w:val="28"/>
          <w:szCs w:val="28"/>
        </w:rPr>
        <w:t>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自然条件适宜。高性能铜镍合金带、线材项目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效率，同时遵循自然保护原则，最大限度地保留周边自然环境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设施。高性能铜镍合金带、线材项目将充分利用这些配套设施，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少对基础设</w:t>
      </w:r>
      <w:r>
        <w:rPr>
          <w:rFonts w:ascii="FangSong" w:eastAsia="FangSong" w:hAnsi="FangSong" w:cs="FangSong"/>
          <w:spacing w:val="-2"/>
          <w:sz w:val="28"/>
          <w:szCs w:val="28"/>
        </w:rPr>
        <w:t>施的额外投资，提高建设和运营效率。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助于高性能</w:t>
      </w:r>
      <w:r>
        <w:rPr>
          <w:rFonts w:ascii="FangSong" w:eastAsia="FangSong" w:hAnsi="FangSong" w:cs="FangSong"/>
          <w:spacing w:val="-3"/>
          <w:sz w:val="28"/>
          <w:szCs w:val="28"/>
        </w:rPr>
        <w:t>铜</w:t>
      </w:r>
      <w:r>
        <w:rPr>
          <w:rFonts w:ascii="FangSong" w:eastAsia="FangSong" w:hAnsi="FangSong" w:cs="FangSong"/>
          <w:spacing w:val="-2"/>
          <w:sz w:val="28"/>
          <w:szCs w:val="28"/>
        </w:rPr>
        <w:t>镍合金带、线材项目的稳定运营。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总体要求中还包括对环境的保护要求。高性能铜镍合金带、线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项目将遵循当地环保法规，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致力于建设绿色、可持续的工业高性能铜镍合金带、线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10"/>
          <w:sz w:val="28"/>
          <w:szCs w:val="28"/>
        </w:rPr>
        <w:t>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right="189" w:firstLine="56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性能铜镍合金带、线材项目将积极融入当地社区，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立和谐的关系。通过开展社区活动、提供就业机会等方式，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性能铜镍</w:t>
      </w:r>
      <w:r>
        <w:rPr>
          <w:rFonts w:ascii="FangSong" w:eastAsia="FangSong" w:hAnsi="FangSong" w:cs="FangSong"/>
          <w:spacing w:val="-2"/>
          <w:sz w:val="28"/>
          <w:szCs w:val="28"/>
        </w:rPr>
        <w:t>合金带、线材项目与当地社区的互利共赢。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高性能铜镍合金带、线材项目将在</w:t>
      </w:r>
      <w:r>
        <w:rPr>
          <w:rFonts w:ascii="FangSong" w:eastAsia="FangSong" w:hAnsi="FangSong" w:cs="FangSong"/>
          <w:spacing w:val="-7"/>
          <w:sz w:val="28"/>
          <w:szCs w:val="28"/>
        </w:rPr>
        <w:t>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社</w:t>
      </w:r>
      <w:r>
        <w:rPr>
          <w:rFonts w:ascii="FangSong" w:eastAsia="FangSong" w:hAnsi="FangSong" w:cs="FangSong"/>
          <w:spacing w:val="-7"/>
          <w:sz w:val="28"/>
          <w:szCs w:val="28"/>
        </w:rPr>
        <w:t>会接受度。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能铜镍合金带、线材项目选址的初步规划中，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系列创新性的节约用地措施，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地降低对环境的影响。</w:t>
      </w:r>
    </w:p>
    <w:p>
      <w:pPr>
        <w:spacing w:before="1" w:line="411" w:lineRule="auto"/>
        <w:ind w:left="34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铜</w:t>
      </w:r>
      <w:r>
        <w:rPr>
          <w:rFonts w:ascii="FangSong" w:eastAsia="FangSong" w:hAnsi="FangSong" w:cs="FangSong"/>
          <w:spacing w:val="-12"/>
          <w:sz w:val="28"/>
          <w:szCs w:val="28"/>
        </w:rPr>
        <w:t>镍合金带、线材项目内部，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区、办公区、绿化区等，以确保每块用地都发挥最大潜力。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率。这一措施有助于减小高性能铜镍合金带、线材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占地面积，为未来的扩建和发展预留更多的空间。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5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高性能铜镍合金带、线材项目还将注重环境友好设计，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采用绿色</w:t>
      </w:r>
      <w:r>
        <w:rPr>
          <w:rFonts w:ascii="FangSong" w:eastAsia="FangSong" w:hAnsi="FangSong" w:cs="FangSong"/>
          <w:spacing w:val="-12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22" w:line="206" w:lineRule="auto"/>
        <w:ind w:left="716"/>
        <w:rPr>
          <w:rFonts w:ascii="Microsoft YaHei" w:eastAsia="Microsoft YaHei" w:hAnsi="Microsoft YaHei" w:cs="Microsoft YaHei"/>
          <w:sz w:val="60"/>
          <w:szCs w:val="6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6921645</wp:posOffset>
            </wp:positionH>
            <wp:positionV relativeFrom="page">
              <wp:posOffset>1482986</wp:posOffset>
            </wp:positionV>
            <wp:extent cx="4378604" cy="447852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78604" cy="4478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CD5095"/>
          <w:position w:val="-8"/>
          <w:sz w:val="60"/>
          <w:szCs w:val="60"/>
        </w:rPr>
        <w:drawing>
          <wp:inline distT="0" distB="0" distL="0" distR="0">
            <wp:extent cx="515575" cy="43982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575" cy="43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CD5095"/>
          <w:spacing w:val="8"/>
          <w:sz w:val="60"/>
          <w:szCs w:val="60"/>
        </w:rPr>
        <w:t xml:space="preserve"> </w:t>
      </w:r>
      <w:r>
        <w:rPr>
          <w:rFonts w:ascii="Microsoft YaHei" w:eastAsia="Microsoft YaHei" w:hAnsi="Microsoft YaHei" w:cs="Microsoft YaHei"/>
          <w:color w:val="CD5095"/>
          <w:spacing w:val="5"/>
          <w:sz w:val="60"/>
          <w:szCs w:val="60"/>
        </w:rPr>
        <w:t xml:space="preserve"> </w:t>
      </w:r>
      <w:r>
        <w:rPr>
          <w:rFonts w:ascii="Microsoft YaHei" w:eastAsia="Microsoft YaHei" w:hAnsi="Microsoft YaHei" w:cs="Microsoft YaHei"/>
          <w:color w:val="CD5095"/>
          <w:spacing w:val="4"/>
          <w:sz w:val="60"/>
          <w:szCs w:val="60"/>
          <w14:textOutline w14:w="6350">
            <w14:solidFill>
              <w14:srgbClr w14:val="CD5095"/>
            </w14:solidFill>
            <w14:prstDash w14:val="solid"/>
            <w14:miter w14:lim="0"/>
          </w14:textOutline>
        </w:rPr>
        <w:t>技术风险评估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72" w:line="186" w:lineRule="auto"/>
        <w:ind w:left="902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CD5095"/>
          <w:spacing w:val="6"/>
          <w:sz w:val="40"/>
          <w:szCs w:val="40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技</w:t>
      </w:r>
      <w:r>
        <w:rPr>
          <w:rFonts w:ascii="Microsoft YaHei" w:eastAsia="Microsoft YaHei" w:hAnsi="Microsoft YaHei" w:cs="Microsoft YaHei"/>
          <w:color w:val="CD5095"/>
          <w:spacing w:val="3"/>
          <w:sz w:val="40"/>
          <w:szCs w:val="40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术成熟度</w:t>
      </w:r>
    </w:p>
    <w:p>
      <w:pPr>
        <w:spacing w:before="308" w:line="203" w:lineRule="auto"/>
        <w:ind w:left="901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"/>
          <w:sz w:val="30"/>
          <w:szCs w:val="30"/>
        </w:rPr>
        <w:t>评估现有通</w:t>
      </w:r>
      <w:r>
        <w:rPr>
          <w:rFonts w:ascii="Microsoft YaHei" w:eastAsia="Microsoft YaHei" w:hAnsi="Microsoft YaHei" w:cs="Microsoft YaHei"/>
          <w:sz w:val="30"/>
          <w:szCs w:val="30"/>
        </w:rPr>
        <w:t>信节电技术的成熟度和可靠性，以及在各种应用场景下</w:t>
      </w:r>
    </w:p>
    <w:p>
      <w:pPr>
        <w:spacing w:line="182" w:lineRule="auto"/>
        <w:ind w:left="913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2"/>
          <w:sz w:val="30"/>
          <w:szCs w:val="30"/>
        </w:rPr>
        <w:t>的适用性。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73" w:line="185" w:lineRule="auto"/>
        <w:ind w:left="902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CD5095"/>
          <w:spacing w:val="4"/>
          <w:sz w:val="40"/>
          <w:szCs w:val="40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技术更新速</w:t>
      </w:r>
      <w:r>
        <w:rPr>
          <w:rFonts w:ascii="Microsoft YaHei" w:eastAsia="Microsoft YaHei" w:hAnsi="Microsoft YaHei" w:cs="Microsoft YaHei"/>
          <w:color w:val="CD5095"/>
          <w:spacing w:val="3"/>
          <w:sz w:val="40"/>
          <w:szCs w:val="40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度</w:t>
      </w:r>
    </w:p>
    <w:p>
      <w:pPr>
        <w:spacing w:before="310" w:line="203" w:lineRule="auto"/>
        <w:ind w:left="898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"/>
          <w:sz w:val="30"/>
          <w:szCs w:val="30"/>
        </w:rPr>
        <w:t>分析通</w:t>
      </w:r>
      <w:r>
        <w:rPr>
          <w:rFonts w:ascii="Microsoft YaHei" w:eastAsia="Microsoft YaHei" w:hAnsi="Microsoft YaHei" w:cs="Microsoft YaHei"/>
          <w:sz w:val="30"/>
          <w:szCs w:val="30"/>
        </w:rPr>
        <w:t>信节电技术的更新换代速度，以及新技术的出现对现有技术</w:t>
      </w:r>
    </w:p>
    <w:p>
      <w:pPr>
        <w:spacing w:before="1" w:line="182" w:lineRule="auto"/>
        <w:ind w:left="913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4"/>
          <w:sz w:val="30"/>
          <w:szCs w:val="30"/>
        </w:rPr>
        <w:t>的影响。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72" w:line="184" w:lineRule="auto"/>
        <w:ind w:left="902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CD5095"/>
          <w:spacing w:val="6"/>
          <w:sz w:val="40"/>
          <w:szCs w:val="40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技</w:t>
      </w:r>
      <w:r>
        <w:rPr>
          <w:rFonts w:ascii="Microsoft YaHei" w:eastAsia="Microsoft YaHei" w:hAnsi="Microsoft YaHei" w:cs="Microsoft YaHei"/>
          <w:color w:val="CD5095"/>
          <w:spacing w:val="3"/>
          <w:sz w:val="40"/>
          <w:szCs w:val="40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术兼容性</w:t>
      </w:r>
    </w:p>
    <w:p>
      <w:pPr>
        <w:spacing w:before="314" w:line="201" w:lineRule="auto"/>
        <w:ind w:left="901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"/>
          <w:sz w:val="30"/>
          <w:szCs w:val="30"/>
        </w:rPr>
        <w:t>评估通信节</w:t>
      </w:r>
      <w:r>
        <w:rPr>
          <w:rFonts w:ascii="Microsoft YaHei" w:eastAsia="Microsoft YaHei" w:hAnsi="Microsoft YaHei" w:cs="Microsoft YaHei"/>
          <w:sz w:val="30"/>
          <w:szCs w:val="30"/>
        </w:rPr>
        <w:t>电技术与现有通信系统的兼容性，以及在整合过程中的技</w:t>
      </w:r>
    </w:p>
    <w:p>
      <w:pPr>
        <w:spacing w:before="1" w:line="183" w:lineRule="auto"/>
        <w:ind w:left="898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9"/>
          <w:sz w:val="30"/>
          <w:szCs w:val="30"/>
        </w:rPr>
        <w:t>术</w:t>
      </w:r>
      <w:r>
        <w:rPr>
          <w:rFonts w:ascii="Microsoft YaHei" w:eastAsia="Microsoft YaHei" w:hAnsi="Microsoft YaHei" w:cs="Microsoft YaHei"/>
          <w:spacing w:val="-7"/>
          <w:sz w:val="30"/>
          <w:szCs w:val="30"/>
        </w:rPr>
        <w:t>难度和成本。</w:t>
      </w:r>
    </w:p>
    <w:p>
      <w:pPr>
        <w:sectPr>
          <w:headerReference w:type="default" r:id="rId6"/>
          <w:pgSz w:w="19200" w:h="10800"/>
          <w:pgMar w:top="400" w:right="0" w:bottom="0" w:left="0" w:header="0" w:footer="0" w:gutter="0"/>
          <w:pgNumType w:start="23"/>
          <w:cols w:space="708"/>
        </w:sectPr>
      </w:pPr>
    </w:p>
    <w:p>
      <w:pPr>
        <w:spacing w:before="213" w:line="185" w:lineRule="auto"/>
        <w:ind w:left="1940"/>
        <w:rPr>
          <w:rFonts w:ascii="Microsoft YaHei" w:eastAsia="Microsoft YaHei" w:hAnsi="Microsoft YaHei" w:cs="Microsoft YaHei"/>
          <w:sz w:val="60"/>
          <w:szCs w:val="60"/>
        </w:rPr>
      </w:pPr>
      <w:r>
        <w:pict>
          <v:group id="_x0000_s1025" style="width:40.6pt;height:6.85pt;margin-top:26.08pt;margin-left:35.82pt;mso-position-horizontal-relative:page;mso-position-vertical-relative:page;position:absolute;z-index:251661312" coordorigin="0,0" coordsize="811,136" o:allowincell="f" filled="f" stroked="f">
            <v:shape id="_x0000_s1026" style="width:133;height:133;position:absolute" coordorigin="0,0" coordsize="133,133" path="m,66c,29,29,,66,l66,l66,l66,c102,,132,29,132,66l132,66c132,66,132,66,132,66l132,66l132,66l132,66c132,102,102,132,66,132l66,132c29,132,,102,,66l,66xe" filled="t" fillcolor="#cd5095" stroked="f"/>
            <v:shape id="_x0000_s1027" style="width:123;height:123;left:189;position:absolute;top:10" coordorigin="0,0" coordsize="123,123" path="m,61c,27,27,,61,l61,l61,l61,c95,,123,27,123,61l123,61c123,61,123,61,123,61l123,61l123,61l123,61c123,95,95,123,61,123l61,123l61,123l61,123c27,123,,95,,61l,61xe" filled="t" fillcolor="#cd5095" stroked="f">
              <v:fill opacity="52429f"/>
            </v:shape>
            <v:shape id="_x0000_s1028" style="width:118;height:118;left:368;position:absolute;top:13" coordorigin="0,0" coordsize="118,118" path="m,58c,26,26,,58,l58,l58,l58,c91,,117,26,117,58l117,58c117,58,117,58,117,58l117,58l117,58l117,58c117,91,91,117,58,117l58,117l58,117l58,117c26,117,,91,,58l,58xe" filled="t" fillcolor="#cd5095" stroked="f">
              <v:fill opacity="39322f"/>
            </v:shape>
            <v:shape id="_x0000_s1029" style="width:110;height:110;left:542;position:absolute;top:27" coordorigin="0,0" coordsize="110,110" path="m,54c,24,24,,54,l54,l54,l54,c84,,109,24,109,54l109,54c109,54,109,54,109,54l109,54l109,54l109,54c109,84,84,109,54,109l54,109l54,109l54,109c24,109,,84,,54l,54xe" filled="t" fillcolor="#cd5095" stroked="f">
              <v:fill opacity="26214f"/>
            </v:shape>
            <v:shape id="_x0000_s1030" style="width:103;height:103;left:708;position:absolute;top:20" coordorigin="0,0" coordsize="103,103" path="m,51c,23,23,,51,l51,l51,l51,c80,,103,23,103,51l103,51c103,51,103,51,103,51l103,51l103,51l103,51c103,80,80,103,51,103l51,103l51,103l51,103c23,103,,80,,51l,51xe" filled="t" fillcolor="#cd5095" stroked="f">
              <v:fill opacity="13107f"/>
            </v:shape>
          </v:group>
        </w:pict>
      </w:r>
      <w:r>
        <w:pict>
          <v:group id="_x0000_s1031" style="width:40.6pt;height:6.85pt;margin-top:35.35pt;margin-left:35.82pt;mso-position-horizontal-relative:page;mso-position-vertical-relative:page;position:absolute;z-index:251663360" coordorigin="0,0" coordsize="811,136" o:allowincell="f" filled="f" stroked="f">
            <v:shape id="_x0000_s1032" style="width:133;height:133;position:absolute" coordorigin="0,0" coordsize="133,133" path="m,66c,29,29,,66,l66,l66,l66,c102,,132,29,132,66l132,66c132,66,132,66,132,66l132,66l132,66l132,66c132,102,102,132,66,132l66,132c29,132,,102,,66l,66xe" filled="t" fillcolor="#cd5095" stroked="f"/>
            <v:shape id="_x0000_s1033" style="width:123;height:123;left:189;position:absolute;top:10" coordorigin="0,0" coordsize="123,123" path="m,61c,27,27,,61,l61,l61,l61,c95,,123,27,123,61l123,61c123,61,123,61,123,61l123,61l123,61l123,61c123,95,95,123,61,123l61,123l61,123l61,123c27,123,,95,,61l,61xe" filled="t" fillcolor="#cd5095" stroked="f">
              <v:fill opacity="52429f"/>
            </v:shape>
            <v:shape id="_x0000_s1034" style="width:118;height:118;left:368;position:absolute;top:13" coordorigin="0,0" coordsize="118,118" path="m,58c,26,26,,58,l58,l58,l58,c91,,117,26,117,58l117,58c117,58,117,58,117,58l117,58l117,58l117,58c117,91,91,117,58,117l58,117c26,117,,91,,58l,58xe" filled="t" fillcolor="#cd5095" stroked="f">
              <v:fill opacity="39322f"/>
            </v:shape>
            <v:shape id="_x0000_s1035" style="width:110;height:110;left:542;position:absolute;top:27" coordorigin="0,0" coordsize="110,110" path="m,54c,24,24,,54,l54,l54,l54,c84,,109,24,109,54l109,54c109,54,109,54,109,54l109,54l109,54l109,54c109,84,84,109,54,109l54,109l54,109l54,109c24,109,,84,,54l,54xe" filled="t" fillcolor="#cd5095" stroked="f">
              <v:fill opacity="26214f"/>
            </v:shape>
            <v:shape id="_x0000_s1036" style="width:103;height:103;left:708;position:absolute;top:20" coordorigin="0,0" coordsize="103,103" path="m,51c,23,23,,51,l51,l51,l51,c80,,103,23,103,51l103,51c103,51,103,51,103,51l103,51l103,51l103,51c103,80,80,103,51,103l51,103l51,103l51,103c23,103,,80,,51l,51xe" filled="t" fillcolor="#cd5095" stroked="f">
              <v:fill opacity="13107f"/>
            </v:shape>
          </v:group>
        </w:pict>
      </w:r>
      <w:r>
        <w:pict>
          <v:group id="_x0000_s1037" style="width:40.6pt;height:6.85pt;margin-top:44.62pt;margin-left:35.82pt;mso-position-horizontal-relative:page;mso-position-vertical-relative:page;position:absolute;z-index:251662336" coordorigin="0,0" coordsize="811,136" o:allowincell="f" filled="f" stroked="f">
            <v:shape id="_x0000_s1038" style="width:133;height:133;position:absolute" coordorigin="0,0" coordsize="133,133" path="m,66c,29,29,,66,l66,l66,l66,c102,,132,29,132,66l132,66c132,66,132,66,132,66l132,66l132,66l132,66c132,102,102,132,66,132l66,132c29,132,,102,,66l,66xe" filled="t" fillcolor="#cd5095" stroked="f"/>
            <v:shape id="_x0000_s1039" style="width:123;height:123;left:189;position:absolute;top:10" coordorigin="0,0" coordsize="123,123" path="m,61c,27,27,,61,l61,l61,l61,c95,,123,27,123,61l123,61c123,61,123,61,123,61l123,61l123,61l123,61c123,95,95,123,61,123l61,123l61,123l61,123c27,123,,95,,61l,61xe" filled="t" fillcolor="#cd5095" stroked="f">
              <v:fill opacity="52429f"/>
            </v:shape>
            <v:shape id="_x0000_s1040" style="width:118;height:118;left:368;position:absolute;top:13" coordorigin="0,0" coordsize="118,118" path="m,58c,26,26,,58,l58,l58,l58,c91,,117,26,117,58l117,58c117,58,117,58,117,58l117,58l117,58l117,58c117,91,91,117,58,117l58,117c26,117,,91,,58l,58xe" filled="t" fillcolor="#cd5095" stroked="f">
              <v:fill opacity="39322f"/>
            </v:shape>
            <v:shape id="_x0000_s1041" style="width:110;height:110;left:542;position:absolute;top:27" coordorigin="0,0" coordsize="110,110" path="m,54c,24,24,,54,l54,l54,l54,c84,,109,24,109,54l109,54c109,54,109,54,109,54l109,54l109,54l109,54c109,84,84,109,54,109l54,109l54,109l54,109c24,109,,84,,54l,54xe" filled="t" fillcolor="#cd5095" stroked="f">
              <v:fill opacity="26214f"/>
            </v:shape>
            <v:shape id="_x0000_s1042" style="width:103;height:103;left:708;position:absolute;top:20" coordorigin="0,0" coordsize="103,103" path="m,51c,23,23,,51,l51,l51,l51,c80,,103,23,103,51l103,51c103,51,103,51,103,51l103,51l103,51l103,51c103,80,80,103,51,103l51,103l51,103l51,103c23,103,,80,,51l,51xe" filled="t" fillcolor="#cd5095" stroked="f">
              <v:fill opacity="13107f"/>
            </v:shape>
          </v:group>
        </w:pict>
      </w:r>
      <w:r>
        <w:pict>
          <v:group id="_x0000_s1043" style="width:40.6pt;height:6.85pt;margin-top:53.9pt;margin-left:35.82pt;mso-position-horizontal-relative:page;mso-position-vertical-relative:page;position:absolute;z-index:251660288" coordorigin="0,0" coordsize="811,136" o:allowincell="f" filled="f" stroked="f">
            <v:shape id="_x0000_s1044" style="width:133;height:133;position:absolute" coordorigin="0,0" coordsize="133,133" path="m,66c,29,29,,66,l66,l66,l66,c102,,132,29,132,66l132,66c132,66,132,66,132,66l132,66l132,66l132,66c132,102,102,132,66,132l66,132c29,132,,102,,66l,66xe" filled="t" fillcolor="#cd5095" stroked="f"/>
            <v:shape id="_x0000_s1045" style="width:123;height:123;left:189;position:absolute;top:10" coordorigin="0,0" coordsize="123,123" path="m,61c,27,27,,61,l61,l61,l61,c95,,123,27,123,61l123,61c123,61,123,61,123,61l123,61l123,61l123,61c123,95,95,123,61,123l61,123l61,123l61,123c27,123,,95,,61l,61xe" filled="t" fillcolor="#cd5095" stroked="f">
              <v:fill opacity="52429f"/>
            </v:shape>
            <v:shape id="_x0000_s1046" style="width:118;height:118;left:368;position:absolute;top:13" coordorigin="0,0" coordsize="118,118" path="m,58c,26,26,,58,l58,l58,l58,c91,,117,26,117,58l117,58c117,58,117,58,117,58l117,58l117,58l117,58c117,91,91,117,58,117l58,117c26,117,,91,,58l,58xe" filled="t" fillcolor="#cd5095" stroked="f">
              <v:fill opacity="39322f"/>
            </v:shape>
            <v:shape id="_x0000_s1047" style="width:110;height:110;left:542;position:absolute;top:27" coordorigin="0,0" coordsize="110,110" path="m,54c,24,24,,54,l54,l54,l54,c84,,109,24,109,54l109,54c109,54,109,54,109,54l109,54l109,54l109,54c109,84,84,109,54,109l54,109l54,109l54,109c24,109,,84,,54l,54xe" filled="t" fillcolor="#cd5095" stroked="f">
              <v:fill opacity="26214f"/>
            </v:shape>
            <v:shape id="_x0000_s1048" style="width:103;height:103;left:708;position:absolute;top:20" coordorigin="0,0" coordsize="103,103" path="m,51c,23,23,,51,l51,l51,l51,c80,,103,23,103,51l103,51c103,51,103,51,103,51l103,51l103,51l103,51c103,80,80,103,51,103l51,103l51,103l51,103c23,103,,80,,51l,51xe" filled="t" fillcolor="#cd5095" stroked="f">
              <v:fill opacity="13107f"/>
            </v:shape>
          </v:group>
        </w:pict>
      </w:r>
      <w:r>
        <w:pict>
          <v:shape id="_x0000_s1049" style="width:13.15pt;height:13.15pt;margin-top:134.04pt;margin-left:71.26pt;mso-position-horizontal-relative:page;mso-position-vertical-relative:page;position:absolute;z-index:251665408" coordorigin="0,0" coordsize="262,262" o:allowincell="f" path="m,131c,58,58,,131,l131,l131,l131,c203,,262,58,262,131l262,131c262,131,262,131,262,131l262,131l262,131l262,131c262,203,203,262,131,262l131,262l131,262l131,262c58,262,,203,,131l,131xe" filled="t" fillcolor="#cd5095" stroked="f"/>
        </w:pict>
      </w:r>
      <w:r>
        <w:pict>
          <v:group id="_x0000_s1050" style="width:415pt;height:380.55pt;margin-top:114.04pt;margin-left:479.18pt;mso-position-horizontal-relative:page;mso-position-vertical-relative:page;position:absolute;z-index:251659264" coordorigin="0,0" coordsize="8300,7610" o:allowincell="f" filled="f" stroked="f">
            <v:shape id="_x0000_s1051" style="width:6837;height:7610;left:1462;position:absolute" coordorigin="0,0" coordsize="6837,7610" path="m2508,3805l3436,1950l5909,1950l6837,3805l5909,5660l3436,5660l2508,3805xem,l2508,l5017,3805l2508,7610l,7610l,xe" filled="t" fillcolor="#a62f71" stroked="f"/>
            <v:shape id="_x0000_s1052" style="width:6690;height:7610;position:absolute" coordorigin="0,0" coordsize="6690,7610" path="m,1914l1462,l2925,1914l1462,3828l,1914xem,5695l1462,3781l2925,5695l1462,7610l,5695xem3860,3805l5275,1950l6690,3805l5275,5660l3860,3805xe" filled="t" fillcolor="#cd5095" stroked="f"/>
            <v:shape id="_x0000_s1053" style="width:4807;height:4751;left:940;position:absolute;top:1327" coordorigin="0,0" coordsize="4807,4751" path="m70,271l522,l974,271l974,361l70,361l70,271xm70,813l974,813l974,904l70,904l70,813xm160,723l884,723l884,813l160,813l160,723xm160,361l341,361l341,723l160,723l160,361xm432,361l612,361l612,723l432,723l432,361xm703,361l884,361l884,723l703,723l703,361xem940,4646l1045,4646l1045,4698l1045,4698c1045,4727,1021,4750,992,4750l992,4750l992,4750l52,4750l52,4750c23,4750,,4727,,4698l,4698l,4698l,4646l104,4646l104,4019l104,4019c104,3961,151,3914,209,3914l209,3914l836,3914l836,3914c893,3914,940,3961,940,4019l940,4019l940,4019l940,4646xm209,4019l209,4489l836,4489l836,4019l209,4019xm418,4594l418,4646l627,4646l627,4594l418,4594xem4241,2094l4241,2005l4335,2005l4335,2761l4807,2761l4618,2950l3957,2950l3863,2761l4241,2761l4241,2666l3863,2666l3863,2654l3863,2654c4039,2512,4171,2321,4238,2102l4238,2102l4241,2094xm4806,2666l4335,2666l4335,2649l4335,2649c4395,2561,4430,2453,4430,2336l4430,2336c4430,2219,4395,2110,4334,2020l4334,2020l4335,2022l4335,2013l4335,2013c4600,2122,4787,2370,4806,2664l4806,2664l4806,2666xe" filled="t" fillcolor="white" stroked="f"/>
          </v:group>
        </w:pict>
      </w:r>
      <w:r>
        <w:pict>
          <v:shape id="_x0000_s1054" style="width:13.15pt;height:13.15pt;margin-top:255.58pt;margin-left:71.26pt;mso-position-horizontal-relative:page;mso-position-vertical-relative:page;position:absolute;z-index:251666432" coordorigin="0,0" coordsize="262,262" o:allowincell="f" path="m,131c,58,58,,131,l131,l131,l131,c203,,262,58,262,131l262,131c262,131,262,131,262,131l262,131l262,131l262,131c262,203,203,262,131,262l131,262l131,262l131,262c58,262,,203,,131l,131xe" filled="t" fillcolor="#cd5095" stroked="f"/>
        </w:pict>
      </w:r>
      <w:r>
        <w:pict>
          <v:shape id="_x0000_s1055" style="width:13.15pt;height:13.15pt;margin-top:378.6pt;margin-left:71.26pt;mso-position-horizontal-relative:page;mso-position-vertical-relative:page;position:absolute;z-index:251664384" coordorigin="0,0" coordsize="262,262" o:allowincell="f" path="m,131c,58,58,,131,l131,l131,l131,c203,,262,58,262,131l262,131c262,131,262,131,262,131l262,131l262,131l262,131c262,203,203,262,131,262l131,262l131,262l131,262c58,262,,203,,131l,131xe" filled="t" fillcolor="#cd5095" stroked="f"/>
        </w:pict>
      </w:r>
      <w:bookmarkStart w:id="23" w:name="_bookmark24"/>
      <w:bookmarkEnd w:id="23"/>
      <w:r>
        <w:rPr>
          <w:rFonts w:ascii="Microsoft YaHei" w:eastAsia="Microsoft YaHei" w:hAnsi="Microsoft YaHei" w:cs="Microsoft YaHei"/>
          <w:color w:val="CD5095"/>
          <w:spacing w:val="-4"/>
          <w:sz w:val="60"/>
          <w:szCs w:val="60"/>
          <w14:textOutline w14:w="6350">
            <w14:solidFill>
              <w14:srgbClr w14:val="CD5095"/>
            </w14:solidFill>
            <w14:prstDash w14:val="solid"/>
            <w14:miter w14:lim="0"/>
          </w14:textOutline>
        </w:rPr>
        <w:t>市</w:t>
      </w:r>
      <w:r>
        <w:rPr>
          <w:rFonts w:ascii="Microsoft YaHei" w:eastAsia="Microsoft YaHei" w:hAnsi="Microsoft YaHei" w:cs="Microsoft YaHei"/>
          <w:color w:val="CD5095"/>
          <w:spacing w:val="-3"/>
          <w:sz w:val="60"/>
          <w:szCs w:val="60"/>
          <w14:textOutline w14:w="6350">
            <w14:solidFill>
              <w14:srgbClr w14:val="CD5095"/>
            </w14:solidFill>
            <w14:prstDash w14:val="solid"/>
            <w14:miter w14:lim="0"/>
          </w14:textOutline>
        </w:rPr>
        <w:t>场风险评估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54" w:line="183" w:lineRule="auto"/>
        <w:ind w:left="18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color w:val="CD5095"/>
          <w:spacing w:val="-4"/>
          <w:sz w:val="36"/>
          <w:szCs w:val="36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市</w:t>
      </w:r>
      <w:r>
        <w:rPr>
          <w:rFonts w:ascii="Microsoft YaHei" w:eastAsia="Microsoft YaHei" w:hAnsi="Microsoft YaHei" w:cs="Microsoft YaHei"/>
          <w:color w:val="CD5095"/>
          <w:spacing w:val="-2"/>
          <w:sz w:val="36"/>
          <w:szCs w:val="36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场需求</w:t>
      </w:r>
    </w:p>
    <w:p>
      <w:pPr>
        <w:spacing w:before="288" w:line="202" w:lineRule="auto"/>
        <w:ind w:left="1869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"/>
          <w:sz w:val="30"/>
          <w:szCs w:val="30"/>
        </w:rPr>
        <w:t>分析通</w:t>
      </w:r>
      <w:r>
        <w:rPr>
          <w:rFonts w:ascii="Microsoft YaHei" w:eastAsia="Microsoft YaHei" w:hAnsi="Microsoft YaHei" w:cs="Microsoft YaHei"/>
          <w:sz w:val="30"/>
          <w:szCs w:val="30"/>
        </w:rPr>
        <w:t>信节电市场的需求状况，包括潜在需求和实际</w:t>
      </w:r>
    </w:p>
    <w:p>
      <w:pPr>
        <w:spacing w:line="183" w:lineRule="auto"/>
        <w:ind w:left="1873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8"/>
          <w:sz w:val="30"/>
          <w:szCs w:val="30"/>
        </w:rPr>
        <w:t>需</w:t>
      </w:r>
      <w:r>
        <w:rPr>
          <w:rFonts w:ascii="Microsoft YaHei" w:eastAsia="Microsoft YaHei" w:hAnsi="Microsoft YaHei" w:cs="Microsoft YaHei"/>
          <w:spacing w:val="-7"/>
          <w:sz w:val="30"/>
          <w:szCs w:val="30"/>
        </w:rPr>
        <w:t>求</w:t>
      </w:r>
      <w:r>
        <w:rPr>
          <w:rFonts w:ascii="Microsoft YaHei" w:eastAsia="Microsoft YaHei" w:hAnsi="Microsoft YaHei" w:cs="Microsoft YaHei"/>
          <w:spacing w:val="-4"/>
          <w:sz w:val="30"/>
          <w:szCs w:val="30"/>
        </w:rPr>
        <w:t>，以及需求的增长趋势。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155" w:line="184" w:lineRule="auto"/>
        <w:ind w:left="18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color w:val="CD5095"/>
          <w:spacing w:val="-4"/>
          <w:sz w:val="36"/>
          <w:szCs w:val="36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市</w:t>
      </w:r>
      <w:r>
        <w:rPr>
          <w:rFonts w:ascii="Microsoft YaHei" w:eastAsia="Microsoft YaHei" w:hAnsi="Microsoft YaHei" w:cs="Microsoft YaHei"/>
          <w:color w:val="CD5095"/>
          <w:spacing w:val="-2"/>
          <w:sz w:val="36"/>
          <w:szCs w:val="36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场竞争</w:t>
      </w:r>
    </w:p>
    <w:p>
      <w:pPr>
        <w:spacing w:before="287" w:line="201" w:lineRule="auto"/>
        <w:ind w:left="1872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4"/>
          <w:sz w:val="30"/>
          <w:szCs w:val="30"/>
        </w:rPr>
        <w:t>评估通信节电市</w:t>
      </w:r>
      <w:r>
        <w:rPr>
          <w:rFonts w:ascii="Microsoft YaHei" w:eastAsia="Microsoft YaHei" w:hAnsi="Microsoft YaHei" w:cs="Microsoft YaHei"/>
          <w:spacing w:val="-2"/>
          <w:sz w:val="30"/>
          <w:szCs w:val="30"/>
        </w:rPr>
        <w:t>场的竞争状况，包括竞争对手的实力、</w:t>
      </w:r>
    </w:p>
    <w:p>
      <w:pPr>
        <w:spacing w:before="2" w:line="183" w:lineRule="auto"/>
        <w:ind w:left="1876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6"/>
          <w:sz w:val="30"/>
          <w:szCs w:val="30"/>
        </w:rPr>
        <w:t>市场份额和竞争优势。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spacing w:before="155" w:line="183" w:lineRule="auto"/>
        <w:ind w:left="18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color w:val="CD5095"/>
          <w:spacing w:val="-4"/>
          <w:sz w:val="36"/>
          <w:szCs w:val="36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市</w:t>
      </w:r>
      <w:r>
        <w:rPr>
          <w:rFonts w:ascii="Microsoft YaHei" w:eastAsia="Microsoft YaHei" w:hAnsi="Microsoft YaHei" w:cs="Microsoft YaHei"/>
          <w:color w:val="CD5095"/>
          <w:spacing w:val="-2"/>
          <w:sz w:val="36"/>
          <w:szCs w:val="36"/>
          <w14:textOutline w14:w="3175">
            <w14:solidFill>
              <w14:srgbClr w14:val="CD5095"/>
            </w14:solidFill>
            <w14:prstDash w14:val="solid"/>
            <w14:miter w14:lim="0"/>
          </w14:textOutline>
        </w:rPr>
        <w:t>场规模</w:t>
      </w:r>
    </w:p>
    <w:p>
      <w:pPr>
        <w:spacing w:before="287" w:line="203" w:lineRule="auto"/>
        <w:ind w:left="1869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"/>
          <w:sz w:val="30"/>
          <w:szCs w:val="30"/>
        </w:rPr>
        <w:t>分析通</w:t>
      </w:r>
      <w:r>
        <w:rPr>
          <w:rFonts w:ascii="Microsoft YaHei" w:eastAsia="Microsoft YaHei" w:hAnsi="Microsoft YaHei" w:cs="Microsoft YaHei"/>
          <w:sz w:val="30"/>
          <w:szCs w:val="30"/>
        </w:rPr>
        <w:t>信节电市场的规模和容量，以及市场的发展空</w:t>
      </w:r>
    </w:p>
    <w:p>
      <w:pPr>
        <w:spacing w:before="1" w:line="182" w:lineRule="auto"/>
        <w:ind w:left="1886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4"/>
          <w:sz w:val="30"/>
          <w:szCs w:val="30"/>
        </w:rPr>
        <w:t>间</w:t>
      </w:r>
      <w:r>
        <w:rPr>
          <w:rFonts w:ascii="Microsoft YaHei" w:eastAsia="Microsoft YaHei" w:hAnsi="Microsoft YaHei" w:cs="Microsoft YaHei"/>
          <w:spacing w:val="-12"/>
          <w:sz w:val="30"/>
          <w:szCs w:val="30"/>
        </w:rPr>
        <w:t>和潜力。</w:t>
      </w:r>
    </w:p>
    <w:p>
      <w:pPr>
        <w:sectPr>
          <w:headerReference w:type="default" r:id="rId7"/>
          <w:pgSz w:w="19200" w:h="10800"/>
          <w:pgMar w:top="400" w:right="0" w:bottom="0" w:left="0" w:header="0" w:footer="0" w:gutter="0"/>
          <w:pgNumType w:start="24"/>
          <w:cols w:space="708"/>
        </w:sectPr>
      </w:pPr>
    </w:p>
    <w:p>
      <w:pPr>
        <w:spacing w:before="119" w:line="207" w:lineRule="auto"/>
        <w:ind w:left="716"/>
        <w:rPr>
          <w:rFonts w:ascii="Microsoft YaHei" w:eastAsia="Microsoft YaHei" w:hAnsi="Microsoft YaHei" w:cs="Microsoft YaHei"/>
          <w:sz w:val="60"/>
          <w:szCs w:val="60"/>
        </w:rPr>
      </w:pPr>
      <w:r>
        <w:pict>
          <v:rect id="_x0000_s1056" style="width:63.45pt;height:9.7pt;margin-top:497.55pt;margin-left:35.82pt;mso-position-horizontal-relative:page;mso-position-vertical-relative:page;position:absolute;z-index:251667456" o:allowincell="f" filled="t" fillcolor="#ef62b0" stroked="f"/>
        </w:pict>
      </w:r>
      <w:r>
        <w:pict>
          <v:rect id="_x0000_s1057" style="width:865.55pt;height:1.15pt;margin-top:502.84pt;margin-left:95.22pt;mso-position-horizontal-relative:page;mso-position-vertical-relative:page;position:absolute;z-index:251668480" o:allowincell="f" filled="t" fillcolor="#ef62b0" stroked="f"/>
        </w:pict>
      </w:r>
      <w:r>
        <w:rPr>
          <w:rFonts w:ascii="Microsoft YaHei" w:eastAsia="Microsoft YaHei" w:hAnsi="Microsoft YaHei" w:cs="Microsoft YaHei"/>
          <w:color w:val="CD5095"/>
          <w:position w:val="-8"/>
          <w:sz w:val="60"/>
          <w:szCs w:val="60"/>
        </w:rPr>
        <w:drawing>
          <wp:inline distT="0" distB="0" distL="0" distR="0">
            <wp:extent cx="515575" cy="43982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575" cy="43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CD5095"/>
          <w:spacing w:val="8"/>
          <w:sz w:val="60"/>
          <w:szCs w:val="60"/>
        </w:rPr>
        <w:t xml:space="preserve"> </w:t>
      </w:r>
      <w:r>
        <w:rPr>
          <w:rFonts w:ascii="Microsoft YaHei" w:eastAsia="Microsoft YaHei" w:hAnsi="Microsoft YaHei" w:cs="Microsoft YaHei"/>
          <w:color w:val="CD5095"/>
          <w:spacing w:val="4"/>
          <w:sz w:val="60"/>
          <w:szCs w:val="60"/>
        </w:rPr>
        <w:t xml:space="preserve"> </w:t>
      </w:r>
      <w:r>
        <w:rPr>
          <w:rFonts w:ascii="Microsoft YaHei" w:eastAsia="Microsoft YaHei" w:hAnsi="Microsoft YaHei" w:cs="Microsoft YaHei"/>
          <w:color w:val="CD5095"/>
          <w:spacing w:val="4"/>
          <w:sz w:val="60"/>
          <w:szCs w:val="60"/>
          <w14:textOutline w14:w="6350">
            <w14:solidFill>
              <w14:srgbClr w14:val="CD5095"/>
            </w14:solidFill>
            <w14:prstDash w14:val="solid"/>
            <w14:miter w14:lim="0"/>
          </w14:textOutline>
        </w:rPr>
        <w:t>政策风险评估</w:t>
      </w:r>
    </w:p>
    <w:p/>
    <w:p/>
    <w:p/>
    <w:p/>
    <w:p/>
    <w:p>
      <w:pPr>
        <w:spacing w:line="54" w:lineRule="exact"/>
      </w:pPr>
    </w:p>
    <w:p>
      <w:pPr>
        <w:sectPr>
          <w:headerReference w:type="default" r:id="rId8"/>
          <w:pgSz w:w="19200" w:h="10800"/>
          <w:pgMar w:top="400" w:right="0" w:bottom="0" w:left="0" w:header="0" w:footer="0" w:gutter="0"/>
          <w:pgNumType w:start="25"/>
          <w:cols w:num="1" w:space="708" w:equalWidth="0">
            <w:col w:w="19200" w:space="0"/>
          </w:cols>
        </w:sectPr>
      </w:pPr>
    </w:p>
    <w:p>
      <w:pPr>
        <w:spacing w:before="110" w:line="174" w:lineRule="auto"/>
        <w:ind w:left="5341"/>
        <w:rPr>
          <w:rFonts w:ascii="Microsoft YaHei" w:eastAsia="Microsoft YaHei" w:hAnsi="Microsoft YaHei" w:cs="Microsoft YaHei"/>
          <w:sz w:val="69"/>
          <w:szCs w:val="69"/>
        </w:rPr>
      </w:pPr>
      <w:r>
        <w:pict>
          <v:group id="_x0000_s1058" style="width:844.8pt;height:327.35pt;margin-top:-24.53pt;margin-left:57.61pt;position:absolute;z-index:-251646976" coordorigin="0,0" coordsize="16895,6547" filled="f" stroked="f">
            <v:shape id="_x0000_s1059" style="width:5982;height:5982;position:absolute;top:565" coordorigin="0,0" coordsize="5982,5982" path="m,2990c,1339,1339,,2990,l2990,l2990,l2990,c4642,,5981,1339,5981,2990l5981,2990c5981,2990,5981,2990,5981,2990l5981,2990l5981,2990l5981,2990c5981,4642,4642,5981,2990,5981l2990,5981l2990,5981l2990,5981c1339,5981,,4642,,2990l,2990xe" filled="t" fillcolor="#b7468f" stroked="f"/>
            <v:shape id="_x0000_s1060" style="width:1785;height:1785;left:3666;position:absolute" coordorigin="0,0" coordsize="1785,1785" path="m,892c,399,399,,892,l892,l892,l892,c1385,,1784,399,1784,892l1784,892c1784,892,1784,892,1784,892l1784,892l1784,892l1784,892c1784,1385,1385,1785,892,1785l892,1785l892,1785l892,1785c399,1785,,1385,,892l,892xe" filled="t" fillcolor="#fff5f6" stroked="f">
              <v:fill opacity="52429f"/>
            </v:shape>
            <v:shape id="_x0000_s1061" style="width:5982;height:5982;left:10914;position:absolute;top:565" coordorigin="0,0" coordsize="5982,5982" path="m,2990c,1339,1339,,2990,l2990,l2990,l2990,c4642,,5981,1339,5981,2990l5981,2990c5981,2990,5981,2990,5981,2990l5981,2990l5981,2990l5981,2990c5981,4642,4642,5981,2990,5981l2990,5981l2990,5981l2990,5981c1339,5981,,4642,,2990l,2990xe" filled="t" fillcolor="#b7468f" stroked="f"/>
            <v:shape id="_x0000_s1062" style="width:5982;height:5982;left:5457;position:absolute;top:565" coordorigin="0,0" coordsize="5982,5982" path="m,2990c,1339,1339,,2990,l2990,l2990,l2990,c4642,,5981,1339,5981,2990l5981,2990c5981,2990,5981,2990,5981,2990l5981,2990l5981,2990l5981,2990c5981,4642,4642,5981,2990,5981l2990,5981l2990,5981l2990,5981c1339,5981,,4642,,2990l,2990xe" filled="t" fillcolor="#fce0ef" stroked="f"/>
            <v:shape id="_x0000_s1063" style="width:1575;height:1575;left:3771;position:absolute;top:105" coordorigin="0,0" coordsize="1575,1575" path="m,787c,352,352,,787,l787,l787,l787,c1222,,1574,352,1574,787l1574,787c1574,787,1574,787,1574,787l1574,787l1574,787l1574,787c1574,1222,1222,1575,787,1575l787,1575l787,1575l787,1575c352,1575,,1222,,787l,787xe" filled="t" fillcolor="#ef62b0" stroked="f"/>
            <v:shape id="_x0000_s1064" style="width:1785;height:1785;left:9558;position:absolute" coordorigin="0,0" coordsize="1785,1785" path="m,892c,399,399,,892,l892,l892,l892,c1385,,1785,399,1785,892l1785,892c1785,892,1785,892,1785,892l1785,892l1785,892l1785,892c1785,1385,1385,1785,892,1785l892,1785l892,1785l892,1785c399,1785,,1385,,892l,892xe" filled="t" fillcolor="#fff5f6" stroked="f">
              <v:fill opacity="52429f"/>
            </v:shape>
            <v:shape id="_x0000_s1065" style="width:1575;height:1575;left:9663;position:absolute;top:105" coordorigin="0,0" coordsize="1575,1575" path="m,787c,352,352,,787,l787,l787,l787,c1222,,1575,352,1575,787l1575,787c1575,787,1575,787,1575,787l1575,787l1575,787l1575,787c1575,1222,1222,1575,787,1575l787,1575l787,1575l787,1575c352,1575,,1222,,787l,787xe" filled="t" fillcolor="#ef62b0" stroked="f"/>
            <v:shape id="_x0000_s1066" style="width:1785;height:1785;left:14970;position:absolute" coordorigin="0,0" coordsize="1785,1785" path="m,892c,399,399,,892,l892,l892,l892,c1385,,1785,399,1785,892l1785,892c1785,892,1785,892,1785,892l1785,892l1784,892l1784,892c1784,1385,1385,1785,892,1785l892,1785l892,1785l892,1785c399,1785,,1385,,892l,892xe" filled="t" fillcolor="#fff5f6" stroked="f">
              <v:fill opacity="52429f"/>
            </v:shape>
            <v:shape id="_x0000_s1067" style="width:1575;height:1575;left:15075;position:absolute;top:105" coordorigin="0,0" coordsize="1575,1575" path="m,787c,352,352,,787,l787,l787,l787,c1222,,1575,352,1575,787l1575,787c1575,787,1575,787,1575,787l1575,787l1574,787l1574,787c1574,1222,1222,1575,787,1575l787,1575l787,1575l787,1575c352,1575,,1222,,787l,787xe" filled="t" fillcolor="#ef62b0" stroked="f"/>
          </v:group>
        </w:pict>
      </w:r>
      <w:r>
        <w:rPr>
          <w:rFonts w:ascii="Microsoft YaHei" w:eastAsia="Microsoft YaHei" w:hAnsi="Microsoft YaHei" w:cs="Microsoft YaHei"/>
          <w:color w:val="FCE0EF"/>
          <w:spacing w:val="7"/>
          <w:sz w:val="69"/>
          <w:szCs w:val="69"/>
          <w14:textOutline w14:w="9525">
            <w14:solidFill>
              <w14:srgbClr w14:val="FCE0EF"/>
            </w14:solidFill>
            <w14:prstDash w14:val="solid"/>
            <w14:miter w14:lim="0"/>
          </w14:textOutline>
        </w:rPr>
        <w:t>01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197" w:line="185" w:lineRule="auto"/>
        <w:ind w:left="2043"/>
        <w:rPr>
          <w:rFonts w:ascii="Microsoft YaHei" w:eastAsia="Microsoft YaHei" w:hAnsi="Microsoft YaHei" w:cs="Microsoft YaHei"/>
          <w:sz w:val="46"/>
          <w:szCs w:val="46"/>
        </w:rPr>
      </w:pPr>
      <w:r>
        <w:rPr>
          <w:rFonts w:ascii="Microsoft YaHei" w:eastAsia="Microsoft YaHei" w:hAnsi="Microsoft YaHei" w:cs="Microsoft YaHei"/>
          <w:color w:val="FFFFFF"/>
          <w:spacing w:val="5"/>
          <w:sz w:val="46"/>
          <w:szCs w:val="46"/>
          <w14:textOutline w14:w="6350">
            <w14:solidFill>
              <w14:srgbClr w14:val="FFFFFF"/>
            </w14:solidFill>
            <w14:prstDash w14:val="solid"/>
            <w14:miter w14:lim="0"/>
          </w14:textOutline>
        </w:rPr>
        <w:t>政</w:t>
      </w:r>
      <w:r>
        <w:rPr>
          <w:rFonts w:ascii="Microsoft YaHei" w:eastAsia="Microsoft YaHei" w:hAnsi="Microsoft YaHei" w:cs="Microsoft YaHei"/>
          <w:color w:val="FFFFFF"/>
          <w:spacing w:val="3"/>
          <w:sz w:val="46"/>
          <w:szCs w:val="46"/>
          <w14:textOutline w14:w="6350">
            <w14:solidFill>
              <w14:srgbClr w14:val="FFFFFF"/>
            </w14:solidFill>
            <w14:prstDash w14:val="solid"/>
            <w14:miter w14:lim="0"/>
          </w14:textOutline>
        </w:rPr>
        <w:t>策支持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29" w:line="235" w:lineRule="auto"/>
        <w:ind w:left="2043" w:right="1272" w:hanging="1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30"/>
          <w:szCs w:val="30"/>
        </w:rPr>
        <w:t>评估政府对</w:t>
      </w:r>
      <w:r>
        <w:rPr>
          <w:rFonts w:ascii="Microsoft YaHei" w:eastAsia="Microsoft YaHei" w:hAnsi="Microsoft YaHei" w:cs="Microsoft YaHei"/>
          <w:color w:val="FFFFFF"/>
          <w:sz w:val="30"/>
          <w:szCs w:val="30"/>
        </w:rPr>
        <w:t>通信节电技术的政策</w:t>
      </w:r>
      <w:r>
        <w:rPr>
          <w:rFonts w:ascii="Microsoft YaHei" w:eastAsia="Microsoft YaHei" w:hAnsi="Microsoft YaHei" w:cs="Microsoft YaHei"/>
          <w:color w:val="FFFFFF"/>
          <w:sz w:val="30"/>
          <w:szCs w:val="3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"/>
          <w:sz w:val="30"/>
          <w:szCs w:val="30"/>
        </w:rPr>
        <w:t>支持力度，包括</w:t>
      </w:r>
      <w:r>
        <w:rPr>
          <w:rFonts w:ascii="Microsoft YaHei" w:eastAsia="Microsoft YaHei" w:hAnsi="Microsoft YaHei" w:cs="Microsoft YaHei"/>
          <w:color w:val="FFFFFF"/>
          <w:sz w:val="30"/>
          <w:szCs w:val="30"/>
        </w:rPr>
        <w:t>财政补贴、税收</w:t>
      </w:r>
    </w:p>
    <w:p>
      <w:pPr>
        <w:spacing w:line="295" w:lineRule="exact"/>
        <w:ind w:left="2042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FFFFFF"/>
          <w:spacing w:val="-12"/>
          <w:position w:val="-2"/>
          <w:sz w:val="30"/>
          <w:szCs w:val="30"/>
        </w:rPr>
        <w:t>优</w:t>
      </w:r>
      <w:r>
        <w:rPr>
          <w:rFonts w:ascii="Microsoft YaHei" w:eastAsia="Microsoft YaHei" w:hAnsi="Microsoft YaHei" w:cs="Microsoft YaHei"/>
          <w:color w:val="FFFFFF"/>
          <w:spacing w:val="-6"/>
          <w:position w:val="-2"/>
          <w:sz w:val="30"/>
          <w:szCs w:val="30"/>
        </w:rPr>
        <w:t>惠等政策措施。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3" w:line="173" w:lineRule="auto"/>
        <w:ind w:left="3607"/>
        <w:rPr>
          <w:rFonts w:ascii="Microsoft YaHei" w:eastAsia="Microsoft YaHei" w:hAnsi="Microsoft YaHei" w:cs="Microsoft YaHei"/>
          <w:sz w:val="69"/>
          <w:szCs w:val="69"/>
        </w:rPr>
      </w:pPr>
      <w:r>
        <w:rPr>
          <w:rFonts w:ascii="Microsoft YaHei" w:eastAsia="Microsoft YaHei" w:hAnsi="Microsoft YaHei" w:cs="Microsoft YaHei"/>
          <w:color w:val="FCE0EF"/>
          <w:spacing w:val="7"/>
          <w:sz w:val="69"/>
          <w:szCs w:val="69"/>
          <w14:textOutline w14:w="9525">
            <w14:solidFill>
              <w14:srgbClr w14:val="FCE0EF"/>
            </w14:solidFill>
            <w14:prstDash w14:val="solid"/>
            <w14:miter w14:lim="0"/>
          </w14:textOutline>
        </w:rPr>
        <w:t>02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198" w:line="185" w:lineRule="auto"/>
        <w:ind w:left="4"/>
        <w:rPr>
          <w:rFonts w:ascii="Microsoft YaHei" w:eastAsia="Microsoft YaHei" w:hAnsi="Microsoft YaHei" w:cs="Microsoft YaHei"/>
          <w:sz w:val="46"/>
          <w:szCs w:val="46"/>
        </w:rPr>
      </w:pPr>
      <w:r>
        <w:rPr>
          <w:rFonts w:ascii="Microsoft YaHei" w:eastAsia="Microsoft YaHei" w:hAnsi="Microsoft YaHei" w:cs="Microsoft YaHei"/>
          <w:color w:val="6F204B"/>
          <w:spacing w:val="4"/>
          <w:sz w:val="46"/>
          <w:szCs w:val="46"/>
          <w14:textOutline w14:w="6350">
            <w14:solidFill>
              <w14:srgbClr w14:val="6F204B"/>
            </w14:solidFill>
            <w14:prstDash w14:val="solid"/>
            <w14:miter w14:lim="0"/>
          </w14:textOutline>
        </w:rPr>
        <w:t>法</w:t>
      </w:r>
      <w:r>
        <w:rPr>
          <w:rFonts w:ascii="Microsoft YaHei" w:eastAsia="Microsoft YaHei" w:hAnsi="Microsoft YaHei" w:cs="Microsoft YaHei"/>
          <w:color w:val="6F204B"/>
          <w:spacing w:val="3"/>
          <w:sz w:val="46"/>
          <w:szCs w:val="46"/>
          <w14:textOutline w14:w="6350">
            <w14:solidFill>
              <w14:srgbClr w14:val="6F204B"/>
            </w14:solidFill>
            <w14:prstDash w14:val="solid"/>
            <w14:miter w14:lim="0"/>
          </w14:textOutline>
        </w:rPr>
        <w:t>规环境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29" w:line="235" w:lineRule="auto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6F204B"/>
          <w:spacing w:val="-1"/>
          <w:sz w:val="30"/>
          <w:szCs w:val="30"/>
        </w:rPr>
        <w:t>分析通</w:t>
      </w:r>
      <w:r>
        <w:rPr>
          <w:rFonts w:ascii="Microsoft YaHei" w:eastAsia="Microsoft YaHei" w:hAnsi="Microsoft YaHei" w:cs="Microsoft YaHei"/>
          <w:color w:val="6F204B"/>
          <w:sz w:val="30"/>
          <w:szCs w:val="30"/>
        </w:rPr>
        <w:t>信节电行业的相关法规和</w:t>
      </w:r>
    </w:p>
    <w:p>
      <w:pPr>
        <w:spacing w:before="1" w:line="183" w:lineRule="auto"/>
        <w:ind w:left="1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6F204B"/>
          <w:spacing w:val="-1"/>
          <w:sz w:val="30"/>
          <w:szCs w:val="30"/>
        </w:rPr>
        <w:t>标准，以</w:t>
      </w:r>
      <w:r>
        <w:rPr>
          <w:rFonts w:ascii="Microsoft YaHei" w:eastAsia="Microsoft YaHei" w:hAnsi="Microsoft YaHei" w:cs="Microsoft YaHei"/>
          <w:color w:val="6F204B"/>
          <w:sz w:val="30"/>
          <w:szCs w:val="30"/>
        </w:rPr>
        <w:t>及法规环境的变化对行</w:t>
      </w:r>
    </w:p>
    <w:p>
      <w:pPr>
        <w:spacing w:before="113" w:line="294" w:lineRule="exact"/>
        <w:ind w:left="3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6F204B"/>
          <w:spacing w:val="-11"/>
          <w:position w:val="-2"/>
          <w:sz w:val="30"/>
          <w:szCs w:val="30"/>
        </w:rPr>
        <w:t>业</w:t>
      </w:r>
      <w:r>
        <w:rPr>
          <w:rFonts w:ascii="Microsoft YaHei" w:eastAsia="Microsoft YaHei" w:hAnsi="Microsoft YaHei" w:cs="Microsoft YaHei"/>
          <w:color w:val="6F204B"/>
          <w:spacing w:val="-10"/>
          <w:position w:val="-2"/>
          <w:sz w:val="30"/>
          <w:szCs w:val="30"/>
        </w:rPr>
        <w:t>的影响。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3" w:line="173" w:lineRule="auto"/>
        <w:ind w:left="3490"/>
        <w:rPr>
          <w:rFonts w:ascii="Microsoft YaHei" w:eastAsia="Microsoft YaHei" w:hAnsi="Microsoft YaHei" w:cs="Microsoft YaHei"/>
          <w:sz w:val="69"/>
          <w:szCs w:val="69"/>
        </w:rPr>
      </w:pPr>
      <w:r>
        <w:rPr>
          <w:rFonts w:ascii="Microsoft YaHei" w:eastAsia="Microsoft YaHei" w:hAnsi="Microsoft YaHei" w:cs="Microsoft YaHei"/>
          <w:color w:val="FCE0EF"/>
          <w:spacing w:val="7"/>
          <w:sz w:val="69"/>
          <w:szCs w:val="69"/>
          <w14:textOutline w14:w="9525">
            <w14:solidFill>
              <w14:srgbClr w14:val="FCE0EF"/>
            </w14:solidFill>
            <w14:prstDash w14:val="solid"/>
            <w14:miter w14:lim="0"/>
          </w14:textOutline>
        </w:rPr>
        <w:t>03</w:t>
      </w:r>
    </w:p>
    <w:p>
      <w:pPr>
        <w:spacing w:line="409" w:lineRule="auto"/>
        <w:rPr>
          <w:rFonts w:ascii="Arial"/>
          <w:sz w:val="21"/>
        </w:rPr>
      </w:pPr>
    </w:p>
    <w:p>
      <w:pPr>
        <w:spacing w:before="198" w:line="185" w:lineRule="auto"/>
        <w:ind w:left="22"/>
        <w:rPr>
          <w:rFonts w:ascii="Microsoft YaHei" w:eastAsia="Microsoft YaHei" w:hAnsi="Microsoft YaHei" w:cs="Microsoft YaHei"/>
          <w:sz w:val="46"/>
          <w:szCs w:val="46"/>
        </w:rPr>
      </w:pPr>
      <w:r>
        <w:rPr>
          <w:rFonts w:ascii="Microsoft YaHei" w:eastAsia="Microsoft YaHei" w:hAnsi="Microsoft YaHei" w:cs="Microsoft YaHei"/>
          <w:color w:val="FFFFFF"/>
          <w:spacing w:val="1"/>
          <w:sz w:val="46"/>
          <w:szCs w:val="46"/>
          <w14:textOutline w14:w="6350">
            <w14:solidFill>
              <w14:srgbClr w14:val="FFFFFF"/>
            </w14:solidFill>
            <w14:prstDash w14:val="solid"/>
            <w14:miter w14:lim="0"/>
          </w14:textOutline>
        </w:rPr>
        <w:t>国际贸</w:t>
      </w:r>
      <w:r>
        <w:rPr>
          <w:rFonts w:ascii="Microsoft YaHei" w:eastAsia="Microsoft YaHei" w:hAnsi="Microsoft YaHei" w:cs="Microsoft YaHei"/>
          <w:color w:val="FFFFFF"/>
          <w:sz w:val="46"/>
          <w:szCs w:val="46"/>
          <w14:textOutline w14:w="6350">
            <w14:solidFill>
              <w14:srgbClr w14:val="FFFFFF"/>
            </w14:solidFill>
            <w14:prstDash w14:val="solid"/>
            <w14:miter w14:lim="0"/>
          </w14:textOutline>
        </w:rPr>
        <w:t>易环境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29" w:line="235" w:lineRule="auto"/>
        <w:ind w:left="1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30"/>
          <w:szCs w:val="30"/>
        </w:rPr>
        <w:t>评估国际贸</w:t>
      </w:r>
      <w:r>
        <w:rPr>
          <w:rFonts w:ascii="Microsoft YaHei" w:eastAsia="Microsoft YaHei" w:hAnsi="Microsoft YaHei" w:cs="Microsoft YaHei"/>
          <w:color w:val="FFFFFF"/>
          <w:sz w:val="30"/>
          <w:szCs w:val="30"/>
        </w:rPr>
        <w:t>易环境对通信节电行</w:t>
      </w:r>
    </w:p>
    <w:p>
      <w:pPr>
        <w:spacing w:before="1" w:line="182" w:lineRule="auto"/>
        <w:ind w:left="2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30"/>
          <w:szCs w:val="30"/>
        </w:rPr>
        <w:t>业的影响，包</w:t>
      </w:r>
      <w:r>
        <w:rPr>
          <w:rFonts w:ascii="Microsoft YaHei" w:eastAsia="Microsoft YaHei" w:hAnsi="Microsoft YaHei" w:cs="Microsoft YaHei"/>
          <w:color w:val="FFFFFF"/>
          <w:sz w:val="30"/>
          <w:szCs w:val="30"/>
        </w:rPr>
        <w:t>括关税、贸易壁垒</w:t>
      </w:r>
    </w:p>
    <w:p>
      <w:pPr>
        <w:spacing w:before="112" w:line="295" w:lineRule="exact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FFFFFF"/>
          <w:spacing w:val="-16"/>
          <w:position w:val="-2"/>
          <w:sz w:val="30"/>
          <w:szCs w:val="30"/>
        </w:rPr>
        <w:t>等</w:t>
      </w:r>
      <w:r>
        <w:rPr>
          <w:rFonts w:ascii="Microsoft YaHei" w:eastAsia="Microsoft YaHei" w:hAnsi="Microsoft YaHei" w:cs="Microsoft YaHei"/>
          <w:color w:val="FFFFFF"/>
          <w:spacing w:val="-15"/>
          <w:position w:val="-2"/>
          <w:sz w:val="30"/>
          <w:szCs w:val="30"/>
        </w:rPr>
        <w:t>。</w:t>
      </w:r>
    </w:p>
    <w:p>
      <w:pPr>
        <w:sectPr>
          <w:headerReference w:type="default" r:id="rId9"/>
          <w:type w:val="continuous"/>
          <w:pgSz w:w="19200" w:h="10800"/>
          <w:pgMar w:top="400" w:right="0" w:bottom="0" w:left="0" w:header="0" w:footer="0" w:gutter="0"/>
          <w:pgNumType w:start="26"/>
          <w:cols w:num="3" w:space="708" w:equalWidth="0">
            <w:col w:w="7511" w:space="100"/>
            <w:col w:w="5444" w:space="100"/>
            <w:col w:w="6046" w:space="0"/>
          </w:cols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102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高性能铜镍合金带、线材项目选址规划中</w:t>
      </w:r>
      <w:r>
        <w:rPr>
          <w:rFonts w:ascii="FangSong" w:eastAsia="FangSong" w:hAnsi="FangSong" w:cs="FangSong"/>
          <w:sz w:val="28"/>
          <w:szCs w:val="28"/>
        </w:rPr>
        <w:t>特别考虑了环保区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用于处理废弃物和废水，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有效减少对周边环境的负面影响。这表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了高性能铜镍合金带、线材项目对环境保护的高度重视，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5" w:right="102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高性能铜镍合金带、线材项目选址的用地</w:t>
      </w:r>
      <w:r>
        <w:rPr>
          <w:rFonts w:ascii="FangSong" w:eastAsia="FangSong" w:hAnsi="FangSong" w:cs="FangSong"/>
          <w:sz w:val="28"/>
          <w:szCs w:val="28"/>
        </w:rPr>
        <w:t>控制指标与相关规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划</w:t>
      </w:r>
      <w:r>
        <w:rPr>
          <w:rFonts w:ascii="FangSong" w:eastAsia="FangSong" w:hAnsi="FangSong" w:cs="FangSong"/>
          <w:spacing w:val="-12"/>
          <w:sz w:val="28"/>
          <w:szCs w:val="28"/>
        </w:rPr>
        <w:t>相一致，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于高性能铜镍合金带、线材项目获得土地开发和利用的相关许可。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1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在高性能铜镍合金带、线材项目选址周边进行了社区和周</w:t>
      </w:r>
      <w:r>
        <w:rPr>
          <w:rFonts w:ascii="FangSong" w:eastAsia="FangSong" w:hAnsi="FangSong" w:cs="FangSong"/>
          <w:sz w:val="28"/>
          <w:szCs w:val="28"/>
        </w:rPr>
        <w:t>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确保高性能铜镍合金带、线材项目建设不会对周边社区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造成过大的影</w:t>
      </w:r>
      <w:r>
        <w:rPr>
          <w:rFonts w:ascii="FangSong" w:eastAsia="FangSong" w:hAnsi="FangSong" w:cs="FangSong"/>
          <w:spacing w:val="-3"/>
          <w:sz w:val="28"/>
          <w:szCs w:val="28"/>
        </w:rPr>
        <w:t>响</w:t>
      </w:r>
      <w:r>
        <w:rPr>
          <w:rFonts w:ascii="FangSong" w:eastAsia="FangSong" w:hAnsi="FangSong" w:cs="FangSong"/>
          <w:spacing w:val="-2"/>
          <w:sz w:val="28"/>
          <w:szCs w:val="28"/>
        </w:rPr>
        <w:t>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411" w:lineRule="auto"/>
        <w:ind w:left="3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高性能铜镍合金带、线材项目选址时，我</w:t>
      </w:r>
      <w:r>
        <w:rPr>
          <w:rFonts w:ascii="FangSong" w:eastAsia="FangSong" w:hAnsi="FangSong" w:cs="FangSong"/>
          <w:sz w:val="28"/>
          <w:szCs w:val="28"/>
        </w:rPr>
        <w:t>们充分考虑了当地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政</w:t>
      </w:r>
      <w:r>
        <w:rPr>
          <w:rFonts w:ascii="FangSong" w:eastAsia="FangSong" w:hAnsi="FangSong" w:cs="FangSong"/>
          <w:spacing w:val="-13"/>
          <w:sz w:val="28"/>
          <w:szCs w:val="28"/>
        </w:rPr>
        <w:t>策和法规，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确保高性能铜镍合金带、线材项目的合法性和稳健性。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有助于高性能铜镍合金带、线材项目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4" w:lineRule="auto"/>
        <w:ind w:left="35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综合考虑高性能铜镍合金带、线材项目选址的各项因素</w:t>
      </w:r>
      <w:r>
        <w:rPr>
          <w:rFonts w:ascii="FangSong" w:eastAsia="FangSong" w:hAnsi="FangSong" w:cs="FangSong"/>
          <w:sz w:val="28"/>
          <w:szCs w:val="28"/>
        </w:rPr>
        <w:t>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们认为该选址有望为高性能铜镍合金带、线材项目带来更多的发展</w:t>
      </w:r>
      <w:r>
        <w:rPr>
          <w:rFonts w:ascii="FangSong" w:eastAsia="FangSong" w:hAnsi="FangSong" w:cs="FangSong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遇</w:t>
      </w:r>
      <w:r>
        <w:rPr>
          <w:rFonts w:ascii="FangSong" w:eastAsia="FangSong" w:hAnsi="FangSong" w:cs="FangSong"/>
          <w:spacing w:val="-8"/>
          <w:sz w:val="28"/>
          <w:szCs w:val="28"/>
        </w:rPr>
        <w:t>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该选址将有助于高性能铜镍合</w:t>
      </w:r>
    </w:p>
    <w:p>
      <w:pPr>
        <w:sectPr>
          <w:headerReference w:type="default" r:id="rId10"/>
          <w:pgSz w:w="11906" w:h="16839"/>
          <w:pgMar w:top="400" w:right="1697" w:bottom="0" w:left="1785" w:header="0" w:footer="0" w:gutter="0"/>
          <w:pgNumType w:start="27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金带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线材项目实现可持续发展。</w:t>
      </w:r>
    </w:p>
    <w:p>
      <w:pPr>
        <w:spacing w:before="290" w:line="415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我们可以得出该高性能铜镍合金带、线材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选址的合理性和可行性，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为高性能铜镍合金带、线材项目的后续规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和实施提供了坚实的基础。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7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高性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铜镍合金带、线材项目的环境影响评估旨在全面了解、评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估高性能铜镍合金带、线材项目对周边自然和社会环境可能产生的</w:t>
      </w:r>
      <w:r>
        <w:rPr>
          <w:rFonts w:ascii="FangSong" w:eastAsia="FangSong" w:hAnsi="FangSong" w:cs="FangSong"/>
          <w:spacing w:val="-2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从而为决策者提供科学、客观的依据。具体目的包括：</w:t>
      </w:r>
    </w:p>
    <w:p>
      <w:pPr>
        <w:spacing w:before="1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确定高性能铜镍合金带、线材项目可能对自</w:t>
      </w:r>
      <w:r>
        <w:rPr>
          <w:rFonts w:ascii="FangSong" w:eastAsia="FangSong" w:hAnsi="FangSong" w:cs="FangSong"/>
          <w:spacing w:val="-2"/>
          <w:sz w:val="28"/>
          <w:szCs w:val="28"/>
        </w:rPr>
        <w:t>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环境、生态系统、水源、空气质量等产生的直接或潜在影响。</w:t>
      </w:r>
    </w:p>
    <w:p>
      <w:pPr>
        <w:spacing w:before="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遵循国家和地方环境法规，确保高性能铜镍合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金带、线材</w:t>
      </w:r>
      <w:r>
        <w:rPr>
          <w:rFonts w:ascii="FangSong" w:eastAsia="FangSong" w:hAnsi="FangSong" w:cs="FangSong"/>
          <w:spacing w:val="-2"/>
          <w:sz w:val="28"/>
          <w:szCs w:val="28"/>
        </w:rPr>
        <w:t>项目在环保方面的合法性和可持续性。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ectPr>
          <w:headerReference w:type="default" r:id="rId11"/>
          <w:pgSz w:w="11906" w:h="16839"/>
          <w:pgMar w:top="400" w:right="1623" w:bottom="0" w:left="1785" w:header="0" w:footer="0" w:gutter="0"/>
          <w:pgNumType w:start="28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(三)、高性能铜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镍合金带、线材项目对环境的主要影响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1" w:right="12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通过详细的环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影响评估，我们将全面了解高性能铜镍合金带、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线材项目可</w:t>
      </w:r>
      <w:r>
        <w:rPr>
          <w:rFonts w:ascii="FangSong" w:eastAsia="FangSong" w:hAnsi="FangSong" w:cs="FangSong"/>
          <w:spacing w:val="-3"/>
          <w:sz w:val="28"/>
          <w:szCs w:val="28"/>
        </w:rPr>
        <w:t>能对环境产生的主要影响，包括但不限于：</w:t>
      </w:r>
    </w:p>
    <w:p>
      <w:pPr>
        <w:spacing w:before="1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评估高性能铜镍合金带、线材项目对附近水源的</w:t>
      </w:r>
      <w:r>
        <w:rPr>
          <w:rFonts w:ascii="FangSong" w:eastAsia="FangSong" w:hAnsi="FangSong" w:cs="FangSong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响，确保水质不受到污染。</w:t>
      </w:r>
    </w:p>
    <w:p>
      <w:pPr>
        <w:spacing w:before="1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考察高性能铜镍合金带、线材项目可能对空气质量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产生的影响，采取相应措施减少空气污染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5" w:lineRule="auto"/>
        <w:ind w:left="41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分析高性能铜镍合金带、线材项目对土壤的潜在影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响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保护土壤生态系统的稳定。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减少环境影响，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高性能铜镍合金带、线材项目将采取以下环保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  <w:sectPr>
          <w:headerReference w:type="default" r:id="rId12"/>
          <w:pgSz w:w="11906" w:h="16839"/>
          <w:pgMar w:top="400" w:right="1623" w:bottom="0" w:left="1785" w:header="0" w:footer="0" w:gutter="0"/>
          <w:pgNumType w:start="29"/>
          <w:cols w:space="708"/>
        </w:sectPr>
      </w:pPr>
    </w:p>
    <w:p>
      <w:pPr>
        <w:spacing w:before="91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高性能</w:t>
      </w:r>
      <w:r>
        <w:rPr>
          <w:rFonts w:ascii="FangSong" w:eastAsia="FangSong" w:hAnsi="FangSong" w:cs="FangSong"/>
          <w:spacing w:val="-9"/>
          <w:sz w:val="28"/>
          <w:szCs w:val="28"/>
        </w:rPr>
        <w:t>铜</w:t>
      </w:r>
      <w:r>
        <w:rPr>
          <w:rFonts w:ascii="FangSong" w:eastAsia="FangSong" w:hAnsi="FangSong" w:cs="FangSong"/>
          <w:spacing w:val="-7"/>
          <w:sz w:val="28"/>
          <w:szCs w:val="28"/>
        </w:rPr>
        <w:t>镍合金带、线材项目将建立完善的环境监测与管理体系，</w:t>
      </w:r>
    </w:p>
    <w:p>
      <w:pPr>
        <w:sectPr>
          <w:headerReference w:type="default" r:id="rId13"/>
          <w:type w:val="nextPage"/>
          <w:pgSz w:w="11906" w:h="16839"/>
          <w:pgMar w:top="400" w:right="1623" w:bottom="0" w:left="1785" w:header="0" w:footer="0" w:gutter="0"/>
          <w:pgNumType w:start="30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4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22"/>
          <w:sz w:val="28"/>
          <w:szCs w:val="28"/>
        </w:rPr>
        <w:t>包</w:t>
      </w:r>
      <w:r>
        <w:rPr>
          <w:rFonts w:ascii="FangSong" w:eastAsia="FangSong" w:hAnsi="FangSong" w:cs="FangSong"/>
          <w:spacing w:val="-20"/>
          <w:sz w:val="28"/>
          <w:szCs w:val="28"/>
        </w:rPr>
        <w:t>括：</w:t>
      </w:r>
    </w:p>
    <w:p>
      <w:pPr>
        <w:spacing w:before="285" w:line="411" w:lineRule="auto"/>
        <w:ind w:left="35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(一)、高性能铜镍合金带、线材项目进度安排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  <w:sectPr>
          <w:headerReference w:type="default" r:id="rId14"/>
          <w:pgSz w:w="11906" w:h="16839"/>
          <w:pgMar w:top="400" w:right="1718" w:bottom="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确保高性能铜镍合金带、线材项目按时、按质完成，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计了详细的高性能铜镍合金带、线材项目进度安排，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工作周期预计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个月，主要包括以下关键阶段：</w:t>
      </w:r>
    </w:p>
    <w:p>
      <w:pPr>
        <w:spacing w:before="3" w:line="415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高性能铜镍合金带、线材项目前期准备(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能铜镍合金带、线材项目启动阶段，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我们将进行各项前期准备工作，</w:t>
      </w:r>
    </w:p>
    <w:p>
      <w:pPr>
        <w:sectPr>
          <w:headerReference w:type="default" r:id="rId15"/>
          <w:type w:val="nextPage"/>
          <w:pgSz w:w="11906" w:h="16839"/>
          <w:pgMar w:top="400" w:right="1718" w:bottom="0" w:left="1785" w:header="0" w:footer="0" w:gutter="0"/>
          <w:pgNumType w:start="32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括高性能铜镍合金带、线材项目立项、人员组建、资源调查和需求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分析等。这个阶段的目标是确保高性能铜镍合金带、线材项目有足</w:t>
      </w:r>
      <w:r>
        <w:rPr>
          <w:rFonts w:ascii="FangSong" w:eastAsia="FangSong" w:hAnsi="FangSong" w:cs="FangSong"/>
          <w:sz w:val="28"/>
          <w:szCs w:val="28"/>
        </w:rPr>
        <w:t>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准备工作，为后续工作打下坚实基础。</w:t>
      </w:r>
    </w:p>
    <w:p>
      <w:pPr>
        <w:spacing w:before="3" w:line="411" w:lineRule="auto"/>
        <w:ind w:left="34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确保对高性能铜镍合金带、线材项目地理环境和资源有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面了解。基于勘察结果，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备配置等方面。这个阶段的目标是确保高性能铜镍合金带、线材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的设计是科学、合理且可行的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1" w:right="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pacing w:val="-2"/>
          <w:sz w:val="28"/>
          <w:szCs w:val="28"/>
        </w:rPr>
        <w:t>过程符合相关标准，安全有序进行，以保证高性能铜镍合金带、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线</w:t>
      </w:r>
      <w:r>
        <w:rPr>
          <w:rFonts w:ascii="FangSong" w:eastAsia="FangSong" w:hAnsi="FangSong" w:cs="FangSong"/>
          <w:spacing w:val="-6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项目的高质量完成。</w:t>
      </w:r>
    </w:p>
    <w:p>
      <w:pPr>
        <w:spacing w:before="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照高性能铜镍合金带、线材项目需求，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一过程将涉及供应商谈判、合同签订等步骤，确保设备的及时到</w:t>
      </w:r>
      <w:r>
        <w:rPr>
          <w:rFonts w:ascii="FangSong" w:eastAsia="FangSong" w:hAnsi="FangSong" w:cs="FangSong"/>
          <w:sz w:val="28"/>
          <w:szCs w:val="28"/>
        </w:rPr>
        <w:t>位。</w:t>
      </w:r>
    </w:p>
    <w:p>
      <w:pPr>
        <w:spacing w:before="5" w:line="413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为高性能铜镍合金带、线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材项目后续的运营提供保障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(二)、高性能铜镍合金带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、线材项目实施保障措施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为确保高性能铜镍合金带、线材项目的顺利实施，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</w:t>
      </w:r>
      <w:r>
        <w:rPr>
          <w:rFonts w:ascii="FangSong" w:eastAsia="FangSong" w:hAnsi="FangSong" w:cs="FangSong"/>
          <w:spacing w:val="-6"/>
          <w:sz w:val="28"/>
          <w:szCs w:val="28"/>
        </w:rPr>
        <w:t>一</w:t>
      </w:r>
    </w:p>
    <w:p>
      <w:pPr>
        <w:sectPr>
          <w:headerReference w:type="default" r:id="rId16"/>
          <w:pgSz w:w="11906" w:h="16839"/>
          <w:pgMar w:top="400" w:right="1743" w:bottom="0" w:left="1785" w:header="0" w:footer="0" w:gutter="0"/>
          <w:pgNumType w:start="33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1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</w:rPr>
        <w:t>系列具</w:t>
      </w:r>
      <w:r>
        <w:rPr>
          <w:rFonts w:ascii="FangSong" w:eastAsia="FangSong" w:hAnsi="FangSong" w:cs="FangSong"/>
          <w:spacing w:val="-3"/>
          <w:sz w:val="28"/>
          <w:szCs w:val="28"/>
        </w:rPr>
        <w:t>体</w:t>
      </w:r>
      <w:r>
        <w:rPr>
          <w:rFonts w:ascii="FangSong" w:eastAsia="FangSong" w:hAnsi="FangSong" w:cs="FangSong"/>
          <w:spacing w:val="-2"/>
          <w:sz w:val="28"/>
          <w:szCs w:val="28"/>
        </w:rPr>
        <w:t>而细致的保障措施，以应对各种可能出现的挑战和问题。</w:t>
      </w:r>
    </w:p>
    <w:p>
      <w:pPr>
        <w:spacing w:before="292" w:line="411" w:lineRule="auto"/>
        <w:ind w:left="3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高性能铜镍合金带、线材项</w:t>
      </w:r>
      <w:r>
        <w:rPr>
          <w:rFonts w:ascii="FangSong" w:eastAsia="FangSong" w:hAnsi="FangSong" w:cs="FangSong"/>
          <w:sz w:val="28"/>
          <w:szCs w:val="28"/>
        </w:rPr>
        <w:t>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个全面的高性能铜镍合金带、线材项目管理体系，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铜镍合金带、线材项目阶段都有清晰的组织结构和明确定义的职责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性能铜镍合金带、线材项目管理团队将定期召开会议，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性能铜镍合金带、线材项目计划，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保证高性能铜镍合金带、线材项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pacing w:before="2" w:line="411" w:lineRule="auto"/>
        <w:ind w:left="31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性能铜镍合金带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线材项目的进展进行详细审查。这包括每周例行会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议</w:t>
      </w:r>
      <w:r>
        <w:rPr>
          <w:rFonts w:ascii="FangSong" w:eastAsia="FangSong" w:hAnsi="FangSong" w:cs="FangSong"/>
          <w:spacing w:val="-8"/>
          <w:sz w:val="28"/>
          <w:szCs w:val="28"/>
        </w:rPr>
        <w:t>和每月一次的全团队进度汇报。通过实时监控，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并纠正</w:t>
      </w:r>
      <w:r>
        <w:rPr>
          <w:rFonts w:ascii="FangSong" w:eastAsia="FangSong" w:hAnsi="FangSong" w:cs="FangSong"/>
          <w:spacing w:val="-3"/>
          <w:sz w:val="28"/>
          <w:szCs w:val="28"/>
        </w:rPr>
        <w:t>潜在的进度滞后或问题。</w:t>
      </w:r>
    </w:p>
    <w:p>
      <w:pPr>
        <w:spacing w:before="2" w:line="411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高性能铜镍合金带、线材项目的影响。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高性能铜镍合金带、线材项目执行效率。</w:t>
      </w:r>
    </w:p>
    <w:p>
      <w:pPr>
        <w:spacing w:before="4" w:line="413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团队成员可以分享高性能铜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镍</w:t>
      </w:r>
      <w:r>
        <w:rPr>
          <w:rFonts w:ascii="FangSong" w:eastAsia="FangSong" w:hAnsi="FangSong" w:cs="FangSong"/>
          <w:spacing w:val="-12"/>
          <w:sz w:val="28"/>
          <w:szCs w:val="28"/>
        </w:rPr>
        <w:t>合金带、线材项目进展、反馈问题，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期组织团队活动，增进团队协作与默契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headerReference w:type="default" r:id="rId17"/>
          <w:pgSz w:w="11906" w:h="16839"/>
          <w:pgMar w:top="400" w:right="1743" w:bottom="0" w:left="1785" w:header="0" w:footer="0" w:gutter="0"/>
          <w:pgNumType w:start="34"/>
          <w:cols w:space="708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414" w:lineRule="auto"/>
        <w:ind w:left="34" w:right="5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我们将建立严格的质量控制体系，涵盖高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能铜镍合金带、线材项目的每个环节。制定详细的验收标准和质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查点，确保高性能铜</w:t>
      </w:r>
      <w:r>
        <w:rPr>
          <w:rFonts w:ascii="FangSong" w:eastAsia="FangSong" w:hAnsi="FangSong" w:cs="FangSong"/>
          <w:spacing w:val="-3"/>
          <w:sz w:val="28"/>
          <w:szCs w:val="28"/>
        </w:rPr>
        <w:t>镍</w:t>
      </w:r>
      <w:r>
        <w:rPr>
          <w:rFonts w:ascii="FangSong" w:eastAsia="FangSong" w:hAnsi="FangSong" w:cs="FangSong"/>
          <w:spacing w:val="-2"/>
          <w:sz w:val="28"/>
          <w:szCs w:val="28"/>
        </w:rPr>
        <w:t>合金带、线材项目交付的成果符合预期标准，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提高高性能铜镍合</w:t>
      </w:r>
      <w:r>
        <w:rPr>
          <w:rFonts w:ascii="FangSong" w:eastAsia="FangSong" w:hAnsi="FangSong" w:cs="FangSong"/>
          <w:spacing w:val="-2"/>
          <w:sz w:val="28"/>
          <w:szCs w:val="28"/>
        </w:rPr>
        <w:t>金带、线材项目整体质量。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  <w:sectPr>
          <w:headerReference w:type="default" r:id="rId18"/>
          <w:pgSz w:w="11906" w:h="16839"/>
          <w:pgMar w:top="400" w:right="1704" w:bottom="0" w:left="1785" w:header="0" w:footer="0" w:gutter="0"/>
          <w:pgNumType w:start="35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line="417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ectPr>
          <w:headerReference w:type="default" r:id="rId19"/>
          <w:type w:val="nextPage"/>
          <w:pgSz w:w="11906" w:h="16839"/>
          <w:pgMar w:top="400" w:right="1704" w:bottom="0" w:left="1785" w:header="0" w:footer="0" w:gutter="0"/>
          <w:pgNumType w:start="36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8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</w:t>
      </w:r>
      <w:r>
        <w:rPr>
          <w:rFonts w:ascii="FangSong" w:eastAsia="FangSong" w:hAnsi="FangSong" w:cs="FangSong"/>
          <w:spacing w:val="-2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headerReference w:type="default" r:id="rId20"/>
          <w:pgSz w:w="11906" w:h="16839"/>
          <w:pgMar w:top="400" w:right="1603" w:bottom="0" w:left="1785" w:header="0" w:footer="0" w:gutter="0"/>
          <w:pgNumType w:start="37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  <w:sectPr>
          <w:headerReference w:type="default" r:id="rId21"/>
          <w:pgSz w:w="11906" w:h="16839"/>
          <w:pgMar w:top="400" w:right="1623" w:bottom="0" w:left="1785" w:header="0" w:footer="0" w:gutter="0"/>
          <w:pgNumType w:start="38"/>
          <w:cols w:space="708"/>
        </w:sect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5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</w:p>
    <w:p>
      <w:pPr>
        <w:sectPr>
          <w:headerReference w:type="default" r:id="rId22"/>
          <w:type w:val="nextPage"/>
          <w:pgSz w:w="11906" w:h="16839"/>
          <w:pgMar w:top="400" w:right="1623" w:bottom="0" w:left="1785" w:header="0" w:footer="0" w:gutter="0"/>
          <w:pgNumType w:start="39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bookmarkStart w:id="45" w:name="_bookmark46"/>
      <w:bookmarkEnd w:id="4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九、风险评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(一)、高性能铜镍合金带、线材项目风险分析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0"/>
          <w:sz w:val="28"/>
          <w:szCs w:val="28"/>
        </w:rPr>
        <w:t>场风险：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受市场变化和竞争压力的影响，高性能铜镍合金带、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线</w:t>
      </w:r>
      <w:r>
        <w:rPr>
          <w:rFonts w:ascii="FangSong" w:eastAsia="FangSong" w:hAnsi="FangSong" w:cs="FangSong"/>
          <w:spacing w:val="-4"/>
          <w:sz w:val="28"/>
          <w:szCs w:val="28"/>
        </w:rPr>
        <w:t>材项目面临市场需求波动和竞争加剧的风险。这可能导致销售额下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降，影响高性能铜</w:t>
      </w:r>
      <w:r>
        <w:rPr>
          <w:rFonts w:ascii="FangSong" w:eastAsia="FangSong" w:hAnsi="FangSong" w:cs="FangSong"/>
          <w:spacing w:val="-2"/>
          <w:sz w:val="28"/>
          <w:szCs w:val="28"/>
        </w:rPr>
        <w:t>镍合金带、线材项目的盈利能力。</w:t>
      </w:r>
    </w:p>
    <w:p>
      <w:pPr>
        <w:spacing w:before="2" w:line="411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技术方面的不确定性可能导致高性能铜镍合金带、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线材项目进度延误或成本增加。新技术的引入或技术问题的发生</w:t>
      </w:r>
      <w:r>
        <w:rPr>
          <w:rFonts w:ascii="FangSong" w:eastAsia="FangSong" w:hAnsi="FangSong" w:cs="FangSong"/>
          <w:spacing w:val="-3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对高</w:t>
      </w:r>
      <w:r>
        <w:rPr>
          <w:rFonts w:ascii="FangSong" w:eastAsia="FangSong" w:hAnsi="FangSong" w:cs="FangSong"/>
          <w:spacing w:val="-2"/>
          <w:sz w:val="28"/>
          <w:szCs w:val="28"/>
        </w:rPr>
        <w:t>性能铜镍合金带、线材项目的顺利进行产生负面影响。</w:t>
      </w:r>
    </w:p>
    <w:p>
      <w:pPr>
        <w:spacing w:before="2" w:line="411" w:lineRule="auto"/>
        <w:ind w:left="41" w:right="9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政府政策和法规的变化可能对高性能铜镍合</w:t>
      </w:r>
      <w:r>
        <w:rPr>
          <w:rFonts w:ascii="FangSong" w:eastAsia="FangSong" w:hAnsi="FangSong" w:cs="FangSong"/>
          <w:spacing w:val="-2"/>
          <w:sz w:val="28"/>
          <w:szCs w:val="28"/>
        </w:rPr>
        <w:t>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带</w:t>
      </w:r>
      <w:r>
        <w:rPr>
          <w:rFonts w:ascii="FangSong" w:eastAsia="FangSong" w:hAnsi="FangSong" w:cs="FangSong"/>
          <w:spacing w:val="-4"/>
          <w:sz w:val="28"/>
          <w:szCs w:val="28"/>
        </w:rPr>
        <w:t>、线材项目产生重大影响。不符合环保、安全等法规要求可能导致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高性能铜</w:t>
      </w:r>
      <w:r>
        <w:rPr>
          <w:rFonts w:ascii="FangSong" w:eastAsia="FangSong" w:hAnsi="FangSong" w:cs="FangSong"/>
          <w:spacing w:val="-3"/>
          <w:sz w:val="28"/>
          <w:szCs w:val="28"/>
        </w:rPr>
        <w:t>镍</w:t>
      </w:r>
      <w:r>
        <w:rPr>
          <w:rFonts w:ascii="FangSong" w:eastAsia="FangSong" w:hAnsi="FangSong" w:cs="FangSong"/>
          <w:spacing w:val="-2"/>
          <w:sz w:val="28"/>
          <w:szCs w:val="28"/>
        </w:rPr>
        <w:t>合金带、线材项目的停工或罚款，增加经济成本。</w:t>
      </w:r>
    </w:p>
    <w:p>
      <w:pPr>
        <w:spacing w:before="2" w:line="411" w:lineRule="auto"/>
        <w:ind w:left="34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资金紧张或融资渠道受限可能导致高性能铜镍合金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带、线材项目无法按计划进行。汇率波动和利率上升也可能对高</w:t>
      </w:r>
      <w:r>
        <w:rPr>
          <w:rFonts w:ascii="FangSong" w:eastAsia="FangSong" w:hAnsi="FangSong" w:cs="FangSong"/>
          <w:spacing w:val="-3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铜镍合</w:t>
      </w:r>
      <w:r>
        <w:rPr>
          <w:rFonts w:ascii="FangSong" w:eastAsia="FangSong" w:hAnsi="FangSong" w:cs="FangSong"/>
          <w:spacing w:val="-2"/>
          <w:sz w:val="28"/>
          <w:szCs w:val="28"/>
        </w:rPr>
        <w:t>金带、线材项目的资金需求和成本造成不利影响。</w:t>
      </w:r>
    </w:p>
    <w:p>
      <w:pPr>
        <w:spacing w:before="1" w:line="415" w:lineRule="auto"/>
        <w:ind w:left="31" w:right="95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地震、洪水等自然灾害可能对高性能铜镍合金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带</w:t>
      </w:r>
      <w:r>
        <w:rPr>
          <w:rFonts w:ascii="FangSong" w:eastAsia="FangSong" w:hAnsi="FangSong" w:cs="FangSong"/>
          <w:spacing w:val="-12"/>
          <w:sz w:val="28"/>
          <w:szCs w:val="28"/>
        </w:rPr>
        <w:t>、线材项目区域产生负面影响，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修</w:t>
      </w:r>
      <w:r>
        <w:rPr>
          <w:rFonts w:ascii="FangSong" w:eastAsia="FangSong" w:hAnsi="FangSong" w:cs="FangSong"/>
          <w:spacing w:val="-7"/>
          <w:sz w:val="28"/>
          <w:szCs w:val="28"/>
        </w:rPr>
        <w:t>复的成本。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  <w:sectPr>
          <w:headerReference w:type="default" r:id="rId23"/>
          <w:pgSz w:w="11906" w:h="16839"/>
          <w:pgMar w:top="400" w:right="1704" w:bottom="0" w:left="1785" w:header="0" w:footer="0" w:gutter="0"/>
          <w:pgNumType w:start="40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(二)、高性能铜镍合金带、线材项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我们旨在最大程度地降低高性能铜镍合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</w:p>
    <w:p>
      <w:pPr>
        <w:sectPr>
          <w:headerReference w:type="default" r:id="rId24"/>
          <w:type w:val="nextPage"/>
          <w:pgSz w:w="11906" w:h="16839"/>
          <w:pgMar w:top="400" w:right="1704" w:bottom="0" w:left="1785" w:header="0" w:footer="0" w:gutter="0"/>
          <w:pgNumType w:start="41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带、</w:t>
      </w:r>
      <w:r>
        <w:rPr>
          <w:rFonts w:ascii="FangSong" w:eastAsia="FangSong" w:hAnsi="FangSong" w:cs="FangSong"/>
          <w:spacing w:val="-11"/>
          <w:sz w:val="28"/>
          <w:szCs w:val="28"/>
        </w:rPr>
        <w:t>线</w:t>
      </w:r>
      <w:r>
        <w:rPr>
          <w:rFonts w:ascii="FangSong" w:eastAsia="FangSong" w:hAnsi="FangSong" w:cs="FangSong"/>
          <w:spacing w:val="-8"/>
          <w:sz w:val="28"/>
          <w:szCs w:val="28"/>
        </w:rPr>
        <w:t>材项目面临的各种风险，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确保高性能铜镍合金带、线材项目能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够在</w:t>
      </w:r>
      <w:r>
        <w:rPr>
          <w:rFonts w:ascii="FangSong" w:eastAsia="FangSong" w:hAnsi="FangSong" w:cs="FangSong"/>
          <w:spacing w:val="-5"/>
          <w:sz w:val="28"/>
          <w:szCs w:val="28"/>
        </w:rPr>
        <w:t>复</w:t>
      </w:r>
      <w:r>
        <w:rPr>
          <w:rFonts w:ascii="FangSong" w:eastAsia="FangSong" w:hAnsi="FangSong" w:cs="FangSong"/>
          <w:spacing w:val="-3"/>
          <w:sz w:val="28"/>
          <w:szCs w:val="28"/>
        </w:rPr>
        <w:t>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在高性能铜镍合金带、线材项目开始前进行</w:t>
      </w:r>
      <w:r>
        <w:rPr>
          <w:rFonts w:ascii="FangSong" w:eastAsia="FangSong" w:hAnsi="FangSong" w:cs="FangSong"/>
          <w:spacing w:val="-2"/>
          <w:sz w:val="28"/>
          <w:szCs w:val="28"/>
        </w:rPr>
        <w:t>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的技术可行性研究，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决机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，确保高性能铜镍合金带、线材项目按计划进行。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铜镍</w:t>
      </w:r>
      <w:r>
        <w:rPr>
          <w:rFonts w:ascii="FangSong" w:eastAsia="FangSong" w:hAnsi="FangSong" w:cs="FangSong"/>
          <w:spacing w:val="-3"/>
          <w:sz w:val="28"/>
          <w:szCs w:val="28"/>
        </w:rPr>
        <w:t>合金带、线材项目的不利影响。</w:t>
      </w:r>
    </w:p>
    <w:p>
      <w:pPr>
        <w:spacing w:before="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4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高性能铜镍合金带、线材项目因不可抗力而受到的损失，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能铜镍合金带、线材项目的可持续运营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十、公司治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理与法律合规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)、公司治理结构</w:t>
      </w:r>
    </w:p>
    <w:p>
      <w:pPr>
        <w:spacing w:line="424" w:lineRule="auto"/>
        <w:rPr>
          <w:rFonts w:ascii="Arial"/>
          <w:sz w:val="21"/>
        </w:rPr>
        <w:sectPr>
          <w:headerReference w:type="default" r:id="rId25"/>
          <w:pgSz w:w="11906" w:h="16839"/>
          <w:pgMar w:top="400" w:right="1718" w:bottom="0" w:left="1785" w:header="0" w:footer="0" w:gutter="0"/>
          <w:pgNumType w:start="42"/>
          <w:cols w:space="708"/>
        </w:sectPr>
      </w:pPr>
    </w:p>
    <w:p>
      <w:pPr>
        <w:spacing w:before="91" w:line="415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治理结构是确保公司良好运作、合规管理和持续发展的关键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我们将建立健全的公司治理结构，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以提高公司整体运营效率和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10"/>
          <w:sz w:val="28"/>
          <w:szCs w:val="28"/>
        </w:rPr>
        <w:t>明度。</w:t>
      </w:r>
    </w:p>
    <w:p>
      <w:pPr>
        <w:sectPr>
          <w:headerReference w:type="default" r:id="rId26"/>
          <w:type w:val="nextPage"/>
          <w:pgSz w:w="11906" w:h="16839"/>
          <w:pgMar w:top="400" w:right="1718" w:bottom="0" w:left="1785" w:header="0" w:footer="0" w:gutter="0"/>
          <w:pgNumType w:start="43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董事会组成与职责：</w:t>
      </w:r>
    </w:p>
    <w:p>
      <w:pPr>
        <w:spacing w:before="287" w:line="411" w:lineRule="auto"/>
        <w:ind w:left="2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独立董事设置：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设立独立董事席位，确保董事会在决策过程</w:t>
      </w:r>
      <w:r>
        <w:rPr>
          <w:rFonts w:ascii="FangSong" w:eastAsia="FangSong" w:hAnsi="FangSong" w:cs="FangSong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有独</w:t>
      </w:r>
      <w:r>
        <w:rPr>
          <w:rFonts w:ascii="FangSong" w:eastAsia="FangSong" w:hAnsi="FangSong" w:cs="FangSong"/>
          <w:spacing w:val="-4"/>
          <w:sz w:val="28"/>
          <w:szCs w:val="28"/>
        </w:rPr>
        <w:t>立的监督和建议。</w:t>
      </w:r>
    </w:p>
    <w:p>
      <w:pPr>
        <w:spacing w:before="1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职责明确：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确定董事会的职责范围，包括审批战略计划、财</w:t>
      </w:r>
      <w:r>
        <w:rPr>
          <w:rFonts w:ascii="FangSong" w:eastAsia="FangSong" w:hAnsi="FangSong" w:cs="FangSong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预算、高级管</w:t>
      </w:r>
      <w:r>
        <w:rPr>
          <w:rFonts w:ascii="FangSong" w:eastAsia="FangSong" w:hAnsi="FangSong" w:cs="FangSong"/>
          <w:spacing w:val="-2"/>
          <w:sz w:val="28"/>
          <w:szCs w:val="28"/>
        </w:rPr>
        <w:t>理层的任免和公司治理政策的制定。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高级管理层组织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5" w:line="411" w:lineRule="auto"/>
        <w:ind w:left="47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首席执行官(</w:t>
      </w:r>
      <w:r>
        <w:rPr>
          <w:rFonts w:ascii="FangSong" w:eastAsia="FangSong" w:hAnsi="FangSong" w:cs="FangSong"/>
          <w:spacing w:val="-3"/>
          <w:sz w:val="28"/>
          <w:szCs w:val="28"/>
        </w:rPr>
        <w:t>CEO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设立首席执行官职位，负责公司整体经营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管</w:t>
      </w:r>
      <w:r>
        <w:rPr>
          <w:rFonts w:ascii="FangSong" w:eastAsia="FangSong" w:hAnsi="FangSong" w:cs="FangSong"/>
          <w:spacing w:val="-4"/>
          <w:sz w:val="28"/>
          <w:szCs w:val="28"/>
        </w:rPr>
        <w:t>理，向董事会报告公司运营状况。</w:t>
      </w:r>
    </w:p>
    <w:p>
      <w:pPr>
        <w:spacing w:before="1" w:line="411" w:lineRule="auto"/>
        <w:ind w:left="4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级</w:t>
      </w:r>
      <w:r>
        <w:rPr>
          <w:rFonts w:ascii="FangSong" w:eastAsia="FangSong" w:hAnsi="FangSong" w:cs="FangSong"/>
          <w:spacing w:val="-4"/>
          <w:sz w:val="28"/>
          <w:szCs w:val="28"/>
        </w:rPr>
        <w:t>管理层团队：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组建高效的管理层团队，明确各职能部门的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负</w:t>
      </w:r>
      <w:r>
        <w:rPr>
          <w:rFonts w:ascii="FangSong" w:eastAsia="FangSong" w:hAnsi="FangSong" w:cs="FangSong"/>
          <w:spacing w:val="-5"/>
          <w:sz w:val="28"/>
          <w:szCs w:val="28"/>
        </w:rPr>
        <w:t>责人，实现协同管理。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风险管理与内控：</w:t>
      </w:r>
    </w:p>
    <w:p>
      <w:pPr>
        <w:spacing w:before="288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风险管理委员会：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建立风险管理委员会，负责识别、评估和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</w:t>
      </w:r>
      <w:r>
        <w:rPr>
          <w:rFonts w:ascii="FangSong" w:eastAsia="FangSong" w:hAnsi="FangSong" w:cs="FangSong"/>
          <w:spacing w:val="-5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面临的各类风险。</w:t>
      </w:r>
    </w:p>
    <w:p>
      <w:pPr>
        <w:spacing w:before="2" w:line="411" w:lineRule="auto"/>
        <w:ind w:left="40" w:right="14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部控制体系：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设计和实施内部控制体系，保障公司运营和财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务活动的合规性和有效性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战略规划与执行：</w:t>
      </w:r>
    </w:p>
    <w:p>
      <w:pPr>
        <w:spacing w:before="290" w:line="411" w:lineRule="auto"/>
        <w:ind w:left="33" w:right="7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战</w:t>
      </w:r>
      <w:r>
        <w:rPr>
          <w:rFonts w:ascii="FangSong" w:eastAsia="FangSong" w:hAnsi="FangSong" w:cs="FangSong"/>
          <w:spacing w:val="-7"/>
          <w:sz w:val="28"/>
          <w:szCs w:val="28"/>
        </w:rPr>
        <w:t>略</w:t>
      </w:r>
      <w:r>
        <w:rPr>
          <w:rFonts w:ascii="FangSong" w:eastAsia="FangSong" w:hAnsi="FangSong" w:cs="FangSong"/>
          <w:spacing w:val="-6"/>
          <w:sz w:val="28"/>
          <w:szCs w:val="28"/>
        </w:rPr>
        <w:t>委员会：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设立战略委员会，负责制定公司长期战略规划，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公司目标与战略一致。</w:t>
      </w:r>
    </w:p>
    <w:p>
      <w:pPr>
        <w:spacing w:before="2" w:line="411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执行力评估：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定期对公司战略的执行情况进行评估，及时调</w:t>
      </w:r>
      <w:r>
        <w:rPr>
          <w:rFonts w:ascii="FangSong" w:eastAsia="FangSong" w:hAnsi="FangSong" w:cs="FangSong"/>
          <w:sz w:val="28"/>
          <w:szCs w:val="28"/>
        </w:rPr>
        <w:t>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战</w:t>
      </w:r>
      <w:r>
        <w:rPr>
          <w:rFonts w:ascii="FangSong" w:eastAsia="FangSong" w:hAnsi="FangSong" w:cs="FangSong"/>
          <w:spacing w:val="-6"/>
          <w:sz w:val="28"/>
          <w:szCs w:val="28"/>
        </w:rPr>
        <w:t>略</w:t>
      </w:r>
      <w:r>
        <w:rPr>
          <w:rFonts w:ascii="FangSong" w:eastAsia="FangSong" w:hAnsi="FangSong" w:cs="FangSong"/>
          <w:spacing w:val="-4"/>
          <w:sz w:val="28"/>
          <w:szCs w:val="28"/>
        </w:rPr>
        <w:t>方向，确保公司持续发展。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财务监督与审计：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https://d.book118.com/648037013130006045</w:t>
        </w:r>
      </w:hyperlink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</w:p>
    <w:sectPr>
      <w:headerReference w:type="default" r:id="rId28"/>
      <w:pgSz w:w="11906" w:h="16839"/>
      <w:pgMar w:top="400" w:right="1785" w:bottom="0" w:left="1785" w:header="0" w:footer="0" w:gutter="0"/>
      <w:pgNumType w:start="4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5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679464539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9464539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eader" Target="header10.xml" /><Relationship Id="rId16" Type="http://schemas.openxmlformats.org/officeDocument/2006/relationships/header" Target="header11.xml" /><Relationship Id="rId17" Type="http://schemas.openxmlformats.org/officeDocument/2006/relationships/header" Target="header12.xml" /><Relationship Id="rId18" Type="http://schemas.openxmlformats.org/officeDocument/2006/relationships/header" Target="header13.xml" /><Relationship Id="rId19" Type="http://schemas.openxmlformats.org/officeDocument/2006/relationships/header" Target="header14.xml" /><Relationship Id="rId2" Type="http://schemas.openxmlformats.org/officeDocument/2006/relationships/webSettings" Target="webSettings.xml" /><Relationship Id="rId20" Type="http://schemas.openxmlformats.org/officeDocument/2006/relationships/header" Target="header15.xml" /><Relationship Id="rId21" Type="http://schemas.openxmlformats.org/officeDocument/2006/relationships/header" Target="header16.xml" /><Relationship Id="rId22" Type="http://schemas.openxmlformats.org/officeDocument/2006/relationships/header" Target="header17.xml" /><Relationship Id="rId23" Type="http://schemas.openxmlformats.org/officeDocument/2006/relationships/header" Target="header18.xml" /><Relationship Id="rId24" Type="http://schemas.openxmlformats.org/officeDocument/2006/relationships/header" Target="header19.xml" /><Relationship Id="rId25" Type="http://schemas.openxmlformats.org/officeDocument/2006/relationships/header" Target="header20.xml" /><Relationship Id="rId26" Type="http://schemas.openxmlformats.org/officeDocument/2006/relationships/header" Target="header21.xml" /><Relationship Id="rId27" Type="http://schemas.openxmlformats.org/officeDocument/2006/relationships/hyperlink" Target="https://d.book118.com/648037013130006045" TargetMode="External" /><Relationship Id="rId28" Type="http://schemas.openxmlformats.org/officeDocument/2006/relationships/header" Target="header2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2024-03-14T08:34:16Z</vt:filetime>
  </property>
  <property fmtid="{D5CDD505-2E9C-101B-9397-08002B2CF9AE}" pid="3" name="CRO">
    <vt:lpwstr>wqlLaW5nc29mdCBQREYgdG8gV1BTIDgw</vt:lpwstr>
  </property>
</Properties>
</file>