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Heading5"/>
        <w:numPr>
          <w:ilvl w:val="0"/>
          <w:numId w:val="0"/>
        </w:numPr>
        <w:ind w:left="1008" w:hanging="1008"/>
        <w:rPr>
          <w:rFonts w:hint="eastAsia"/>
          <w:lang w:val="en-US" w:eastAsia="zh-CN"/>
        </w:rPr>
      </w:pPr>
    </w:p>
    <w:p>
      <w:pPr>
        <w:pStyle w:val="Heading5"/>
        <w:numPr>
          <w:ilvl w:val="0"/>
          <w:numId w:val="0"/>
        </w:numPr>
        <w:ind w:left="1008" w:hanging="1008"/>
        <w:rPr>
          <w:rFonts w:hint="eastAsia"/>
          <w:lang w:val="en-US" w:eastAsia="zh-CN"/>
        </w:rPr>
      </w:pPr>
    </w:p>
    <w:p>
      <w:pPr>
        <w:pStyle w:val="Heading5"/>
        <w:numPr>
          <w:ilvl w:val="0"/>
          <w:numId w:val="0"/>
        </w:numPr>
        <w:ind w:left="1008" w:hanging="1008"/>
        <w:rPr>
          <w:rFonts w:hint="eastAsia"/>
          <w:lang w:val="en-US" w:eastAsia="zh-CN"/>
        </w:rPr>
      </w:pPr>
    </w:p>
    <w:p>
      <w:pPr>
        <w:pStyle w:val="Heading5"/>
        <w:numPr>
          <w:ilvl w:val="0"/>
          <w:numId w:val="0"/>
        </w:numPr>
        <w:ind w:left="1008" w:hanging="1008"/>
        <w:rPr>
          <w:rFonts w:hint="eastAsia"/>
          <w:lang w:val="en-US" w:eastAsia="zh-CN"/>
        </w:rPr>
      </w:pPr>
    </w:p>
    <w:p>
      <w:pPr>
        <w:pStyle w:val="Heading5"/>
        <w:numPr>
          <w:ilvl w:val="0"/>
          <w:numId w:val="0"/>
        </w:numPr>
        <w:ind w:left="1008" w:hanging="1008"/>
        <w:rPr>
          <w:rFonts w:hint="eastAsia"/>
          <w:lang w:val="en-US" w:eastAsia="zh-CN"/>
        </w:rPr>
      </w:pPr>
    </w:p>
    <w:p>
      <w:pPr>
        <w:pStyle w:val="Heading5"/>
        <w:numPr>
          <w:ilvl w:val="0"/>
          <w:numId w:val="0"/>
        </w:numPr>
        <w:ind w:left="1008" w:hanging="1008"/>
        <w:rPr>
          <w:rFonts w:hint="eastAsia"/>
          <w:lang w:val="en-US" w:eastAsia="zh-CN"/>
        </w:rPr>
      </w:pPr>
    </w:p>
    <w:p>
      <w:pPr>
        <w:pStyle w:val="Heading5"/>
        <w:numPr>
          <w:ilvl w:val="0"/>
          <w:numId w:val="0"/>
        </w:numPr>
        <w:ind w:left="1008" w:hanging="1008"/>
        <w:rPr>
          <w:rFonts w:hint="eastAsia"/>
          <w:lang w:val="en-US" w:eastAsia="zh-CN"/>
        </w:rPr>
      </w:pPr>
    </w:p>
    <w:p>
      <w:pPr>
        <w:pStyle w:val="Heading5"/>
        <w:numPr>
          <w:ilvl w:val="0"/>
          <w:numId w:val="0"/>
        </w:numPr>
        <w:ind w:left="1008" w:hanging="1008"/>
        <w:jc w:val="center"/>
        <w:rPr>
          <w:rFonts w:hint="eastAsia"/>
          <w:sz w:val="48"/>
          <w:szCs w:val="48"/>
          <w:lang w:val="en-US" w:eastAsia="zh-CN"/>
        </w:rPr>
      </w:pPr>
      <w:bookmarkStart w:id="0" w:name="_Toc13383"/>
      <w:r>
        <w:rPr>
          <w:rFonts w:hint="eastAsia"/>
          <w:sz w:val="48"/>
          <w:szCs w:val="48"/>
          <w:lang w:val="en-US" w:eastAsia="zh-CN"/>
        </w:rPr>
        <w:t xml:space="preserve">    </w:t>
      </w:r>
      <w:bookmarkStart w:id="1" w:name="_GoBack"/>
      <w:r>
        <w:rPr>
          <w:rFonts w:hint="eastAsia"/>
          <w:sz w:val="48"/>
          <w:szCs w:val="48"/>
          <w:lang w:val="en-US" w:eastAsia="zh-CN"/>
        </w:rPr>
        <w:t>企业私</w:t>
      </w:r>
      <w:r>
        <w:rPr>
          <w:rFonts w:hint="eastAsia"/>
          <w:sz w:val="48"/>
          <w:szCs w:val="48"/>
        </w:rPr>
        <w:t>云平台</w:t>
      </w:r>
      <w:r>
        <w:rPr>
          <w:rFonts w:hint="eastAsia"/>
          <w:sz w:val="48"/>
          <w:szCs w:val="48"/>
          <w:lang w:val="en-US" w:eastAsia="zh-CN"/>
        </w:rPr>
        <w:t>技术方案</w:t>
      </w:r>
      <w:bookmarkEnd w:id="0"/>
    </w:p>
    <w:bookmarkEnd w:id="1"/>
    <w:p>
      <w:pPr>
        <w:pStyle w:val="TB-"/>
        <w:rPr>
          <w:rFonts w:hint="eastAsia"/>
        </w:rPr>
      </w:pPr>
    </w:p>
    <w:p>
      <w:pPr>
        <w:pStyle w:val="TB-"/>
        <w:jc w:val="center"/>
        <w:rPr>
          <w:rFonts w:hint="default"/>
          <w:sz w:val="40"/>
          <w:szCs w:val="44"/>
          <w:lang w:val="en-US" w:eastAsia="zh-CN"/>
        </w:rPr>
      </w:pPr>
      <w:r>
        <w:rPr>
          <w:rFonts w:hint="eastAsia"/>
          <w:sz w:val="40"/>
          <w:szCs w:val="44"/>
          <w:lang w:val="en-US" w:eastAsia="zh-CN"/>
        </w:rPr>
        <w:t>2024</w:t>
      </w: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  <w:sectPr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</w:p>
    <w:p>
      <w:pPr>
        <w:pStyle w:val="TOC5"/>
        <w:tabs>
          <w:tab w:val="right" w:leader="dot" w:pos="8306"/>
        </w:tabs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TOC \o "1-6" \h \u </w:instrText>
      </w:r>
      <w:r>
        <w:rPr>
          <w:rFonts w:hint="eastAsia"/>
        </w:rPr>
        <w:fldChar w:fldCharType="separate"/>
      </w:r>
    </w:p>
    <w:p/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4077" w:history="1">
        <w:r>
          <w:rPr>
            <w:rFonts w:hint="eastAsia"/>
          </w:rPr>
          <w:t>1弹性云服务器</w:t>
        </w:r>
        <w:r>
          <w:tab/>
        </w:r>
        <w:r>
          <w:fldChar w:fldCharType="begin"/>
        </w:r>
        <w:r>
          <w:instrText xml:space="preserve"> PAGEREF _Toc4077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16807" w:history="1">
        <w:r>
          <w:rPr>
            <w:rFonts w:hint="eastAsia"/>
          </w:rPr>
          <w:t>2弹性伸缩服务</w:t>
        </w:r>
        <w:r>
          <w:tab/>
        </w:r>
        <w:r>
          <w:fldChar w:fldCharType="begin"/>
        </w:r>
        <w:r>
          <w:instrText xml:space="preserve"> PAGEREF _Toc16807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9703" w:history="1">
        <w:r>
          <w:rPr>
            <w:rFonts w:hint="eastAsia"/>
          </w:rPr>
          <w:t>3资源编排服务</w:t>
        </w:r>
        <w:r>
          <w:tab/>
        </w:r>
        <w:r>
          <w:fldChar w:fldCharType="begin"/>
        </w:r>
        <w:r>
          <w:instrText xml:space="preserve"> PAGEREF _Toc9703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30348" w:history="1">
        <w:r>
          <w:rPr>
            <w:rFonts w:hint="eastAsia"/>
          </w:rPr>
          <w:t>4对象存储</w:t>
        </w:r>
        <w:r>
          <w:tab/>
        </w:r>
        <w:r>
          <w:fldChar w:fldCharType="begin"/>
        </w:r>
        <w:r>
          <w:instrText xml:space="preserve"> PAGEREF _Toc30348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3937" w:history="1">
        <w:r>
          <w:rPr>
            <w:rFonts w:hint="eastAsia"/>
          </w:rPr>
          <w:t>5块存储</w:t>
        </w:r>
        <w:r>
          <w:tab/>
        </w:r>
        <w:r>
          <w:fldChar w:fldCharType="begin"/>
        </w:r>
        <w:r>
          <w:instrText xml:space="preserve"> PAGEREF _Toc3937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23493" w:history="1">
        <w:r>
          <w:rPr>
            <w:rFonts w:hint="eastAsia"/>
          </w:rPr>
          <w:t>6负载均衡</w:t>
        </w:r>
        <w:r>
          <w:tab/>
        </w:r>
        <w:r>
          <w:fldChar w:fldCharType="begin"/>
        </w:r>
        <w:r>
          <w:instrText xml:space="preserve"> PAGEREF _Toc23493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19550" w:history="1">
        <w:r>
          <w:rPr>
            <w:rFonts w:hint="eastAsia"/>
          </w:rPr>
          <w:t>7虚拟网络服务</w:t>
        </w:r>
        <w:r>
          <w:tab/>
        </w:r>
        <w:r>
          <w:fldChar w:fldCharType="begin"/>
        </w:r>
        <w:r>
          <w:instrText xml:space="preserve"> PAGEREF _Toc19550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27127" w:history="1">
        <w:r>
          <w:rPr>
            <w:rFonts w:hint="eastAsia"/>
          </w:rPr>
          <w:t>8云平台运营管理</w:t>
        </w:r>
        <w:r>
          <w:tab/>
        </w:r>
        <w:r>
          <w:fldChar w:fldCharType="begin"/>
        </w:r>
        <w:r>
          <w:instrText xml:space="preserve"> PAGEREF _Toc27127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12532" w:history="1">
        <w:r>
          <w:rPr>
            <w:rFonts w:hint="eastAsia"/>
          </w:rPr>
          <w:t>9云平台运维管理</w:t>
        </w:r>
        <w:r>
          <w:tab/>
        </w:r>
        <w:r>
          <w:fldChar w:fldCharType="begin"/>
        </w:r>
        <w:r>
          <w:instrText xml:space="preserve"> PAGEREF _Toc12532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29397" w:history="1">
        <w:r>
          <w:rPr>
            <w:rFonts w:hint="eastAsia"/>
          </w:rPr>
          <w:t>10态势感知</w:t>
        </w:r>
        <w:r>
          <w:tab/>
        </w:r>
        <w:r>
          <w:fldChar w:fldCharType="begin"/>
        </w:r>
        <w:r>
          <w:instrText xml:space="preserve"> PAGEREF _Toc29397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17944" w:history="1">
        <w:r>
          <w:rPr>
            <w:rFonts w:hint="eastAsia"/>
          </w:rPr>
          <w:t>11云主机安全</w:t>
        </w:r>
        <w:r>
          <w:tab/>
        </w:r>
        <w:r>
          <w:fldChar w:fldCharType="begin"/>
        </w:r>
        <w:r>
          <w:instrText xml:space="preserve"> PAGEREF _Toc17944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10571" w:history="1">
        <w:r>
          <w:rPr>
            <w:rFonts w:hint="eastAsia"/>
          </w:rPr>
          <w:t>12云堡垒机服务</w:t>
        </w:r>
        <w:r>
          <w:tab/>
        </w:r>
        <w:r>
          <w:fldChar w:fldCharType="begin"/>
        </w:r>
        <w:r>
          <w:instrText xml:space="preserve"> PAGEREF _Toc10571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6"/>
        <w:tabs>
          <w:tab w:val="right" w:leader="dot" w:pos="8306"/>
        </w:tabs>
        <w:ind w:left="1440" w:firstLine="0" w:leftChars="600" w:firstLineChars="0"/>
      </w:pPr>
      <w:hyperlink w:anchor="_Toc12716" w:history="1">
        <w:r>
          <w:rPr>
            <w:rFonts w:hint="eastAsia"/>
          </w:rPr>
          <w:t>13数据库审计服务</w:t>
        </w:r>
        <w:r>
          <w:tab/>
        </w:r>
        <w:r>
          <w:fldChar w:fldCharType="begin"/>
        </w:r>
        <w:r>
          <w:instrText xml:space="preserve"> PAGEREF _Toc12716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B-"/>
        <w:rPr>
          <w:rFonts w:hint="eastAsia"/>
        </w:rPr>
      </w:pPr>
      <w:r>
        <w:rPr>
          <w:rFonts w:hint="eastAsia"/>
        </w:rPr>
        <w:fldChar w:fldCharType="end"/>
      </w: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</w:pPr>
    </w:p>
    <w:p>
      <w:pPr>
        <w:pStyle w:val="TB-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</w:p>
    <w:p>
      <w:pPr>
        <w:pStyle w:val="Heading6"/>
        <w:numPr>
          <w:ilvl w:val="5"/>
          <w:numId w:val="0"/>
        </w:numPr>
      </w:pPr>
      <w:bookmarkStart w:id="2" w:name="_Toc4077"/>
      <w:r>
        <w:rPr>
          <w:rFonts w:hint="eastAsia"/>
        </w:rPr>
        <w:t>1弹性云服务器</w:t>
      </w:r>
      <w:bookmarkEnd w:id="2"/>
    </w:p>
    <w:p>
      <w:pPr>
        <w:pStyle w:val="TB-"/>
        <w:ind w:firstLine="480"/>
      </w:pPr>
      <w:r>
        <w:rPr>
          <w:rFonts w:hint="eastAsia"/>
        </w:rPr>
        <w:t>ECS，即弹性云服务器，可以使用户可以在几分钟之内迅速地获得虚拟机设施，并且这些基础设施是弹性的，可以根据需求进行扩展和收缩。不同类型的弹性云服务器匹配不同的应用场景，可以根据自己的业务诉求选择相应的云服务器。</w:t>
      </w:r>
    </w:p>
    <w:p>
      <w:pPr>
        <w:jc w:val="center"/>
        <w:rPr>
          <w:rFonts w:ascii="宋体" w:hAnsi="宋体" w:cs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779645" cy="4039235"/>
            <wp:effectExtent l="0" t="0" r="5715" b="14605"/>
            <wp:docPr id="352" name="图片 352" descr="http://localhost:7890/pages/KZK09307/04/KZK09307/04/resources/figure/zh-cn_image_02495724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图片 352" descr="http://localhost:7890/pages/KZK09307/04/KZK09307/04/resources/figure/zh-cn_image_0249572455.pn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2562" cy="4041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TB-"/>
        <w:ind w:firstLine="480"/>
      </w:pPr>
      <w:r>
        <w:rPr>
          <w:rFonts w:hint="eastAsia"/>
        </w:rPr>
        <w:t>组件说明:</w:t>
      </w:r>
    </w:p>
    <w:tbl>
      <w:tblPr>
        <w:tblStyle w:val="TableGrid0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3"/>
        <w:gridCol w:w="6749"/>
      </w:tblGrid>
      <w:tr>
        <w:tblPrEx>
          <w:tblW w:w="5000" w:type="pct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0" w:type="pct"/>
            <w:shd w:val="clear" w:color="auto" w:fill="D9D9D9"/>
          </w:tcPr>
          <w:p>
            <w:pPr>
              <w:widowControl w:val="0"/>
              <w:rPr>
                <w:rFonts w:ascii="宋体" w:hAnsi="宋体" w:cs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 w:hint="eastAsia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组件类型</w:t>
            </w:r>
          </w:p>
        </w:tc>
        <w:tc>
          <w:tcPr>
            <w:tcW w:w="3960" w:type="pct"/>
            <w:shd w:val="clear" w:color="auto" w:fill="D9D9D9"/>
          </w:tcPr>
          <w:p>
            <w:pPr>
              <w:widowControl w:val="0"/>
              <w:rPr>
                <w:rFonts w:ascii="宋体" w:hAnsi="宋体" w:cs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 w:hint="eastAsia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详情</w:t>
            </w:r>
          </w:p>
        </w:tc>
      </w:tr>
      <w:tr>
        <w:tblPrEx>
          <w:tblW w:w="5000" w:type="pct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0" w:type="pct"/>
          </w:tcPr>
          <w:p>
            <w:pPr>
              <w:widowControl w:val="0"/>
              <w:spacing w:before="48" w:after="48"/>
              <w:jc w:val="left"/>
              <w:rPr>
                <w:rFonts w:asciiTheme="minorEastAsia" w:eastAsiaTheme="minorEastAsia" w:hAnsiTheme="minorEastAsia" w:cs="宋体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Console</w:t>
            </w:r>
          </w:p>
        </w:tc>
        <w:tc>
          <w:tcPr>
            <w:tcW w:w="3960" w:type="pct"/>
          </w:tcPr>
          <w:p>
            <w:pPr>
              <w:widowControl w:val="0"/>
              <w:spacing w:before="48" w:after="48"/>
              <w:jc w:val="left"/>
              <w:rPr>
                <w:rFonts w:asciiTheme="minorEastAsia" w:eastAsiaTheme="minorEastAsia" w:hAnsiTheme="minorEastAsia" w:cs="宋体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ECS_UI是以弹性云服务器为中心，对相关资源进行管理的Console控制台。</w:t>
            </w:r>
          </w:p>
        </w:tc>
      </w:tr>
      <w:tr>
        <w:tblPrEx>
          <w:tblW w:w="5000" w:type="pct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0" w:type="pct"/>
          </w:tcPr>
          <w:p>
            <w:pPr>
              <w:widowControl w:val="0"/>
              <w:spacing w:before="48" w:after="48"/>
              <w:jc w:val="left"/>
              <w:rPr>
                <w:rFonts w:asciiTheme="minorEastAsia" w:eastAsiaTheme="minorEastAsia" w:hAnsiTheme="minorEastAsia" w:cs="宋体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组合API(ECS)</w:t>
            </w:r>
          </w:p>
        </w:tc>
        <w:tc>
          <w:tcPr>
            <w:tcW w:w="3960" w:type="pct"/>
          </w:tcPr>
          <w:p>
            <w:pPr>
              <w:widowControl w:val="0"/>
              <w:spacing w:before="48" w:after="48"/>
              <w:jc w:val="left"/>
              <w:rPr>
                <w:rFonts w:asciiTheme="minorEastAsia" w:eastAsiaTheme="minorEastAsia" w:hAnsiTheme="minorEastAsia" w:cs="宋体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组合API为弹性云服务器后台服务，可以理解为ECS_UI的服务端，支持调用FusionSphere OpenStack组件。ECS在前台发出的请求，经ECS_UI转发至组合API，组合API处理完后将结果返回ECS_UI。</w:t>
            </w:r>
          </w:p>
        </w:tc>
      </w:tr>
      <w:tr>
        <w:tblPrEx>
          <w:tblW w:w="5000" w:type="pct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0" w:type="pct"/>
          </w:tcPr>
          <w:p>
            <w:pPr>
              <w:widowControl w:val="0"/>
              <w:rPr>
                <w:rFonts w:asciiTheme="minorEastAsia" w:eastAsiaTheme="minorEastAsia" w:hAnsiTheme="minorEastAsia" w:cs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资源池</w:t>
            </w:r>
          </w:p>
        </w:tc>
        <w:tc>
          <w:tcPr>
            <w:tcW w:w="3960" w:type="pct"/>
          </w:tcPr>
          <w:p>
            <w:pPr>
              <w:widowControl/>
              <w:numPr>
                <w:ilvl w:val="0"/>
                <w:numId w:val="3"/>
              </w:numPr>
              <w:adjustRightInd w:val="0"/>
              <w:snapToGrid w:val="0"/>
              <w:spacing w:before="120" w:after="120"/>
              <w:ind w:left="225" w:right="225" w:firstLine="0"/>
              <w:jc w:val="left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Glance：提供镜像管理服务。</w:t>
            </w:r>
          </w:p>
          <w:p>
            <w:pPr>
              <w:widowControl/>
              <w:numPr>
                <w:ilvl w:val="0"/>
                <w:numId w:val="3"/>
              </w:numPr>
              <w:adjustRightInd w:val="0"/>
              <w:snapToGrid w:val="0"/>
              <w:spacing w:before="120" w:after="0"/>
              <w:ind w:left="225" w:right="225" w:firstLine="0"/>
              <w:jc w:val="left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</w:p>
    <w:tbl>
      <w:tblPr>
        <w:tblStyle w:val="TableGrid1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3"/>
        <w:gridCol w:w="6749"/>
      </w:tblGrid>
      <w:tr>
        <w:tblPrEx>
          <w:tblW w:w="5000" w:type="pct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0" w:type="pct"/>
          </w:tcPr>
          <w:p/>
        </w:tc>
        <w:tc>
          <w:tcPr>
            <w:tcW w:w="3960" w:type="pct"/>
          </w:tcPr>
          <w:p>
            <w:pPr>
              <w:widowControl/>
              <w:numPr>
                <w:ilvl w:val="0"/>
                <w:numId w:val="0"/>
              </w:numPr>
              <w:adjustRightInd w:val="0"/>
              <w:snapToGrid w:val="0"/>
              <w:spacing w:before="0" w:after="120"/>
              <w:ind w:left="360" w:right="225" w:firstLine="0"/>
              <w:jc w:val="left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Nova：在OpenStack环境中管理计算实例的生命周期，包括批量创建，按需调度和停止。</w:t>
            </w:r>
          </w:p>
          <w:p>
            <w:pPr>
              <w:widowControl/>
              <w:numPr>
                <w:ilvl w:val="0"/>
                <w:numId w:val="3"/>
              </w:numPr>
              <w:adjustRightInd w:val="0"/>
              <w:snapToGrid w:val="0"/>
              <w:spacing w:before="120" w:after="120"/>
              <w:ind w:left="225" w:right="225" w:firstLine="0"/>
              <w:jc w:val="left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Cinder：为运行的实例提供持久块存储。其可插拔驱动使创建和管理块存储设备更加便利。</w:t>
            </w:r>
          </w:p>
          <w:p>
            <w:pPr>
              <w:widowControl/>
              <w:numPr>
                <w:ilvl w:val="0"/>
                <w:numId w:val="3"/>
              </w:numPr>
              <w:adjustRightInd w:val="0"/>
              <w:snapToGrid w:val="0"/>
              <w:spacing w:before="120" w:after="120"/>
              <w:ind w:left="225" w:right="225" w:firstLine="0"/>
              <w:jc w:val="left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Neutron：提供用于定义网络连通性和寻址的API。</w:t>
            </w:r>
          </w:p>
        </w:tc>
      </w:tr>
      <w:tr>
        <w:tblPrEx>
          <w:tblW w:w="5000" w:type="pct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0" w:type="pct"/>
          </w:tcPr>
          <w:p>
            <w:pPr>
              <w:widowControl w:val="0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认证统一</w:t>
            </w:r>
          </w:p>
        </w:tc>
        <w:tc>
          <w:tcPr>
            <w:tcW w:w="3960" w:type="pct"/>
          </w:tcPr>
          <w:p>
            <w:pPr>
              <w:widowControl/>
              <w:spacing w:before="120" w:after="120"/>
              <w:ind w:right="225"/>
              <w:jc w:val="left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提供登录时的统一身份认证。</w:t>
            </w:r>
          </w:p>
        </w:tc>
      </w:tr>
      <w:tr>
        <w:tblPrEx>
          <w:tblW w:w="5000" w:type="pct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0" w:type="pct"/>
          </w:tcPr>
          <w:p>
            <w:pPr>
              <w:widowControl w:val="0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公共组件</w:t>
            </w:r>
          </w:p>
        </w:tc>
        <w:tc>
          <w:tcPr>
            <w:tcW w:w="3960" w:type="pct"/>
          </w:tcPr>
          <w:p>
            <w:pPr>
              <w:widowControl/>
              <w:tabs>
                <w:tab w:val="left" w:pos="360"/>
              </w:tabs>
              <w:spacing w:before="120" w:after="120"/>
              <w:ind w:right="225"/>
              <w:jc w:val="left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由组合API上报ECS相关的配额、订单、产品信息、计量计费信息至ManageOne运营模块。</w:t>
            </w:r>
          </w:p>
        </w:tc>
      </w:tr>
      <w:tr>
        <w:tblPrEx>
          <w:tblW w:w="5000" w:type="pct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40" w:type="pct"/>
          </w:tcPr>
          <w:p>
            <w:pPr>
              <w:widowControl w:val="0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统一运维</w:t>
            </w:r>
          </w:p>
        </w:tc>
        <w:tc>
          <w:tcPr>
            <w:tcW w:w="3960" w:type="pct"/>
          </w:tcPr>
          <w:p>
            <w:pPr>
              <w:widowControl/>
              <w:spacing w:before="120" w:after="120"/>
              <w:ind w:right="225"/>
              <w:jc w:val="left"/>
              <w:rPr>
                <w:rFonts w:asciiTheme="minorEastAsia" w:eastAsiaTheme="minorEastAsia" w:hAnsiTheme="minorEastAsia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由组合API上报ECS相关的日志、监控、告警信息至ManageOne运维模块。</w:t>
            </w:r>
          </w:p>
        </w:tc>
      </w:tr>
    </w:tbl>
    <w:p>
      <w:pPr>
        <w:pStyle w:val="TB-"/>
        <w:ind w:firstLine="480"/>
      </w:pPr>
      <w:r>
        <w:rPr>
          <w:rFonts w:hint="eastAsia"/>
        </w:rPr>
        <w:t>HCS支持的云服务器：</w:t>
      </w:r>
    </w:p>
    <w:p>
      <w:pPr>
        <w:pStyle w:val="TB-"/>
        <w:ind w:firstLine="480"/>
      </w:pPr>
      <w:r>
        <w:rPr>
          <w:rFonts w:hint="eastAsia"/>
        </w:rPr>
        <w:t>1、通用型</w:t>
      </w:r>
    </w:p>
    <w:p>
      <w:pPr>
        <w:pStyle w:val="TB-"/>
        <w:ind w:firstLine="480"/>
      </w:pPr>
      <w:r>
        <w:rPr>
          <w:rFonts w:hint="eastAsia"/>
        </w:rPr>
        <w:t>通用型弹性云服务器主要提供基本水平的vCPU性能、平衡的计算、内存和网络资源，同时可根据工作负载的需要实现性能的突增，具有短期发挥更高性能的能力。适用于那些不会经常（或始终不会）用尽vCPU性能，但会偶尔突然使用的场景，特别适合通用工作负载，如Web服务器、开发人员环境和小型数据库等，是很多应用程序的上好选择。</w:t>
      </w:r>
    </w:p>
    <w:p>
      <w:pPr>
        <w:pStyle w:val="TB-"/>
        <w:ind w:firstLine="480"/>
      </w:pPr>
      <w:r>
        <w:t>2</w:t>
      </w:r>
      <w:r>
        <w:rPr>
          <w:rFonts w:hint="eastAsia"/>
        </w:rPr>
        <w:t>、通用独享型</w:t>
      </w:r>
    </w:p>
    <w:p>
      <w:pPr>
        <w:pStyle w:val="TB-"/>
        <w:ind w:firstLine="480"/>
      </w:pPr>
      <w:r>
        <w:rPr>
          <w:rFonts w:hint="eastAsia"/>
        </w:rPr>
        <w:t>提供性能稳定且资源独享的CPU、内存运行环境，适用于对CPU、内存性能有较高诉求Web服务、小型数据库运行环境。</w:t>
      </w:r>
    </w:p>
    <w:p>
      <w:pPr>
        <w:pStyle w:val="TB-"/>
        <w:ind w:firstLine="480"/>
      </w:pPr>
      <w:r>
        <w:rPr>
          <w:rFonts w:hint="eastAsia"/>
        </w:rPr>
        <w:t>3、内存优化型</w:t>
      </w:r>
    </w:p>
    <w:p>
      <w:pPr>
        <w:pStyle w:val="TB-"/>
        <w:ind w:firstLine="480"/>
        <w:rPr>
          <w:rFonts w:ascii="宋体" w:hAnsi="宋体"/>
          <w:sz w:val="21"/>
          <w:szCs w:val="21"/>
        </w:rPr>
      </w:pPr>
      <w:r>
        <w:rPr>
          <w:rFonts w:hint="eastAsia"/>
        </w:rPr>
        <w:t>内存优化型弹性云服务器基于KVM虚拟化平台，特别适合处理内存中的大型数据集。提供最大512GB基于 DDR4 的内存实例，是高内存计算应用的最佳选择。适用于对内存要求高，数据量大并且数据访问量大，同时要求快速的数据交换和处理的应用，适用于广告精准营销、</w:t>
      </w:r>
      <w:r>
        <w:rPr>
          <w:rFonts w:ascii="宋体" w:hAnsi="宋体" w:hint="eastAsia"/>
          <w:sz w:val="21"/>
          <w:szCs w:val="21"/>
        </w:rPr>
        <w:t>电商、车联网等大数据分析场景。</w:t>
      </w:r>
    </w:p>
    <w:p>
      <w:pPr>
        <w:pStyle w:val="TB-"/>
        <w:ind w:firstLine="480"/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t>4</w:t>
      </w:r>
      <w:r>
        <w:rPr>
          <w:rFonts w:hint="eastAsia"/>
        </w:rPr>
        <w:t>、通用计算增强型</w:t>
      </w:r>
    </w:p>
    <w:p>
      <w:pPr>
        <w:pStyle w:val="TB-"/>
        <w:ind w:firstLine="480"/>
      </w:pPr>
      <w:r>
        <w:rPr>
          <w:rFonts w:hint="eastAsia"/>
        </w:rPr>
        <w:t>相比通用计算型，通用计算增强型弹性云服务器提供了更大规格的CPU和内存组合，更优的网络性能，可选范围更广，综合性能及稳定性全面提升，满足对业务稳定性及计算性能要求较高的企业级应用诉求。</w:t>
      </w:r>
    </w:p>
    <w:p>
      <w:pPr>
        <w:pStyle w:val="TB-"/>
        <w:ind w:firstLine="439" w:firstLineChars="183"/>
      </w:pPr>
      <w:r>
        <w:rPr>
          <w:rFonts w:hint="eastAsia"/>
        </w:rPr>
        <w:t>服务能力介绍：</w:t>
      </w:r>
    </w:p>
    <w:p>
      <w:pPr>
        <w:pStyle w:val="TB-"/>
        <w:ind w:firstLine="439" w:firstLineChars="183"/>
      </w:pPr>
      <w:r>
        <w:rPr>
          <w:rFonts w:hint="eastAsia"/>
        </w:rPr>
        <w:t>ECS服务通过web管理控制台，让用户自主的完成服务实例的申请、释放、变更等操作，从而灵活使用ECS服务。</w:t>
      </w:r>
    </w:p>
    <w:p>
      <w:pPr>
        <w:pStyle w:val="TB-"/>
        <w:ind w:firstLine="439" w:firstLineChars="183"/>
      </w:pPr>
      <w:r>
        <w:rPr>
          <w:rFonts w:hint="eastAsia"/>
        </w:rPr>
        <w:t>ECS服务具有以下特性：</w:t>
      </w:r>
    </w:p>
    <w:p>
      <w:pPr>
        <w:pStyle w:val="TB-"/>
        <w:ind w:firstLine="480"/>
      </w:pPr>
      <w:r>
        <w:t>1</w:t>
      </w:r>
      <w:r>
        <w:rPr>
          <w:rFonts w:hint="eastAsia"/>
        </w:rPr>
        <w:t>、支持多类型，多规格云服务器的选择和变更。</w:t>
      </w:r>
    </w:p>
    <w:p>
      <w:pPr>
        <w:pStyle w:val="TB-"/>
        <w:ind w:firstLine="439" w:firstLineChars="183"/>
      </w:pPr>
      <w:r>
        <w:rPr>
          <w:rFonts w:hint="eastAsia"/>
        </w:rPr>
        <w:t>支持多类型云服务供选择，每种类型的弹性云服务器系统管理员可以根据业务需求自定义规格，建议项目中对业务VM规格进行分类和标准化，合理控制规格数量，中小规模项目建议规格不超过8种，大规模项目建议规格不超过16种。支持ECS服务实例的规格变更。</w:t>
      </w:r>
    </w:p>
    <w:p>
      <w:pPr>
        <w:pStyle w:val="TB-"/>
        <w:ind w:firstLine="480"/>
      </w:pPr>
      <w:r>
        <w:rPr>
          <w:rFonts w:hint="eastAsia"/>
        </w:rPr>
        <w:t>2、支持多种类型云硬盘供选择，例如分布式存储、SAN存储。</w:t>
      </w:r>
    </w:p>
    <w:p>
      <w:pPr>
        <w:pStyle w:val="TB-"/>
        <w:ind w:firstLine="480"/>
      </w:pPr>
      <w:r>
        <w:rPr>
          <w:rFonts w:hint="eastAsia"/>
        </w:rPr>
        <w:t>每个可用分区内可以选择对应的存储类型，包括分布式存储、SAN存储。可用分区内存储可以划分为多个不同能力的存储池，定义相应的Volume Type，例如可定义为普通IO、高IO、超高IO，供用户申请ECS服务时进行选择。</w:t>
      </w:r>
    </w:p>
    <w:p>
      <w:pPr>
        <w:pStyle w:val="TB-"/>
        <w:ind w:firstLine="480"/>
      </w:pPr>
      <w:r>
        <w:rPr>
          <w:rFonts w:hint="eastAsia"/>
        </w:rPr>
        <w:t>除系统盘之外，最大还可以支持挂载59块数据盘（最多支持59块SCSI盘，且SCSI盘和VBD盘的总数不能超过59，支持的VBD盘的总数参见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REF ___table0394135161817 \r \h \* MERGEFORMAT </w:instrText>
      </w:r>
      <w:r>
        <w:rPr>
          <w:rFonts w:hint="eastAsia"/>
        </w:rPr>
        <w:fldChar w:fldCharType="separate"/>
      </w:r>
      <w:r>
        <w:rPr>
          <w:rFonts w:hint="eastAsia"/>
        </w:rPr>
        <w:t>0</w:t>
      </w:r>
      <w:r>
        <w:rPr>
          <w:rFonts w:hint="eastAsia"/>
        </w:rPr>
        <w:fldChar w:fldCharType="end"/>
      </w:r>
      <w:r>
        <w:rPr>
          <w:rFonts w:hint="eastAsia"/>
        </w:rPr>
        <w:t>），每块最大支持32T，满足用户不同的IO以及容量需求。</w:t>
      </w:r>
    </w:p>
    <w:p>
      <w:pPr>
        <w:pStyle w:val="TB-"/>
        <w:ind w:firstLine="480"/>
      </w:pPr>
      <w:r>
        <w:rPr>
          <w:rFonts w:hint="eastAsia"/>
        </w:rPr>
        <w:t>支持云硬盘的扩容，当磁盘空间不足时，可以通过扩容原有磁盘空间满足需求</w:t>
      </w:r>
    </w:p>
    <w:tbl>
      <w:tblPr>
        <w:tblStyle w:val="TableNormal"/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7"/>
        <w:gridCol w:w="6295"/>
      </w:tblGrid>
      <w:tr>
        <w:tblPrEx>
          <w:tblW w:w="8642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/>
          <w:tblHeader/>
          <w:jc w:val="center"/>
        </w:trPr>
        <w:tc>
          <w:tcPr>
            <w:tcW w:w="1358" w:type="pct"/>
          </w:tcPr>
          <w:p>
            <w:pPr>
              <w:pStyle w:val="TB-"/>
              <w:ind w:firstLine="480"/>
            </w:pPr>
            <w:r>
              <w:rPr>
                <w:rFonts w:hint="eastAsia"/>
              </w:rPr>
              <w:t>磁盘设备类型</w:t>
            </w:r>
          </w:p>
        </w:tc>
        <w:tc>
          <w:tcPr>
            <w:tcW w:w="3642" w:type="pct"/>
          </w:tcPr>
          <w:p>
            <w:pPr>
              <w:pStyle w:val="TB-"/>
              <w:ind w:firstLine="480"/>
            </w:pPr>
            <w:r>
              <w:rPr>
                <w:rFonts w:hint="eastAsia"/>
              </w:rPr>
              <w:t>VBD盘总量</w:t>
            </w:r>
          </w:p>
        </w:tc>
      </w:tr>
      <w:tr>
        <w:tblPrEx>
          <w:tblW w:w="8642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/>
          <w:jc w:val="center"/>
        </w:trPr>
        <w:tc>
          <w:tcPr>
            <w:tcW w:w="1358" w:type="pct"/>
          </w:tcPr>
          <w:p>
            <w:pPr>
              <w:pStyle w:val="TB-"/>
              <w:ind w:firstLine="480"/>
            </w:pPr>
            <w:r>
              <w:rPr>
                <w:rFonts w:hint="eastAsia"/>
              </w:rPr>
              <w:t>ide</w:t>
            </w:r>
          </w:p>
        </w:tc>
        <w:tc>
          <w:tcPr>
            <w:tcW w:w="3642" w:type="pct"/>
          </w:tcPr>
          <w:p>
            <w:pPr>
              <w:pStyle w:val="TB-"/>
              <w:ind w:firstLine="480"/>
            </w:pPr>
            <w:r>
              <w:rPr>
                <w:rFonts w:hint="eastAsia"/>
              </w:rPr>
              <w:t>4(X86场景)，且光驱与VBD磁盘的总数不能超过4</w:t>
            </w:r>
          </w:p>
        </w:tc>
      </w:tr>
      <w:tr>
        <w:tblPrEx>
          <w:tblW w:w="8642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/>
          <w:jc w:val="center"/>
        </w:trPr>
        <w:tc>
          <w:tcPr>
            <w:tcW w:w="1358" w:type="pct"/>
          </w:tcPr>
          <w:p>
            <w:pPr>
              <w:pStyle w:val="TB-"/>
              <w:ind w:firstLine="480"/>
            </w:pPr>
            <w:r>
              <w:rPr>
                <w:rFonts w:hint="eastAsia"/>
              </w:rPr>
              <w:t>virtio</w:t>
            </w:r>
          </w:p>
        </w:tc>
        <w:tc>
          <w:tcPr>
            <w:tcW w:w="3642" w:type="pct"/>
          </w:tcPr>
          <w:p>
            <w:pPr>
              <w:pStyle w:val="TB-"/>
              <w:ind w:firstLine="480"/>
            </w:pPr>
            <w:r>
              <w:rPr>
                <w:rFonts w:hint="eastAsia"/>
              </w:rPr>
              <w:t>24</w:t>
            </w:r>
          </w:p>
        </w:tc>
      </w:tr>
      <w:tr>
        <w:tblPrEx>
          <w:tblW w:w="8642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/>
          <w:jc w:val="center"/>
        </w:trPr>
        <w:tc>
          <w:tcPr>
            <w:tcW w:w="1358" w:type="pct"/>
          </w:tcPr>
          <w:p>
            <w:pPr>
              <w:pStyle w:val="TB-"/>
              <w:ind w:firstLine="480"/>
            </w:pPr>
            <w:r>
              <w:rPr>
                <w:rFonts w:hint="eastAsia"/>
              </w:rPr>
              <w:t>scsi</w:t>
            </w:r>
          </w:p>
        </w:tc>
        <w:tc>
          <w:tcPr>
            <w:tcW w:w="3642" w:type="pct"/>
          </w:tcPr>
          <w:p>
            <w:pPr>
              <w:pStyle w:val="TB-"/>
              <w:ind w:firstLine="480"/>
            </w:pPr>
            <w:r>
              <w:rPr>
                <w:rFonts w:hint="eastAsia"/>
              </w:rPr>
              <w:t>60</w:t>
            </w:r>
          </w:p>
        </w:tc>
      </w:tr>
    </w:tbl>
    <w:p>
      <w:pPr>
        <w:ind w:firstLine="480" w:firstLineChars="200"/>
        <w:rPr>
          <w:rFonts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TB-"/>
        <w:ind w:firstLine="480"/>
      </w:pPr>
      <w:r>
        <w:rPr>
          <w:rFonts w:hint="eastAsia"/>
        </w:rPr>
        <w:t>3、网络自定义，自由划分子网、设置网络访问策略。</w:t>
      </w:r>
    </w:p>
    <w:p>
      <w:pPr>
        <w:pStyle w:val="TB-"/>
        <w:ind w:firstLine="480"/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hint="eastAsia"/>
        </w:rPr>
        <w:t>通过VPC（虚拟私有云服务）实现虚拟私有云网络管理，用户可自助规划VPC内网络的IP地址范围。</w:t>
      </w:r>
    </w:p>
    <w:p>
      <w:pPr>
        <w:pStyle w:val="TB-"/>
        <w:ind w:firstLine="480"/>
      </w:pPr>
      <w:r>
        <w:rPr>
          <w:rFonts w:hint="eastAsia"/>
        </w:rPr>
        <w:t>为每个ECS实例提供私网IP和公网IP，用于不同的连接场景。私网IP可以内部连接使用，每个ECS实例支持同时挂载16张网卡（ARM场景下，可以挂载的网卡数目与ECS实例的磁盘设备类型和VBD磁盘数目相关，详细信息可以参考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REF ___table0394135161817 \r \h \* MERGEFORMAT </w:instrText>
      </w:r>
      <w:r>
        <w:rPr>
          <w:rFonts w:hint="eastAsia"/>
        </w:rPr>
        <w:fldChar w:fldCharType="separate"/>
      </w:r>
      <w:r>
        <w:rPr>
          <w:rFonts w:hint="eastAsia"/>
        </w:rPr>
        <w:t>0</w:t>
      </w:r>
      <w:r>
        <w:rPr>
          <w:rFonts w:hint="eastAsia"/>
        </w:rPr>
        <w:fldChar w:fldCharType="end"/>
      </w:r>
      <w:r>
        <w:rPr>
          <w:rFonts w:hint="eastAsia"/>
        </w:rPr>
        <w:t>），每张网卡可以在不同的子网内，私网IP可以通过DHCP分配或指定IP地址；公网IP可以对外连接企业内大网或互联网，可以根据需要申请绑定“EIP”为ECS实例申请公网IP。</w:t>
      </w:r>
    </w:p>
    <w:p>
      <w:pPr>
        <w:pStyle w:val="TB-"/>
        <w:ind w:firstLine="480"/>
      </w:pPr>
      <w:r>
        <w:t>4</w:t>
      </w:r>
      <w:r>
        <w:rPr>
          <w:rFonts w:hint="eastAsia"/>
        </w:rPr>
        <w:t>、提供公共镜像能力和私有镜像服务，免安装快速部署操作系统与软件。</w:t>
      </w:r>
    </w:p>
    <w:p>
      <w:pPr>
        <w:pStyle w:val="TB-"/>
        <w:ind w:firstLine="480"/>
      </w:pPr>
      <w:r>
        <w:rPr>
          <w:rFonts w:hint="eastAsia"/>
        </w:rPr>
        <w:t>公共镜像：公共镜像由系统管理员制作并注册到系统中，一般提供常见的标准操作系统镜像，所有用户可见。包含操作系统以及预装的公共应用。</w:t>
      </w:r>
    </w:p>
    <w:p>
      <w:pPr>
        <w:pStyle w:val="TB-"/>
        <w:ind w:firstLine="480"/>
      </w:pPr>
      <w:r>
        <w:rPr>
          <w:rFonts w:hint="eastAsia"/>
        </w:rPr>
        <w:t>私有镜像：私有镜像服务用于满足用户个性化需求。选择私有镜像创建云主机，可以节省重复配置云主机的时间。私有镜像仅用户自己可见。包含操作系统、预装的公共应用以及用户的私有应用。用户可基于ECS实例或者已有的镜像文件创建的私有镜像。</w:t>
      </w:r>
    </w:p>
    <w:p>
      <w:pPr>
        <w:pStyle w:val="TB-"/>
        <w:ind w:firstLine="480"/>
      </w:pPr>
      <w:r>
        <w:rPr>
          <w:rFonts w:hint="eastAsia"/>
        </w:rPr>
        <w:t>提供VNC控制台、远程终端和 API 等多种管理方式，满足用户多种登录需求，简化运维人员的工作难度，提升运维效率。</w:t>
      </w:r>
    </w:p>
    <w:p>
      <w:pPr>
        <w:pStyle w:val="TB-"/>
        <w:ind w:firstLine="480"/>
      </w:pPr>
      <w:r>
        <w:rPr>
          <w:rFonts w:hint="eastAsia"/>
        </w:rPr>
        <w:t>用户可以完全控制自己创建的ECS实例。通过VNC控制台连接终端，解决系统问题，进行各项操作；也可以通过ECS服务控制台、API、命令行等类似工具对服务器进行启动、重启、关机等操作。</w:t>
      </w:r>
    </w:p>
    <w:p>
      <w:pPr>
        <w:pStyle w:val="TB-"/>
        <w:ind w:firstLine="480"/>
      </w:pPr>
      <w:r>
        <w:rPr>
          <w:rFonts w:hint="eastAsia"/>
        </w:rPr>
        <w:t>5、安全。</w:t>
      </w:r>
    </w:p>
    <w:p>
      <w:pPr>
        <w:pStyle w:val="TB-"/>
        <w:ind w:firstLine="480"/>
      </w:pPr>
      <w:r>
        <w:rPr>
          <w:rFonts w:hint="eastAsia"/>
        </w:rPr>
        <w:t>支持用户申请时指定实例登录方式，ECS实例支持多种登录方式（密码、密钥对），密码防暴力破解，满足用户的登录安全需求。对于Windows的ECS实例，用户只能使用密码登陆。支持云硬盘备份，在磁盘故障或数据错误时可快速恢复，使数据更加安全可靠。</w:t>
      </w:r>
    </w:p>
    <w:p>
      <w:pPr>
        <w:pStyle w:val="TB-"/>
        <w:ind w:firstLine="480"/>
      </w:pPr>
      <w:r>
        <w:rPr>
          <w:rFonts w:hint="eastAsia"/>
        </w:rPr>
        <w:t>实例反亲和性：支持在ECS控制台上创建一个或多个反亲和性组。在一个反亲和性组中的ECS实例将分配到不同的物理主机上来保证高可用。用户可以把同一应用模块的ECS实例加入反亲和性组，增强应用的可靠性。</w:t>
      </w:r>
    </w:p>
    <w:p>
      <w:pPr>
        <w:pStyle w:val="Heading6"/>
        <w:numPr>
          <w:ilvl w:val="5"/>
          <w:numId w:val="0"/>
        </w:numPr>
      </w:pPr>
      <w:bookmarkStart w:id="3" w:name="_Toc16807"/>
      <w:r>
        <w:rPr>
          <w:rFonts w:hint="eastAsia"/>
        </w:rPr>
        <w:t>2弹性伸缩服务</w:t>
      </w:r>
      <w:bookmarkEnd w:id="3"/>
    </w:p>
    <w:p>
      <w:pPr>
        <w:pStyle w:val="TB-"/>
        <w:ind w:firstLine="480"/>
      </w:pPr>
      <w:r>
        <w:rPr>
          <w:rFonts w:hint="eastAsia"/>
        </w:rPr>
        <w:t>弹性伸缩（Auto Scaling）服务，是根据用户的业务需求和策略，自动调整其弹性计算资源的管理服务。</w:t>
      </w:r>
      <w:r>
        <w:br/>
      </w:r>
      <w:r>
        <w:br/>
      </w:r>
    </w:p>
    <w:p>
      <w:pPr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https://d.book118.com/648043026013006026</w:t>
        </w:r>
      </w:hyperlink>
    </w:p>
    <w:p>
      <w:pPr>
        <w:pStyle w:val="TB-"/>
        <w:ind w:firstLine="480"/>
      </w:pPr>
    </w:p>
    <w:sectPr>
      <w:type w:val="nextPage"/>
      <w:pgSz w:w="11906" w:h="16838"/>
      <w:pgMar w:top="1440" w:right="1800" w:bottom="1440" w:left="1800" w:header="851" w:footer="992" w:gutter="0"/>
      <w:pgNumType w:start="6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CC0C1407"/>
    <w:multiLevelType w:val="multilevel"/>
    <w:tmpl w:val="CC0C1407"/>
    <w:lvl w:ilvl="0">
      <w:start w:val="1"/>
      <w:numFmt w:val="decimal"/>
      <w:suff w:val="nothing"/>
      <w:lvlText w:val="%1  "/>
      <w:lvlJc w:val="left"/>
      <w:pPr>
        <w:ind w:left="720" w:firstLine="0"/>
      </w:pPr>
      <w:rPr>
        <w:rFonts w:ascii="Arial" w:eastAsia="黑体" w:hAnsi="Arial" w:cs="Times New Roman"/>
        <w:b w:val="0"/>
        <w:i w:val="0"/>
        <w:sz w:val="36"/>
        <w:szCs w:val="36"/>
      </w:rPr>
    </w:lvl>
    <w:lvl w:ilvl="1">
      <w:start w:val="1"/>
      <w:numFmt w:val="decimal"/>
      <w:suff w:val="nothing"/>
      <w:lvlText w:val="%1.%2  "/>
      <w:lvlJc w:val="left"/>
      <w:pPr>
        <w:ind w:left="720" w:firstLine="0"/>
      </w:pPr>
      <w:rPr>
        <w:rFonts w:ascii="Arial" w:hAnsi="Arial" w:cs="Times New Roman" w:hint="default"/>
        <w:b w:val="0"/>
        <w:i w:val="0"/>
        <w:sz w:val="30"/>
        <w:szCs w:val="30"/>
      </w:rPr>
    </w:lvl>
    <w:lvl w:ilvl="2">
      <w:start w:val="1"/>
      <w:numFmt w:val="decimal"/>
      <w:suff w:val="nothing"/>
      <w:lvlText w:val="%1.%2.%3  "/>
      <w:lvlJc w:val="left"/>
      <w:pPr>
        <w:ind w:left="720" w:firstLine="0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decimal"/>
      <w:suff w:val="nothing"/>
      <w:lvlText w:val="%1.%2.%3.%4  "/>
      <w:lvlJc w:val="left"/>
      <w:pPr>
        <w:ind w:left="720" w:firstLine="0"/>
      </w:pPr>
      <w:rPr>
        <w:rFonts w:ascii="Arial" w:hAnsi="Arial" w:cs="Times New Roman" w:hint="default"/>
        <w:b w:val="0"/>
        <w:i w:val="0"/>
        <w:sz w:val="21"/>
        <w:szCs w:val="21"/>
      </w:rPr>
    </w:lvl>
    <w:lvl w:ilvl="4">
      <w:start w:val="1"/>
      <w:numFmt w:val="decimal"/>
      <w:lvlText w:val="%5."/>
      <w:lvlJc w:val="left"/>
      <w:pPr>
        <w:tabs>
          <w:tab w:val="left" w:pos="1854"/>
        </w:tabs>
        <w:ind w:left="1854" w:hanging="312"/>
      </w:pPr>
      <w:rPr>
        <w:rFonts w:ascii="Arial" w:hAnsi="Arial" w:cs="Times New Roman" w:hint="default"/>
        <w:b w:val="0"/>
        <w:i w:val="0"/>
        <w:sz w:val="21"/>
        <w:szCs w:val="21"/>
      </w:rPr>
    </w:lvl>
    <w:lvl w:ilvl="5">
      <w:start w:val="1"/>
      <w:numFmt w:val="decimal"/>
      <w:lvlText w:val="%6)"/>
      <w:lvlJc w:val="left"/>
      <w:pPr>
        <w:tabs>
          <w:tab w:val="left" w:pos="1854"/>
        </w:tabs>
        <w:ind w:left="1854" w:hanging="312"/>
      </w:pPr>
      <w:rPr>
        <w:rFonts w:ascii="Arial" w:hAnsi="Arial" w:cs="Times New Roman" w:hint="default"/>
        <w:b w:val="0"/>
        <w:i w:val="0"/>
        <w:sz w:val="21"/>
        <w:szCs w:val="21"/>
      </w:rPr>
    </w:lvl>
    <w:lvl w:ilvl="6">
      <w:start w:val="1"/>
      <w:numFmt w:val="lowerLetter"/>
      <w:lvlText w:val="%7."/>
      <w:lvlJc w:val="left"/>
      <w:pPr>
        <w:tabs>
          <w:tab w:val="left" w:pos="1854"/>
        </w:tabs>
        <w:ind w:left="1854" w:hanging="312"/>
      </w:pPr>
      <w:rPr>
        <w:rFonts w:ascii="Arial" w:hAnsi="Arial" w:cs="Times New Roman" w:hint="default"/>
        <w:b w:val="0"/>
        <w:i w:val="0"/>
        <w:sz w:val="21"/>
        <w:szCs w:val="21"/>
      </w:rPr>
    </w:lvl>
    <w:lvl w:ilvl="7">
      <w:start w:val="1"/>
      <w:numFmt w:val="decimal"/>
      <w:pStyle w:val="Figure"/>
      <w:suff w:val="space"/>
      <w:lvlText w:val="Figure%8"/>
      <w:lvlJc w:val="center"/>
      <w:pPr>
        <w:ind w:left="720" w:firstLine="0"/>
      </w:pPr>
      <w:rPr>
        <w:rFonts w:ascii="Arial" w:eastAsia="黑体" w:hAnsi="Arial" w:cs="Times New Roman" w:hint="default"/>
        <w:b w:val="0"/>
        <w:i w:val="0"/>
        <w:sz w:val="18"/>
        <w:szCs w:val="18"/>
      </w:rPr>
    </w:lvl>
    <w:lvl w:ilvl="8">
      <w:start w:val="1"/>
      <w:numFmt w:val="decimal"/>
      <w:suff w:val="space"/>
      <w:lvlText w:val="Table%9"/>
      <w:lvlJc w:val="center"/>
      <w:pPr>
        <w:ind w:left="720" w:firstLine="0"/>
      </w:pPr>
      <w:rPr>
        <w:rFonts w:ascii="Arial" w:eastAsia="黑体" w:hAnsi="Arial" w:cs="Times New Roman" w:hint="default"/>
        <w:b w:val="0"/>
        <w:i w:val="0"/>
        <w:sz w:val="18"/>
        <w:szCs w:val="18"/>
      </w:rPr>
    </w:lvl>
  </w:abstractNum>
  <w:abstractNum w:abstractNumId="1">
    <w:nsid w:val="F07F9AB1"/>
    <w:multiLevelType w:val="multilevel"/>
    <w:tmpl w:val="F07F9AB1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lvlText w:val="8.%3."/>
      <w:lvlJc w:val="left"/>
      <w:pPr>
        <w:ind w:left="720" w:hanging="720"/>
      </w:pPr>
      <w:rPr>
        <w:rFonts w:ascii="宋体" w:eastAsia="宋体" w:hAnsi="宋体" w:cs="宋体" w:hint="default"/>
      </w:rPr>
    </w:lvl>
    <w:lvl w:ilvl="3">
      <w:start w:val="1"/>
      <w:numFmt w:val="decimal"/>
      <w:lvlText w:val="8.%2.%4."/>
      <w:lvlJc w:val="left"/>
      <w:pPr>
        <w:ind w:left="864" w:hanging="864"/>
      </w:pPr>
      <w:rPr>
        <w:rFonts w:ascii="宋体" w:eastAsia="宋体" w:hAnsi="宋体" w:cs="宋体" w:hint="default"/>
      </w:rPr>
    </w:lvl>
    <w:lvl w:ilvl="4">
      <w:start w:val="1"/>
      <w:numFmt w:val="decimal"/>
      <w:pStyle w:val="Heading5"/>
      <w:lvlText w:val="8.1.%4.%5."/>
      <w:lvlJc w:val="left"/>
      <w:pPr>
        <w:ind w:left="1008" w:hanging="1008"/>
      </w:pPr>
      <w:rPr>
        <w:rFonts w:ascii="宋体" w:eastAsia="宋体" w:hAnsi="宋体" w:cs="宋体" w:hint="default"/>
      </w:rPr>
    </w:lvl>
    <w:lvl w:ilvl="5">
      <w:start w:val="1"/>
      <w:numFmt w:val="decimal"/>
      <w:pStyle w:val="Heading6"/>
      <w:lvlText w:val="9.4.%4.%5.%6."/>
      <w:lvlJc w:val="left"/>
      <w:pPr>
        <w:ind w:left="1151" w:hanging="1151"/>
      </w:pPr>
      <w:rPr>
        <w:rFonts w:ascii="宋体" w:eastAsia="宋体" w:hAnsi="宋体" w:cs="宋体"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03306EE7"/>
    <w:multiLevelType w:val="multilevel"/>
    <w:tmpl w:val="03306EE7"/>
    <w:lvl w:ilvl="0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3">
    <w:nsid w:val="3EBF7258"/>
    <w:multiLevelType w:val="multilevel"/>
    <w:tmpl w:val="3EBF7258"/>
    <w:lvl w:ilvl="0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4">
    <w:nsid w:val="50F624F1"/>
    <w:multiLevelType w:val="multilevel"/>
    <w:tmpl w:val="50F624F1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>
    <w:nsid w:val="5234527E"/>
    <w:multiLevelType w:val="multilevel"/>
    <w:tmpl w:val="5234527E"/>
    <w:lvl w:ilvl="0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6">
    <w:nsid w:val="671E34F6"/>
    <w:multiLevelType w:val="multilevel"/>
    <w:tmpl w:val="671E34F6"/>
    <w:lvl w:ilvl="0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">
    <w:nsid w:val="7AFF6239"/>
    <w:multiLevelType w:val="multilevel"/>
    <w:tmpl w:val="7AFF623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B57EDF"/>
    <w:rsid w:val="7BB57ED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0" w:uiPriority="0" w:qFormat="1"/>
    <w:lsdException w:name="heading 6" w:semiHidden="0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 w:qFormat="1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spacing w:line="360" w:lineRule="auto"/>
      <w:jc w:val="both"/>
    </w:pPr>
    <w:rPr>
      <w:rFonts w:ascii="Times New Roman" w:eastAsia="宋体" w:hAnsi="Times New Roman" w:cs="Times New Roman"/>
      <w:kern w:val="2"/>
      <w:sz w:val="24"/>
      <w:szCs w:val="24"/>
      <w:lang w:val="en-US" w:eastAsia="zh-CN" w:bidi="ar-SA"/>
    </w:rPr>
  </w:style>
  <w:style w:type="paragraph" w:styleId="Heading5">
    <w:name w:val="heading 5"/>
    <w:basedOn w:val="Normal"/>
    <w:next w:val="TB-"/>
    <w:unhideWhenUsed/>
    <w:qFormat/>
    <w:pPr>
      <w:keepNext/>
      <w:keepLines/>
      <w:numPr>
        <w:ilvl w:val="4"/>
        <w:numId w:val="1"/>
      </w:numPr>
      <w:spacing w:before="120" w:after="120"/>
      <w:ind w:left="1008" w:hanging="1008"/>
      <w:outlineLvl w:val="4"/>
    </w:pPr>
    <w:rPr>
      <w:rFonts w:ascii="黑体" w:eastAsia="黑体" w:hAnsi="黑体"/>
      <w:b/>
    </w:rPr>
  </w:style>
  <w:style w:type="paragraph" w:styleId="Heading6">
    <w:name w:val="heading 6"/>
    <w:basedOn w:val="Normal"/>
    <w:next w:val="TB-"/>
    <w:unhideWhenUsed/>
    <w:qFormat/>
    <w:pPr>
      <w:keepNext/>
      <w:keepLines/>
      <w:numPr>
        <w:ilvl w:val="5"/>
        <w:numId w:val="1"/>
      </w:numPr>
      <w:spacing w:before="120" w:after="120"/>
      <w:outlineLvl w:val="5"/>
    </w:pPr>
    <w:rPr>
      <w:rFonts w:ascii="黑体" w:eastAsia="黑体" w:hAnsi="黑体"/>
      <w:b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B-">
    <w:name w:val="TB-正文缩进"/>
    <w:basedOn w:val="Normal"/>
    <w:qFormat/>
    <w:pPr>
      <w:ind w:firstLine="200" w:firstLineChars="200"/>
    </w:pPr>
    <w:rPr>
      <w:rFonts w:eastAsia="宋体"/>
      <w:bCs/>
      <w:color w:val="000000"/>
      <w:kern w:val="0"/>
      <w:szCs w:val="28"/>
    </w:rPr>
  </w:style>
  <w:style w:type="paragraph" w:styleId="TOC5">
    <w:name w:val="toc 5"/>
    <w:basedOn w:val="Normal"/>
    <w:next w:val="Normal"/>
    <w:pPr>
      <w:ind w:left="1680" w:leftChars="800"/>
    </w:pPr>
  </w:style>
  <w:style w:type="paragraph" w:styleId="Date">
    <w:name w:val="Date"/>
    <w:basedOn w:val="Normal"/>
    <w:next w:val="Normal"/>
    <w:qFormat/>
    <w:pPr>
      <w:ind w:left="100" w:leftChars="2500"/>
    </w:pPr>
  </w:style>
  <w:style w:type="paragraph" w:styleId="TOC6">
    <w:name w:val="toc 6"/>
    <w:basedOn w:val="Normal"/>
    <w:next w:val="Normal"/>
    <w:pPr>
      <w:ind w:left="2100" w:leftChars="1000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  <w:jc w:val="left"/>
    </w:pPr>
    <w:rPr>
      <w:rFonts w:ascii="ˎ̥" w:hAnsi="ˎ̥" w:cs="宋体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paragraph" w:customStyle="1" w:styleId="a">
    <w:name w:val="四级标题"/>
    <w:basedOn w:val="Date"/>
    <w:next w:val="Normal"/>
    <w:qFormat/>
    <w:pPr>
      <w:ind w:left="0" w:leftChars="0"/>
    </w:pPr>
  </w:style>
  <w:style w:type="paragraph" w:styleId="ListParagraph">
    <w:name w:val="List Paragraph"/>
    <w:basedOn w:val="Normal"/>
    <w:uiPriority w:val="34"/>
    <w:qFormat/>
    <w:pPr>
      <w:ind w:left="720"/>
      <w:jc w:val="left"/>
    </w:pPr>
    <w:rPr>
      <w:rFonts w:ascii="Arial" w:hAnsi="Arial"/>
      <w:spacing w:val="-5"/>
      <w:sz w:val="20"/>
      <w:lang w:eastAsia="en-US"/>
    </w:rPr>
  </w:style>
  <w:style w:type="paragraph" w:customStyle="1" w:styleId="Figure">
    <w:name w:val="Figure"/>
    <w:basedOn w:val="Normal"/>
    <w:next w:val="Normal"/>
    <w:qFormat/>
    <w:pPr>
      <w:widowControl w:val="0"/>
      <w:numPr>
        <w:ilvl w:val="7"/>
        <w:numId w:val="2"/>
      </w:numPr>
      <w:autoSpaceDE w:val="0"/>
      <w:autoSpaceDN w:val="0"/>
      <w:adjustRightInd w:val="0"/>
      <w:snapToGrid w:val="0"/>
      <w:ind w:left="0"/>
      <w:jc w:val="center"/>
    </w:pPr>
    <w:rPr>
      <w:rFonts w:eastAsia="宋体"/>
      <w:kern w:val="0"/>
      <w:sz w:val="21"/>
      <w:szCs w:val="22"/>
    </w:rPr>
  </w:style>
  <w:style w:type="paragraph" w:customStyle="1" w:styleId="TB-0">
    <w:name w:val="TB-表格"/>
    <w:basedOn w:val="Normal"/>
    <w:next w:val="TB-"/>
    <w:qFormat/>
    <w:pPr>
      <w:spacing w:line="240" w:lineRule="auto"/>
      <w:jc w:val="center"/>
    </w:pPr>
    <w:rPr>
      <w:rFonts w:eastAsia="宋体"/>
      <w:color w:val="000000"/>
      <w:sz w:val="21"/>
    </w:rPr>
  </w:style>
  <w:style w:type="table" w:customStyle="1" w:styleId="TableGrid0">
    <w:name w:val="Table Grid_0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table" w:customStyle="1" w:styleId="TableGrid1">
    <w:name w:val="Table Grid_1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648043026013006026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0</Words>
  <Characters>0</Characters>
  <Application>Microsoft Office Word</Application>
  <DocSecurity>0</DocSecurity>
  <Lines>0</Lines>
  <Paragraphs>0</Paragraphs>
  <ScaleCrop>false</ScaleCrop>
  <Company>大桥局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2024-01-14T04:31:00Z</dcterms:created>
  <dcterms:modified xsi:type="dcterms:W3CDTF">2024-01-14T04:34:05Z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F69EEC1A9F464C0E8140B978F5F0C835</vt:lpwstr>
  </property>
  <property fmtid="{D5CDD505-2E9C-101B-9397-08002B2CF9AE}" pid="3" name="KSOProductBuildVer">
    <vt:lpwstr>2052-11.8.2.11718</vt:lpwstr>
  </property>
</Properties>
</file>