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3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医废处理项目可行性分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0541360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(二)、医废处理项目总平面设计要求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)、医废处理项目建设期原辅材料供应情况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(二)、医废处理项目运营期原辅材料供应及质量管理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二)、医废处理项目技术工艺分析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三)、医废处理项目技术流程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、医废处理项目选址说明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一)、医废处理项目选址原则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(二)、医废处理项目选址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五、医废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处理项目概论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)、医废处理项目承办单位基本情况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二)、医废处理项目概况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三)、医废处理项目评价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030953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医废处理项目实施保障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87860015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二)、社会责任医废处理项目与计划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三)、劳动安全预期效果评价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四、医废处理项目管理与团队协作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、医废处理项目管理方法论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二)、医废处理项目计划与进度管理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7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72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204163812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五)、医废处理项目风险管理与应对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项目商业计划书是为了规范医废处理项目的实施步骤和计划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编写的。通过详细描述医废处理项目的背景和目标，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处理项目的建筑工程设计过程中，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计原则，以确保医废处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医废处理项目总平面设计要求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废</w:t>
      </w:r>
      <w:r>
        <w:rPr>
          <w:rFonts w:ascii="FangSong" w:eastAsia="FangSong" w:hAnsi="FangSong" w:cs="FangSong"/>
          <w:spacing w:val="-9"/>
          <w:sz w:val="28"/>
          <w:szCs w:val="28"/>
        </w:rPr>
        <w:t>处理项目总平面设计将充分考虑以下要求，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定，适应医废处理项目的实际使用需要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废处理项目所处地区的地质条件和地震风险，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结合医废处理项目的实际需求和环境条件，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筑工程的设计总体要求是确保医废处理项目实现预期功能、安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建筑的功能布局满足医废处理项目需求，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能够达到高标准，满足医废处理项目的长期发展需求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5" w:right="176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医废处</w:t>
      </w:r>
      <w:r>
        <w:rPr>
          <w:rFonts w:ascii="FangSong" w:eastAsia="FangSong" w:hAnsi="FangSong" w:cs="FangSong"/>
          <w:spacing w:val="-5"/>
          <w:sz w:val="28"/>
          <w:szCs w:val="28"/>
        </w:rPr>
        <w:t>理</w:t>
      </w:r>
      <w:r>
        <w:rPr>
          <w:rFonts w:ascii="FangSong" w:eastAsia="FangSong" w:hAnsi="FangSong" w:cs="FangSong"/>
          <w:spacing w:val="-4"/>
          <w:sz w:val="28"/>
          <w:szCs w:val="28"/>
        </w:rPr>
        <w:t>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废处理项目的功能布局和需求，确保各功能区域得到合理的利用。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医废处理项目总投资比例：</w:t>
      </w:r>
    </w:p>
    <w:p>
      <w:pPr>
        <w:spacing w:before="287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医</w:t>
      </w:r>
      <w:r>
        <w:rPr>
          <w:rFonts w:ascii="FangSong" w:eastAsia="FangSong" w:hAnsi="FangSong" w:cs="FangSong"/>
          <w:spacing w:val="-3"/>
          <w:sz w:val="28"/>
          <w:szCs w:val="28"/>
        </w:rPr>
        <w:t>废处理项目总投资的比例为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未来医废处理项目运营的需求，同时避免了过度浪费。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废处理项目整体布局：</w:t>
      </w:r>
    </w:p>
    <w:p>
      <w:pPr>
        <w:spacing w:before="292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使医废处理项目更好地适应当地的自然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(一)、医废处理项目建设期原辅材料供应情况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处理项目的建设和运营过程中，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程顺利进行和产品质量稳定的重要环节。本章将详细探讨医废处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医废处理项目建设期原辅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1" w:line="415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处理项目建设期间，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量有着直接的影响。下面是医废处理项目建设期原辅材料供应情况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(二)、医废处理项目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废</w:t>
      </w:r>
      <w:r>
        <w:rPr>
          <w:rFonts w:ascii="FangSong" w:eastAsia="FangSong" w:hAnsi="FangSong" w:cs="FangSong"/>
          <w:spacing w:val="-9"/>
          <w:sz w:val="28"/>
          <w:szCs w:val="28"/>
        </w:rPr>
        <w:t>处理项目进入运营期后，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是医废处理项目运营期原辅材料供应及质量管理的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6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29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8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(二)、医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废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处理项目技术工艺分析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提供优质产品和服务。保障工艺流程能够满足医废处理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医废处理项目建设贯彻“三同时”的原则，注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7" w:right="7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废</w:t>
      </w:r>
      <w:r>
        <w:rPr>
          <w:rFonts w:ascii="FangSong" w:eastAsia="FangSong" w:hAnsi="FangSong" w:cs="FangSong"/>
          <w:spacing w:val="-9"/>
          <w:sz w:val="28"/>
          <w:szCs w:val="28"/>
        </w:rPr>
        <w:t>处理项目拟采用国内成熟的生产工艺，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56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医废处理项目的技术保障措施从设计、施工、试运行到投产、</w:t>
      </w:r>
      <w:r>
        <w:rPr>
          <w:rFonts w:ascii="FangSong" w:eastAsia="FangSong" w:hAnsi="FangSong" w:cs="FangSong"/>
          <w:spacing w:val="-2"/>
          <w:sz w:val="28"/>
          <w:szCs w:val="28"/>
        </w:rPr>
        <w:t>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以确保医废处理项目在技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将确保医废处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三)、医废处理项目技术流程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在医废处理项目运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分析工具监测和分析医废处理项目各环节数据。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共同构建了高效、稳定的医废处理项目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确保医废处理项目顺利推进。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保选用的设备能够满足医废处理项目的技术要求，例如：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选设备与医废处理项目工艺流程相匹配，例如：</w:t>
      </w:r>
    </w:p>
    <w:p>
      <w:pPr>
        <w:spacing w:before="289" w:line="416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的生产能力是否符合医废处理项目的产能需求。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4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医废处理项目选址说明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、医废处理项目选址原则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废</w:t>
      </w:r>
      <w:r>
        <w:rPr>
          <w:rFonts w:ascii="FangSong" w:eastAsia="FangSong" w:hAnsi="FangSong" w:cs="FangSong"/>
          <w:spacing w:val="-9"/>
          <w:sz w:val="28"/>
          <w:szCs w:val="28"/>
        </w:rPr>
        <w:t>处理项目选址必须与城乡建设总体规划保持一致，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确保医废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处理项目的发展与当地城市规划和政府规划相契合。通过与规划一致，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废处理项目有望更好地融入城市发展大局，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越的交通条件是医废处理项目成功的关键因素之一。选址地应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3" w:right="196" w:hanging="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医废处理项目建设阶段，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废处理项目建设的顺利进行。这有助于提高工程效率，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医废处理项目选址应与当地大气污染防治、水资源利用以及自</w:t>
      </w:r>
      <w:r>
        <w:rPr>
          <w:rFonts w:ascii="FangSong" w:eastAsia="FangSong" w:hAnsi="FangSong" w:cs="FangSong"/>
          <w:spacing w:val="-2"/>
          <w:sz w:val="28"/>
          <w:szCs w:val="28"/>
        </w:rPr>
        <w:t>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相一致。我们将致力于在医废处理项目建设和运营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确保医废处理项目的可持续发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我们将有效平衡医废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处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在医废</w:t>
      </w:r>
      <w:r>
        <w:rPr>
          <w:rFonts w:ascii="FangSong" w:eastAsia="FangSong" w:hAnsi="FangSong" w:cs="FangSong"/>
          <w:spacing w:val="-2"/>
          <w:sz w:val="28"/>
          <w:szCs w:val="28"/>
        </w:rPr>
        <w:t>处理项目的实施过程中获得更多的理解和支持。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医废处理项目的长期成功和对社会的积极贡献。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(二)、医废处理项目选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选择医废处理项目的地理位置时，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销，为医废处理项目的顺利推进提供了有力支持。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优惠等方面的支持。这将显著减轻医废处理项目的财务压力，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为医废处理项目提供了丰富的合作机会，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境的保护。选址处有利于建设绿色、环保型的医废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处</w:t>
      </w:r>
      <w:r>
        <w:rPr>
          <w:rFonts w:ascii="FangSong" w:eastAsia="FangSong" w:hAnsi="FangSong" w:cs="FangSong"/>
          <w:spacing w:val="-3"/>
          <w:sz w:val="28"/>
          <w:szCs w:val="28"/>
        </w:rPr>
        <w:t>理项目，与当地的生态环境相协调。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术开发区被视为未来经济发展的重要增长点。医废处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为医废处理项目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4" w:line="414" w:lineRule="auto"/>
        <w:ind w:left="49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确保医废处理项目的建设与运营与当地发展规划相协调，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医废处理项</w:t>
      </w:r>
      <w:r>
        <w:rPr>
          <w:rFonts w:ascii="FangSong" w:eastAsia="FangSong" w:hAnsi="FangSong" w:cs="FangSong"/>
          <w:spacing w:val="-3"/>
          <w:sz w:val="28"/>
          <w:szCs w:val="28"/>
        </w:rPr>
        <w:t>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废</w:t>
      </w:r>
      <w:r>
        <w:rPr>
          <w:rFonts w:ascii="FangSong" w:eastAsia="FangSong" w:hAnsi="FangSong" w:cs="FangSong"/>
          <w:spacing w:val="-9"/>
          <w:sz w:val="28"/>
          <w:szCs w:val="28"/>
        </w:rPr>
        <w:t>处理项目的成功实施不仅依赖于选址的地理位置，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医废处理项目的建设提供了必要的基础支持，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确保医废处理项目选址符合当地的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地规划要求。这有助于医废处理项目在合规范围内进行建设，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6" w:line="416" w:lineRule="auto"/>
        <w:ind w:left="56" w:right="102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医废处理项目的用工提供了充足的保障，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pacing w:val="-7"/>
          <w:sz w:val="28"/>
          <w:szCs w:val="28"/>
        </w:rPr>
        <w:t>技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能的专业人才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8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方面的优惠政策。这为医废处理项目创造了更加宽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医废处理项目的过程中，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确保医废处理项目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5" w:line="416" w:lineRule="auto"/>
        <w:ind w:left="35" w:right="176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废</w:t>
      </w:r>
      <w:r>
        <w:rPr>
          <w:rFonts w:ascii="FangSong" w:eastAsia="FangSong" w:hAnsi="FangSong" w:cs="FangSong"/>
          <w:spacing w:val="-9"/>
          <w:sz w:val="28"/>
          <w:szCs w:val="28"/>
        </w:rPr>
        <w:t>处理项目所在区域的安全设施完备，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全系统。这为医废处理项目的安全运行提供了可靠的支持，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56" w:right="176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医废处理项目提供了明确的建设方向，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确保用地符合工业医废处理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5" w:line="416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医废处理项目所在地区容积率和建筑密度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标。我们将确保医废处理项目建设在合理的容积率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和建筑密度范围内，以充分利用土地资源，提高医废处理项目效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4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途划分是用地控制的核心之一。根据医废处理项目的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保持医废处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我们将严格按照规定的利用年限进行医废处理项目建设和运营，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在医废处理项目建设完成后，我们将积极参与土地的复垦工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小医废处理项目对周边土地的影响。</w:t>
      </w:r>
    </w:p>
    <w:p>
      <w:pPr>
        <w:spacing w:before="2" w:line="415" w:lineRule="auto"/>
        <w:ind w:left="41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我们将确保医废处理项目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。这为医废处理项目提供了便捷的物流通道，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了医废处理项目的市场竞争力。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自然条件适宜。医废处理项目建设将充分利用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设施。医废处理项目将充分利用这些配套设施，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助于医</w:t>
      </w:r>
      <w:r>
        <w:rPr>
          <w:rFonts w:ascii="FangSong" w:eastAsia="FangSong" w:hAnsi="FangSong" w:cs="FangSong"/>
          <w:spacing w:val="-3"/>
          <w:sz w:val="28"/>
          <w:szCs w:val="28"/>
        </w:rPr>
        <w:t>废处理项目的稳定运营。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总体要求中还包括对环境的保护要求。医废处理项目将遵循当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可持续的工业医废处理项目。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2" w:firstLine="58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4"/>
          <w:sz w:val="28"/>
          <w:szCs w:val="28"/>
        </w:rPr>
        <w:t>医废</w:t>
      </w:r>
      <w:r>
        <w:rPr>
          <w:rFonts w:ascii="FangSong" w:eastAsia="FangSong" w:hAnsi="FangSong" w:cs="FangSong"/>
          <w:spacing w:val="-10"/>
          <w:sz w:val="28"/>
          <w:szCs w:val="28"/>
        </w:rPr>
        <w:t>处</w:t>
      </w:r>
      <w:r>
        <w:rPr>
          <w:rFonts w:ascii="FangSong" w:eastAsia="FangSong" w:hAnsi="FangSong" w:cs="FangSong"/>
          <w:spacing w:val="-7"/>
          <w:sz w:val="28"/>
          <w:szCs w:val="28"/>
        </w:rPr>
        <w:t>理项目将积极融入当地社区，与周边居民建立和谐的关系。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促进医废处理项目与当地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医废处理项目将在选址的基础上更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处理项目选址的初步规划中，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4" w:right="147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我们计划通过多功能空间规划来优化土地利用。在医废处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理项目</w:t>
      </w:r>
      <w:r>
        <w:rPr>
          <w:rFonts w:ascii="FangSong" w:eastAsia="FangSong" w:hAnsi="FangSong" w:cs="FangSong"/>
          <w:spacing w:val="-2"/>
          <w:sz w:val="28"/>
          <w:szCs w:val="28"/>
        </w:rPr>
        <w:t>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每块用地都发挥最大潜力。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筑的垂直利用率。这一措施有助于减小医废处理项目的占地面积，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1" w:right="19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废</w:t>
      </w:r>
      <w:r>
        <w:rPr>
          <w:rFonts w:ascii="FangSong" w:eastAsia="FangSong" w:hAnsi="FangSong" w:cs="FangSong"/>
          <w:spacing w:val="-9"/>
          <w:sz w:val="28"/>
          <w:szCs w:val="28"/>
        </w:rPr>
        <w:t>处理项目还将注重环境友好设计，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还有助于提高医废处理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共设施也是我们的设计理念之一。在医废处理项目内部建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我们致力于实现医废处理项目用地的经济高效利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医</w:t>
      </w:r>
      <w:r>
        <w:rPr>
          <w:rFonts w:ascii="FangSong" w:eastAsia="FangSong" w:hAnsi="FangSong" w:cs="FangSong"/>
          <w:spacing w:val="-9"/>
          <w:sz w:val="28"/>
          <w:szCs w:val="28"/>
        </w:rPr>
        <w:t>废处理项目整体布置中，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，便于原材料运输和产品出货；办公区域靠近医废处理项目核心区，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沟通；休闲区和绿化区域分布在医废处理项目的角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确保了医废处理项目内外的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医废处理项目区域内设置了一系列公共设施，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65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14" w:firstLine="11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医废处理项目总图中，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生产与办公是医废处理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运输和产品的高效配送。办公区则位于医废处理项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心区，方便管理层对整个医废处理项目的监控与决策。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在医废处理项目区域内分布绿化带和休闲区，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也为医废处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8" w:line="416" w:lineRule="auto"/>
        <w:ind w:left="35" w:right="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我们将环境保护区域规划在医废处理项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1" w:right="36" w:hanging="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确保了医废处理项目整体的美观性。这一举措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使医废处理项目在生产的同时也能够实现对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6"/>
          <w:sz w:val="28"/>
          <w:szCs w:val="28"/>
        </w:rPr>
        <w:t>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这八个设计要点共同构成了医废处理项目总图布置方案的核心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保了医废处理项目在各个方面都能够取得良好的平衡，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该医废处理项目选址位于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医废处</w:t>
      </w:r>
      <w:r>
        <w:rPr>
          <w:rFonts w:ascii="FangSong" w:eastAsia="FangSong" w:hAnsi="FangSong" w:cs="FangSong"/>
          <w:spacing w:val="-3"/>
          <w:sz w:val="28"/>
          <w:szCs w:val="28"/>
        </w:rPr>
        <w:t>理项目的顺利启动和运营。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销售和员工的通勤。这为医废处理项目提供了便捷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36" w:firstLine="9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医废处</w:t>
      </w:r>
      <w:r>
        <w:rPr>
          <w:rFonts w:ascii="FangSong" w:eastAsia="FangSong" w:hAnsi="FangSong" w:cs="FangSong"/>
          <w:sz w:val="28"/>
          <w:szCs w:val="28"/>
        </w:rPr>
        <w:t>理项目选址规划中特别考虑了环保区域，用于处理废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有效减少对周边环境的负面影响。这表明了医废处理项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2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医废处</w:t>
      </w:r>
      <w:r>
        <w:rPr>
          <w:rFonts w:ascii="FangSong" w:eastAsia="FangSong" w:hAnsi="FangSong" w:cs="FangSong"/>
          <w:sz w:val="28"/>
          <w:szCs w:val="28"/>
        </w:rPr>
        <w:t>理项目选址的用地控制指标与相关规划相一致，不仅</w:t>
      </w:r>
    </w:p>
    <w:p>
      <w:pPr>
        <w:sectPr>
          <w:pgSz w:w="11906" w:h="16839"/>
          <w:pgMar w:top="1431" w:right="1763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6" w:right="176" w:hanging="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也兼顾了用地的合理利用。这有助于医废处理项目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获得土地</w:t>
      </w:r>
      <w:r>
        <w:rPr>
          <w:rFonts w:ascii="FangSong" w:eastAsia="FangSong" w:hAnsi="FangSong" w:cs="FangSong"/>
          <w:spacing w:val="-3"/>
          <w:sz w:val="28"/>
          <w:szCs w:val="28"/>
        </w:rPr>
        <w:t>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在医废处理项目选址周边进行了社区和周边环境的调查，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医废处理项目建设不会对周边社区造成过大的影响，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firstLine="10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</w:t>
      </w:r>
      <w:r>
        <w:rPr>
          <w:rFonts w:ascii="FangSong" w:eastAsia="FangSong" w:hAnsi="FangSong" w:cs="FangSong"/>
          <w:sz w:val="28"/>
          <w:szCs w:val="28"/>
        </w:rPr>
        <w:t>废处理项目选址时，我们充分考虑了当地的政策和法规，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确保医废处理项目的合法性和稳健性。对政府支持政策和法规的遵从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有助于医废处</w:t>
      </w:r>
      <w:r>
        <w:rPr>
          <w:rFonts w:ascii="FangSong" w:eastAsia="FangSong" w:hAnsi="FangSong" w:cs="FangSong"/>
          <w:spacing w:val="-2"/>
          <w:sz w:val="28"/>
          <w:szCs w:val="28"/>
        </w:rPr>
        <w:t>理项目在当地获得更多支持。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综合考虑医废处理项目选址的各项因素，我们认为该选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望为医废处理项目带来更多的发展机遇。与周边的产业和社会环境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址将有助于医废处理项目实现可持续发展。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我们可以得出该医废处理项目选址的合理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和可行性，为医废处理项目的后续规划和实施提供了坚实的基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五、医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废处理项目概论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(一)、医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废处理项目承办单位基本情况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ectPr>
          <w:pgSz w:w="11906" w:h="16839"/>
          <w:pgMar w:top="1431" w:right="1623" w:bottom="0" w:left="1785" w:header="0" w:footer="0" w:gutter="0"/>
          <w:pgNumType w:start="31"/>
          <w:cols w:space="708"/>
        </w:sectPr>
      </w:pPr>
    </w:p>
    <w:p>
      <w:pPr>
        <w:spacing w:before="183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(二)、医废处理项目概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医</w:t>
      </w:r>
      <w:r>
        <w:rPr>
          <w:rFonts w:ascii="FangSong" w:eastAsia="FangSong" w:hAnsi="FangSong" w:cs="FangSong"/>
          <w:spacing w:val="-10"/>
          <w:sz w:val="28"/>
          <w:szCs w:val="28"/>
        </w:rPr>
        <w:t>废处理项目名称：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医废处理项目</w:t>
      </w:r>
    </w:p>
    <w:p>
      <w:pPr>
        <w:spacing w:before="288" w:line="222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医</w:t>
      </w:r>
      <w:r>
        <w:rPr>
          <w:rFonts w:ascii="FangSong" w:eastAsia="FangSong" w:hAnsi="FangSong" w:cs="FangSong"/>
          <w:spacing w:val="-12"/>
          <w:sz w:val="28"/>
          <w:szCs w:val="28"/>
        </w:rPr>
        <w:t>废处理项目类型：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88" w:line="222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医</w:t>
      </w:r>
      <w:r>
        <w:rPr>
          <w:rFonts w:ascii="FangSong" w:eastAsia="FangSong" w:hAnsi="FangSong" w:cs="FangSong"/>
          <w:spacing w:val="-17"/>
          <w:sz w:val="28"/>
          <w:szCs w:val="28"/>
        </w:rPr>
        <w:t>废处理项目地点：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8" w:line="411" w:lineRule="auto"/>
        <w:ind w:left="32" w:right="32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医废处理项目规模：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7"/>
          <w:sz w:val="28"/>
          <w:szCs w:val="28"/>
        </w:rPr>
        <w:t>投资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XX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万元，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年产值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XX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万元，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X</w:t>
      </w:r>
      <w:r>
        <w:rPr>
          <w:rFonts w:ascii="FangSong" w:eastAsia="FangSong" w:hAnsi="FangSong" w:cs="FangSong"/>
          <w:spacing w:val="-2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2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医</w:t>
      </w:r>
      <w:r>
        <w:rPr>
          <w:rFonts w:ascii="FangSong" w:eastAsia="FangSong" w:hAnsi="FangSong" w:cs="FangSong"/>
          <w:spacing w:val="-15"/>
          <w:sz w:val="28"/>
          <w:szCs w:val="28"/>
        </w:rPr>
        <w:t>废处理项目周期：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7" w:line="416" w:lineRule="auto"/>
        <w:ind w:left="31" w:right="103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医</w:t>
      </w:r>
      <w:r>
        <w:rPr>
          <w:rFonts w:ascii="FangSong" w:eastAsia="FangSong" w:hAnsi="FangSong" w:cs="FangSong"/>
          <w:spacing w:val="-13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处理项目背景：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医废处理项目的建设旨在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(三)、医废处理项目评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该医废处理项目处于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</w:p>
    <w:p>
      <w:pPr>
        <w:sectPr>
          <w:pgSz w:w="11906" w:h="16839"/>
          <w:pgMar w:top="1431" w:right="1697" w:bottom="0" w:left="1785" w:header="0" w:footer="0" w:gutter="0"/>
          <w:pgNumType w:start="32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5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废处</w:t>
      </w:r>
      <w:r>
        <w:rPr>
          <w:rFonts w:ascii="FangSong" w:eastAsia="FangSong" w:hAnsi="FangSong" w:cs="FangSong"/>
          <w:spacing w:val="-5"/>
          <w:sz w:val="28"/>
          <w:szCs w:val="28"/>
        </w:rPr>
        <w:t>理</w:t>
      </w:r>
      <w:r>
        <w:rPr>
          <w:rFonts w:ascii="FangSong" w:eastAsia="FangSong" w:hAnsi="FangSong" w:cs="FangSong"/>
          <w:spacing w:val="-3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</w:p>
    <w:p>
      <w:pPr>
        <w:sectPr>
          <w:pgSz w:w="11906" w:h="16839"/>
          <w:pgMar w:top="1431" w:right="1785" w:bottom="0" w:left="1785" w:header="0" w:footer="0" w:gutter="0"/>
          <w:pgNumType w:start="33"/>
          <w:cols w:space="708"/>
        </w:sectPr>
      </w:pPr>
    </w:p>
    <w:p>
      <w:pPr>
        <w:spacing w:before="185" w:line="411" w:lineRule="auto"/>
        <w:ind w:left="33" w:right="14" w:firstLine="12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16"/>
          <w:sz w:val="28"/>
          <w:szCs w:val="28"/>
        </w:rPr>
        <w:t>险分</w:t>
      </w:r>
      <w:r>
        <w:rPr>
          <w:rFonts w:ascii="FangSong" w:eastAsia="FangSong" w:hAnsi="FangSong" w:cs="FangSong"/>
          <w:spacing w:val="-10"/>
          <w:sz w:val="28"/>
          <w:szCs w:val="28"/>
        </w:rPr>
        <w:t>析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1" w:line="416" w:lineRule="auto"/>
        <w:ind w:left="40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融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</w:p>
    <w:p>
      <w:p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35" w:right="36" w:hanging="1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416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</w:p>
    <w:p>
      <w:pPr>
        <w:sectPr>
          <w:pgSz w:w="11906" w:h="16839"/>
          <w:pgMar w:top="1431" w:right="1763" w:bottom="0" w:left="1785" w:header="0" w:footer="0" w:gutter="0"/>
          <w:pgNumType w:start="35"/>
          <w:cols w:space="708"/>
        </w:sectPr>
      </w:pPr>
    </w:p>
    <w:p>
      <w:pPr>
        <w:spacing w:before="183" w:line="222" w:lineRule="auto"/>
        <w:ind w:left="46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14"/>
          <w:sz w:val="28"/>
          <w:szCs w:val="28"/>
        </w:rPr>
        <w:t>两</w:t>
      </w:r>
      <w:r>
        <w:rPr>
          <w:rFonts w:ascii="FangSong" w:eastAsia="FangSong" w:hAnsi="FangSong" w:cs="FangSong"/>
          <w:spacing w:val="-8"/>
          <w:sz w:val="28"/>
          <w:szCs w:val="28"/>
        </w:rPr>
        <w:t>个方面的核心做法：</w:t>
      </w:r>
    </w:p>
    <w:p>
      <w:pPr>
        <w:spacing w:before="290" w:line="411" w:lineRule="auto"/>
        <w:ind w:left="3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5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不同投资医废处理项目的市场前景、回收期、现金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流等方面进行科学测算，确保每一项投资都具备可行性和盈利潜</w:t>
      </w:r>
      <w:r>
        <w:rPr>
          <w:rFonts w:ascii="FangSong" w:eastAsia="FangSong" w:hAnsi="FangSong" w:cs="FangSong"/>
          <w:sz w:val="28"/>
          <w:szCs w:val="28"/>
        </w:rPr>
        <w:t>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7"/>
          <w:sz w:val="28"/>
          <w:szCs w:val="28"/>
        </w:rPr>
        <w:t>报的平衡。</w:t>
      </w:r>
    </w:p>
    <w:p>
      <w:pPr>
        <w:spacing w:before="3" w:line="411" w:lineRule="auto"/>
        <w:ind w:left="37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4" w:lineRule="auto"/>
        <w:ind w:left="33" w:right="56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医废处理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个月，其中包括医废处理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项目前期准备、工</w:t>
      </w:r>
      <w:r>
        <w:rPr>
          <w:rFonts w:ascii="FangSong" w:eastAsia="FangSong" w:hAnsi="FangSong" w:cs="FangSong"/>
          <w:spacing w:val="-3"/>
          <w:sz w:val="28"/>
          <w:szCs w:val="28"/>
        </w:rPr>
        <w:t>程勘察与设计、土建工程施工、设备采购、设备安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装调试等关键阶段</w:t>
      </w:r>
      <w:r>
        <w:rPr>
          <w:rFonts w:ascii="FangSong" w:eastAsia="FangSong" w:hAnsi="FangSong" w:cs="FangSong"/>
          <w:spacing w:val="-3"/>
          <w:sz w:val="28"/>
          <w:szCs w:val="28"/>
        </w:rPr>
        <w:t>。这个时间框架将充分考虑到各个阶段的工作内容</w:t>
      </w:r>
    </w:p>
    <w:p>
      <w:pPr>
        <w:sectPr>
          <w:pgSz w:w="11906" w:h="16839"/>
          <w:pgMar w:top="1431" w:right="1743" w:bottom="0" w:left="1785" w:header="0" w:footer="0" w:gutter="0"/>
          <w:pgNumType w:start="36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和交叉影响，</w:t>
      </w:r>
      <w:r>
        <w:rPr>
          <w:rFonts w:ascii="FangSong" w:eastAsia="FangSong" w:hAnsi="FangSong" w:cs="FangSong"/>
          <w:spacing w:val="-2"/>
          <w:sz w:val="28"/>
          <w:szCs w:val="28"/>
        </w:rPr>
        <w:t>以确保医废处理项目的高效推进。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3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具体的建设进度将在医废处理项目启动时明确制定，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</w:t>
      </w:r>
      <w:r>
        <w:rPr>
          <w:rFonts w:ascii="FangSong" w:eastAsia="FangSong" w:hAnsi="FangSong" w:cs="FangSong"/>
          <w:spacing w:val="-4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碑计划进行监测和</w:t>
      </w:r>
      <w:r>
        <w:rPr>
          <w:rFonts w:ascii="FangSong" w:eastAsia="FangSong" w:hAnsi="FangSong" w:cs="FangSong"/>
          <w:spacing w:val="-3"/>
          <w:sz w:val="28"/>
          <w:szCs w:val="28"/>
        </w:rPr>
        <w:t>调整。各个阶段的完成情况将通过定期的进度报告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进行跟踪，确保</w:t>
      </w:r>
      <w:r>
        <w:rPr>
          <w:rFonts w:ascii="FangSong" w:eastAsia="FangSong" w:hAnsi="FangSong" w:cs="FangSong"/>
          <w:spacing w:val="-2"/>
          <w:sz w:val="28"/>
          <w:szCs w:val="28"/>
        </w:rPr>
        <w:t>整个建设过程按照计划进行。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7" w:line="411" w:lineRule="auto"/>
        <w:ind w:left="33" w:right="1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废</w:t>
      </w:r>
      <w:r>
        <w:rPr>
          <w:rFonts w:ascii="FangSong" w:eastAsia="FangSong" w:hAnsi="FangSong" w:cs="FangSong"/>
          <w:spacing w:val="-9"/>
          <w:sz w:val="28"/>
          <w:szCs w:val="28"/>
        </w:rPr>
        <w:t>处理项目将根据各个阶段的需求合理配置人力资源，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医</w:t>
      </w:r>
      <w:r>
        <w:rPr>
          <w:rFonts w:ascii="FangSong" w:eastAsia="FangSong" w:hAnsi="FangSong" w:cs="FangSong"/>
          <w:spacing w:val="-4"/>
          <w:sz w:val="28"/>
          <w:szCs w:val="28"/>
        </w:rPr>
        <w:t>废处理项目各方面的需要。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5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员工培训将是医废处理项目实施的一个重要环节。我们将提供</w:t>
      </w:r>
      <w:r>
        <w:rPr>
          <w:rFonts w:ascii="FangSong" w:eastAsia="FangSong" w:hAnsi="FangSong" w:cs="FangSong"/>
          <w:sz w:val="28"/>
          <w:szCs w:val="28"/>
        </w:rPr>
        <w:t>全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https://d.book118.com/648075055016006046</w:t>
        </w:r>
      </w:hyperlink>
    </w:p>
    <w:p/>
    <w:sectPr>
      <w:pgSz w:w="11906" w:h="16839"/>
      <w:pgMar w:top="1431" w:right="1785" w:bottom="0" w:left="1785" w:header="0" w:footer="0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48075055016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2024-03-14T09:21:11Z</vt:filetime>
  </property>
  <property fmtid="{D5CDD505-2E9C-101B-9397-08002B2CF9AE}" pid="3" name="CRO">
    <vt:lpwstr>wqlLaW5nc29mdCBQREYgdG8gV1BTIDgw</vt:lpwstr>
  </property>
</Properties>
</file>