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2024年气阀行业分析报告及未来五到十年行业发展趋势报告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2677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气阀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_Toc32677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6964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气阀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_Toc26964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2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气阀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_Toc1452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08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气阀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_Toc24808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714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气阀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_Toc18714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087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气阀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_Toc17087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18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气阀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_Toc8018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590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_Toc19590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18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_Toc24018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266" w:history="1">
        <w:r>
          <w:rPr>
            <w:rFonts w:eastAsia="微软雅黑" w:hint="eastAsia"/>
            <w:snapToGrid/>
            <w:lang w:val="en-US" w:eastAsia="zh-CN"/>
          </w:rPr>
          <w:t>(四)、宏观环境下</w:t>
        </w:r>
        <w:r>
          <w:rPr>
            <w:rFonts w:eastAsia="微软雅黑" w:hint="eastAsia"/>
            <w:snapToGrid/>
            <w:lang w:val="en-US" w:eastAsia="zh-CN"/>
          </w:rPr>
          <w:t>气阀</w:t>
        </w:r>
        <w:r>
          <w:rPr>
            <w:rFonts w:eastAsia="微软雅黑" w:hint="eastAsia"/>
            <w:snapToGrid/>
            <w:lang w:val="en-US" w:eastAsia="zh-CN"/>
          </w:rPr>
          <w:t>行业定位</w:t>
        </w:r>
        <w:r>
          <w:tab/>
        </w:r>
        <w:r>
          <w:fldChar w:fldCharType="begin"/>
        </w:r>
        <w:r>
          <w:instrText xml:space="preserve"> PAGEREF _Toc31266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164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气阀</w:t>
        </w:r>
        <w:r>
          <w:rPr>
            <w:rFonts w:eastAsia="微软雅黑" w:hint="eastAsia"/>
            <w:snapToGrid/>
            <w:lang w:val="en-US" w:eastAsia="zh-CN"/>
          </w:rPr>
          <w:t>行业绩显著</w:t>
        </w:r>
        <w:r>
          <w:tab/>
        </w:r>
        <w:r>
          <w:fldChar w:fldCharType="begin"/>
        </w:r>
        <w:r>
          <w:instrText xml:space="preserve"> PAGEREF _Toc9164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535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气阀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_Toc7535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4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气阀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_Toc13647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92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气阀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_Toc25924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81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气阀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_Toc7381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830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气阀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_Toc21830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832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气阀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_Toc11832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13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气阀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_Toc32134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7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气阀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_Toc7770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37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气阀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_Toc30737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22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气阀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_Toc15622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159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气阀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_Toc9159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69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气阀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_Toc2769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04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气阀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_Toc3904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41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气阀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_Toc29441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430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气阀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_Toc23430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32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_Toc29132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43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气阀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_Toc24043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35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_Toc29035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710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气阀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_Toc16710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6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气阀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_Toc15566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43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气阀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_Toc10843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419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气阀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_Toc7419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3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气阀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_Toc16439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777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气阀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_Toc7773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588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气阀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_Toc16588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13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气阀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_Toc9613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218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气阀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_Toc19218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52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气阀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_Toc30552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977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气阀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_Toc4977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847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气阀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_Toc13847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3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气阀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_Toc7237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867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_Toc9867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097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_Toc7097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79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气阀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_Toc24799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2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气阀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_Toc16720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337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气阀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_Toc30337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785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气阀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_Toc24785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147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_Toc7147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063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气阀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_Toc30063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577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气阀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_Toc7577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282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气阀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_Toc18282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017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气阀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_Toc25017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61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气阀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_Toc3961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16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气阀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_Toc1116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772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气阀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_Toc3772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93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_Toc18993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00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_Toc1800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934" w:history="1">
        <w:r>
          <w:rPr>
            <w:rFonts w:eastAsia="微软雅黑" w:hint="eastAsia"/>
            <w:snapToGrid/>
            <w:lang w:val="en-US" w:eastAsia="zh-CN"/>
          </w:rPr>
          <w:t>(三)、新的价格战将不可避免</w:t>
        </w:r>
        <w:r>
          <w:tab/>
        </w:r>
        <w:r>
          <w:fldChar w:fldCharType="begin"/>
        </w:r>
        <w:r>
          <w:instrText xml:space="preserve"> PAGEREF _Toc17934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82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_Toc7882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248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_Toc12248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722" w:history="1">
        <w:r>
          <w:rPr>
            <w:rFonts w:eastAsia="微软雅黑" w:hint="eastAsia"/>
            <w:snapToGrid/>
            <w:lang w:val="en-US" w:eastAsia="zh-CN"/>
          </w:rPr>
          <w:t>(六)、生态化建设进一步开放</w:t>
        </w:r>
        <w:r>
          <w:tab/>
        </w:r>
        <w:r>
          <w:fldChar w:fldCharType="begin"/>
        </w:r>
        <w:r>
          <w:instrText xml:space="preserve"> PAGEREF _Toc21722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67" w:history="1">
        <w:r>
          <w:rPr>
            <w:rFonts w:eastAsia="微软雅黑" w:hint="eastAsia"/>
            <w:snapToGrid/>
            <w:lang w:val="en-US" w:eastAsia="zh-CN"/>
          </w:rPr>
          <w:t>(七)、呈现集群化分布</w:t>
        </w:r>
        <w:r>
          <w:tab/>
        </w:r>
        <w:r>
          <w:fldChar w:fldCharType="begin"/>
        </w:r>
        <w:r>
          <w:instrText xml:space="preserve"> PAGEREF _Toc8067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48" w:history="1">
        <w:r>
          <w:rPr>
            <w:rFonts w:eastAsia="微软雅黑" w:hint="eastAsia"/>
            <w:snapToGrid/>
            <w:lang w:val="en-US" w:eastAsia="zh-CN"/>
          </w:rPr>
          <w:t>(八)、各信息化厂商推动</w:t>
        </w:r>
        <w:r>
          <w:rPr>
            <w:rFonts w:eastAsia="微软雅黑" w:hint="eastAsia"/>
            <w:snapToGrid/>
            <w:lang w:val="en-US" w:eastAsia="zh-CN"/>
          </w:rPr>
          <w:t>气阀</w:t>
        </w:r>
        <w:r>
          <w:rPr>
            <w:rFonts w:eastAsia="微软雅黑" w:hint="eastAsia"/>
            <w:snapToGrid/>
            <w:lang w:val="en-US" w:eastAsia="zh-CN"/>
          </w:rPr>
          <w:t>行业发展</w:t>
        </w:r>
        <w:r>
          <w:tab/>
        </w:r>
        <w:r>
          <w:fldChar w:fldCharType="begin"/>
        </w:r>
        <w:r>
          <w:instrText xml:space="preserve"> PAGEREF _Toc3048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38" w:history="1">
        <w:r>
          <w:rPr>
            <w:rFonts w:eastAsia="微软雅黑" w:hint="eastAsia"/>
            <w:snapToGrid/>
            <w:lang w:val="en-US" w:eastAsia="zh-CN"/>
          </w:rPr>
          <w:t>(九)、政府采购政策加码</w:t>
        </w:r>
        <w:r>
          <w:tab/>
        </w:r>
        <w:r>
          <w:fldChar w:fldCharType="begin"/>
        </w:r>
        <w:r>
          <w:instrText xml:space="preserve"> PAGEREF _Toc13638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919" w:history="1">
        <w:r>
          <w:rPr>
            <w:rFonts w:eastAsia="微软雅黑" w:hint="eastAsia"/>
            <w:snapToGrid/>
            <w:lang w:val="en-US" w:eastAsia="zh-CN"/>
          </w:rPr>
          <w:t>(十)、个性化定制受宠</w:t>
        </w:r>
        <w:r>
          <w:tab/>
        </w:r>
        <w:r>
          <w:fldChar w:fldCharType="begin"/>
        </w:r>
        <w:r>
          <w:instrText xml:space="preserve"> PAGEREF _Toc12919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37" w:history="1">
        <w:r>
          <w:rPr>
            <w:rFonts w:eastAsia="微软雅黑" w:hint="eastAsia"/>
            <w:snapToGrid/>
            <w:lang w:val="en-US" w:eastAsia="zh-CN"/>
          </w:rPr>
          <w:t>(十一)、品牌不断强化</w:t>
        </w:r>
        <w:r>
          <w:tab/>
        </w:r>
        <w:r>
          <w:fldChar w:fldCharType="begin"/>
        </w:r>
        <w:r>
          <w:instrText xml:space="preserve"> PAGEREF _Toc16437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63" w:history="1">
        <w:r>
          <w:rPr>
            <w:rFonts w:eastAsia="微软雅黑" w:hint="eastAsia"/>
            <w:snapToGrid/>
            <w:lang w:val="en-US" w:eastAsia="zh-CN"/>
          </w:rPr>
          <w:t>(十二)、互联网已经成为标配“风生水起“</w:t>
        </w:r>
        <w:r>
          <w:tab/>
        </w:r>
        <w:r>
          <w:fldChar w:fldCharType="begin"/>
        </w:r>
        <w:r>
          <w:instrText xml:space="preserve"> PAGEREF _Toc29563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90" w:history="1">
        <w:r>
          <w:rPr>
            <w:rFonts w:eastAsia="微软雅黑" w:hint="eastAsia"/>
            <w:snapToGrid/>
            <w:lang w:val="en-US" w:eastAsia="zh-CN"/>
          </w:rPr>
          <w:t>(十三)、一体式服务为发展趋势</w:t>
        </w:r>
        <w:r>
          <w:tab/>
        </w:r>
        <w:r>
          <w:fldChar w:fldCharType="begin"/>
        </w:r>
        <w:r>
          <w:instrText xml:space="preserve"> PAGEREF _Toc16090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020" w:history="1">
        <w:r>
          <w:rPr>
            <w:rFonts w:eastAsia="微软雅黑" w:hint="eastAsia"/>
            <w:snapToGrid/>
            <w:lang w:val="en-US" w:eastAsia="zh-CN"/>
          </w:rPr>
          <w:t>(十四)、政策手段的奖惩力度加大</w:t>
        </w:r>
        <w:r>
          <w:tab/>
        </w:r>
        <w:r>
          <w:fldChar w:fldCharType="begin"/>
        </w:r>
        <w:r>
          <w:instrText xml:space="preserve"> PAGEREF _Toc32020 \h </w:instrText>
        </w:r>
        <w:r>
          <w:fldChar w:fldCharType="separate"/>
        </w:r>
        <w:r>
          <w:t>34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https://d.book118.com/648077056052006022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autoRedefine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648077056052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