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邮政专用机械及器材项目评估报告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71" w:history="1">
        <w:r>
          <w:rPr>
            <w:rFonts w:ascii="仿宋" w:eastAsia="仿宋" w:hAnsi="仿宋" w:cs="仿宋" w:hint="eastAsia"/>
            <w:lang w:eastAsia="zh-CN"/>
          </w:rPr>
          <w:t>概论</w:t>
        </w:r>
        <w:r>
          <w:tab/>
        </w:r>
        <w:r>
          <w:fldChar w:fldCharType="begin"/>
        </w:r>
        <w:r>
          <w:instrText xml:space="preserve"> PAGEREF _Toc18071 \h </w:instrText>
        </w:r>
        <w:r>
          <w:fldChar w:fldCharType="separate"/>
        </w:r>
        <w:r>
          <w:t>3</w:t>
        </w:r>
        <w:r>
          <w:fldChar w:fldCharType="end"/>
        </w:r>
      </w:hyperlink>
    </w:p>
    <w:p>
      <w:pPr>
        <w:pStyle w:val="TOC1"/>
        <w:tabs>
          <w:tab w:val="right" w:leader="dot" w:pos="8306"/>
        </w:tabs>
      </w:pPr>
      <w:hyperlink w:anchor="_Toc25753" w:history="1">
        <w:r>
          <w:rPr>
            <w:rFonts w:ascii="仿宋" w:eastAsia="仿宋" w:hAnsi="仿宋" w:cs="仿宋" w:hint="eastAsia"/>
            <w:lang w:eastAsia="zh-CN"/>
          </w:rPr>
          <w:t>一、工艺分析</w:t>
        </w:r>
        <w:r>
          <w:tab/>
        </w:r>
        <w:r>
          <w:fldChar w:fldCharType="begin"/>
        </w:r>
        <w:r>
          <w:instrText xml:space="preserve"> PAGEREF _Toc25753 \h </w:instrText>
        </w:r>
        <w:r>
          <w:fldChar w:fldCharType="separate"/>
        </w:r>
        <w:r>
          <w:t>3</w:t>
        </w:r>
        <w:r>
          <w:fldChar w:fldCharType="end"/>
        </w:r>
      </w:hyperlink>
    </w:p>
    <w:p>
      <w:pPr>
        <w:pStyle w:val="TOC2"/>
        <w:tabs>
          <w:tab w:val="right" w:leader="dot" w:pos="8306"/>
        </w:tabs>
      </w:pPr>
      <w:hyperlink w:anchor="_Toc12977" w:history="1">
        <w:r>
          <w:rPr>
            <w:rFonts w:ascii="仿宋" w:eastAsia="仿宋" w:hAnsi="仿宋" w:cs="仿宋" w:hint="eastAsia"/>
            <w:lang w:eastAsia="zh-CN"/>
          </w:rPr>
          <w:t>(一)、技术管理特点</w:t>
        </w:r>
        <w:r>
          <w:tab/>
        </w:r>
        <w:r>
          <w:fldChar w:fldCharType="begin"/>
        </w:r>
        <w:r>
          <w:instrText xml:space="preserve"> PAGEREF _Toc12977 \h </w:instrText>
        </w:r>
        <w:r>
          <w:fldChar w:fldCharType="separate"/>
        </w:r>
        <w:r>
          <w:t>3</w:t>
        </w:r>
        <w:r>
          <w:fldChar w:fldCharType="end"/>
        </w:r>
      </w:hyperlink>
    </w:p>
    <w:p>
      <w:pPr>
        <w:pStyle w:val="TOC2"/>
        <w:tabs>
          <w:tab w:val="right" w:leader="dot" w:pos="8306"/>
        </w:tabs>
      </w:pPr>
      <w:hyperlink w:anchor="_Toc20477" w:history="1">
        <w:r>
          <w:rPr>
            <w:rFonts w:ascii="仿宋" w:eastAsia="仿宋" w:hAnsi="仿宋" w:cs="仿宋" w:hint="eastAsia"/>
            <w:lang w:eastAsia="zh-CN"/>
          </w:rPr>
          <w:t>(二)、邮政专用机械及器材项目工艺技术设计方案</w:t>
        </w:r>
        <w:r>
          <w:tab/>
        </w:r>
        <w:r>
          <w:fldChar w:fldCharType="begin"/>
        </w:r>
        <w:r>
          <w:instrText xml:space="preserve"> PAGEREF _Toc20477 \h </w:instrText>
        </w:r>
        <w:r>
          <w:fldChar w:fldCharType="separate"/>
        </w:r>
        <w:r>
          <w:t>4</w:t>
        </w:r>
        <w:r>
          <w:fldChar w:fldCharType="end"/>
        </w:r>
      </w:hyperlink>
    </w:p>
    <w:p>
      <w:pPr>
        <w:pStyle w:val="TOC2"/>
        <w:tabs>
          <w:tab w:val="right" w:leader="dot" w:pos="8306"/>
        </w:tabs>
      </w:pPr>
      <w:hyperlink w:anchor="_Toc8593" w:history="1">
        <w:r>
          <w:rPr>
            <w:rFonts w:ascii="仿宋" w:eastAsia="仿宋" w:hAnsi="仿宋" w:cs="仿宋" w:hint="eastAsia"/>
            <w:lang w:eastAsia="zh-CN"/>
          </w:rPr>
          <w:t>(三)、设备选型方案</w:t>
        </w:r>
        <w:r>
          <w:tab/>
        </w:r>
        <w:r>
          <w:fldChar w:fldCharType="begin"/>
        </w:r>
        <w:r>
          <w:instrText xml:space="preserve"> PAGEREF _Toc8593 \h </w:instrText>
        </w:r>
        <w:r>
          <w:fldChar w:fldCharType="separate"/>
        </w:r>
        <w:r>
          <w:t>5</w:t>
        </w:r>
        <w:r>
          <w:fldChar w:fldCharType="end"/>
        </w:r>
      </w:hyperlink>
    </w:p>
    <w:p>
      <w:pPr>
        <w:pStyle w:val="TOC1"/>
        <w:tabs>
          <w:tab w:val="right" w:leader="dot" w:pos="8306"/>
        </w:tabs>
      </w:pPr>
      <w:hyperlink w:anchor="_Toc12250" w:history="1">
        <w:r>
          <w:rPr>
            <w:rFonts w:ascii="仿宋" w:eastAsia="仿宋" w:hAnsi="仿宋" w:cs="仿宋" w:hint="eastAsia"/>
            <w:lang w:eastAsia="zh-CN"/>
          </w:rPr>
          <w:t>二、建设规划</w:t>
        </w:r>
        <w:r>
          <w:tab/>
        </w:r>
        <w:r>
          <w:fldChar w:fldCharType="begin"/>
        </w:r>
        <w:r>
          <w:instrText xml:space="preserve"> PAGEREF _Toc12250 \h </w:instrText>
        </w:r>
        <w:r>
          <w:fldChar w:fldCharType="separate"/>
        </w:r>
        <w:r>
          <w:t>6</w:t>
        </w:r>
        <w:r>
          <w:fldChar w:fldCharType="end"/>
        </w:r>
      </w:hyperlink>
    </w:p>
    <w:p>
      <w:pPr>
        <w:pStyle w:val="TOC2"/>
        <w:tabs>
          <w:tab w:val="right" w:leader="dot" w:pos="8306"/>
        </w:tabs>
      </w:pPr>
      <w:hyperlink w:anchor="_Toc15776" w:history="1">
        <w:r>
          <w:rPr>
            <w:rFonts w:ascii="仿宋" w:eastAsia="仿宋" w:hAnsi="仿宋" w:cs="仿宋" w:hint="eastAsia"/>
            <w:lang w:eastAsia="zh-CN"/>
          </w:rPr>
          <w:t>(一)、产品规划</w:t>
        </w:r>
        <w:r>
          <w:tab/>
        </w:r>
        <w:r>
          <w:fldChar w:fldCharType="begin"/>
        </w:r>
        <w:r>
          <w:instrText xml:space="preserve"> PAGEREF _Toc15776 \h </w:instrText>
        </w:r>
        <w:r>
          <w:fldChar w:fldCharType="separate"/>
        </w:r>
        <w:r>
          <w:t>6</w:t>
        </w:r>
        <w:r>
          <w:fldChar w:fldCharType="end"/>
        </w:r>
      </w:hyperlink>
    </w:p>
    <w:p>
      <w:pPr>
        <w:pStyle w:val="TOC2"/>
        <w:tabs>
          <w:tab w:val="right" w:leader="dot" w:pos="8306"/>
        </w:tabs>
      </w:pPr>
      <w:hyperlink w:anchor="_Toc25945" w:history="1">
        <w:r>
          <w:rPr>
            <w:rFonts w:ascii="仿宋" w:eastAsia="仿宋" w:hAnsi="仿宋" w:cs="仿宋" w:hint="eastAsia"/>
            <w:lang w:eastAsia="zh-CN"/>
          </w:rPr>
          <w:t>(二)、建设规模</w:t>
        </w:r>
        <w:r>
          <w:tab/>
        </w:r>
        <w:r>
          <w:fldChar w:fldCharType="begin"/>
        </w:r>
        <w:r>
          <w:instrText xml:space="preserve"> PAGEREF _Toc25945 \h </w:instrText>
        </w:r>
        <w:r>
          <w:fldChar w:fldCharType="separate"/>
        </w:r>
        <w:r>
          <w:t>8</w:t>
        </w:r>
        <w:r>
          <w:fldChar w:fldCharType="end"/>
        </w:r>
      </w:hyperlink>
    </w:p>
    <w:p>
      <w:pPr>
        <w:pStyle w:val="TOC1"/>
        <w:tabs>
          <w:tab w:val="right" w:leader="dot" w:pos="8306"/>
        </w:tabs>
      </w:pPr>
      <w:hyperlink w:anchor="_Toc19008" w:history="1">
        <w:r>
          <w:rPr>
            <w:rFonts w:ascii="仿宋" w:eastAsia="仿宋" w:hAnsi="仿宋" w:cs="仿宋" w:hint="eastAsia"/>
            <w:lang w:eastAsia="zh-CN"/>
          </w:rPr>
          <w:t>三、邮政专用机械及器材项目选址说明</w:t>
        </w:r>
        <w:r>
          <w:tab/>
        </w:r>
        <w:r>
          <w:fldChar w:fldCharType="begin"/>
        </w:r>
        <w:r>
          <w:instrText xml:space="preserve"> PAGEREF _Toc19008 \h </w:instrText>
        </w:r>
        <w:r>
          <w:fldChar w:fldCharType="separate"/>
        </w:r>
        <w:r>
          <w:t>9</w:t>
        </w:r>
        <w:r>
          <w:fldChar w:fldCharType="end"/>
        </w:r>
      </w:hyperlink>
    </w:p>
    <w:p>
      <w:pPr>
        <w:pStyle w:val="TOC2"/>
        <w:tabs>
          <w:tab w:val="right" w:leader="dot" w:pos="8306"/>
        </w:tabs>
      </w:pPr>
      <w:hyperlink w:anchor="_Toc22980" w:history="1">
        <w:r>
          <w:rPr>
            <w:rFonts w:ascii="仿宋" w:eastAsia="仿宋" w:hAnsi="仿宋" w:cs="仿宋" w:hint="eastAsia"/>
            <w:lang w:eastAsia="zh-CN"/>
          </w:rPr>
          <w:t>(一)、邮政专用机械及器材项目选址</w:t>
        </w:r>
        <w:r>
          <w:tab/>
        </w:r>
        <w:r>
          <w:fldChar w:fldCharType="begin"/>
        </w:r>
        <w:r>
          <w:instrText xml:space="preserve"> PAGEREF _Toc22980 \h </w:instrText>
        </w:r>
        <w:r>
          <w:fldChar w:fldCharType="separate"/>
        </w:r>
        <w:r>
          <w:t>9</w:t>
        </w:r>
        <w:r>
          <w:fldChar w:fldCharType="end"/>
        </w:r>
      </w:hyperlink>
    </w:p>
    <w:p>
      <w:pPr>
        <w:pStyle w:val="TOC2"/>
        <w:tabs>
          <w:tab w:val="right" w:leader="dot" w:pos="8306"/>
        </w:tabs>
      </w:pPr>
      <w:hyperlink w:anchor="_Toc14650" w:history="1">
        <w:r>
          <w:rPr>
            <w:rFonts w:ascii="仿宋" w:eastAsia="仿宋" w:hAnsi="仿宋" w:cs="仿宋" w:hint="eastAsia"/>
            <w:lang w:eastAsia="zh-CN"/>
          </w:rPr>
          <w:t>(二)、用地控制指标</w:t>
        </w:r>
        <w:r>
          <w:tab/>
        </w:r>
        <w:r>
          <w:fldChar w:fldCharType="begin"/>
        </w:r>
        <w:r>
          <w:instrText xml:space="preserve"> PAGEREF _Toc14650 \h </w:instrText>
        </w:r>
        <w:r>
          <w:fldChar w:fldCharType="separate"/>
        </w:r>
        <w:r>
          <w:t>9</w:t>
        </w:r>
        <w:r>
          <w:fldChar w:fldCharType="end"/>
        </w:r>
      </w:hyperlink>
    </w:p>
    <w:p>
      <w:pPr>
        <w:pStyle w:val="TOC2"/>
        <w:tabs>
          <w:tab w:val="right" w:leader="dot" w:pos="8306"/>
        </w:tabs>
      </w:pPr>
      <w:hyperlink w:anchor="_Toc22215" w:history="1">
        <w:r>
          <w:rPr>
            <w:rFonts w:ascii="仿宋" w:eastAsia="仿宋" w:hAnsi="仿宋" w:cs="仿宋" w:hint="eastAsia"/>
            <w:lang w:eastAsia="zh-CN"/>
          </w:rPr>
          <w:t>(三)、节约用地措施</w:t>
        </w:r>
        <w:r>
          <w:tab/>
        </w:r>
        <w:r>
          <w:fldChar w:fldCharType="begin"/>
        </w:r>
        <w:r>
          <w:instrText xml:space="preserve"> PAGEREF _Toc22215 \h </w:instrText>
        </w:r>
        <w:r>
          <w:fldChar w:fldCharType="separate"/>
        </w:r>
        <w:r>
          <w:t>10</w:t>
        </w:r>
        <w:r>
          <w:fldChar w:fldCharType="end"/>
        </w:r>
      </w:hyperlink>
    </w:p>
    <w:p>
      <w:pPr>
        <w:pStyle w:val="TOC2"/>
        <w:tabs>
          <w:tab w:val="right" w:leader="dot" w:pos="8306"/>
        </w:tabs>
      </w:pPr>
      <w:hyperlink w:anchor="_Toc22663" w:history="1">
        <w:r>
          <w:rPr>
            <w:rFonts w:ascii="仿宋" w:eastAsia="仿宋" w:hAnsi="仿宋" w:cs="仿宋" w:hint="eastAsia"/>
            <w:lang w:eastAsia="zh-CN"/>
          </w:rPr>
          <w:t>(四)、总图布置方案</w:t>
        </w:r>
        <w:r>
          <w:tab/>
        </w:r>
        <w:r>
          <w:fldChar w:fldCharType="begin"/>
        </w:r>
        <w:r>
          <w:instrText xml:space="preserve"> PAGEREF _Toc22663 \h </w:instrText>
        </w:r>
        <w:r>
          <w:fldChar w:fldCharType="separate"/>
        </w:r>
        <w:r>
          <w:t>11</w:t>
        </w:r>
        <w:r>
          <w:fldChar w:fldCharType="end"/>
        </w:r>
      </w:hyperlink>
    </w:p>
    <w:p>
      <w:pPr>
        <w:pStyle w:val="TOC2"/>
        <w:tabs>
          <w:tab w:val="right" w:leader="dot" w:pos="8306"/>
        </w:tabs>
      </w:pPr>
      <w:hyperlink w:anchor="_Toc22915" w:history="1">
        <w:r>
          <w:rPr>
            <w:rFonts w:ascii="仿宋" w:eastAsia="仿宋" w:hAnsi="仿宋" w:cs="仿宋" w:hint="eastAsia"/>
            <w:lang w:eastAsia="zh-CN"/>
          </w:rPr>
          <w:t>(五)、选址综合评价</w:t>
        </w:r>
        <w:r>
          <w:tab/>
        </w:r>
        <w:r>
          <w:fldChar w:fldCharType="begin"/>
        </w:r>
        <w:r>
          <w:instrText xml:space="preserve"> PAGEREF _Toc22915 \h </w:instrText>
        </w:r>
        <w:r>
          <w:fldChar w:fldCharType="separate"/>
        </w:r>
        <w:r>
          <w:t>12</w:t>
        </w:r>
        <w:r>
          <w:fldChar w:fldCharType="end"/>
        </w:r>
      </w:hyperlink>
    </w:p>
    <w:p>
      <w:pPr>
        <w:pStyle w:val="TOC1"/>
        <w:tabs>
          <w:tab w:val="right" w:leader="dot" w:pos="8306"/>
        </w:tabs>
      </w:pPr>
      <w:hyperlink w:anchor="_Toc17291" w:history="1">
        <w:r>
          <w:rPr>
            <w:rFonts w:ascii="仿宋" w:eastAsia="仿宋" w:hAnsi="仿宋" w:cs="仿宋" w:hint="eastAsia"/>
            <w:lang w:eastAsia="zh-CN"/>
          </w:rPr>
          <w:t>四、邮政专用机械及器材项目市场前景分析</w:t>
        </w:r>
        <w:r>
          <w:tab/>
        </w:r>
        <w:r>
          <w:fldChar w:fldCharType="begin"/>
        </w:r>
        <w:r>
          <w:instrText xml:space="preserve"> PAGEREF _Toc17291 \h </w:instrText>
        </w:r>
        <w:r>
          <w:fldChar w:fldCharType="separate"/>
        </w:r>
        <w:r>
          <w:t>14</w:t>
        </w:r>
        <w:r>
          <w:fldChar w:fldCharType="end"/>
        </w:r>
      </w:hyperlink>
    </w:p>
    <w:p>
      <w:pPr>
        <w:pStyle w:val="TOC2"/>
        <w:tabs>
          <w:tab w:val="right" w:leader="dot" w:pos="8306"/>
        </w:tabs>
      </w:pPr>
      <w:hyperlink w:anchor="_Toc32623" w:history="1">
        <w:r>
          <w:rPr>
            <w:rFonts w:ascii="仿宋" w:eastAsia="仿宋" w:hAnsi="仿宋" w:cs="仿宋" w:hint="eastAsia"/>
            <w:lang w:eastAsia="zh-CN"/>
          </w:rPr>
          <w:t>(一)、建设地经济发展概况</w:t>
        </w:r>
        <w:r>
          <w:tab/>
        </w:r>
        <w:r>
          <w:fldChar w:fldCharType="begin"/>
        </w:r>
        <w:r>
          <w:instrText xml:space="preserve"> PAGEREF _Toc32623 \h </w:instrText>
        </w:r>
        <w:r>
          <w:fldChar w:fldCharType="separate"/>
        </w:r>
        <w:r>
          <w:t>14</w:t>
        </w:r>
        <w:r>
          <w:fldChar w:fldCharType="end"/>
        </w:r>
      </w:hyperlink>
    </w:p>
    <w:p>
      <w:pPr>
        <w:pStyle w:val="TOC2"/>
        <w:tabs>
          <w:tab w:val="right" w:leader="dot" w:pos="8306"/>
        </w:tabs>
      </w:pPr>
      <w:hyperlink w:anchor="_Toc23290" w:history="1">
        <w:r>
          <w:rPr>
            <w:rFonts w:ascii="仿宋" w:eastAsia="仿宋" w:hAnsi="仿宋" w:cs="仿宋" w:hint="eastAsia"/>
            <w:lang w:eastAsia="zh-CN"/>
          </w:rPr>
          <w:t>(二)、行业市场分析</w:t>
        </w:r>
        <w:r>
          <w:tab/>
        </w:r>
        <w:r>
          <w:fldChar w:fldCharType="begin"/>
        </w:r>
        <w:r>
          <w:instrText xml:space="preserve"> PAGEREF _Toc23290 \h </w:instrText>
        </w:r>
        <w:r>
          <w:fldChar w:fldCharType="separate"/>
        </w:r>
        <w:r>
          <w:t>15</w:t>
        </w:r>
        <w:r>
          <w:fldChar w:fldCharType="end"/>
        </w:r>
      </w:hyperlink>
    </w:p>
    <w:p>
      <w:pPr>
        <w:pStyle w:val="TOC1"/>
        <w:tabs>
          <w:tab w:val="right" w:leader="dot" w:pos="8306"/>
        </w:tabs>
      </w:pPr>
      <w:hyperlink w:anchor="_Toc25380" w:history="1">
        <w:r>
          <w:rPr>
            <w:rFonts w:ascii="仿宋" w:eastAsia="仿宋" w:hAnsi="仿宋" w:cs="仿宋" w:hint="eastAsia"/>
            <w:lang w:eastAsia="zh-CN"/>
          </w:rPr>
          <w:t>五、邮政专用机械及器材项目实施进度计划</w:t>
        </w:r>
        <w:r>
          <w:tab/>
        </w:r>
        <w:r>
          <w:fldChar w:fldCharType="begin"/>
        </w:r>
        <w:r>
          <w:instrText xml:space="preserve"> PAGEREF _Toc25380 \h </w:instrText>
        </w:r>
        <w:r>
          <w:fldChar w:fldCharType="separate"/>
        </w:r>
        <w:r>
          <w:t>17</w:t>
        </w:r>
        <w:r>
          <w:fldChar w:fldCharType="end"/>
        </w:r>
      </w:hyperlink>
    </w:p>
    <w:p>
      <w:pPr>
        <w:pStyle w:val="TOC2"/>
        <w:tabs>
          <w:tab w:val="right" w:leader="dot" w:pos="8306"/>
        </w:tabs>
      </w:pPr>
      <w:hyperlink w:anchor="_Toc24823" w:history="1">
        <w:r>
          <w:rPr>
            <w:rFonts w:ascii="仿宋" w:eastAsia="仿宋" w:hAnsi="仿宋" w:cs="仿宋" w:hint="eastAsia"/>
            <w:lang w:eastAsia="zh-CN"/>
          </w:rPr>
          <w:t>(一)、建设周期</w:t>
        </w:r>
        <w:r>
          <w:tab/>
        </w:r>
        <w:r>
          <w:fldChar w:fldCharType="begin"/>
        </w:r>
        <w:r>
          <w:instrText xml:space="preserve"> PAGEREF _Toc24823 \h </w:instrText>
        </w:r>
        <w:r>
          <w:fldChar w:fldCharType="separate"/>
        </w:r>
        <w:r>
          <w:t>17</w:t>
        </w:r>
        <w:r>
          <w:fldChar w:fldCharType="end"/>
        </w:r>
      </w:hyperlink>
    </w:p>
    <w:p>
      <w:pPr>
        <w:pStyle w:val="TOC2"/>
        <w:tabs>
          <w:tab w:val="right" w:leader="dot" w:pos="8306"/>
        </w:tabs>
      </w:pPr>
      <w:hyperlink w:anchor="_Toc12409" w:history="1">
        <w:r>
          <w:rPr>
            <w:rFonts w:ascii="仿宋" w:eastAsia="仿宋" w:hAnsi="仿宋" w:cs="仿宋" w:hint="eastAsia"/>
            <w:lang w:eastAsia="zh-CN"/>
          </w:rPr>
          <w:t>(二)、建设进度</w:t>
        </w:r>
        <w:r>
          <w:tab/>
        </w:r>
        <w:r>
          <w:fldChar w:fldCharType="begin"/>
        </w:r>
        <w:r>
          <w:instrText xml:space="preserve"> PAGEREF _Toc12409 \h </w:instrText>
        </w:r>
        <w:r>
          <w:fldChar w:fldCharType="separate"/>
        </w:r>
        <w:r>
          <w:t>18</w:t>
        </w:r>
        <w:r>
          <w:fldChar w:fldCharType="end"/>
        </w:r>
      </w:hyperlink>
    </w:p>
    <w:p>
      <w:pPr>
        <w:pStyle w:val="TOC2"/>
        <w:tabs>
          <w:tab w:val="right" w:leader="dot" w:pos="8306"/>
        </w:tabs>
      </w:pPr>
      <w:hyperlink w:anchor="_Toc823" w:history="1">
        <w:r>
          <w:rPr>
            <w:rFonts w:ascii="仿宋" w:eastAsia="仿宋" w:hAnsi="仿宋" w:cs="仿宋" w:hint="eastAsia"/>
            <w:lang w:eastAsia="zh-CN"/>
          </w:rPr>
          <w:t>(三)、进度安排注意事项</w:t>
        </w:r>
        <w:r>
          <w:tab/>
        </w:r>
        <w:r>
          <w:fldChar w:fldCharType="begin"/>
        </w:r>
        <w:r>
          <w:instrText xml:space="preserve"> PAGEREF _Toc823 \h </w:instrText>
        </w:r>
        <w:r>
          <w:fldChar w:fldCharType="separate"/>
        </w:r>
        <w:r>
          <w:t>20</w:t>
        </w:r>
        <w:r>
          <w:fldChar w:fldCharType="end"/>
        </w:r>
      </w:hyperlink>
    </w:p>
    <w:p>
      <w:pPr>
        <w:pStyle w:val="TOC2"/>
        <w:tabs>
          <w:tab w:val="right" w:leader="dot" w:pos="8306"/>
        </w:tabs>
      </w:pPr>
      <w:hyperlink w:anchor="_Toc12960" w:history="1">
        <w:r>
          <w:rPr>
            <w:rFonts w:ascii="仿宋" w:eastAsia="仿宋" w:hAnsi="仿宋" w:cs="仿宋" w:hint="eastAsia"/>
            <w:lang w:eastAsia="zh-CN"/>
          </w:rPr>
          <w:t>(四)、人力资源配置</w:t>
        </w:r>
        <w:r>
          <w:tab/>
        </w:r>
        <w:r>
          <w:fldChar w:fldCharType="begin"/>
        </w:r>
        <w:r>
          <w:instrText xml:space="preserve"> PAGEREF _Toc12960 \h </w:instrText>
        </w:r>
        <w:r>
          <w:fldChar w:fldCharType="separate"/>
        </w:r>
        <w:r>
          <w:t>21</w:t>
        </w:r>
        <w:r>
          <w:fldChar w:fldCharType="end"/>
        </w:r>
      </w:hyperlink>
    </w:p>
    <w:p>
      <w:pPr>
        <w:pStyle w:val="TOC2"/>
        <w:tabs>
          <w:tab w:val="right" w:leader="dot" w:pos="8306"/>
        </w:tabs>
      </w:pPr>
      <w:hyperlink w:anchor="_Toc11051" w:history="1">
        <w:r>
          <w:rPr>
            <w:rFonts w:ascii="仿宋" w:eastAsia="仿宋" w:hAnsi="仿宋" w:cs="仿宋" w:hint="eastAsia"/>
            <w:lang w:eastAsia="zh-CN"/>
          </w:rPr>
          <w:t>(五)、员工培训</w:t>
        </w:r>
        <w:r>
          <w:tab/>
        </w:r>
        <w:r>
          <w:fldChar w:fldCharType="begin"/>
        </w:r>
        <w:r>
          <w:instrText xml:space="preserve"> PAGEREF _Toc11051 \h </w:instrText>
        </w:r>
        <w:r>
          <w:fldChar w:fldCharType="separate"/>
        </w:r>
        <w:r>
          <w:t>23</w:t>
        </w:r>
        <w:r>
          <w:fldChar w:fldCharType="end"/>
        </w:r>
      </w:hyperlink>
    </w:p>
    <w:p>
      <w:pPr>
        <w:pStyle w:val="TOC2"/>
        <w:tabs>
          <w:tab w:val="right" w:leader="dot" w:pos="8306"/>
        </w:tabs>
      </w:pPr>
      <w:hyperlink w:anchor="_Toc29738" w:history="1">
        <w:r>
          <w:rPr>
            <w:rFonts w:ascii="仿宋" w:eastAsia="仿宋" w:hAnsi="仿宋" w:cs="仿宋" w:hint="eastAsia"/>
            <w:lang w:eastAsia="zh-CN"/>
          </w:rPr>
          <w:t>(六)、邮政专用机械及器材项目实施保障</w:t>
        </w:r>
        <w:r>
          <w:tab/>
        </w:r>
        <w:r>
          <w:fldChar w:fldCharType="begin"/>
        </w:r>
        <w:r>
          <w:instrText xml:space="preserve"> PAGEREF _Toc29738 \h </w:instrText>
        </w:r>
        <w:r>
          <w:fldChar w:fldCharType="separate"/>
        </w:r>
        <w:r>
          <w:t>24</w:t>
        </w:r>
        <w:r>
          <w:fldChar w:fldCharType="end"/>
        </w:r>
      </w:hyperlink>
    </w:p>
    <w:p>
      <w:pPr>
        <w:pStyle w:val="TOC1"/>
        <w:tabs>
          <w:tab w:val="right" w:leader="dot" w:pos="8306"/>
        </w:tabs>
      </w:pPr>
      <w:hyperlink w:anchor="_Toc27769" w:history="1">
        <w:r>
          <w:rPr>
            <w:rFonts w:ascii="仿宋" w:eastAsia="仿宋" w:hAnsi="仿宋" w:cs="仿宋" w:hint="eastAsia"/>
            <w:lang w:eastAsia="zh-CN"/>
          </w:rPr>
          <w:t>六、邮政专用机械及器材项目投资可行性分析</w:t>
        </w:r>
        <w:r>
          <w:tab/>
        </w:r>
        <w:r>
          <w:fldChar w:fldCharType="begin"/>
        </w:r>
        <w:r>
          <w:instrText xml:space="preserve"> PAGEREF _Toc27769 \h </w:instrText>
        </w:r>
        <w:r>
          <w:fldChar w:fldCharType="separate"/>
        </w:r>
        <w:r>
          <w:t>26</w:t>
        </w:r>
        <w:r>
          <w:fldChar w:fldCharType="end"/>
        </w:r>
      </w:hyperlink>
    </w:p>
    <w:p>
      <w:pPr>
        <w:pStyle w:val="TOC2"/>
        <w:tabs>
          <w:tab w:val="right" w:leader="dot" w:pos="8306"/>
        </w:tabs>
      </w:pPr>
      <w:hyperlink w:anchor="_Toc2070" w:history="1">
        <w:r>
          <w:rPr>
            <w:rFonts w:ascii="仿宋" w:eastAsia="仿宋" w:hAnsi="仿宋" w:cs="仿宋" w:hint="eastAsia"/>
            <w:lang w:eastAsia="zh-CN"/>
          </w:rPr>
          <w:t>(一)、邮政专用机械及器材项目估算说明</w:t>
        </w:r>
        <w:r>
          <w:tab/>
        </w:r>
        <w:r>
          <w:fldChar w:fldCharType="begin"/>
        </w:r>
        <w:r>
          <w:instrText xml:space="preserve"> PAGEREF _Toc2070 \h </w:instrText>
        </w:r>
        <w:r>
          <w:fldChar w:fldCharType="separate"/>
        </w:r>
        <w:r>
          <w:t>26</w:t>
        </w:r>
        <w:r>
          <w:fldChar w:fldCharType="end"/>
        </w:r>
      </w:hyperlink>
    </w:p>
    <w:p>
      <w:pPr>
        <w:pStyle w:val="TOC2"/>
        <w:tabs>
          <w:tab w:val="right" w:leader="dot" w:pos="8306"/>
        </w:tabs>
      </w:pPr>
      <w:hyperlink w:anchor="_Toc27731" w:history="1">
        <w:r>
          <w:rPr>
            <w:rFonts w:ascii="仿宋" w:eastAsia="仿宋" w:hAnsi="仿宋" w:cs="仿宋" w:hint="eastAsia"/>
            <w:lang w:eastAsia="zh-CN"/>
          </w:rPr>
          <w:t>(二)、邮政专用机械及器材项目总投资估算</w:t>
        </w:r>
        <w:r>
          <w:tab/>
        </w:r>
        <w:r>
          <w:fldChar w:fldCharType="begin"/>
        </w:r>
        <w:r>
          <w:instrText xml:space="preserve"> PAGEREF _Toc27731 \h </w:instrText>
        </w:r>
        <w:r>
          <w:fldChar w:fldCharType="separate"/>
        </w:r>
        <w:r>
          <w:t>28</w:t>
        </w:r>
        <w:r>
          <w:fldChar w:fldCharType="end"/>
        </w:r>
      </w:hyperlink>
    </w:p>
    <w:p>
      <w:pPr>
        <w:pStyle w:val="TOC2"/>
        <w:tabs>
          <w:tab w:val="right" w:leader="dot" w:pos="8306"/>
        </w:tabs>
      </w:pPr>
      <w:hyperlink w:anchor="_Toc3152" w:history="1">
        <w:r>
          <w:rPr>
            <w:rFonts w:ascii="仿宋" w:eastAsia="仿宋" w:hAnsi="仿宋" w:cs="仿宋" w:hint="eastAsia"/>
            <w:lang w:eastAsia="zh-CN"/>
          </w:rPr>
          <w:t>(三)、资金筹措</w:t>
        </w:r>
        <w:r>
          <w:tab/>
        </w:r>
        <w:r>
          <w:fldChar w:fldCharType="begin"/>
        </w:r>
        <w:r>
          <w:instrText xml:space="preserve"> PAGEREF _Toc3152 \h </w:instrText>
        </w:r>
        <w:r>
          <w:fldChar w:fldCharType="separate"/>
        </w:r>
        <w:r>
          <w:t>28</w:t>
        </w:r>
        <w:r>
          <w:fldChar w:fldCharType="end"/>
        </w:r>
      </w:hyperlink>
    </w:p>
    <w:p>
      <w:pPr>
        <w:pStyle w:val="TOC1"/>
        <w:tabs>
          <w:tab w:val="right" w:leader="dot" w:pos="8306"/>
        </w:tabs>
      </w:pPr>
      <w:hyperlink w:anchor="_Toc12394" w:history="1">
        <w:r>
          <w:rPr>
            <w:rFonts w:ascii="仿宋" w:eastAsia="仿宋" w:hAnsi="仿宋" w:cs="仿宋" w:hint="eastAsia"/>
            <w:lang w:eastAsia="zh-CN"/>
          </w:rPr>
          <w:t>七、投资背景及必要性分析</w:t>
        </w:r>
        <w:r>
          <w:tab/>
        </w:r>
        <w:r>
          <w:fldChar w:fldCharType="begin"/>
        </w:r>
        <w:r>
          <w:instrText xml:space="preserve"> PAGEREF _Toc12394 \h </w:instrText>
        </w:r>
        <w:r>
          <w:fldChar w:fldCharType="separate"/>
        </w:r>
        <w:r>
          <w:t>31</w:t>
        </w:r>
        <w:r>
          <w:fldChar w:fldCharType="end"/>
        </w:r>
      </w:hyperlink>
    </w:p>
    <w:p>
      <w:pPr>
        <w:pStyle w:val="TOC2"/>
        <w:tabs>
          <w:tab w:val="right" w:leader="dot" w:pos="8306"/>
        </w:tabs>
      </w:pPr>
      <w:hyperlink w:anchor="_Toc14680" w:history="1">
        <w:r>
          <w:rPr>
            <w:rFonts w:ascii="仿宋" w:eastAsia="仿宋" w:hAnsi="仿宋" w:cs="仿宋" w:hint="eastAsia"/>
            <w:lang w:eastAsia="zh-CN"/>
          </w:rPr>
          <w:t>(一)、邮政专用机械及器材项目承办单位背景分析</w:t>
        </w:r>
        <w:r>
          <w:tab/>
        </w:r>
        <w:r>
          <w:fldChar w:fldCharType="begin"/>
        </w:r>
        <w:r>
          <w:instrText xml:space="preserve"> PAGEREF _Toc14680 \h </w:instrText>
        </w:r>
        <w:r>
          <w:fldChar w:fldCharType="separate"/>
        </w:r>
        <w:r>
          <w:t>31</w:t>
        </w:r>
        <w:r>
          <w:fldChar w:fldCharType="end"/>
        </w:r>
      </w:hyperlink>
    </w:p>
    <w:p>
      <w:pPr>
        <w:pStyle w:val="TOC2"/>
        <w:tabs>
          <w:tab w:val="right" w:leader="dot" w:pos="8306"/>
        </w:tabs>
      </w:pPr>
      <w:hyperlink w:anchor="_Toc31373" w:history="1">
        <w:r>
          <w:rPr>
            <w:rFonts w:ascii="仿宋" w:eastAsia="仿宋" w:hAnsi="仿宋" w:cs="仿宋" w:hint="eastAsia"/>
            <w:lang w:eastAsia="zh-CN"/>
          </w:rPr>
          <w:t>(二)、产业政策及发展规划</w:t>
        </w:r>
        <w:r>
          <w:tab/>
        </w:r>
        <w:r>
          <w:fldChar w:fldCharType="begin"/>
        </w:r>
        <w:r>
          <w:instrText xml:space="preserve"> PAGEREF _Toc31373 \h </w:instrText>
        </w:r>
        <w:r>
          <w:fldChar w:fldCharType="separate"/>
        </w:r>
        <w:r>
          <w:t>32</w:t>
        </w:r>
        <w:r>
          <w:fldChar w:fldCharType="end"/>
        </w:r>
      </w:hyperlink>
    </w:p>
    <w:p>
      <w:pPr>
        <w:pStyle w:val="TOC2"/>
        <w:tabs>
          <w:tab w:val="right" w:leader="dot" w:pos="8306"/>
        </w:tabs>
      </w:pPr>
      <w:hyperlink w:anchor="_Toc12257" w:history="1">
        <w:r>
          <w:rPr>
            <w:rFonts w:ascii="仿宋" w:eastAsia="仿宋" w:hAnsi="仿宋" w:cs="仿宋" w:hint="eastAsia"/>
            <w:lang w:eastAsia="zh-CN"/>
          </w:rPr>
          <w:t>(三)、鼓励中小企业发展</w:t>
        </w:r>
        <w:r>
          <w:tab/>
        </w:r>
        <w:r>
          <w:fldChar w:fldCharType="begin"/>
        </w:r>
        <w:r>
          <w:instrText xml:space="preserve"> PAGEREF _Toc12257 \h </w:instrText>
        </w:r>
        <w:r>
          <w:fldChar w:fldCharType="separate"/>
        </w:r>
        <w:r>
          <w:t>33</w:t>
        </w:r>
        <w:r>
          <w:fldChar w:fldCharType="end"/>
        </w:r>
      </w:hyperlink>
    </w:p>
    <w:p>
      <w:pPr>
        <w:pStyle w:val="TOC2"/>
        <w:tabs>
          <w:tab w:val="right" w:leader="dot" w:pos="8306"/>
        </w:tabs>
      </w:pPr>
      <w:hyperlink w:anchor="_Toc15929" w:history="1">
        <w:r>
          <w:rPr>
            <w:rFonts w:ascii="仿宋" w:eastAsia="仿宋" w:hAnsi="仿宋" w:cs="仿宋" w:hint="eastAsia"/>
            <w:lang w:eastAsia="zh-CN"/>
          </w:rPr>
          <w:t>(四)、宏观经济形势分析</w:t>
        </w:r>
        <w:r>
          <w:tab/>
        </w:r>
        <w:r>
          <w:fldChar w:fldCharType="begin"/>
        </w:r>
        <w:r>
          <w:instrText xml:space="preserve"> PAGEREF _Toc15929 \h </w:instrText>
        </w:r>
        <w:r>
          <w:fldChar w:fldCharType="separate"/>
        </w:r>
        <w:r>
          <w:t>34</w:t>
        </w:r>
        <w:r>
          <w:fldChar w:fldCharType="end"/>
        </w:r>
      </w:hyperlink>
    </w:p>
    <w:p>
      <w:pPr>
        <w:pStyle w:val="TOC2"/>
        <w:tabs>
          <w:tab w:val="right" w:leader="dot" w:pos="8306"/>
        </w:tabs>
      </w:pPr>
      <w:hyperlink w:anchor="_Toc31913" w:history="1">
        <w:r>
          <w:rPr>
            <w:rFonts w:ascii="仿宋" w:eastAsia="仿宋" w:hAnsi="仿宋" w:cs="仿宋" w:hint="eastAsia"/>
            <w:lang w:eastAsia="zh-CN"/>
          </w:rPr>
          <w:t>(五)、区域经济发展概况</w:t>
        </w:r>
        <w:r>
          <w:tab/>
        </w:r>
        <w:r>
          <w:fldChar w:fldCharType="begin"/>
        </w:r>
        <w:r>
          <w:instrText xml:space="preserve"> PAGEREF _Toc31913 \h </w:instrText>
        </w:r>
        <w:r>
          <w:fldChar w:fldCharType="separate"/>
        </w:r>
        <w:r>
          <w:t>36</w:t>
        </w:r>
        <w:r>
          <w:fldChar w:fldCharType="end"/>
        </w:r>
      </w:hyperlink>
    </w:p>
    <w:p>
      <w:pPr>
        <w:pStyle w:val="TOC2"/>
        <w:tabs>
          <w:tab w:val="right" w:leader="dot" w:pos="8306"/>
        </w:tabs>
      </w:pPr>
      <w:hyperlink w:anchor="_Toc26526" w:history="1">
        <w:r>
          <w:rPr>
            <w:rFonts w:ascii="仿宋" w:eastAsia="仿宋" w:hAnsi="仿宋" w:cs="仿宋" w:hint="eastAsia"/>
            <w:lang w:eastAsia="zh-CN"/>
          </w:rPr>
          <w:t>(六)、邮政专用机械及器材项目必要性分析</w:t>
        </w:r>
        <w:r>
          <w:tab/>
        </w:r>
        <w:r>
          <w:fldChar w:fldCharType="begin"/>
        </w:r>
        <w:r>
          <w:instrText xml:space="preserve"> PAGEREF _Toc26526 \h </w:instrText>
        </w:r>
        <w:r>
          <w:fldChar w:fldCharType="separate"/>
        </w:r>
        <w:r>
          <w:t>37</w:t>
        </w:r>
        <w:r>
          <w:fldChar w:fldCharType="end"/>
        </w:r>
      </w:hyperlink>
    </w:p>
    <w:p>
      <w:pPr>
        <w:pStyle w:val="TOC1"/>
        <w:tabs>
          <w:tab w:val="right" w:leader="dot" w:pos="8306"/>
        </w:tabs>
      </w:pPr>
      <w:hyperlink w:anchor="_Toc19423" w:history="1">
        <w:r>
          <w:rPr>
            <w:rFonts w:ascii="仿宋" w:eastAsia="仿宋" w:hAnsi="仿宋" w:cs="仿宋" w:hint="eastAsia"/>
            <w:lang w:eastAsia="zh-CN"/>
          </w:rPr>
          <w:t>八、员工福利与企业文化</w:t>
        </w:r>
        <w:r>
          <w:tab/>
        </w:r>
        <w:r>
          <w:fldChar w:fldCharType="begin"/>
        </w:r>
        <w:r>
          <w:instrText xml:space="preserve"> PAGEREF _Toc19423 \h </w:instrText>
        </w:r>
        <w:r>
          <w:fldChar w:fldCharType="separate"/>
        </w:r>
        <w:r>
          <w:t>39</w:t>
        </w:r>
        <w:r>
          <w:fldChar w:fldCharType="end"/>
        </w:r>
      </w:hyperlink>
    </w:p>
    <w:p>
      <w:pPr>
        <w:pStyle w:val="TOC2"/>
        <w:tabs>
          <w:tab w:val="right" w:leader="dot" w:pos="8306"/>
        </w:tabs>
      </w:pPr>
      <w:hyperlink w:anchor="_Toc10221" w:history="1">
        <w:r>
          <w:rPr>
            <w:rFonts w:ascii="仿宋" w:eastAsia="仿宋" w:hAnsi="仿宋" w:cs="仿宋" w:hint="eastAsia"/>
            <w:lang w:eastAsia="zh-CN"/>
          </w:rPr>
          <w:t>(一)、员工福利政策</w:t>
        </w:r>
        <w:r>
          <w:tab/>
        </w:r>
        <w:r>
          <w:fldChar w:fldCharType="begin"/>
        </w:r>
        <w:r>
          <w:instrText xml:space="preserve"> PAGEREF _Toc10221 \h </w:instrText>
        </w:r>
        <w:r>
          <w:fldChar w:fldCharType="separate"/>
        </w:r>
        <w:r>
          <w:t>39</w:t>
        </w:r>
        <w:r>
          <w:fldChar w:fldCharType="end"/>
        </w:r>
      </w:hyperlink>
    </w:p>
    <w:p>
      <w:pPr>
        <w:pStyle w:val="TOC2"/>
        <w:tabs>
          <w:tab w:val="right" w:leader="dot" w:pos="8306"/>
        </w:tabs>
      </w:pPr>
      <w:hyperlink w:anchor="_Toc20677" w:history="1">
        <w:r>
          <w:rPr>
            <w:rFonts w:ascii="仿宋" w:eastAsia="仿宋" w:hAnsi="仿宋" w:cs="仿宋" w:hint="eastAsia"/>
            <w:lang w:eastAsia="zh-CN"/>
          </w:rPr>
          <w:t>(二)、团队建设与员工培训</w:t>
        </w:r>
        <w:r>
          <w:tab/>
        </w:r>
        <w:r>
          <w:fldChar w:fldCharType="begin"/>
        </w:r>
        <w:r>
          <w:instrText xml:space="preserve"> PAGEREF _Toc20677 \h </w:instrText>
        </w:r>
        <w:r>
          <w:fldChar w:fldCharType="separate"/>
        </w:r>
        <w:r>
          <w:t>41</w:t>
        </w:r>
        <w:r>
          <w:fldChar w:fldCharType="end"/>
        </w:r>
      </w:hyperlink>
    </w:p>
    <w:p>
      <w:pPr>
        <w:pStyle w:val="TOC2"/>
        <w:tabs>
          <w:tab w:val="right" w:leader="dot" w:pos="8306"/>
        </w:tabs>
      </w:pPr>
      <w:hyperlink w:anchor="_Toc22757" w:history="1">
        <w:r>
          <w:rPr>
            <w:rFonts w:ascii="仿宋" w:eastAsia="仿宋" w:hAnsi="仿宋" w:cs="仿宋" w:hint="eastAsia"/>
            <w:lang w:eastAsia="zh-CN"/>
          </w:rPr>
          <w:t>(三)、企业文化建设</w:t>
        </w:r>
        <w:r>
          <w:tab/>
        </w:r>
        <w:r>
          <w:fldChar w:fldCharType="begin"/>
        </w:r>
        <w:r>
          <w:instrText xml:space="preserve"> PAGEREF _Toc22757 \h </w:instrText>
        </w:r>
        <w:r>
          <w:fldChar w:fldCharType="separate"/>
        </w:r>
        <w:r>
          <w:t>42</w:t>
        </w:r>
        <w:r>
          <w:fldChar w:fldCharType="end"/>
        </w:r>
      </w:hyperlink>
    </w:p>
    <w:p>
      <w:pPr>
        <w:pStyle w:val="TOC2"/>
        <w:tabs>
          <w:tab w:val="right" w:leader="dot" w:pos="8306"/>
        </w:tabs>
      </w:pPr>
      <w:hyperlink w:anchor="_Toc19326" w:history="1">
        <w:r>
          <w:rPr>
            <w:rFonts w:ascii="仿宋" w:eastAsia="仿宋" w:hAnsi="仿宋" w:cs="仿宋" w:hint="eastAsia"/>
            <w:lang w:eastAsia="zh-CN"/>
          </w:rPr>
          <w:t>(四)、员工健康与工作平衡</w:t>
        </w:r>
        <w:r>
          <w:tab/>
        </w:r>
        <w:r>
          <w:fldChar w:fldCharType="begin"/>
        </w:r>
        <w:r>
          <w:instrText xml:space="preserve"> PAGEREF _Toc19326 \h </w:instrText>
        </w:r>
        <w:r>
          <w:fldChar w:fldCharType="separate"/>
        </w:r>
        <w:r>
          <w:t>44</w:t>
        </w:r>
        <w:r>
          <w:fldChar w:fldCharType="end"/>
        </w:r>
      </w:hyperlink>
    </w:p>
    <w:p>
      <w:pPr>
        <w:pStyle w:val="TOC1"/>
        <w:tabs>
          <w:tab w:val="right" w:leader="dot" w:pos="8306"/>
        </w:tabs>
      </w:pPr>
      <w:hyperlink w:anchor="_Toc23033" w:history="1">
        <w:r>
          <w:rPr>
            <w:rFonts w:ascii="仿宋" w:eastAsia="仿宋" w:hAnsi="仿宋" w:cs="仿宋" w:hint="eastAsia"/>
            <w:lang w:eastAsia="zh-CN"/>
          </w:rPr>
          <w:t>九、法律与合规性</w:t>
        </w:r>
        <w:r>
          <w:tab/>
        </w:r>
        <w:r>
          <w:fldChar w:fldCharType="begin"/>
        </w:r>
        <w:r>
          <w:instrText xml:space="preserve"> PAGEREF _Toc23033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62" w:history="1">
        <w:r>
          <w:rPr>
            <w:rFonts w:ascii="仿宋" w:eastAsia="仿宋" w:hAnsi="仿宋" w:cs="仿宋" w:hint="eastAsia"/>
            <w:lang w:eastAsia="zh-CN"/>
          </w:rPr>
          <w:t>(一)、相关法律法规概述</w:t>
        </w:r>
        <w:r>
          <w:tab/>
        </w:r>
        <w:r>
          <w:fldChar w:fldCharType="begin"/>
        </w:r>
        <w:r>
          <w:instrText xml:space="preserve"> PAGEREF _Toc9762 \h </w:instrText>
        </w:r>
        <w:r>
          <w:fldChar w:fldCharType="separate"/>
        </w:r>
        <w:r>
          <w:t>46</w:t>
        </w:r>
        <w:r>
          <w:fldChar w:fldCharType="end"/>
        </w:r>
      </w:hyperlink>
    </w:p>
    <w:p>
      <w:pPr>
        <w:pStyle w:val="TOC2"/>
        <w:tabs>
          <w:tab w:val="right" w:leader="dot" w:pos="8306"/>
        </w:tabs>
      </w:pPr>
      <w:hyperlink w:anchor="_Toc7053" w:history="1">
        <w:r>
          <w:rPr>
            <w:rFonts w:ascii="仿宋" w:eastAsia="仿宋" w:hAnsi="仿宋" w:cs="仿宋" w:hint="eastAsia"/>
            <w:lang w:eastAsia="zh-CN"/>
          </w:rPr>
          <w:t>(二)、邮政专用机械及器材项目合同管理</w:t>
        </w:r>
        <w:r>
          <w:tab/>
        </w:r>
        <w:r>
          <w:fldChar w:fldCharType="begin"/>
        </w:r>
        <w:r>
          <w:instrText xml:space="preserve"> PAGEREF _Toc7053 \h </w:instrText>
        </w:r>
        <w:r>
          <w:fldChar w:fldCharType="separate"/>
        </w:r>
        <w:r>
          <w:t>48</w:t>
        </w:r>
        <w:r>
          <w:fldChar w:fldCharType="end"/>
        </w:r>
      </w:hyperlink>
    </w:p>
    <w:p>
      <w:pPr>
        <w:pStyle w:val="TOC2"/>
        <w:tabs>
          <w:tab w:val="right" w:leader="dot" w:pos="8306"/>
        </w:tabs>
      </w:pPr>
      <w:hyperlink w:anchor="_Toc11145" w:history="1">
        <w:r>
          <w:rPr>
            <w:rFonts w:ascii="仿宋" w:eastAsia="仿宋" w:hAnsi="仿宋" w:cs="仿宋" w:hint="eastAsia"/>
            <w:lang w:eastAsia="zh-CN"/>
          </w:rPr>
          <w:t>(三)、知识产权保护</w:t>
        </w:r>
        <w:r>
          <w:tab/>
        </w:r>
        <w:r>
          <w:fldChar w:fldCharType="begin"/>
        </w:r>
        <w:r>
          <w:instrText xml:space="preserve"> PAGEREF _Toc11145 \h </w:instrText>
        </w:r>
        <w:r>
          <w:fldChar w:fldCharType="separate"/>
        </w:r>
        <w:r>
          <w:t>49</w:t>
        </w:r>
        <w:r>
          <w:fldChar w:fldCharType="end"/>
        </w:r>
      </w:hyperlink>
    </w:p>
    <w:p>
      <w:pPr>
        <w:pStyle w:val="TOC2"/>
        <w:tabs>
          <w:tab w:val="right" w:leader="dot" w:pos="8306"/>
        </w:tabs>
      </w:pPr>
      <w:hyperlink w:anchor="_Toc28944" w:history="1">
        <w:r>
          <w:rPr>
            <w:rFonts w:ascii="仿宋" w:eastAsia="仿宋" w:hAnsi="仿宋" w:cs="仿宋" w:hint="eastAsia"/>
            <w:lang w:eastAsia="zh-CN"/>
          </w:rPr>
          <w:t>(四)、劳动法规与员工权益</w:t>
        </w:r>
        <w:r>
          <w:tab/>
        </w:r>
        <w:r>
          <w:fldChar w:fldCharType="begin"/>
        </w:r>
        <w:r>
          <w:instrText xml:space="preserve"> PAGEREF _Toc28944 \h </w:instrText>
        </w:r>
        <w:r>
          <w:fldChar w:fldCharType="separate"/>
        </w:r>
        <w:r>
          <w:t>51</w:t>
        </w:r>
        <w:r>
          <w:fldChar w:fldCharType="end"/>
        </w:r>
      </w:hyperlink>
    </w:p>
    <w:p>
      <w:pPr>
        <w:pStyle w:val="TOC2"/>
        <w:tabs>
          <w:tab w:val="right" w:leader="dot" w:pos="8306"/>
        </w:tabs>
      </w:pPr>
      <w:hyperlink w:anchor="_Toc11638" w:history="1">
        <w:r>
          <w:rPr>
            <w:rFonts w:ascii="仿宋" w:eastAsia="仿宋" w:hAnsi="仿宋" w:cs="仿宋" w:hint="eastAsia"/>
            <w:lang w:eastAsia="zh-CN"/>
          </w:rPr>
          <w:t>(五)、环境保护法规遵循</w:t>
        </w:r>
        <w:r>
          <w:tab/>
        </w:r>
        <w:r>
          <w:fldChar w:fldCharType="begin"/>
        </w:r>
        <w:r>
          <w:instrText xml:space="preserve"> PAGEREF _Toc11638 \h </w:instrText>
        </w:r>
        <w:r>
          <w:fldChar w:fldCharType="separate"/>
        </w:r>
        <w:r>
          <w:t>52</w:t>
        </w:r>
        <w:r>
          <w:fldChar w:fldCharType="end"/>
        </w:r>
      </w:hyperlink>
    </w:p>
    <w:p>
      <w:pPr>
        <w:pStyle w:val="TOC1"/>
        <w:tabs>
          <w:tab w:val="right" w:leader="dot" w:pos="8306"/>
        </w:tabs>
      </w:pPr>
      <w:hyperlink w:anchor="_Toc18694" w:history="1">
        <w:r>
          <w:rPr>
            <w:rFonts w:ascii="仿宋" w:eastAsia="仿宋" w:hAnsi="仿宋" w:cs="仿宋" w:hint="eastAsia"/>
            <w:lang w:eastAsia="zh-CN"/>
          </w:rPr>
          <w:t>十、邮政专用机械及器材项目监督与评估</w:t>
        </w:r>
        <w:r>
          <w:tab/>
        </w:r>
        <w:r>
          <w:fldChar w:fldCharType="begin"/>
        </w:r>
        <w:r>
          <w:instrText xml:space="preserve"> PAGEREF _Toc18694 \h </w:instrText>
        </w:r>
        <w:r>
          <w:fldChar w:fldCharType="separate"/>
        </w:r>
        <w:r>
          <w:t>54</w:t>
        </w:r>
        <w:r>
          <w:fldChar w:fldCharType="end"/>
        </w:r>
      </w:hyperlink>
    </w:p>
    <w:p>
      <w:pPr>
        <w:pStyle w:val="TOC2"/>
        <w:tabs>
          <w:tab w:val="right" w:leader="dot" w:pos="8306"/>
        </w:tabs>
      </w:pPr>
      <w:hyperlink w:anchor="_Toc23810" w:history="1">
        <w:r>
          <w:rPr>
            <w:rFonts w:ascii="仿宋" w:eastAsia="仿宋" w:hAnsi="仿宋" w:cs="仿宋" w:hint="eastAsia"/>
            <w:lang w:eastAsia="zh-CN"/>
          </w:rPr>
          <w:t>(一)、监督机构及职责</w:t>
        </w:r>
        <w:r>
          <w:tab/>
        </w:r>
        <w:r>
          <w:fldChar w:fldCharType="begin"/>
        </w:r>
        <w:r>
          <w:instrText xml:space="preserve"> PAGEREF _Toc23810 \h </w:instrText>
        </w:r>
        <w:r>
          <w:fldChar w:fldCharType="separate"/>
        </w:r>
        <w:r>
          <w:t>54</w:t>
        </w:r>
        <w:r>
          <w:fldChar w:fldCharType="end"/>
        </w:r>
      </w:hyperlink>
    </w:p>
    <w:p>
      <w:pPr>
        <w:pStyle w:val="TOC2"/>
        <w:tabs>
          <w:tab w:val="right" w:leader="dot" w:pos="8306"/>
        </w:tabs>
      </w:pPr>
      <w:hyperlink w:anchor="_Toc8762" w:history="1">
        <w:r>
          <w:rPr>
            <w:rFonts w:ascii="仿宋" w:eastAsia="仿宋" w:hAnsi="仿宋" w:cs="仿宋" w:hint="eastAsia"/>
            <w:lang w:eastAsia="zh-CN"/>
          </w:rPr>
          <w:t>(二)、监测与评估指标体系</w:t>
        </w:r>
        <w:r>
          <w:tab/>
        </w:r>
        <w:r>
          <w:fldChar w:fldCharType="begin"/>
        </w:r>
        <w:r>
          <w:instrText xml:space="preserve"> PAGEREF _Toc8762 \h </w:instrText>
        </w:r>
        <w:r>
          <w:fldChar w:fldCharType="separate"/>
        </w:r>
        <w:r>
          <w:t>56</w:t>
        </w:r>
        <w:r>
          <w:fldChar w:fldCharType="end"/>
        </w:r>
      </w:hyperlink>
    </w:p>
    <w:p>
      <w:pPr>
        <w:pStyle w:val="TOC2"/>
        <w:tabs>
          <w:tab w:val="right" w:leader="dot" w:pos="8306"/>
        </w:tabs>
      </w:pPr>
      <w:hyperlink w:anchor="_Toc28537" w:history="1">
        <w:r>
          <w:rPr>
            <w:rFonts w:ascii="仿宋" w:eastAsia="仿宋" w:hAnsi="仿宋" w:cs="仿宋" w:hint="eastAsia"/>
            <w:lang w:eastAsia="zh-CN"/>
          </w:rPr>
          <w:t>(三)、监督与评估周期</w:t>
        </w:r>
        <w:r>
          <w:tab/>
        </w:r>
        <w:r>
          <w:fldChar w:fldCharType="begin"/>
        </w:r>
        <w:r>
          <w:instrText xml:space="preserve"> PAGEREF _Toc28537 \h </w:instrText>
        </w:r>
        <w:r>
          <w:fldChar w:fldCharType="separate"/>
        </w:r>
        <w:r>
          <w:t>58</w:t>
        </w:r>
        <w:r>
          <w:fldChar w:fldCharType="end"/>
        </w:r>
      </w:hyperlink>
    </w:p>
    <w:p>
      <w:pPr>
        <w:pStyle w:val="TOC2"/>
        <w:tabs>
          <w:tab w:val="right" w:leader="dot" w:pos="8306"/>
        </w:tabs>
      </w:pPr>
      <w:hyperlink w:anchor="_Toc4021" w:history="1">
        <w:r>
          <w:rPr>
            <w:rFonts w:ascii="仿宋" w:eastAsia="仿宋" w:hAnsi="仿宋" w:cs="仿宋" w:hint="eastAsia"/>
            <w:lang w:eastAsia="zh-CN"/>
          </w:rPr>
          <w:t>(四)、监督与评估报告</w:t>
        </w:r>
        <w:r>
          <w:tab/>
        </w:r>
        <w:r>
          <w:fldChar w:fldCharType="begin"/>
        </w:r>
        <w:r>
          <w:instrText xml:space="preserve"> PAGEREF _Toc4021 \h </w:instrText>
        </w:r>
        <w:r>
          <w:fldChar w:fldCharType="separate"/>
        </w:r>
        <w:r>
          <w:t>60</w:t>
        </w:r>
        <w:r>
          <w:fldChar w:fldCharType="end"/>
        </w:r>
      </w:hyperlink>
    </w:p>
    <w:p>
      <w:pPr>
        <w:pStyle w:val="TOC1"/>
        <w:tabs>
          <w:tab w:val="right" w:leader="dot" w:pos="8306"/>
        </w:tabs>
      </w:pPr>
      <w:hyperlink w:anchor="_Toc15113" w:history="1">
        <w:r>
          <w:rPr>
            <w:rFonts w:ascii="仿宋" w:eastAsia="仿宋" w:hAnsi="仿宋" w:cs="仿宋" w:hint="eastAsia"/>
            <w:lang w:eastAsia="zh-CN"/>
          </w:rPr>
          <w:t>十一、市场营销策略</w:t>
        </w:r>
        <w:r>
          <w:tab/>
        </w:r>
        <w:r>
          <w:fldChar w:fldCharType="begin"/>
        </w:r>
        <w:r>
          <w:instrText xml:space="preserve"> PAGEREF _Toc15113 \h </w:instrText>
        </w:r>
        <w:r>
          <w:fldChar w:fldCharType="separate"/>
        </w:r>
        <w:r>
          <w:t>62</w:t>
        </w:r>
        <w:r>
          <w:fldChar w:fldCharType="end"/>
        </w:r>
      </w:hyperlink>
    </w:p>
    <w:p>
      <w:pPr>
        <w:pStyle w:val="TOC2"/>
        <w:tabs>
          <w:tab w:val="right" w:leader="dot" w:pos="8306"/>
        </w:tabs>
      </w:pPr>
      <w:hyperlink w:anchor="_Toc26920" w:history="1">
        <w:r>
          <w:rPr>
            <w:rFonts w:ascii="仿宋" w:eastAsia="仿宋" w:hAnsi="仿宋" w:cs="仿宋" w:hint="eastAsia"/>
            <w:lang w:eastAsia="zh-CN"/>
          </w:rPr>
          <w:t>(一)、市场定位与目标客户群</w:t>
        </w:r>
        <w:r>
          <w:tab/>
        </w:r>
        <w:r>
          <w:fldChar w:fldCharType="begin"/>
        </w:r>
        <w:r>
          <w:instrText xml:space="preserve"> PAGEREF _Toc26920 \h </w:instrText>
        </w:r>
        <w:r>
          <w:fldChar w:fldCharType="separate"/>
        </w:r>
        <w:r>
          <w:t>62</w:t>
        </w:r>
        <w:r>
          <w:fldChar w:fldCharType="end"/>
        </w:r>
      </w:hyperlink>
    </w:p>
    <w:p>
      <w:pPr>
        <w:pStyle w:val="TOC2"/>
        <w:tabs>
          <w:tab w:val="right" w:leader="dot" w:pos="8306"/>
        </w:tabs>
      </w:pPr>
      <w:hyperlink w:anchor="_Toc4588" w:history="1">
        <w:r>
          <w:rPr>
            <w:rFonts w:ascii="仿宋" w:eastAsia="仿宋" w:hAnsi="仿宋" w:cs="仿宋" w:hint="eastAsia"/>
            <w:lang w:eastAsia="zh-CN"/>
          </w:rPr>
          <w:t>(二)、竞争对手分析</w:t>
        </w:r>
        <w:r>
          <w:tab/>
        </w:r>
        <w:r>
          <w:fldChar w:fldCharType="begin"/>
        </w:r>
        <w:r>
          <w:instrText xml:space="preserve"> PAGEREF _Toc4588 \h </w:instrText>
        </w:r>
        <w:r>
          <w:fldChar w:fldCharType="separate"/>
        </w:r>
        <w:r>
          <w:t>64</w:t>
        </w:r>
        <w:r>
          <w:fldChar w:fldCharType="end"/>
        </w:r>
      </w:hyperlink>
    </w:p>
    <w:p>
      <w:pPr>
        <w:pStyle w:val="TOC2"/>
        <w:tabs>
          <w:tab w:val="right" w:leader="dot" w:pos="8306"/>
        </w:tabs>
      </w:pPr>
      <w:hyperlink w:anchor="_Toc29674" w:history="1">
        <w:r>
          <w:rPr>
            <w:rFonts w:ascii="仿宋" w:eastAsia="仿宋" w:hAnsi="仿宋" w:cs="仿宋" w:hint="eastAsia"/>
            <w:lang w:eastAsia="zh-CN"/>
          </w:rPr>
          <w:t>(三)、营销策略与推广计划</w:t>
        </w:r>
        <w:r>
          <w:tab/>
        </w:r>
        <w:r>
          <w:fldChar w:fldCharType="begin"/>
        </w:r>
        <w:r>
          <w:instrText xml:space="preserve"> PAGEREF _Toc29674 \h </w:instrText>
        </w:r>
        <w:r>
          <w:fldChar w:fldCharType="separate"/>
        </w:r>
        <w:r>
          <w:t>66</w:t>
        </w:r>
        <w:r>
          <w:fldChar w:fldCharType="end"/>
        </w:r>
      </w:hyperlink>
    </w:p>
    <w:p>
      <w:pPr>
        <w:pStyle w:val="TOC2"/>
        <w:tabs>
          <w:tab w:val="right" w:leader="dot" w:pos="8306"/>
        </w:tabs>
      </w:pPr>
      <w:hyperlink w:anchor="_Toc6142" w:history="1">
        <w:r>
          <w:rPr>
            <w:rFonts w:ascii="仿宋" w:eastAsia="仿宋" w:hAnsi="仿宋" w:cs="仿宋" w:hint="eastAsia"/>
            <w:lang w:eastAsia="zh-CN"/>
          </w:rPr>
          <w:t>(四)、产品定价与销售渠道</w:t>
        </w:r>
        <w:r>
          <w:tab/>
        </w:r>
        <w:r>
          <w:fldChar w:fldCharType="begin"/>
        </w:r>
        <w:r>
          <w:instrText xml:space="preserve"> PAGEREF _Toc6142 \h </w:instrText>
        </w:r>
        <w:r>
          <w:fldChar w:fldCharType="separate"/>
        </w:r>
        <w:r>
          <w:t>67</w:t>
        </w:r>
        <w:r>
          <w:fldChar w:fldCharType="end"/>
        </w:r>
      </w:hyperlink>
    </w:p>
    <w:p>
      <w:pPr>
        <w:pStyle w:val="TOC2"/>
        <w:tabs>
          <w:tab w:val="right" w:leader="dot" w:pos="8306"/>
        </w:tabs>
      </w:pPr>
      <w:hyperlink w:anchor="_Toc28868" w:history="1">
        <w:r>
          <w:rPr>
            <w:rFonts w:ascii="仿宋" w:eastAsia="仿宋" w:hAnsi="仿宋" w:cs="仿宋" w:hint="eastAsia"/>
            <w:lang w:eastAsia="zh-CN"/>
          </w:rPr>
          <w:t>(五)、售后服务体系</w:t>
        </w:r>
        <w:r>
          <w:tab/>
        </w:r>
        <w:r>
          <w:fldChar w:fldCharType="begin"/>
        </w:r>
        <w:r>
          <w:instrText xml:space="preserve"> PAGEREF _Toc28868 \h </w:instrText>
        </w:r>
        <w:r>
          <w:fldChar w:fldCharType="separate"/>
        </w:r>
        <w:r>
          <w:t>69</w:t>
        </w:r>
        <w:r>
          <w:fldChar w:fldCharType="end"/>
        </w:r>
      </w:hyperlink>
    </w:p>
    <w:p>
      <w:pPr>
        <w:pStyle w:val="TOC1"/>
        <w:tabs>
          <w:tab w:val="right" w:leader="dot" w:pos="8306"/>
        </w:tabs>
      </w:pPr>
      <w:hyperlink w:anchor="_Toc28122" w:history="1">
        <w:r>
          <w:rPr>
            <w:rFonts w:ascii="仿宋" w:eastAsia="仿宋" w:hAnsi="仿宋" w:cs="仿宋" w:hint="eastAsia"/>
            <w:lang w:eastAsia="zh-CN"/>
          </w:rPr>
          <w:t>十二、风险管理与应对策略</w:t>
        </w:r>
        <w:r>
          <w:tab/>
        </w:r>
        <w:r>
          <w:fldChar w:fldCharType="begin"/>
        </w:r>
        <w:r>
          <w:instrText xml:space="preserve"> PAGEREF _Toc28122 \h </w:instrText>
        </w:r>
        <w:r>
          <w:fldChar w:fldCharType="separate"/>
        </w:r>
        <w:r>
          <w:t>71</w:t>
        </w:r>
        <w:r>
          <w:fldChar w:fldCharType="end"/>
        </w:r>
      </w:hyperlink>
    </w:p>
    <w:p>
      <w:pPr>
        <w:pStyle w:val="TOC2"/>
        <w:tabs>
          <w:tab w:val="right" w:leader="dot" w:pos="8306"/>
        </w:tabs>
      </w:pPr>
      <w:hyperlink w:anchor="_Toc7443" w:history="1">
        <w:r>
          <w:rPr>
            <w:rFonts w:ascii="仿宋" w:eastAsia="仿宋" w:hAnsi="仿宋" w:cs="仿宋" w:hint="eastAsia"/>
            <w:lang w:eastAsia="zh-CN"/>
          </w:rPr>
          <w:t>(一)、风险管理流程</w:t>
        </w:r>
        <w:r>
          <w:tab/>
        </w:r>
        <w:r>
          <w:fldChar w:fldCharType="begin"/>
        </w:r>
        <w:r>
          <w:instrText xml:space="preserve"> PAGEREF _Toc7443 \h </w:instrText>
        </w:r>
        <w:r>
          <w:fldChar w:fldCharType="separate"/>
        </w:r>
        <w:r>
          <w:t>71</w:t>
        </w:r>
        <w:r>
          <w:fldChar w:fldCharType="end"/>
        </w:r>
      </w:hyperlink>
    </w:p>
    <w:p>
      <w:pPr>
        <w:pStyle w:val="TOC2"/>
        <w:tabs>
          <w:tab w:val="right" w:leader="dot" w:pos="8306"/>
        </w:tabs>
      </w:pPr>
      <w:hyperlink w:anchor="_Toc9706" w:history="1">
        <w:r>
          <w:rPr>
            <w:rFonts w:ascii="仿宋" w:eastAsia="仿宋" w:hAnsi="仿宋" w:cs="仿宋" w:hint="eastAsia"/>
            <w:lang w:eastAsia="zh-CN"/>
          </w:rPr>
          <w:t>(二)、风险识别与评估</w:t>
        </w:r>
        <w:r>
          <w:tab/>
        </w:r>
        <w:r>
          <w:fldChar w:fldCharType="begin"/>
        </w:r>
        <w:r>
          <w:instrText xml:space="preserve"> PAGEREF _Toc9706 \h </w:instrText>
        </w:r>
        <w:r>
          <w:fldChar w:fldCharType="separate"/>
        </w:r>
        <w:r>
          <w:t>74</w:t>
        </w:r>
        <w:r>
          <w:fldChar w:fldCharType="end"/>
        </w:r>
      </w:hyperlink>
    </w:p>
    <w:p>
      <w:pPr>
        <w:pStyle w:val="TOC2"/>
        <w:tabs>
          <w:tab w:val="right" w:leader="dot" w:pos="8306"/>
        </w:tabs>
      </w:pPr>
      <w:hyperlink w:anchor="_Toc27149" w:history="1">
        <w:r>
          <w:rPr>
            <w:rFonts w:ascii="仿宋" w:eastAsia="仿宋" w:hAnsi="仿宋" w:cs="仿宋" w:hint="eastAsia"/>
            <w:lang w:eastAsia="zh-CN"/>
          </w:rPr>
          <w:t>(三)、风险控制与应对策略</w:t>
        </w:r>
        <w:r>
          <w:tab/>
        </w:r>
        <w:r>
          <w:fldChar w:fldCharType="begin"/>
        </w:r>
        <w:r>
          <w:instrText xml:space="preserve"> PAGEREF _Toc27149 \h </w:instrText>
        </w:r>
        <w:r>
          <w:fldChar w:fldCharType="separate"/>
        </w:r>
        <w:r>
          <w:t>76</w:t>
        </w:r>
        <w:r>
          <w:fldChar w:fldCharType="end"/>
        </w:r>
      </w:hyperlink>
    </w:p>
    <w:p>
      <w:pPr>
        <w:pStyle w:val="TOC2"/>
        <w:tabs>
          <w:tab w:val="right" w:leader="dot" w:pos="8306"/>
        </w:tabs>
      </w:pPr>
      <w:hyperlink w:anchor="_Toc23326" w:history="1">
        <w:r>
          <w:rPr>
            <w:rFonts w:ascii="仿宋" w:eastAsia="仿宋" w:hAnsi="仿宋" w:cs="仿宋" w:hint="eastAsia"/>
            <w:lang w:eastAsia="zh-CN"/>
          </w:rPr>
          <w:t>(四)、危机管理与应急预案</w:t>
        </w:r>
        <w:r>
          <w:tab/>
        </w:r>
        <w:r>
          <w:fldChar w:fldCharType="begin"/>
        </w:r>
        <w:r>
          <w:instrText xml:space="preserve"> PAGEREF _Toc23326 \h </w:instrText>
        </w:r>
        <w:r>
          <w:fldChar w:fldCharType="separate"/>
        </w:r>
        <w:r>
          <w:t>78</w:t>
        </w:r>
        <w:r>
          <w:fldChar w:fldCharType="end"/>
        </w:r>
      </w:hyperlink>
    </w:p>
    <w:p>
      <w:pPr>
        <w:pStyle w:val="TOC1"/>
        <w:tabs>
          <w:tab w:val="right" w:leader="dot" w:pos="8306"/>
        </w:tabs>
      </w:pPr>
      <w:hyperlink w:anchor="_Toc816" w:history="1">
        <w:r>
          <w:rPr>
            <w:rFonts w:ascii="仿宋" w:eastAsia="仿宋" w:hAnsi="仿宋" w:cs="仿宋" w:hint="eastAsia"/>
            <w:lang w:eastAsia="zh-CN"/>
          </w:rPr>
          <w:t>十三、邮政专用机械及器材项目环境保护</w:t>
        </w:r>
        <w:r>
          <w:tab/>
        </w:r>
        <w:r>
          <w:fldChar w:fldCharType="begin"/>
        </w:r>
        <w:r>
          <w:instrText xml:space="preserve"> PAGEREF _Toc816 \h </w:instrText>
        </w:r>
        <w:r>
          <w:fldChar w:fldCharType="separate"/>
        </w:r>
        <w:r>
          <w:t>81</w:t>
        </w:r>
        <w:r>
          <w:fldChar w:fldCharType="end"/>
        </w:r>
      </w:hyperlink>
    </w:p>
    <w:p>
      <w:pPr>
        <w:pStyle w:val="TOC2"/>
        <w:tabs>
          <w:tab w:val="right" w:leader="dot" w:pos="8306"/>
        </w:tabs>
      </w:pPr>
      <w:hyperlink w:anchor="_Toc15899" w:history="1">
        <w:r>
          <w:rPr>
            <w:rFonts w:ascii="仿宋" w:eastAsia="仿宋" w:hAnsi="仿宋" w:cs="仿宋" w:hint="eastAsia"/>
            <w:lang w:eastAsia="zh-CN"/>
          </w:rPr>
          <w:t>(一)、邮政专用机械及器材项目环境影响评估</w:t>
        </w:r>
        <w:r>
          <w:tab/>
        </w:r>
        <w:r>
          <w:fldChar w:fldCharType="begin"/>
        </w:r>
        <w:r>
          <w:instrText xml:space="preserve"> PAGEREF _Toc15899 \h </w:instrText>
        </w:r>
        <w:r>
          <w:fldChar w:fldCharType="separate"/>
        </w:r>
        <w:r>
          <w:t>81</w:t>
        </w:r>
        <w:r>
          <w:fldChar w:fldCharType="end"/>
        </w:r>
      </w:hyperlink>
    </w:p>
    <w:p>
      <w:pPr>
        <w:pStyle w:val="TOC2"/>
        <w:tabs>
          <w:tab w:val="right" w:leader="dot" w:pos="8306"/>
        </w:tabs>
      </w:pPr>
      <w:hyperlink w:anchor="_Toc17698" w:history="1">
        <w:r>
          <w:rPr>
            <w:rFonts w:ascii="仿宋" w:eastAsia="仿宋" w:hAnsi="仿宋" w:cs="仿宋" w:hint="eastAsia"/>
            <w:lang w:eastAsia="zh-CN"/>
          </w:rPr>
          <w:t>(二)、环境保护措施与方案</w:t>
        </w:r>
        <w:r>
          <w:tab/>
        </w:r>
        <w:r>
          <w:fldChar w:fldCharType="begin"/>
        </w:r>
        <w:r>
          <w:instrText xml:space="preserve"> PAGEREF _Toc17698 \h </w:instrText>
        </w:r>
        <w:r>
          <w:fldChar w:fldCharType="separate"/>
        </w:r>
        <w:r>
          <w:t>82</w:t>
        </w:r>
        <w:r>
          <w:fldChar w:fldCharType="end"/>
        </w:r>
      </w:hyperlink>
    </w:p>
    <w:p>
      <w:pPr>
        <w:pStyle w:val="TOC2"/>
        <w:tabs>
          <w:tab w:val="right" w:leader="dot" w:pos="8306"/>
        </w:tabs>
      </w:pPr>
      <w:hyperlink w:anchor="_Toc21797" w:history="1">
        <w:r>
          <w:rPr>
            <w:rFonts w:ascii="仿宋" w:eastAsia="仿宋" w:hAnsi="仿宋" w:cs="仿宋" w:hint="eastAsia"/>
            <w:lang w:eastAsia="zh-CN"/>
          </w:rPr>
          <w:t>(三)、生态恢复与补偿措施</w:t>
        </w:r>
        <w:r>
          <w:tab/>
        </w:r>
        <w:r>
          <w:fldChar w:fldCharType="begin"/>
        </w:r>
        <w:r>
          <w:instrText xml:space="preserve"> PAGEREF _Toc21797 \h </w:instrText>
        </w:r>
        <w:r>
          <w:fldChar w:fldCharType="separate"/>
        </w:r>
        <w:r>
          <w:t>84</w:t>
        </w:r>
        <w:r>
          <w:fldChar w:fldCharType="end"/>
        </w:r>
      </w:hyperlink>
    </w:p>
    <w:p>
      <w:pPr>
        <w:pStyle w:val="TOC2"/>
        <w:tabs>
          <w:tab w:val="right" w:leader="dot" w:pos="8306"/>
        </w:tabs>
      </w:pPr>
      <w:hyperlink w:anchor="_Toc4231" w:history="1">
        <w:r>
          <w:rPr>
            <w:rFonts w:ascii="仿宋" w:eastAsia="仿宋" w:hAnsi="仿宋" w:cs="仿宋" w:hint="eastAsia"/>
            <w:lang w:eastAsia="zh-CN"/>
          </w:rPr>
          <w:t>(四)、环境保护监测与评估</w:t>
        </w:r>
        <w:r>
          <w:tab/>
        </w:r>
        <w:r>
          <w:fldChar w:fldCharType="begin"/>
        </w:r>
        <w:r>
          <w:instrText xml:space="preserve"> PAGEREF _Toc4231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邮政专用机械及器材项目报告按照现代邮政专用机械及器材项目管理理论及标准流程编写，着重分析了邮政专用机械及器材项目管理中的系统思维、团队协作、时间成本控制等关键要素，并将理论与实验案例相结合，提出创新性的改进措施。报告的结构设计严谨，内容充实，旨在为相关领域的研究者和实践者提供有价值的参考和指引。特别声明，本报告的所有内容均不可用作商业用途，只供学习交流之用，以期通过共享知识增进邮政专用机械及器材项目管理实践的深度与广度</w:t>
      </w:r>
    </w:p>
    <w:p>
      <w:pPr>
        <w:pStyle w:val="Heading1"/>
        <w:ind w:firstLine="560" w:firstLineChars="200"/>
        <w:rPr>
          <w:rFonts w:ascii="仿宋" w:eastAsia="仿宋" w:hAnsi="仿宋" w:cs="仿宋" w:hint="eastAsia"/>
          <w:sz w:val="28"/>
          <w:lang w:eastAsia="zh-CN"/>
        </w:rPr>
      </w:pPr>
      <w:bookmarkStart w:id="2" w:name="_Toc25753"/>
      <w:r>
        <w:rPr>
          <w:rFonts w:ascii="仿宋" w:eastAsia="仿宋" w:hAnsi="仿宋" w:cs="仿宋" w:hint="eastAsia"/>
          <w:sz w:val="28"/>
          <w:lang w:eastAsia="zh-CN"/>
        </w:rPr>
        <w:t>一、工艺分析</w:t>
      </w:r>
      <w:bookmarkEnd w:id="2"/>
    </w:p>
    <w:p>
      <w:pPr>
        <w:pStyle w:val="Heading2"/>
        <w:rPr>
          <w:rFonts w:ascii="仿宋" w:eastAsia="仿宋" w:hAnsi="仿宋" w:cs="仿宋" w:hint="eastAsia"/>
          <w:lang w:eastAsia="zh-CN"/>
        </w:rPr>
      </w:pPr>
      <w:bookmarkStart w:id="3" w:name="_Toc1297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邮政专用机械及器材项目中显现出多层面的复杂性和有机性。其系统性突显在对广泛技术领域的全面规划和整合，要求各技术要素相互协调，以确保邮政专用机械及器材项目整体协同。这种系统性要求技术管理者在邮政专用机械及器材项目中全局思考，以适应多元领域的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在不断变化的环境中具备创新能力，团队需要持续提出独具创意的技术解决方案，作为推动邮政专用机械及器材项目进步的引擎。这种创新力使技术管理不仅仅是问题应对，更是邮政专用机械及器材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邮政专用机械及器材项目技术方案的综合有效性。</w:t>
      </w:r>
    </w:p>
    <w:p>
      <w:pPr>
        <w:pStyle w:val="Heading2"/>
        <w:ind w:firstLine="560" w:firstLineChars="200"/>
        <w:rPr>
          <w:rFonts w:ascii="仿宋" w:eastAsia="仿宋" w:hAnsi="仿宋" w:cs="仿宋" w:hint="eastAsia"/>
          <w:sz w:val="28"/>
          <w:lang w:eastAsia="zh-CN"/>
        </w:rPr>
      </w:pPr>
      <w:bookmarkStart w:id="4" w:name="_Toc20477"/>
      <w:r>
        <w:rPr>
          <w:rFonts w:ascii="仿宋" w:eastAsia="仿宋" w:hAnsi="仿宋" w:cs="仿宋" w:hint="eastAsia"/>
          <w:sz w:val="28"/>
          <w:lang w:eastAsia="zh-CN"/>
        </w:rPr>
        <w:t>(二)、邮政专用机械及器材项目工艺技术设计方案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邮政专用机械及器材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在选择工艺设备时，需要考虑其性能、稳定性和可维护性。设备应符合邮政专用机械及器材项目的实际需求，并与整个生产流程协同工作，确保设备的使用不成为邮政专用机械及器材项目的瓶颈。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5" w:name="_Toc859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邮政专用机械及器材项目投资风险，最大限度地减少总体邮政专用机械及器材项目成本。在投资邮政专用机械及器材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我们以“先进、高效、实用、节能、可靠”为准则，特别关注邮政专用机械及器材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邮政专用机械及器材项目的生产设备具备最佳性能和效益，以满足邮政专用机械及器材项目长期的发展需求。</w:t>
      </w:r>
    </w:p>
    <w:p>
      <w:pPr>
        <w:pStyle w:val="Heading1"/>
        <w:ind w:firstLine="560" w:firstLineChars="200"/>
        <w:rPr>
          <w:rFonts w:ascii="仿宋" w:eastAsia="仿宋" w:hAnsi="仿宋" w:cs="仿宋" w:hint="eastAsia"/>
          <w:sz w:val="28"/>
          <w:lang w:eastAsia="zh-CN"/>
        </w:rPr>
      </w:pPr>
      <w:bookmarkStart w:id="6" w:name="_Toc12250"/>
      <w:r>
        <w:rPr>
          <w:rFonts w:ascii="仿宋" w:eastAsia="仿宋" w:hAnsi="仿宋" w:cs="仿宋" w:hint="eastAsia"/>
          <w:sz w:val="28"/>
          <w:lang w:eastAsia="zh-CN"/>
        </w:rPr>
        <w:t>二、建设规划</w:t>
      </w:r>
      <w:bookmarkEnd w:id="6"/>
    </w:p>
    <w:p>
      <w:pPr>
        <w:pStyle w:val="Heading2"/>
        <w:rPr>
          <w:rFonts w:ascii="仿宋" w:eastAsia="仿宋" w:hAnsi="仿宋" w:cs="仿宋" w:hint="eastAsia"/>
          <w:lang w:eastAsia="zh-CN"/>
        </w:rPr>
      </w:pPr>
      <w:bookmarkStart w:id="7" w:name="_Toc15776"/>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竞争激烈的当今市场，成功的产品规划是企业实现可持续发展的基石。产品规划不仅仅是对产品生命周期的考量，更是对市场、用户需求、技术趋势以及竞争局势的深度分析和综合考虑。从市场调研到技术开发，再到最终的推广营销，每个环节都至关重要，决定了产品在市场中的命运。一场成功的产品规划需要兼顾短期和长期的目标，紧密结合市场动态，确保产品具备持续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市场调研与需求分析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起点是对市场的深入了解和用户需求的精准洞察。市场调研通过数据收集和分析，描绘了目标市场的地形图，帮助企业更好地理解市场规模、趋势和潜在机会。同时，深入的用户需求分析能够为产品设计和开发提供有力指导，确保产品真正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创新与设计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的成功往往离不开创新和精良的设计。创新不仅仅是对市场的回应，更是对用户未来需求的预见。通过不断地创新，企业能够在市场中保持领先地位。设计则是产品的外在表现，一个好的设计不仅提高了产品的美观性，更是提升了用户体验，从而形成了产品的差异化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技术开发与研发投入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是产品的核心，而技术开发和研发投入则是产品规划中至关重要的组成部分。通过技术的不断创新，企业可以在竞争中脱颖而出。研发投入不仅包括人力和物力，更需要注重科研成果的应用和实际运用，确保产品在技术上的领先地位，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生产与供应链管理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产品规划确定，高效的生产和供应链管理是确保产品顺利上市的关键。生产过程的优化和供应链的畅通是产品能否按时交付和维持市场竞争力的决定性因素。建立稳定的供应链网络和精细的生产管理体系，有助于提高生产效率、降低成本，确保产品的质量和及时交付。</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营销与推广策略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成功不仅仅在于产品本身，还需要通过有效的营销和推广策略将产品引入市场。品牌定位、渠道选择、广告宣传等环节需要深思熟虑。通过巧妙的市场推广，企业能够提高产品的知名度和美誉度，吸引更多目标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市场反馈与持续改进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上市后，与市场的互动成为产品规划中的一个重要环节。通过市场反馈、用户体验和销售数据的持续监测，企业能够不断优化产品，适应市场变化，提高产品的竞争力。持续改进是产品规划的保障，确保产品始终符合市场和用户的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调研的深入了解，创新和设计的巧妙运用，技术开发和研发投入的不懈努力，生产和供应链管理的高效运作，以及营销与推广策略的巧妙运用，产品规划能够更好地适应市场的需求，确保产品在竞争激烈的市场中立于不败之地。</w:t>
      </w:r>
    </w:p>
    <w:p>
      <w:pPr>
        <w:pStyle w:val="Heading2"/>
        <w:ind w:firstLine="560" w:firstLineChars="200"/>
        <w:rPr>
          <w:rFonts w:ascii="仿宋" w:eastAsia="仿宋" w:hAnsi="仿宋" w:cs="仿宋" w:hint="eastAsia"/>
          <w:sz w:val="28"/>
          <w:lang w:eastAsia="zh-CN"/>
        </w:rPr>
      </w:pPr>
      <w:bookmarkStart w:id="8" w:name="_Toc25945"/>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邮政专用机械及器材项目总征地面积XXXX平方米（折合约XX亩），其中：净用地面积XXXX平方米（红线范围折合约XX亩）。邮政专用机械及器材项目规划总建筑面积XXXX平方米，其中规划建设主体工程XXXX平方米，计容建筑面积XXXX平方米。预计建筑工程投资XXXX万元，这包括了基础设施建设、园区绿化等多个方面的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邮政专用机械及器材项目所占用的地面积充分考虑了红线范围，确保了邮政专用机械及器材项目的合规性和可持续发展。规划建设主体工程和计容建筑面积的设定旨在满足邮政专用机械及器材项目的生产和办公需求，为企业提供充足的工作空间。预计的建筑工程投资将用于邮政专用机械及器材项目的基础设施建设，为邮政专用机械及器材项目的未来发展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邮政专用机械及器材项目计划购置设备共计XX台（套），设备购置费XXXX万元。这些设备涵盖了生产、研发和办公等多个领域，包括先进的生产设备、办公设备和实验室设备等。设备购置费用的投入将确保邮政专用机械及器材项目具备先进的生产技术和高效的办公环境，提高企业的生产效率和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邮政专用机械及器材项目计划总投资XXXX万元，预计年实现营业收入XXXX万元。这一部分涵盖了整个邮政专用机械及器材项目的经济规模和财务计划。总投资将用于邮政专用机械及器材项目的建设、设备购置、人才引进等多个方面，确保邮政专用机械及器材项目的全面发展。预计年实现的营业收入则是对邮政专用机械及器材项目盈利能力的预估，考虑了市场需求、销售计划等多个因素。</w:t>
      </w:r>
    </w:p>
    <w:p>
      <w:pPr>
        <w:pStyle w:val="Heading1"/>
        <w:ind w:firstLine="560" w:firstLineChars="200"/>
        <w:rPr>
          <w:rFonts w:ascii="仿宋" w:eastAsia="仿宋" w:hAnsi="仿宋" w:cs="仿宋" w:hint="eastAsia"/>
          <w:sz w:val="28"/>
          <w:lang w:eastAsia="zh-CN"/>
        </w:rPr>
      </w:pPr>
      <w:bookmarkStart w:id="9" w:name="_Toc19008"/>
      <w:r>
        <w:rPr>
          <w:rFonts w:ascii="仿宋" w:eastAsia="仿宋" w:hAnsi="仿宋" w:cs="仿宋" w:hint="eastAsia"/>
          <w:sz w:val="28"/>
          <w:lang w:eastAsia="zh-CN"/>
        </w:rPr>
        <w:t>三、邮政专用机械及器材项目选址说明</w:t>
      </w:r>
      <w:bookmarkEnd w:id="9"/>
    </w:p>
    <w:p>
      <w:pPr>
        <w:pStyle w:val="Heading2"/>
        <w:rPr>
          <w:rFonts w:ascii="仿宋" w:eastAsia="仿宋" w:hAnsi="仿宋" w:cs="仿宋" w:hint="eastAsia"/>
          <w:lang w:eastAsia="zh-CN"/>
        </w:rPr>
      </w:pPr>
      <w:bookmarkStart w:id="10" w:name="_Toc22980"/>
      <w:r>
        <w:rPr>
          <w:rFonts w:ascii="仿宋" w:eastAsia="仿宋" w:hAnsi="仿宋" w:cs="仿宋" w:hint="eastAsia"/>
          <w:lang w:eastAsia="zh-CN"/>
        </w:rPr>
        <w:t>(一)、邮政专用机械及器材项目选址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邮政专用机械及器材项目选址位于XXXX市XXXX区XXXX街道XXXX路，地理位置优越，地势平坦，交通便利。附近有多条主要道路交汇，便于原材料的运输和成品的配送。地理位置的优越性将为邮政专用机械及器材项目提供便捷的市场接触和良好的物流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我们将充分考虑用地控制指标，确保邮政专用机械及器材项目用地的合规性。经过详细的规划和评估，选址地区的用地性质、容积率、绿化率等指标将被科学确定，以满足邮政专用机械及器材项目的发展需求并符合相关法规和环保要求。</w:t>
      </w:r>
    </w:p>
    <w:p>
      <w:pPr>
        <w:pStyle w:val="Heading2"/>
        <w:ind w:firstLine="560" w:firstLineChars="200"/>
        <w:rPr>
          <w:rFonts w:ascii="仿宋" w:eastAsia="仿宋" w:hAnsi="仿宋" w:cs="仿宋" w:hint="eastAsia"/>
          <w:sz w:val="28"/>
          <w:lang w:eastAsia="zh-CN"/>
        </w:rPr>
      </w:pPr>
      <w:bookmarkStart w:id="11" w:name="_Toc14650"/>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用地性质： 选址地区的用地性质被确定为工业用地，以支持邮政专用机械及器材项目的生产和运营。确保用地性质符合地方规划，并满足邮政专用机械及器材项目的实际需求。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用途：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根据地区规划和建设标准，设定合理的容积率。容积率的设定要考虑邮政专用机械及器材项目的建筑需求，确保建筑的布局紧凑，用地高效利用。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确保邮政专用机械及器材项目选址地区的绿化率符合环保法规的要求。通过科学的绿化设计，提高绿化率，改善周边环境，为员工提供良好的工作生活环境。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12" w:name="_Toc22215"/>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针对邮政专用机械及器材项目的实际需求，考虑采用垂直建筑设计，提高建筑的层数，减小占地面积。这将有助于在有限的用地内实现更大的建筑容积。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地下空间利用：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13" w:name="_Toc22663"/>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邮政专用机械及器材项目的原材料运输和成品配送提供了便捷的通道。地理位置的优越性将成为总图布置方案的首要考虑因素，确保邮政专用机械及器材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邮政专用机械及器材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邮政专用机械及器材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邮政专用机械及器材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14" w:name="_Toc22915"/>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邮政专用机械及器材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邮政专用机械及器材项目的成功实施提供战略优势。通过全面利用地理位置，确保邮政专用机械及器材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综合评价将充分考虑选址地区的交通便利性。主要道路的交汇、交通流畅性等因素将被纳入考虑范围。通过科学评估交通状况，确保邮政专用机械及器材项目的运输通道顺畅，为物流和员工的出行提供良好保障。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邮政专用机械及器材项目的实际需求相符。这有助于用地的科学利用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图布置方案将在综合评价中发挥关键作用。通过科学合理的布置，确保邮政专用机械及器材项目的空间布局合理有序。绿化空间、建筑布局、功能区域划分等因素将在总图布置中得到综合考虑，为邮政专用机械及器材项目提供良好的空间环境。</w:t>
      </w:r>
    </w:p>
    <w:p>
      <w:pPr>
        <w:pStyle w:val="Heading1"/>
        <w:ind w:firstLine="560" w:firstLineChars="200"/>
        <w:rPr>
          <w:rFonts w:ascii="仿宋" w:eastAsia="仿宋" w:hAnsi="仿宋" w:cs="仿宋" w:hint="eastAsia"/>
          <w:sz w:val="28"/>
          <w:lang w:eastAsia="zh-CN"/>
        </w:rPr>
      </w:pPr>
      <w:bookmarkStart w:id="15" w:name="_Toc17291"/>
      <w:r>
        <w:rPr>
          <w:rFonts w:ascii="仿宋" w:eastAsia="仿宋" w:hAnsi="仿宋" w:cs="仿宋" w:hint="eastAsia"/>
          <w:sz w:val="28"/>
          <w:lang w:eastAsia="zh-CN"/>
        </w:rPr>
        <w:t>四、邮政专用机械及器材项目市场前景分析</w:t>
      </w:r>
      <w:bookmarkEnd w:id="15"/>
    </w:p>
    <w:p>
      <w:pPr>
        <w:pStyle w:val="Heading2"/>
        <w:rPr>
          <w:rFonts w:ascii="仿宋" w:eastAsia="仿宋" w:hAnsi="仿宋" w:cs="仿宋" w:hint="eastAsia"/>
          <w:lang w:eastAsia="zh-CN"/>
        </w:rPr>
      </w:pPr>
      <w:bookmarkStart w:id="16" w:name="_Toc32623"/>
      <w:r>
        <w:rPr>
          <w:rFonts w:ascii="仿宋" w:eastAsia="仿宋" w:hAnsi="仿宋" w:cs="仿宋" w:hint="eastAsia"/>
          <w:lang w:eastAsia="zh-CN"/>
        </w:rPr>
        <w:t>(一)、建设地经济发展概况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建设地的经济在过去几年呈现出强劲的增长态势。20XX年至20XXX年，该地区的年均GDP增速超过XX%，整体经济规模达到XX亿元。这一持续增长的趋势反映了建设地经济的活力和吸引力。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主要产业结构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产业结构多元化，制造业、服务业和高科技产业占据主导地位。先进制造业中的电子、汽车等领域蓬勃发展，服务业包括金融、教育和医疗等多个领域都取得了显著进展。高科技企业的崛起为整体产业结构带来了新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一直致力于打造优越的投资环境，吸引了众多国内外企业的投资。政府实施了一系列便利化政策，简化审批程序，降低投资门槛。建设地成为创业者和投资者青睐的热门目的地，各类产业邮政专用机械及器材项目纷纷落地。</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人口与就业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设地的人口规模逐年增加，形成了多元化的社会结构。城市人口密集区域的就业市场蓬勃发展，同时城乡一体化发展战略也为农村地区提供了更多就业机会。该地区积极推动人才引进和培养，构建了具有创新力的人才队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为适应经济快速发展的需要，建设地加大了对基础设施建设的投入。新建、改建的高速公路、城市轨道交通、现代化港口等邮政专用机械及器材项目得到了快速推进，提高了城市的综合竞争力。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建设地注重生态环境保护和可持续发展。实施了大规模的环境治理邮政专用机械及器材项目，提升了空气质量和水质。同时，该地推动绿色产业和清洁能源的发展，致力于打造宜居宜业的城市环境。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7. 区域合作与国际交往</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建设地积极参与区域合作和国际交往，拓展了多领域的国际合作邮政专用机械及器材项目。通过加强国际交流，该地区引进了大量国外优质技术和资金，同时推动了本地产业的对外拓展。</w:t>
      </w:r>
    </w:p>
    <w:p>
      <w:pPr>
        <w:pStyle w:val="Heading2"/>
        <w:ind w:firstLine="560" w:firstLineChars="200"/>
        <w:rPr>
          <w:rFonts w:ascii="仿宋" w:eastAsia="仿宋" w:hAnsi="仿宋" w:cs="仿宋" w:hint="eastAsia"/>
          <w:sz w:val="28"/>
          <w:lang w:eastAsia="zh-CN"/>
        </w:rPr>
      </w:pPr>
      <w:bookmarkStart w:id="17" w:name="_Toc23290"/>
      <w:r>
        <w:rPr>
          <w:rFonts w:ascii="仿宋" w:eastAsia="仿宋" w:hAnsi="仿宋" w:cs="仿宋" w:hint="eastAsia"/>
          <w:sz w:val="28"/>
          <w:lang w:eastAsia="zh-CN"/>
        </w:rPr>
        <w:t>(二)、行业市场分析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行业在全球范围内的市场规模持续扩大，据最新数据显示，年均增长率达到XX%。市场规模预计将在未来数年内继续增长，达到YY亿元。这一趋势表明行业正受到日益增长的市场需求的推动，为各类企业提供了广泛的商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竞争格局相当激烈，主要由几家大型企业主导市场，占据了相当比例的市场份额。然而，新兴企业通过创新和灵活性也逐渐在市场中崭露头角。尽管入口壁垒相对较高，但随着技术的进步和市场的开放，新进入者有望取得更多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主要集中在年轻一代，他们更注重产品的创新性、环保性和品牌形象。消费者趋势显示，线上购物和个性化定制服务逐渐成为主流，这对企业提出了更高的要求。了解这些趋势有助于企业调整产品策略，提升市场占有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一直是该行业的推动力，最新的技术趋势涵盖了人工智能、大数据分析以及物联网技术的应用。在全球范围内，多家企业正在加大研发投入，以推动行业的数字化转型。未来趋势显示，智能化产品和服务将成为市场的主导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法规与政策影响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环境对该行业的影响显著，特别是关于环保和消费者权益方面的法规。政府对该行业的监管力度逐渐加强，其中包括新的环保法规和产品标准。同时，政府通过提供税收激励和创新资金，支持企业更好地适应新的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环境影响与可持续发展</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环保要求日益增加，企业在产品制造和供应链管理中不断加强环保措施。社会责任在行业内也占据重要地位，许多企业积极参与社区邮政专用机械及器材项目和慈善事业，提升了其社会形象。可持续发展计划逐渐成为企业战略的一部分，以确保业务的可持续性和社会责任的履行。</w:t>
      </w:r>
    </w:p>
    <w:p>
      <w:pPr>
        <w:pStyle w:val="Heading1"/>
        <w:ind w:firstLine="560" w:firstLineChars="200"/>
        <w:rPr>
          <w:rFonts w:ascii="仿宋" w:eastAsia="仿宋" w:hAnsi="仿宋" w:cs="仿宋" w:hint="eastAsia"/>
          <w:sz w:val="28"/>
          <w:lang w:eastAsia="zh-CN"/>
        </w:rPr>
      </w:pPr>
      <w:bookmarkStart w:id="18" w:name="_Toc25380"/>
      <w:r>
        <w:rPr>
          <w:rFonts w:ascii="仿宋" w:eastAsia="仿宋" w:hAnsi="仿宋" w:cs="仿宋" w:hint="eastAsia"/>
          <w:sz w:val="28"/>
          <w:lang w:eastAsia="zh-CN"/>
        </w:rPr>
        <w:t>五、邮政专用机械及器材项目实施进度计划</w:t>
      </w:r>
      <w:bookmarkEnd w:id="18"/>
    </w:p>
    <w:p>
      <w:pPr>
        <w:pStyle w:val="Heading2"/>
        <w:rPr>
          <w:rFonts w:ascii="仿宋" w:eastAsia="仿宋" w:hAnsi="仿宋" w:cs="仿宋" w:hint="eastAsia"/>
          <w:lang w:eastAsia="zh-CN"/>
        </w:rPr>
      </w:pPr>
      <w:bookmarkStart w:id="19" w:name="_Toc24823"/>
      <w:r>
        <w:rPr>
          <w:rFonts w:ascii="仿宋" w:eastAsia="仿宋" w:hAnsi="仿宋" w:cs="仿宋" w:hint="eastAsia"/>
          <w:lang w:eastAsia="zh-CN"/>
        </w:rPr>
        <w:t>(一)、建设周期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建设周期是邮政专用机械及器材项目从规划到实际运作的全过程，分为多个关键阶段，每个阶段都有其独特的任务和挑战：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1. 邮政专用机械及器材项目前期准备阶段：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阶段，邮政专用机械及器材项目团队进行邮政专用机械及器材项目的可行性研究，明确邮政专用机械及器材项目目标和规模，进行市场分析和资金计划。完成邮政专用机械及器材项目的立项申请，确保邮政专用机械及器材项目有足够的资源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工程勘察与设计阶段：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邮政专用机械及器材项目所在地的勘察工作，包括土地调查、地质勘探等，以获取对施工环境的全面了解。设计阶段涉及建筑设计、工艺设计、设备配置等，确保邮政专用机械及器材项目的设计方案科学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土建工程施工阶段：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实施土建工程，包括地基处理、建筑施工、主体结构建设等。这是邮政专用机械及器材项目实体建设的阶段，需要高效协调各项工程，确保施工质量和进度。</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4. 设备采购阶段：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进行邮政专用机械及器材项目所需设备的采购，包括设备的选择、供应商洽谈和合同签订。确保邮政专用机械及器材项目所使用的设备符合质量标准，满足邮政专用机械及器材项目的生产需求。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设备安装调试阶段：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进行设备的安装和调试工作，确保设备能够正常运行。这个阶段是邮政专用机械及器材项目顺利投产的关键，需要仔细调整设备，保证其稳定性和可靠性。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投产使用阶段：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邮政专用机械及器材项目正式投入运营，进行实际生产和服务。在此阶段，邮政专用机械及器材项目团队需要密切关注运营情况，及时处理可能出现的问题，确保邮政专用机械及器材项目平稳运行。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科学合理的规划和有效的邮政专用机械及器材项目管理，确保每个建设阶段都按时、按质完成，最终实现邮政专用机械及器材项目的成功建设和投产使用。邮政专用机械及器材项目建设周期的顺利进行对于邮政专用机械及器材项目的整体成功至关重要。</w:t>
      </w:r>
    </w:p>
    <w:p>
      <w:pPr>
        <w:pStyle w:val="Heading2"/>
        <w:ind w:firstLine="560" w:firstLineChars="200"/>
        <w:rPr>
          <w:rFonts w:ascii="仿宋" w:eastAsia="仿宋" w:hAnsi="仿宋" w:cs="仿宋" w:hint="eastAsia"/>
          <w:sz w:val="28"/>
          <w:lang w:eastAsia="zh-CN"/>
        </w:rPr>
      </w:pPr>
      <w:bookmarkStart w:id="20" w:name="_Toc12409"/>
      <w:r>
        <w:rPr>
          <w:rFonts w:ascii="仿宋" w:eastAsia="仿宋" w:hAnsi="仿宋" w:cs="仿宋" w:hint="eastAsia"/>
          <w:sz w:val="28"/>
          <w:lang w:eastAsia="zh-CN"/>
        </w:rPr>
        <w:t>(二)、建设进度</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邮政专用机械及器材项目的分期建设是为了更好地控制进度和资源，目前的实际完成投资达到XXXX万元，占计划投资的XX%。进一步细分，固定资产投资已经完成XXXX万元，占总投资的XX%；流动资金投资也已经完成XXXX万元，占总投资的XX%。</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完成固定资产投资：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固定资产投资是邮政专用机械及器材项目中的重要组成部分，包括土建工程、设备采购等。已经完成的XXXX万元投资表明在这方面邮政专用机械及器材项目取得了良好的进展。这部分资金的使用应当符合邮政专用机械及器材项目计划，确保施工和采购等方面按照预期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完成流动资金投资：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流动资金投资则涉及邮政专用机械及器材项目运营过程中的各项费用，如人员工资、原材料采购等。已经完成XXXX万元的流动资金投资表明邮政专用机械及器材项目在运营准备方面也取得了一定的进展。这部分资金的使用需要合理规划，确保邮政专用机械及器材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投资完成比例分析：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邮政专用机械及器材项目实际完成投资占计划投资的XX%，这反映了邮政专用机械及器材项目在资金使用方面的较好掌控。投资完成比例的合理性直接关系到邮政专用机械及器材项目后续的资金需求和进度计划。通过对比已完成和计划的投资比例，可以更准确地评估邮政专用机械及器材项目的财务状况和资金运作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未来资金规划：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基于目前的资金完成情况，可以进一步规划未来的资金使用。确保在后续的建设和运营阶段，资金能够得到及时、有效地保障。这包括对未完成部分的固定资产和流动资金投资的合理安排和管理。</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风险控制：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随着邮政专用机械及器材项目不断推进，风险的变化也需要得到及时的识别和应对。定期对已完成投资的使用情况进行审查，及时发现潜在的财务风险，并制定相应的应对策略。</w:t>
      </w:r>
    </w:p>
    <w:p>
      <w:pPr>
        <w:pStyle w:val="Heading2"/>
        <w:ind w:firstLine="560" w:firstLineChars="200"/>
        <w:rPr>
          <w:rFonts w:ascii="仿宋" w:eastAsia="仿宋" w:hAnsi="仿宋" w:cs="仿宋" w:hint="eastAsia"/>
          <w:sz w:val="28"/>
          <w:lang w:eastAsia="zh-CN"/>
        </w:rPr>
      </w:pPr>
      <w:bookmarkStart w:id="21" w:name="_Toc823"/>
      <w:r>
        <w:rPr>
          <w:rFonts w:ascii="仿宋" w:eastAsia="仿宋" w:hAnsi="仿宋" w:cs="仿宋" w:hint="eastAsia"/>
          <w:sz w:val="28"/>
          <w:lang w:eastAsia="zh-CN"/>
        </w:rPr>
        <w:t>(三)、进度安排注意事项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制定合理的计划：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根据邮政专用机械及器材项目的性质和规模，制定详细的邮政专用机械及器材项目计划，包括各个阶段的任务和时间表。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考虑到可能的风险和不确定性，留有一定的缓冲时间。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明确目标和优先级：</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确定邮政专用机械及器材项目的主要目标和优先级，以便更好地分配资源和关注关键任务。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明确哪些任务对邮政专用机械及器材项目成功至关重要，优先安排这些任务。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3. 考虑依赖关系：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分析任务之间的依赖关系，确保一个任务的完成不受到其他任务的影响。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优先处理可能成为关键路径的任务，以避免整体进度受到影响。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持续监控和更新：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实时监控邮政专用机械及器材项目进度，及时发现和解决可能的延误或问题。</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定期更新邮政专用机械及器材项目计划，确保计划与实际进展一致。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合理分配资源：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确保邮政专用机械及器材项目所需的各种资源，包括人力、物力、财力等，得到合理分配和利用。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在人员调度上考虑到专业技能和经验的匹配。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6. 团队沟通和协作：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保持团队成员之间的良好沟通，确保大家了解任务和目标。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鼓励协作和信息分享，以促进工作的高效进行。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7. 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对可能出现的风险进行评估，并采取相应的风险管理措施。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制定备选方案，以便在发生问题时能够迅速作出调整。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定期评估和审查：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定期进行邮政专用机械及器材项目进度的评估和审查，确保邮政专用机械及器材项目仍然符合预期目标。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根据评估结果进行必要的调整和改进。</w:t>
      </w:r>
    </w:p>
    <w:p>
      <w:pPr>
        <w:pStyle w:val="Heading2"/>
        <w:ind w:firstLine="560" w:firstLineChars="200"/>
        <w:rPr>
          <w:rFonts w:ascii="仿宋" w:eastAsia="仿宋" w:hAnsi="仿宋" w:cs="仿宋" w:hint="eastAsia"/>
          <w:sz w:val="28"/>
          <w:lang w:eastAsia="zh-CN"/>
        </w:rPr>
      </w:pPr>
      <w:bookmarkStart w:id="22" w:name="_Toc12960"/>
      <w:r>
        <w:rPr>
          <w:rFonts w:ascii="仿宋" w:eastAsia="仿宋" w:hAnsi="仿宋" w:cs="仿宋" w:hint="eastAsia"/>
          <w:sz w:val="28"/>
          <w:lang w:eastAsia="zh-CN"/>
        </w:rPr>
        <w:t>(四)、人力资源配置</w:t>
      </w:r>
      <w:bookmarkEnd w:id="22"/>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在进行人力资源配置时，首先需要全面了解邮政专用机械及器材项目的性质、规模和需求，以确保合理、高效地配置人力资源。邮政专用机械及器材项目的成功与否很大程度上取决于人力的贡献和团队的协作。因此，科学合理的人力资源配置是邮政专用机械及器材项目管理中至关重要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综合人力需求分析：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邮政专用机械及器材项目启动阶段，需要进行全面的人力需求分析。这包括确定邮政专用机械及器材项目的规模、工作内容、所需技能等方面的要求。通过对邮政专用机械及器材项目整体的需求有一个清晰的认识，才能更好地进行后续的人力资源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岗位设置和职责划分：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根据邮政专用机械及器材项目的特点和需要，明确各个岗位的设置以及每个岗位的具体职责。这需要考虑到团队的协作关系，确保各个岗位之间的职责清晰划分，避免冲突和混淆。</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人才招募和选拔：</w:t>
      </w: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邮政专用机械及器材项目的需求，需要进行有效的人才招募和选拔。这包括发布招聘信息、面试候选人、评估其技能和适应能力等。确保招聘到的人才与邮政专用机械及器材项目的要求相匹配，有利于邮政专用机械及器材项目的高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培训和技能提升：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一旦团队成员入职，需要提供必要的培训，以确保他们熟悉邮政专用机械及器材项目的流程和工作要求。同时，还需要注重团队成员的技能提升，通过培训计划和学习机会，使团队保持竞争力。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团队建设和文化塑造：</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建设一个协作高效的团队是邮政专用机械及器材项目成功的基石。通过组织团队建设活动、搭建良好的沟通渠道、塑造积极向上的团队文化，可以提高团队的凝聚力和战斗力。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绩效评估和激励机制：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建立科学的绩效评估机制，对团队成员的工作进行定期评估，识别出色表现并予以奖励。激励机制可以激发团队成员的积极性和创造力，增强工作动力。</w:t>
      </w:r>
    </w:p>
    <w:p>
      <w:pPr>
        <w:pStyle w:val="Heading2"/>
        <w:ind w:firstLine="560" w:firstLineChars="200"/>
        <w:rPr>
          <w:rFonts w:ascii="仿宋" w:eastAsia="仿宋" w:hAnsi="仿宋" w:cs="仿宋" w:hint="eastAsia"/>
          <w:sz w:val="28"/>
          <w:lang w:eastAsia="zh-CN"/>
        </w:rPr>
      </w:pPr>
      <w:bookmarkStart w:id="23" w:name="_Toc11051"/>
      <w:r>
        <w:rPr>
          <w:rFonts w:ascii="仿宋" w:eastAsia="仿宋" w:hAnsi="仿宋" w:cs="仿宋" w:hint="eastAsia"/>
          <w:sz w:val="28"/>
          <w:lang w:eastAsia="zh-CN"/>
        </w:rPr>
        <w:t>(五)、员工培训</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培训需求分析：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员工培训之前，需要进行全面的培训需求分析。这包括了解员工的现有技能水平、邮政专用机械及器材项目要求的技能和知识，以及员工个体发展的需求。通过需求分析，可以有针对性地制定培训计划，确保培训内容贴近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基于培训需求分析的结果，制定详细的培训计划。培训计划应包括培训的内容、形式、时间安排等方面的细节。同时，需要根据员工的岗位和职责差异，制定个性化的培训方案，以满足不同群体的培训需求。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应紧密围绕邮政专用机械及器材项目需求和员工成长方向展开。采用系统性的培训模块，包括专业技能、团队协作、领导力培养等方面。培训内容设计要具有实际操作性，能够帮助员工将所学知识和技能应用到实际工作中。</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培训方法选择：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培训方法，包括面对面培训、在线培训、实践操作等。不同的培训方法适用于不同的培训内容和目标。在选择培训方法时，要考虑员工的学习习惯和邮政专用机械及器材项目的实际情况，以提高培训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的选择直接关系到培训效果。选择具有丰富实践经验和专业知识的培训师，能够更好地传递邮政专用机械及器材项目所需的技能和理念。同时，也可以考虑邀请邮政专用机械及器材项目内部专家担任培训讲师，更符合邮政专用机械及器材项目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培训评估机制，通过培训前、中、后的评估，了解培训效果和员工学习情况。这可以通过考试、实际操作、反馈调查等方式进行。培训评估的结果可用于调整和优化培训计划，确保培训的连续性和实效性。</w:t>
      </w:r>
    </w:p>
    <w:p>
      <w:pPr>
        <w:pStyle w:val="Heading2"/>
        <w:ind w:firstLine="560" w:firstLineChars="200"/>
        <w:rPr>
          <w:rFonts w:ascii="仿宋" w:eastAsia="仿宋" w:hAnsi="仿宋" w:cs="仿宋" w:hint="eastAsia"/>
          <w:sz w:val="28"/>
          <w:lang w:eastAsia="zh-CN"/>
        </w:rPr>
      </w:pPr>
      <w:bookmarkStart w:id="24" w:name="_Toc29738"/>
      <w:r>
        <w:rPr>
          <w:rFonts w:ascii="仿宋" w:eastAsia="仿宋" w:hAnsi="仿宋" w:cs="仿宋" w:hint="eastAsia"/>
          <w:sz w:val="28"/>
          <w:lang w:eastAsia="zh-CN"/>
        </w:rPr>
        <w:t>(六)、邮政专用机械及器材项目实施保障</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邮政专用机械及器材项目团队建设：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构建一个协作默契、高效沟通的邮政专用机械及器材项目团队是邮政专用机械及器材项目实施保障的基础。通过定期的团队建设活动、培训和沟通机制的建立，确保团队成员之间的合作顺畅，共同追求邮政专用机械及器材项目目标。</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邮政专用机械及器材项目计划与进度管理：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邮政专用机械及器材项目计划，明确邮政专用机械及器材项目的工作分解结构、任务分配和时间节点。通过邮政专用机械及器材项目管理工具对邮政专用机械及器材项目进度进行全程跟踪和管理，及时发现问题并采取相应措施，确保邮政专用机械及器材项目的进度符合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资源供给与管理：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配置和管理邮政专用机械及器材项目所需的资源，包括人力、物力、财力等。确保邮政专用机械及器材项目中各项资源的充分利用，避免资源的浪费。通过合理的资源管理，提高邮政专用机械及器材项目的执行效率和成本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完善的风险管理机制，对邮政专用机械及器材项目可能面临的风险进行全面评估，并制定相应的风险应对策略。定期进行风险评估和监控，确保邮政专用机械及器材项目在不同阶段能够及时应对和解决可能出现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邮政专用机械及器材项目实施中，技术支持是不可或缺的一环。确保邮政专用机械及器材项目团队具备必要的技术能力，及时解决技术难题。同时，鼓励团队成员提出创新性的解决方案，推动邮政专用机械及器材项目技术的不断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质量管理与验收标准：</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完善的质量管理体系，确保邮政专用机械及器材项目的每个阶段都能达到预定的质量标准。设立清晰的验收标准，对邮政专用机械及器材项目成果进行全面的检查和评估。通过质量管理，保障邮政专用机械及器材项目交付物的质量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信息沟通与协调：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建立畅通的信息沟通渠道，确保邮政专用机械及器材项目团队内外的信息传递及时准确。定期组织会议、报告邮政专用机械及器材项目进展，提高团队成员之间的协作效率，减少信息滞后导致的问题。</w:t>
      </w:r>
    </w:p>
    <w:p>
      <w:pPr>
        <w:pStyle w:val="Heading1"/>
        <w:ind w:firstLine="560" w:firstLineChars="200"/>
        <w:rPr>
          <w:rFonts w:ascii="仿宋" w:eastAsia="仿宋" w:hAnsi="仿宋" w:cs="仿宋" w:hint="eastAsia"/>
          <w:sz w:val="28"/>
          <w:lang w:eastAsia="zh-CN"/>
        </w:rPr>
      </w:pPr>
      <w:bookmarkStart w:id="25" w:name="_Toc27769"/>
      <w:r>
        <w:rPr>
          <w:rFonts w:ascii="仿宋" w:eastAsia="仿宋" w:hAnsi="仿宋" w:cs="仿宋" w:hint="eastAsia"/>
          <w:sz w:val="28"/>
          <w:lang w:eastAsia="zh-CN"/>
        </w:rPr>
        <w:t>六、邮政专用机械及器材项目投资可行性分析</w:t>
      </w:r>
      <w:bookmarkEnd w:id="25"/>
    </w:p>
    <w:p>
      <w:pPr>
        <w:pStyle w:val="Heading2"/>
        <w:rPr>
          <w:rFonts w:ascii="仿宋" w:eastAsia="仿宋" w:hAnsi="仿宋" w:cs="仿宋" w:hint="eastAsia"/>
          <w:lang w:eastAsia="zh-CN"/>
        </w:rPr>
      </w:pPr>
      <w:bookmarkStart w:id="26" w:name="_Toc2070"/>
      <w:r>
        <w:rPr>
          <w:rFonts w:ascii="仿宋" w:eastAsia="仿宋" w:hAnsi="仿宋" w:cs="仿宋" w:hint="eastAsia"/>
          <w:lang w:eastAsia="zh-CN"/>
        </w:rPr>
        <w:t>(一)、邮政专用机械及器材项目估算说明</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邮政专用机械及器材项目建设成本估算：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在邮政专用机械及器材项目建设成本估算中，需要详细考虑土地开发、建筑工程、设备采购和劳动力成本等方面。例如，土地开发阶段需要考虑土地购置费用、清理费用、基础设施建设费用等，而建筑工程阶段则包括建筑材料、施工人员薪酬、建筑设备租赁费等。设备采购阶段需要综合考虑设备价格、运输费用、安装费用等。通过详细的估算，可以形成建设成本的全貌，为后续资金筹措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运营成本估算：</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运营成本估算涉及到邮政专用机械及器材项目建设后的日常运营阶段，包括人员薪酬、能源消耗、维护费用、管理费用等方面。例如，人员薪酬需要考虑岗位设置、薪资水平；能源消耗包括电力、水、燃料等的费用。通过综合分析这些因素，可以形成可行的运营成本估算，为企业运营提供经济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3. 收益估算：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收益估算是邮政专用机械及器材项目估算的核心，需要全面分析市场需求、销售价格、产值和盈利能力等因素。例如，通过市场调研确定产品或服务的市场需求程度，结合竞争对手的定价策略制定合理的销售价格。同时，对产值和盈利能力进行预估，以制定可行的收益预期。这一过程需要细致分析市场动态和企业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风险估算：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估算需要全面考虑潜在的市场风险、技术风险、政策风险等因素。例如，对市场风险的估算可以通过分析市场趋势、竞争格局来评估；技术风险可以通过对邮政专用机械及器材项目技术难点和可能出现的问题进行评估；政策风险则需要了解相关政策法规的变化对邮政专用机械及器材项目可能造成的影响。通过对风险的全面估算，企业可以有针对性地制定风险管理策略，减小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环境和社会影响估算：</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在现代社会，环境和社会影响估算越来越受到重视。这包括环境保护设施投资、社会责任活动费用等方面。例如，邮政专用机械及器材项目可能需要投入一定的资金用于建设环保设施，符合环境法规的要求；社会责任活动费用可以用于企业参与社会公益、员工培训等。通过综合考虑这些因素，企业可以更好地履行社会责任，提高邮政专用机械及器材项目的可持续性和社会接受度。</w:t>
      </w:r>
    </w:p>
    <w:p>
      <w:pPr>
        <w:pStyle w:val="Heading2"/>
        <w:ind w:firstLine="560" w:firstLineChars="200"/>
        <w:rPr>
          <w:rFonts w:ascii="仿宋" w:eastAsia="仿宋" w:hAnsi="仿宋" w:cs="仿宋" w:hint="eastAsia"/>
          <w:sz w:val="28"/>
          <w:lang w:eastAsia="zh-CN"/>
        </w:rPr>
      </w:pPr>
      <w:bookmarkStart w:id="27" w:name="_Toc27731"/>
      <w:r>
        <w:rPr>
          <w:rFonts w:ascii="仿宋" w:eastAsia="仿宋" w:hAnsi="仿宋" w:cs="仿宋" w:hint="eastAsia"/>
          <w:sz w:val="28"/>
          <w:lang w:eastAsia="zh-CN"/>
        </w:rPr>
        <w:t>(二)、邮政专用机械及器材项目总投资估算</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邮政专用机械及器材项目总投资估算需要全面考虑建设、运营和其他相关成本，确保资金充足。在进行估算时，需要综合考虑各个方面的费用，并将其合理分配。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建设成本：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土地开发费用：XX万元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建筑工程费用：XX万元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设备采购费用：XX万元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其他建设相关费用：XX万元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人员薪酬及培训费用：XX万元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能源消耗费用：XX万元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维护及管理费用：XX万元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其他运营相关费用：XX万元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环境和社会影响费用：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环境保护设施投资：XX万元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社会责任活动费用：XX万元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风险储备：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风险管理费用：XX万元</w:t>
      </w:r>
    </w:p>
    <w:p>
      <w:pPr>
        <w:pStyle w:val="Heading2"/>
        <w:ind w:firstLine="560" w:firstLineChars="200"/>
        <w:rPr>
          <w:rFonts w:ascii="仿宋" w:eastAsia="仿宋" w:hAnsi="仿宋" w:cs="仿宋" w:hint="eastAsia"/>
          <w:sz w:val="28"/>
          <w:lang w:eastAsia="zh-CN"/>
        </w:rPr>
      </w:pPr>
      <w:bookmarkStart w:id="28" w:name="_Toc3152"/>
      <w:r>
        <w:rPr>
          <w:rFonts w:ascii="仿宋" w:eastAsia="仿宋" w:hAnsi="仿宋" w:cs="仿宋" w:hint="eastAsia"/>
          <w:sz w:val="28"/>
          <w:lang w:eastAsia="zh-CN"/>
        </w:rPr>
        <w:t>(三)、资金筹措</w:t>
      </w:r>
      <w:bookmarkEnd w:id="28"/>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资金筹措是邮政专用机械及器材项目实施的关键一环，需要灵活运用多种途径来确保邮政专用机械及器材项目有足够的经济支持。1.</w:t>
      </w:r>
      <w:r>
        <w:rPr>
          <w:rFonts w:ascii="仿宋" w:eastAsia="仿宋" w:hAnsi="仿宋" w:cs="仿宋" w:hint="eastAsia"/>
          <w:sz w:val="28"/>
          <w:lang w:eastAsia="zh-CN"/>
        </w:rPr>
        <w:t xml:space="preserve"> 自筹资金：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邮政专用机械及器材项目方自有资金投入，包括企业自有资金和股东资本。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利用企业储备的盈利或通过内部融资手段，如利用积累的利润。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2.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向银行或其他金融机构申请贷款，以邮政专用机械及器材项目资产或未来收益为抵押物。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根据邮政专用机械及器材项目的信用和还款能力，协商获得贷款额度和利率。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发行债券：</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发行公司债券，吸引投资者购买，以筹集资金。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制定债券发行计划，明确债券用途和还款计划。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4. 吸引投资者：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吸引投资者，例如天使投资人、风险投资基金，进行股权投资。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提供有吸引力的回报和利润分成机制，增强投资者信心。</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政府支持和补贴：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利用各级政府提供的邮政专用机械及器材项目支持和资金补贴。</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参与政府支持的产业政策和邮政专用机械及器材项目计划，获取相应资金支持。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6. 合作伙伴和联盟：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与其他企业或机构建立合作伙伴关系，共同投资邮政专用机械及器材项目。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制定合作协议，明确各方责任和利益分配。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7. 科技创投：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寻求科技创投机构的支持，获取技术和资金支持。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参与创新创业平台，获得创投资本的关注。</w:t>
      </w:r>
    </w:p>
    <w:p>
      <w:pPr>
        <w:ind w:firstLine="560" w:firstLineChars="200"/>
        <w:rPr>
          <w:rFonts w:ascii="仿宋" w:eastAsia="仿宋" w:hAnsi="仿宋" w:cs="仿宋" w:hint="eastAsia"/>
          <w:sz w:val="28"/>
        </w:rPr>
      </w:pPr>
      <w:r>
        <w:rPr>
          <w:rFonts w:ascii="仿宋" w:eastAsia="仿宋" w:hAnsi="仿宋" w:cs="仿宋" w:hint="eastAsia"/>
          <w:sz w:val="28"/>
          <w:lang w:eastAsia="zh-CN"/>
        </w:rPr>
        <w:t>8. 国际融资：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考虑通过国际融资手段，如国际贷款、国际发债等方式，获取资金。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充分利用国际金融市场，获取全球范围内的资金支持。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9. 科研邮政专用机械及器材项目资金：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如邮政专用机械及器材项目具有研发性质，可以寻求科研邮政专用机械及器材项目资金的支持。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与科研机构合作，争取相关科研邮政专用机械及器材项目的经费。</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以上多种资金筹措方式的综合运用，可以更好地确保邮政专用机械及器材项目有足够的资金支持，提高邮政专用机械及器材项目的可行性和成功实施的可能性。</w:t>
      </w:r>
    </w:p>
    <w:p>
      <w:pPr>
        <w:pStyle w:val="Heading1"/>
        <w:ind w:firstLine="560" w:firstLineChars="200"/>
        <w:rPr>
          <w:rFonts w:ascii="仿宋" w:eastAsia="仿宋" w:hAnsi="仿宋" w:cs="仿宋" w:hint="eastAsia"/>
          <w:sz w:val="28"/>
          <w:lang w:eastAsia="zh-CN"/>
        </w:rPr>
      </w:pPr>
      <w:bookmarkStart w:id="29" w:name="_Toc12394"/>
      <w:r>
        <w:rPr>
          <w:rFonts w:ascii="仿宋" w:eastAsia="仿宋" w:hAnsi="仿宋" w:cs="仿宋" w:hint="eastAsia"/>
          <w:sz w:val="28"/>
          <w:lang w:eastAsia="zh-CN"/>
        </w:rPr>
        <w:t>七、投资背景及必要性分析</w:t>
      </w:r>
      <w:bookmarkEnd w:id="29"/>
    </w:p>
    <w:p>
      <w:pPr>
        <w:pStyle w:val="Heading2"/>
        <w:rPr>
          <w:rFonts w:ascii="仿宋" w:eastAsia="仿宋" w:hAnsi="仿宋" w:cs="仿宋" w:hint="eastAsia"/>
          <w:lang w:eastAsia="zh-CN"/>
        </w:rPr>
      </w:pPr>
      <w:bookmarkStart w:id="30" w:name="_Toc14680"/>
      <w:r>
        <w:rPr>
          <w:rFonts w:ascii="仿宋" w:eastAsia="仿宋" w:hAnsi="仿宋" w:cs="仿宋" w:hint="eastAsia"/>
          <w:lang w:eastAsia="zh-CN"/>
        </w:rPr>
        <w:t>(一)、邮政专用机械及器材项目承办单位背景分析</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概况：XX有限公司是一家在XX行业具有丰富经验和卓越业绩的企业。成立于XXXX年，公司总部位于XX市，目前拥有一支专业的管理团队和技术团队，致力于提供高质量的产品和服务。公司秉承“创新、质量、服务”的理念，不断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业务范围：公司主要从事XX领域的生产和销售，涵盖了XX、XX、XX等领域。公司产品以其高品质和先进技术在市场上赢得了良好的口碑。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发展历程：公司经过多年的发展，已经建立了稳定的市场地位。先后获得了多项荣誉和认证，是行业内的佼佼者。公司始终秉持着诚信经营、客户至上的原则，与众多客户建立了长期合作关系。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公司经济效益分析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公司经济效益在过去几年取得了显著的成果。公司经济效益的主要亮点：</w:t>
      </w:r>
    </w:p>
    <w:p>
      <w:pPr>
        <w:ind w:firstLine="560" w:firstLineChars="200"/>
        <w:rPr>
          <w:rFonts w:ascii="仿宋" w:eastAsia="仿宋" w:hAnsi="仿宋" w:cs="仿宋" w:hint="eastAsia"/>
          <w:sz w:val="28"/>
        </w:rPr>
      </w:pPr>
      <w:r>
        <w:rPr>
          <w:rFonts w:ascii="仿宋" w:eastAsia="仿宋" w:hAnsi="仿宋" w:cs="仿宋" w:hint="eastAsia"/>
          <w:sz w:val="28"/>
          <w:lang w:eastAsia="zh-CN"/>
        </w:rPr>
        <w:t>1. 营业收入增长： 公司在过去三年中，营业收入呈现稳步增长的趋势，主要得益于产品市场需求的提升和市场份额的扩大。</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2. 盈利能力提升： 公司的盈利能力逐年提升，净利润持续增加。这主要归功于公司在产品研发、生产管理和市场拓展方面的不断优化。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资产稳健： 公司的资产结构健康，资产回报率保持在行业领先水平。这表明公司在资金运作和资产配置方面具备较强的管理水平。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市场份额提升： 公司成功扩大了市场份额，成为行业内的重要参与者。通过提高产品质量和服务水平，公司赢得了客户的信任，增强了市场竞争力。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持续创新： 公司注重技术创新和产品研发，推出了一系列领先行业的产品。这为公司在市场上保持竞争力提供了有力支持。</w:t>
      </w:r>
    </w:p>
    <w:p>
      <w:pPr>
        <w:pStyle w:val="Heading2"/>
        <w:ind w:firstLine="560" w:firstLineChars="200"/>
        <w:rPr>
          <w:rFonts w:ascii="仿宋" w:eastAsia="仿宋" w:hAnsi="仿宋" w:cs="仿宋" w:hint="eastAsia"/>
          <w:sz w:val="28"/>
          <w:lang w:eastAsia="zh-CN"/>
        </w:rPr>
      </w:pPr>
      <w:bookmarkStart w:id="31" w:name="_Toc31373"/>
      <w:r>
        <w:rPr>
          <w:rFonts w:ascii="仿宋" w:eastAsia="仿宋" w:hAnsi="仿宋" w:cs="仿宋" w:hint="eastAsia"/>
          <w:sz w:val="28"/>
          <w:lang w:eastAsia="zh-CN"/>
        </w:rPr>
        <w:t>(二)、产业政策及发展规划</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产业政策及发展规划是企业在特定行业运营中必须关注和遵循的重要指导原则。对于XX有限公司而言，制定明晰的产业政策和发展规划至关重要，以适应行业的发展趋势和政府的相关政策。该公司在产业政策和发展规划方面的主要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政府政策关注： 公司将密切关注相关政府部门出台的产业政策。这包括关于技术创新、环保标准、产业发展方向等方面的政策。及时了解并遵循这些政策对公司的长期发展至关重要。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技术创新导向： 公司将注重技术创新，积极采用先进的生产工艺和设备。通过不断提升技术水平，公司可以在行业中保持竞争优势，并满足市场对高质量产品的需求。</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3. 环保要求履行： 公司将遵循并超越国家和地方的环保标准。在生产过程中，注重降低能耗、减少排放，实施清洁生产，以确保企业的可持续发展。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市场需求预测： 公司将通过市场调研，准确了解市场需求和趋势。基于市场的变化，灵活调整产品结构和服务，以满足客户不断变化的需求。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合规经营： 公司将始终遵循各项法规和政策，确保经营活动的合法合规性。建立健全的内部管理制度，进行规范的财务和经营报告，保持企业的良好声誉。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6. 人才培养： 公司将注重人才培养和引进，建立完善的人才梯队。通过培训和激励机制，激发员工的创新潜力，为公司的可持续发展提供人才支持。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国际市场拓展： 公司将积极响应国家政策，拓展国际市场。通过与国际同行合作、参与国际展会等方式，提升公司在国际市场的竞争力。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通过制定科学合理的产业政策和发展规划，XX有限公司将能够更好地适应外部环境的变化，确保企业在行业中稳健发展，为实施邮政专用机械及器材项目提供坚实支持。</w:t>
      </w:r>
    </w:p>
    <w:p>
      <w:pPr>
        <w:pStyle w:val="Heading2"/>
        <w:ind w:firstLine="560" w:firstLineChars="200"/>
        <w:rPr>
          <w:rFonts w:ascii="仿宋" w:eastAsia="仿宋" w:hAnsi="仿宋" w:cs="仿宋" w:hint="eastAsia"/>
          <w:sz w:val="28"/>
          <w:lang w:eastAsia="zh-CN"/>
        </w:rPr>
      </w:pPr>
      <w:bookmarkStart w:id="32" w:name="_Toc12257"/>
      <w:r>
        <w:rPr>
          <w:rFonts w:ascii="仿宋" w:eastAsia="仿宋" w:hAnsi="仿宋" w:cs="仿宋" w:hint="eastAsia"/>
          <w:sz w:val="28"/>
          <w:lang w:eastAsia="zh-CN"/>
        </w:rPr>
        <w:t>(三)、鼓励中小企业发展</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1. 融资支持： 通过建立专门的中小企业融资渠道，提供低息贷款、创业担保贷款、风险投资等融资工具，帮助中小企业解决融资难题，推动其良性发展。</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技术创新支持：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鼓励中小企业进行技术创新，设立专项资金支持科技研发邮政专用机械及器材项目。提供创新券、科技补贴等奖励措施，推动中小企业提升技术水平，增强市场竞争力。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税收优惠政策： 制定税收政策，对中小企业给予适当的减免税收优惠，降低其经营成本。例如，减免企业所得税、增值税减免、研发费用税前扣除等政策。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创业培训和咨询服务： 提供免费或低成本的创业培训和咨询服务，帮助中小企业提升管理水平、市场拓展能力，降低创业风险。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市场准入便利化： 简化中小企业市场准入手续，降低市场准入门槛。减少行政审批环节，提高创业和经营的便利性，激发中小企业的创业热情。</w:t>
      </w:r>
    </w:p>
    <w:p>
      <w:pPr>
        <w:ind w:firstLine="560" w:firstLineChars="200"/>
        <w:rPr>
          <w:rFonts w:ascii="仿宋" w:eastAsia="仿宋" w:hAnsi="仿宋" w:cs="仿宋" w:hint="eastAsia"/>
          <w:sz w:val="28"/>
        </w:rPr>
      </w:pPr>
      <w:r>
        <w:rPr>
          <w:rFonts w:ascii="仿宋" w:eastAsia="仿宋" w:hAnsi="仿宋" w:cs="仿宋" w:hint="eastAsia"/>
          <w:sz w:val="28"/>
          <w:lang w:eastAsia="zh-CN"/>
        </w:rPr>
        <w:t>6. 国际合作与对外贸易支持： 鼓励中小企业参与国际市场竞争，提供国际市场开拓的支持政策。为中小企业提供国际合作平台，促进对外贸易合作。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人才引进和培养： 实施人才引进计划，为中小企业引进高层次、高技能的专业人才。同时，通过培训计划提升中小企业员工的综合素质。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8. 绿色可持续发展： 鼓励中小企业采用绿色生产方式，推动可持续发展。制定环保和绿色产业的相关政策，引导中小企业逐步实现绿色转型。</w:t>
      </w:r>
    </w:p>
    <w:p>
      <w:pPr>
        <w:pStyle w:val="Heading2"/>
        <w:ind w:firstLine="560" w:firstLineChars="200"/>
        <w:rPr>
          <w:rFonts w:ascii="仿宋" w:eastAsia="仿宋" w:hAnsi="仿宋" w:cs="仿宋" w:hint="eastAsia"/>
          <w:sz w:val="28"/>
          <w:lang w:eastAsia="zh-CN"/>
        </w:rPr>
      </w:pPr>
      <w:bookmarkStart w:id="33" w:name="_Toc15929"/>
      <w:r>
        <w:rPr>
          <w:rFonts w:ascii="仿宋" w:eastAsia="仿宋" w:hAnsi="仿宋" w:cs="仿宋" w:hint="eastAsia"/>
          <w:sz w:val="28"/>
          <w:lang w:eastAsia="zh-CN"/>
        </w:rPr>
        <w:t>(四)、宏观经济形势分析</w:t>
      </w:r>
      <w:bookmarkEnd w:id="33"/>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我国的GDP增长率表现强劲。根据最新的统计数据，上一季度我国的GDP增速达到了X.X%，显示出经济持续增长的势头。这一增长主要得益于消费升级、科技创新以及政府采取的积极财政政策，为企业提供了更广阔的市场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通货膨胀率保持在合理水平。尽管在全球范围内存在一些通货膨胀的压力，但我国通过有效的宏观调控，成功地保持了通货膨胀率在目标范围内。这有助于维护货币的稳定，为企业提供了更加可控的经营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失业率方面，尽管受到疫情等因素的影响，失业率有所上升，但政府积极采取就业刺激政策，通过扩大内需、促进创业等方式，努力缓解就业压力，为社会提供更多就业机会。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在财政政策方面，政府加大了对基础设施建设和高技术产业的投入，通过提高政府支出来刺激经济增长。这为相关产业提供了更多的发展机会，也有望带动更多中小企业的壮大。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货币政策上，央行继续实施稳健的货币政策，保持流动性合理充裕。这有助于支持企业的融资需求，降低融资成本，推动实体经济的发展。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国际贸易方面，我国积极参与全球贸易体系，加强与多个国家的合作。同时，我国继续推进贸易便利化和开放政策，为企业提供更广泛的市场和更多的合作机会。</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r>
        <w:rPr>
          <w:rFonts w:ascii="仿宋" w:eastAsia="仿宋" w:hAnsi="仿宋" w:cs="仿宋" w:hint="eastAsia"/>
          <w:sz w:val="28"/>
          <w:lang w:eastAsia="zh-CN"/>
        </w:rPr>
        <w:t>总体而言，我国的宏观经济形势呈现出积极的趋势，为企业提供了丰富的发展机遇。然而，也需要企业密切关注全球经济环境的变化，灵活调整经营策略，以更好地应对不确定性因素，确保稳健发展。</w:t>
      </w:r>
    </w:p>
    <w:p>
      <w:pPr>
        <w:pStyle w:val="Heading2"/>
        <w:ind w:firstLine="560" w:firstLineChars="200"/>
        <w:rPr>
          <w:rFonts w:ascii="仿宋" w:eastAsia="仿宋" w:hAnsi="仿宋" w:cs="仿宋" w:hint="eastAsia"/>
          <w:sz w:val="28"/>
          <w:lang w:eastAsia="zh-CN"/>
        </w:rPr>
      </w:pPr>
      <w:bookmarkStart w:id="34" w:name="_Toc31913"/>
      <w:r>
        <w:rPr>
          <w:rFonts w:ascii="仿宋" w:eastAsia="仿宋" w:hAnsi="仿宋" w:cs="仿宋" w:hint="eastAsia"/>
          <w:sz w:val="28"/>
          <w:lang w:eastAsia="zh-CN"/>
        </w:rPr>
        <w:t>(五)、区域经济发展概况</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一、地理位置及资源优势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该区域位于XXX地区，具有得天独厚的地理位置优势。地理位置的便利性对区域的经济发展起到积极的推动作用，有利于物流、贸易和人员流动。</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该区域拥有丰富的自然资源，如XXX、XXX等，为产业发展提供了坚实的基础。这些资源的合理开发利用是该区域经济可持续发展的重要保障。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二、产业结构及特色产业</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该区域的产业结构呈现出多元化的特点。传统产业与新兴产业相结合，形成了较为完善的产业体系。特别是XXX领域的发展相对较为突出，成为该区域的特色产业之一。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新兴产业方面，科技创新、高端制造等领域逐渐崭露头角，为该区域经济注入了新的活力。政府对新兴产业的扶持政策也进一步促进了这些领域的发展。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三、投资环境及政策支持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该区域的投资环境相对较好。政府通过一系列政策和措施鼓励企业投资兴业，提供税收优惠、用地支持等政策，吸引了一批知名企业在此设立生产基地或研发中心。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政府还积极推动营商环境的改善，简化行政手续，提高服务效率，降低企业运营成本，为投资者提供更便利的发展环境。</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四、基础设施建设及城市化水平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该区域的基础设施建设相对完善。交通网络、能源供应、信息技术等基础设施水平较高，为企业提供了便捷的生产和生活条件。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城市化水平逐渐提升，城市规划与建设得到有效推动。新建的城市区域吸引了大量人口流入，形成了人口、产业、文化等多方面的融合效应。</w:t>
      </w:r>
    </w:p>
    <w:p>
      <w:pPr>
        <w:ind w:firstLine="560" w:firstLineChars="200"/>
        <w:rPr>
          <w:rFonts w:ascii="仿宋" w:eastAsia="仿宋" w:hAnsi="仿宋" w:cs="仿宋" w:hint="eastAsia"/>
          <w:sz w:val="28"/>
        </w:rPr>
      </w:pPr>
      <w:r>
        <w:rPr>
          <w:rFonts w:ascii="仿宋" w:eastAsia="仿宋" w:hAnsi="仿宋" w:cs="仿宋" w:hint="eastAsia"/>
          <w:sz w:val="28"/>
          <w:lang w:eastAsia="zh-CN"/>
        </w:rPr>
        <w:t>五、社会服务水平及人才储备</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该区域的社会服务水平相对较高，教育、医疗、文化等领域得到了有效的支持和提升。这为企业提供了更好的人才保障和劳动力素质。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人才储备方面，该区域培养了一批高素质的专业人才，为企业的技术创新和管理提供了强有力的支持。同时，政府还采取措施吸引外部优秀人才，形成了人才资源的集聚效应。</w:t>
      </w:r>
    </w:p>
    <w:p>
      <w:pPr>
        <w:ind w:firstLine="560" w:firstLineChars="200"/>
        <w:rPr>
          <w:rFonts w:ascii="仿宋" w:eastAsia="仿宋" w:hAnsi="仿宋" w:cs="仿宋" w:hint="eastAsia"/>
          <w:sz w:val="28"/>
        </w:rPr>
      </w:pPr>
      <w:r>
        <w:rPr>
          <w:rFonts w:ascii="仿宋" w:eastAsia="仿宋" w:hAnsi="仿宋" w:cs="仿宋" w:hint="eastAsia"/>
          <w:sz w:val="28"/>
          <w:lang w:eastAsia="zh-CN"/>
        </w:rPr>
        <w:t>六、环境保护与可持续发展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该区域注重环境保护和可持续发展。政府出台了一系列环保政策，推动企业进行清洁生产，加强资源利用效率，努力实现经济增长与环境保护的良性互动。</w:t>
      </w:r>
    </w:p>
    <w:p>
      <w:pPr>
        <w:pStyle w:val="Heading2"/>
        <w:ind w:firstLine="560" w:firstLineChars="200"/>
        <w:rPr>
          <w:rFonts w:ascii="仿宋" w:eastAsia="仿宋" w:hAnsi="仿宋" w:cs="仿宋" w:hint="eastAsia"/>
          <w:sz w:val="28"/>
          <w:lang w:eastAsia="zh-CN"/>
        </w:rPr>
      </w:pPr>
      <w:bookmarkStart w:id="35" w:name="_Toc26526"/>
      <w:r>
        <w:rPr>
          <w:rFonts w:ascii="仿宋" w:eastAsia="仿宋" w:hAnsi="仿宋" w:cs="仿宋" w:hint="eastAsia"/>
          <w:sz w:val="28"/>
          <w:lang w:eastAsia="zh-CN"/>
        </w:rPr>
        <w:t>(六)、邮政专用机械及器材项目必要性分析</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一、市场需求</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邮政专用机械及器材项目的实施是否能够满足当前市场的需求是邮政专用机械及器材项目必要性的首要考量。通过市场调研和需求分析，我们发现目标市场存在对相关产品或服务的需求。邮政专用机械及器材项目的推动将能够填补市场空白，满足客户的需求，有望取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二、行业发展趋势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考察所处行业的发展趋势对邮政专用机械及器材项目的必要性评估至关重要。如果行业正处于增长期或具有良好的前景，邮政专用机械及器材项目实施将更具有前瞻性。相反，如果行业饱和或面临下行趋势，邮政专用机械及器材项目的必要性可能会受到质疑。</w:t>
      </w:r>
    </w:p>
    <w:p>
      <w:pPr>
        <w:ind w:firstLine="560" w:firstLineChars="200"/>
        <w:rPr>
          <w:rFonts w:ascii="仿宋" w:eastAsia="仿宋" w:hAnsi="仿宋" w:cs="仿宋" w:hint="eastAsia"/>
          <w:sz w:val="28"/>
        </w:rPr>
      </w:pPr>
      <w:r>
        <w:rPr>
          <w:rFonts w:ascii="仿宋" w:eastAsia="仿宋" w:hAnsi="仿宋" w:cs="仿宋" w:hint="eastAsia"/>
          <w:sz w:val="28"/>
          <w:lang w:eastAsia="zh-CN"/>
        </w:rPr>
        <w:t>三、技术创新与竞争力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邮政专用机械及器材项目是否引入了新的技术或提升了企业的竞争力也是必要性的考量因素。如果邮政专用机械及器材项目能够带来技术创新，提高产品或服务的质量和效率，将有助于企业在市场竞争中占据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四、资源优势与战略布局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邮政专用机械及器材项目实施是否充分发挥了企业的资源优势，并符合其长期战略规划也是必要性分析的一部分。邮政专用机械及器材项目应该与企业整体战略相契合，使得企业在资源配置上更具效益。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五、政策和法规支持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邮政专用机械及器材项目是否符合相关政策和法规，是否能够获得政府的支持也是必要性的重要因素。政策和法规的支持能够降低邮政专用机械及器材项目的经营风险，提高实施的可行性。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六、社会效益和可持续发展</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除了经济效益外，邮政专用机械及器材项目对社会的积极贡献和可持续发展也应该得到关注。邮政专用机械及器材项目是否能够创造就业机会、改善社会环境、促进可持续发展等，都是必要性的考虑因素。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七、风险管理与回报预期</w:t>
      </w:r>
    </w:p>
    <w:p>
      <w:pPr>
        <w:ind w:firstLine="560" w:firstLineChars="200"/>
        <w:rPr>
          <w:rFonts w:ascii="仿宋" w:eastAsia="仿宋" w:hAnsi="仿宋" w:cs="仿宋" w:hint="eastAsia"/>
          <w:sz w:val="28"/>
        </w:rPr>
      </w:pPr>
      <w:r>
        <w:rPr>
          <w:rFonts w:ascii="仿宋" w:eastAsia="仿宋" w:hAnsi="仿宋" w:cs="仿宋" w:hint="eastAsia"/>
          <w:sz w:val="28"/>
          <w:lang w:eastAsia="zh-CN"/>
        </w:rPr>
        <w:t>对邮政专用机械及器材项目的风险进行全面评估，并与预期回报相权衡，有助于判断邮政专用机械及器材项目的必要性。邮政专用机械及器材项目的风险可控性和回报的可实现性是邮政专用机械及器材项目决策的关键指标之一。</w:t>
      </w:r>
    </w:p>
    <w:p>
      <w:pPr>
        <w:pStyle w:val="Heading1"/>
        <w:ind w:firstLine="560" w:firstLineChars="200"/>
        <w:rPr>
          <w:rFonts w:ascii="仿宋" w:eastAsia="仿宋" w:hAnsi="仿宋" w:cs="仿宋" w:hint="eastAsia"/>
          <w:sz w:val="28"/>
          <w:lang w:eastAsia="zh-CN"/>
        </w:rPr>
      </w:pPr>
      <w:bookmarkStart w:id="36" w:name="_Toc19423"/>
      <w:r>
        <w:rPr>
          <w:rFonts w:ascii="仿宋" w:eastAsia="仿宋" w:hAnsi="仿宋" w:cs="仿宋" w:hint="eastAsia"/>
          <w:sz w:val="28"/>
          <w:lang w:eastAsia="zh-CN"/>
        </w:rPr>
        <w:t>八、员工福利与企业文化</w:t>
      </w:r>
      <w:bookmarkEnd w:id="36"/>
    </w:p>
    <w:p>
      <w:pPr>
        <w:pStyle w:val="Heading2"/>
        <w:rPr>
          <w:rFonts w:ascii="仿宋" w:eastAsia="仿宋" w:hAnsi="仿宋" w:cs="仿宋" w:hint="eastAsia"/>
          <w:lang w:eastAsia="zh-CN"/>
        </w:rPr>
      </w:pPr>
      <w:bookmarkStart w:id="37" w:name="_Toc10221"/>
      <w:r>
        <w:rPr>
          <w:rFonts w:ascii="仿宋" w:eastAsia="仿宋" w:hAnsi="仿宋" w:cs="仿宋" w:hint="eastAsia"/>
          <w:lang w:eastAsia="zh-CN"/>
        </w:rPr>
        <w:t>(一)、员工福利政策</w:t>
      </w:r>
      <w:bookmarkEnd w:id="37"/>
    </w:p>
    <w:p>
      <w:pPr>
        <w:ind w:firstLine="560" w:firstLineChars="200"/>
        <w:rPr>
          <w:rFonts w:ascii="仿宋" w:eastAsia="仿宋" w:hAnsi="仿宋" w:cs="仿宋" w:hint="eastAsia"/>
          <w:sz w:val="28"/>
        </w:rPr>
      </w:pPr>
      <w:r>
        <w:rPr>
          <w:rFonts w:ascii="仿宋" w:eastAsia="仿宋" w:hAnsi="仿宋" w:cs="仿宋" w:hint="eastAsia"/>
          <w:sz w:val="28"/>
          <w:lang w:eastAsia="zh-CN"/>
        </w:rPr>
        <w:t>1. 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薪酬福利是员工关注的核心内容之一，直接关系到员工的生活质量和对工作的认同感。企业可以通过以下手段提供有竞争力的薪酬福利：</w:t>
      </w:r>
    </w:p>
    <w:p>
      <w:pPr>
        <w:ind w:firstLine="560" w:firstLineChars="200"/>
        <w:rPr>
          <w:rFonts w:ascii="仿宋" w:eastAsia="仿宋" w:hAnsi="仿宋" w:cs="仿宋" w:hint="eastAsia"/>
          <w:sz w:val="28"/>
        </w:rPr>
      </w:pPr>
      <w:r>
        <w:rPr>
          <w:rFonts w:ascii="仿宋" w:eastAsia="仿宋" w:hAnsi="仿宋" w:cs="仿宋" w:hint="eastAsia"/>
          <w:sz w:val="28"/>
          <w:lang w:eastAsia="zh-CN"/>
        </w:rPr>
        <w:t>基本工资： 确保员工的基本工资水平能够满足生活需求，并与行业水平相符。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绩效奖金： 建立科学的绩效考核体系，通过绩效奖金激发员工的工作热情和动力。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福利补贴： 提供丰富的福利补贴，如交通补贴、通讯补贴、餐补等，以提升员工的实际收入。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福利待遇：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2" w:history="1">
        <w:r>
          <w:rPr>
            <w:rFonts w:ascii="SimSun" w:eastAsia="SimSun" w:hAnsi="SimSun" w:cs="SimSun"/>
            <w:b/>
            <w:bCs/>
            <w:color w:val="0000EE"/>
            <w:kern w:val="0"/>
            <w:sz w:val="30"/>
            <w:szCs w:val="30"/>
            <w:u w:val="single" w:color="0000EE"/>
          </w:rPr>
          <w:t>https://d.book118.com/648120112027006034</w:t>
        </w:r>
      </w:hyperlink>
    </w:p>
    <w:p>
      <w:pPr>
        <w:ind w:firstLine="560" w:firstLineChars="200"/>
        <w:rPr>
          <w:rFonts w:ascii="仿宋" w:eastAsia="仿宋" w:hAnsi="仿宋" w:cs="仿宋" w:hint="eastAsia"/>
          <w:sz w:val="28"/>
        </w:rPr>
      </w:pPr>
    </w:p>
    <w:sectPr>
      <w:headerReference w:type="default" r:id="rId83"/>
      <w:footerReference w:type="default" r:id="rId84"/>
      <w:type w:val="nextPage"/>
      <w:pgSz w:w="11906" w:h="16838"/>
      <w:pgMar w:top="1440" w:right="1800" w:bottom="1440" w:left="1800" w:header="851" w:footer="992" w:gutter="0"/>
      <w:pgNumType w:start="4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邮政专用机械及器材项目评估报告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653F4B"/>
    <w:rsid w:val="14653F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yperlink" Target="https://d.book118.com/648120112027006034" TargetMode="External" /><Relationship Id="rId83" Type="http://schemas.openxmlformats.org/officeDocument/2006/relationships/header" Target="header40.xml" /><Relationship Id="rId84" Type="http://schemas.openxmlformats.org/officeDocument/2006/relationships/footer" Target="footer40.xml" /><Relationship Id="rId85" Type="http://schemas.openxmlformats.org/officeDocument/2006/relationships/theme" Target="theme/theme1.xml" /><Relationship Id="rId86"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2024-01-15T02:15:00Z</dcterms:created>
  <dcterms:modified xsi:type="dcterms:W3CDTF">2024-01-15T02:15:43Z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8B40989B6898489AAD7E567E753EF140_11</vt:lpwstr>
  </property>
  <property fmtid="{D5CDD505-2E9C-101B-9397-08002B2CF9AE}" pid="3" name="KSOProductBuildVer">
    <vt:lpwstr>2052-12.1.0.16120</vt:lpwstr>
  </property>
</Properties>
</file>