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79" w:lineRule="auto"/>
        <w:rPr>
          <w:sz w:val="21"/>
        </w:rPr>
      </w:pPr>
      <w:r>
        <w:pict>
          <v:shape id="_x0000_s1025" style="width:354pt;height:0.25pt;margin-top:250.48pt;margin-left:222pt;mso-position-horizontal-relative:page;mso-position-vertical-relative:page;position:absolute;z-index:251662336" coordorigin="0,0" coordsize="7080,5" o:allowincell="f" path="m,2l7080,2e" filled="f" strokecolor="#78766f" strokeweight="0.25pt">
            <v:stroke joinstyle="miter"/>
          </v:shap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123.35pt;height:208.3pt;margin-top:311.33pt;margin-left:35.28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426" w:lineRule="exact"/>
                    <w:ind w:left="27"/>
                    <w:rPr>
                      <w:sz w:val="12"/>
                      <w:szCs w:val="12"/>
                    </w:rPr>
                  </w:pPr>
                  <w:r>
                    <w:rPr>
                      <w:spacing w:val="6"/>
                      <w:position w:val="23"/>
                      <w:sz w:val="12"/>
                      <w:szCs w:val="12"/>
                    </w:rPr>
                    <w:t xml:space="preserve">Designed by </w:t>
                  </w:r>
                  <w:r>
                    <w:rPr>
                      <w:b/>
                      <w:bCs/>
                      <w:spacing w:val="6"/>
                      <w:position w:val="23"/>
                      <w:sz w:val="12"/>
                      <w:szCs w:val="12"/>
                    </w:rPr>
                    <w:t>Megan Woodard</w:t>
                  </w:r>
                </w:p>
                <w:p>
                  <w:pPr>
                    <w:pStyle w:val="BodyText"/>
                    <w:spacing w:line="209" w:lineRule="auto"/>
                    <w:ind w:left="27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Published</w:t>
                  </w:r>
                  <w:r>
                    <w:rPr>
                      <w:spacing w:val="12"/>
                      <w:sz w:val="12"/>
                      <w:szCs w:val="12"/>
                    </w:rPr>
                    <w:t xml:space="preserve"> </w:t>
                  </w:r>
                  <w:r>
                    <w:rPr>
                      <w:sz w:val="12"/>
                      <w:szCs w:val="12"/>
                    </w:rPr>
                    <w:t>on</w:t>
                  </w:r>
                  <w:r>
                    <w:rPr>
                      <w:spacing w:val="12"/>
                      <w:sz w:val="12"/>
                      <w:szCs w:val="12"/>
                    </w:rPr>
                    <w:t xml:space="preserve"> </w:t>
                  </w:r>
                  <w:r>
                    <w:rPr>
                      <w:sz w:val="12"/>
                      <w:szCs w:val="12"/>
                    </w:rPr>
                    <w:t>January</w:t>
                  </w:r>
                  <w:r>
                    <w:rPr>
                      <w:spacing w:val="12"/>
                      <w:sz w:val="12"/>
                      <w:szCs w:val="12"/>
                    </w:rPr>
                    <w:t xml:space="preserve"> 18, 2024</w:t>
                  </w:r>
                </w:p>
                <w:p>
                  <w:pPr>
                    <w:pStyle w:val="BodyText"/>
                    <w:spacing w:line="263" w:lineRule="auto"/>
                    <w:rPr>
                      <w:sz w:val="21"/>
                    </w:rPr>
                  </w:pPr>
                </w:p>
                <w:p>
                  <w:pPr>
                    <w:pStyle w:val="BodyText"/>
                    <w:spacing w:line="264" w:lineRule="auto"/>
                    <w:rPr>
                      <w:sz w:val="21"/>
                    </w:rPr>
                  </w:pPr>
                </w:p>
                <w:p>
                  <w:pPr>
                    <w:pStyle w:val="BodyText"/>
                    <w:spacing w:before="57" w:line="317" w:lineRule="exact"/>
                    <w:ind w:left="2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position w:val="11"/>
                      <w:sz w:val="20"/>
                      <w:szCs w:val="20"/>
                    </w:rPr>
                    <w:t>Contents</w:t>
                  </w:r>
                </w:p>
                <w:p>
                  <w:pPr>
                    <w:pStyle w:val="BodyText"/>
                    <w:spacing w:line="163" w:lineRule="exact"/>
                    <w:ind w:left="27"/>
                    <w:rPr>
                      <w:sz w:val="12"/>
                      <w:szCs w:val="12"/>
                    </w:rPr>
                  </w:pPr>
                  <w:r>
                    <w:rPr>
                      <w:spacing w:val="5"/>
                      <w:position w:val="2"/>
                      <w:sz w:val="12"/>
                      <w:szCs w:val="12"/>
                    </w:rPr>
                    <w:t>Key takeaways</w:t>
                  </w:r>
                </w:p>
                <w:p>
                  <w:pPr>
                    <w:pStyle w:val="BodyText"/>
                    <w:spacing w:before="227" w:line="212" w:lineRule="auto"/>
                    <w:ind w:left="27"/>
                    <w:rPr>
                      <w:sz w:val="12"/>
                      <w:szCs w:val="12"/>
                    </w:rPr>
                  </w:pPr>
                  <w:r>
                    <w:rPr>
                      <w:spacing w:val="9"/>
                      <w:sz w:val="12"/>
                      <w:szCs w:val="12"/>
                    </w:rPr>
                    <w:t>Introduction</w:t>
                  </w:r>
                </w:p>
                <w:p>
                  <w:pPr>
                    <w:pStyle w:val="BodyText"/>
                    <w:spacing w:before="207" w:line="360" w:lineRule="exact"/>
                    <w:ind w:left="22"/>
                    <w:rPr>
                      <w:sz w:val="12"/>
                      <w:szCs w:val="12"/>
                    </w:rPr>
                  </w:pPr>
                  <w:r>
                    <w:rPr>
                      <w:spacing w:val="7"/>
                      <w:position w:val="18"/>
                      <w:sz w:val="12"/>
                      <w:szCs w:val="12"/>
                    </w:rPr>
                    <w:t>Stalled funding, outdated valuations</w:t>
                  </w:r>
                </w:p>
                <w:p>
                  <w:pPr>
                    <w:pStyle w:val="BodyText"/>
                    <w:spacing w:line="164" w:lineRule="exact"/>
                    <w:ind w:left="22"/>
                    <w:rPr>
                      <w:sz w:val="12"/>
                      <w:szCs w:val="12"/>
                    </w:rPr>
                  </w:pPr>
                  <w:r>
                    <w:rPr>
                      <w:spacing w:val="8"/>
                      <w:position w:val="2"/>
                      <w:sz w:val="12"/>
                      <w:szCs w:val="12"/>
                    </w:rPr>
                    <w:t>Shifting market expectations</w:t>
                  </w:r>
                </w:p>
                <w:p>
                  <w:pPr>
                    <w:pStyle w:val="BodyText"/>
                    <w:spacing w:before="196" w:line="360" w:lineRule="exact"/>
                    <w:ind w:left="27"/>
                    <w:rPr>
                      <w:sz w:val="12"/>
                      <w:szCs w:val="12"/>
                    </w:rPr>
                  </w:pPr>
                  <w:r>
                    <w:rPr>
                      <w:spacing w:val="9"/>
                      <w:position w:val="16"/>
                      <w:sz w:val="12"/>
                      <w:szCs w:val="12"/>
                    </w:rPr>
                    <w:t>Healthtech unicorn M&amp;A out</w:t>
                  </w:r>
                  <w:r>
                    <w:rPr>
                      <w:spacing w:val="8"/>
                      <w:position w:val="16"/>
                      <w:sz w:val="12"/>
                      <w:szCs w:val="12"/>
                    </w:rPr>
                    <w:t>look</w:t>
                  </w:r>
                </w:p>
                <w:p>
                  <w:pPr>
                    <w:pStyle w:val="BodyText"/>
                    <w:spacing w:line="164" w:lineRule="exact"/>
                    <w:ind w:left="21"/>
                    <w:rPr>
                      <w:sz w:val="12"/>
                      <w:szCs w:val="12"/>
                    </w:rPr>
                  </w:pPr>
                  <w:r>
                    <w:rPr>
                      <w:spacing w:val="15"/>
                      <w:position w:val="1"/>
                      <w:sz w:val="12"/>
                      <w:szCs w:val="12"/>
                    </w:rPr>
                    <w:t>2024</w:t>
                  </w:r>
                  <w:r>
                    <w:rPr>
                      <w:spacing w:val="11"/>
                      <w:w w:val="101"/>
                      <w:position w:val="1"/>
                      <w:sz w:val="12"/>
                      <w:szCs w:val="12"/>
                    </w:rPr>
                    <w:t xml:space="preserve"> </w:t>
                  </w:r>
                  <w:r>
                    <w:rPr>
                      <w:position w:val="1"/>
                      <w:sz w:val="12"/>
                      <w:szCs w:val="12"/>
                    </w:rPr>
                    <w:t>IPO</w:t>
                  </w:r>
                  <w:r>
                    <w:rPr>
                      <w:spacing w:val="15"/>
                      <w:position w:val="1"/>
                      <w:sz w:val="12"/>
                      <w:szCs w:val="12"/>
                    </w:rPr>
                    <w:t xml:space="preserve"> </w:t>
                  </w:r>
                  <w:r>
                    <w:rPr>
                      <w:position w:val="1"/>
                      <w:sz w:val="12"/>
                      <w:szCs w:val="12"/>
                    </w:rPr>
                    <w:t>watch</w:t>
                  </w:r>
                </w:p>
                <w:p>
                  <w:pPr>
                    <w:pStyle w:val="BodyText"/>
                    <w:spacing w:before="196" w:line="391" w:lineRule="exact"/>
                    <w:ind w:left="27"/>
                    <w:rPr>
                      <w:sz w:val="12"/>
                      <w:szCs w:val="12"/>
                    </w:rPr>
                  </w:pPr>
                  <w:r>
                    <w:rPr>
                      <w:spacing w:val="7"/>
                      <w:position w:val="20"/>
                      <w:sz w:val="12"/>
                      <w:szCs w:val="12"/>
                    </w:rPr>
                    <w:t>Evaluating healthtech unicorn prospects</w:t>
                  </w:r>
                </w:p>
                <w:p>
                  <w:pPr>
                    <w:pStyle w:val="BodyText"/>
                    <w:spacing w:line="213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9"/>
                      <w:sz w:val="12"/>
                      <w:szCs w:val="12"/>
                    </w:rPr>
                    <w:t>Appendix</w:t>
                  </w:r>
                </w:p>
              </w:txbxContent>
            </v:textbox>
          </v:shape>
        </w:pict>
      </w:r>
      <w:r>
        <w:pict>
          <v:shape id="_x0000_s1027" type="#_x0000_t202" style="width:4.2pt;height:7.55pt;margin-top:386.02pt;margin-left:170.94pt;mso-position-horizontal-relative:page;mso-position-vertical-relative:page;position:absolute;z-index:25167052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3" w:lineRule="auto"/>
                    <w:jc w:val="right"/>
                    <w:rPr>
                      <w:sz w:val="12"/>
                      <w:szCs w:val="12"/>
                    </w:rPr>
                  </w:pPr>
                  <w:r>
                    <w:rPr>
                      <w:spacing w:val="-24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28" type="#_x0000_t202" style="width:5.2pt;height:7.65pt;margin-top:403.96pt;margin-left:171.07pt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5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29" type="#_x0000_t202" style="width:5.2pt;height:7.65pt;margin-top:421.96pt;margin-left:171.03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5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30" type="#_x0000_t202" style="width:5.65pt;height:7.55pt;margin-top:440.02pt;margin-left:171.01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3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6"/>
                      <w:sz w:val="12"/>
                      <w:szCs w:val="12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031" type="#_x0000_t202" style="width:5.2pt;height:7.55pt;margin-top:458.04pt;margin-left:171.08pt;mso-position-horizontal-relative:page;mso-position-vertical-relative:page;position:absolute;z-index:25166950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2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32" type="#_x0000_t202" style="width:5.4pt;height:7.65pt;margin-top:475.96pt;margin-left:171.14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6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033" type="#_x0000_t202" style="width:5.4pt;height:7.65pt;margin-top:493.96pt;margin-left:171.14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6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034" type="#_x0000_t202" style="width:7.75pt;height:7.65pt;margin-top:511.96pt;margin-left:170.94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5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5"/>
                      <w:sz w:val="12"/>
                      <w:szCs w:val="12"/>
                    </w:rPr>
                    <w:t>13</w:t>
                  </w:r>
                </w:p>
              </w:txbxContent>
            </v:textbox>
          </v:shape>
        </w:pict>
      </w:r>
    </w:p>
    <w:p>
      <w:pPr>
        <w:pStyle w:val="BodyText"/>
        <w:spacing w:line="279" w:lineRule="auto"/>
        <w:rPr>
          <w:sz w:val="21"/>
        </w:rPr>
      </w:pPr>
    </w:p>
    <w:p>
      <w:pPr>
        <w:pStyle w:val="BodyText"/>
        <w:spacing w:before="129" w:line="197" w:lineRule="auto"/>
        <w:ind w:left="648"/>
        <w:rPr>
          <w:sz w:val="45"/>
          <w:szCs w:val="4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-357186</wp:posOffset>
            </wp:positionV>
            <wp:extent cx="2590800" cy="96012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960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417F"/>
          <w:spacing w:val="53"/>
          <w:sz w:val="45"/>
          <w:szCs w:val="45"/>
        </w:rPr>
        <w:t>(pitchBooK</w:t>
      </w:r>
    </w:p>
    <w:p>
      <w:pPr>
        <w:pStyle w:val="BodyText"/>
        <w:spacing w:line="311" w:lineRule="auto"/>
        <w:rPr>
          <w:sz w:val="21"/>
        </w:rPr>
      </w:pPr>
    </w:p>
    <w:p>
      <w:pPr>
        <w:pStyle w:val="BodyText"/>
        <w:spacing w:line="311" w:lineRule="auto"/>
        <w:rPr>
          <w:sz w:val="21"/>
        </w:rPr>
      </w:pPr>
    </w:p>
    <w:p>
      <w:pPr>
        <w:pStyle w:val="BodyText"/>
        <w:spacing w:before="57" w:line="334" w:lineRule="exact"/>
        <w:ind w:left="740"/>
        <w:rPr>
          <w:sz w:val="20"/>
          <w:szCs w:val="20"/>
        </w:rPr>
      </w:pPr>
      <w:r>
        <w:pict>
          <v:shape id="_x0000_s1035" type="#_x0000_t202" style="width:280.6pt;height:108.3pt;margin-top:2.92pt;margin-left:221.34pt;position:absolute;z-index:2516592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8" w:lineRule="auto"/>
                    <w:ind w:left="46"/>
                    <w:rPr>
                      <w:sz w:val="32"/>
                      <w:szCs w:val="32"/>
                    </w:rPr>
                  </w:pPr>
                  <w:r>
                    <w:rPr>
                      <w:color w:val="051C38"/>
                      <w:spacing w:val="-8"/>
                      <w:sz w:val="32"/>
                      <w:szCs w:val="32"/>
                    </w:rPr>
                    <w:t>EMERGING</w:t>
                  </w:r>
                  <w:r>
                    <w:rPr>
                      <w:color w:val="051C38"/>
                      <w:spacing w:val="40"/>
                      <w:sz w:val="32"/>
                      <w:szCs w:val="32"/>
                    </w:rPr>
                    <w:t xml:space="preserve"> </w:t>
                  </w:r>
                  <w:r>
                    <w:rPr>
                      <w:color w:val="051C38"/>
                      <w:spacing w:val="-8"/>
                      <w:sz w:val="32"/>
                      <w:szCs w:val="32"/>
                    </w:rPr>
                    <w:t>TECH</w:t>
                  </w:r>
                  <w:r>
                    <w:rPr>
                      <w:color w:val="051C38"/>
                      <w:spacing w:val="45"/>
                      <w:sz w:val="32"/>
                      <w:szCs w:val="32"/>
                    </w:rPr>
                    <w:t xml:space="preserve"> </w:t>
                  </w:r>
                  <w:r>
                    <w:rPr>
                      <w:color w:val="051C38"/>
                      <w:spacing w:val="-8"/>
                      <w:sz w:val="32"/>
                      <w:szCs w:val="32"/>
                    </w:rPr>
                    <w:t>RESEARCH</w:t>
                  </w:r>
                </w:p>
                <w:p>
                  <w:pPr>
                    <w:spacing w:before="104" w:line="191" w:lineRule="auto"/>
                    <w:ind w:left="22" w:right="497" w:hanging="3"/>
                    <w:outlineLvl w:val="0"/>
                    <w:rPr>
                      <w:rFonts w:ascii="Times New Roman" w:eastAsia="Times New Roman" w:hAnsi="Times New Roman" w:cs="Times New Roman"/>
                      <w:sz w:val="52"/>
                      <w:szCs w:val="52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51C38"/>
                      <w:spacing w:val="6"/>
                      <w:sz w:val="52"/>
                      <w:szCs w:val="52"/>
                    </w:rPr>
                    <w:t>Evaluating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51C38"/>
                      <w:spacing w:val="-12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51C38"/>
                      <w:spacing w:val="6"/>
                      <w:sz w:val="52"/>
                      <w:szCs w:val="52"/>
                    </w:rPr>
                    <w:t>Healthtech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51C38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51C38"/>
                      <w:spacing w:val="6"/>
                      <w:sz w:val="52"/>
                      <w:szCs w:val="52"/>
                    </w:rPr>
                    <w:t>Unicorns</w:t>
                  </w:r>
                </w:p>
                <w:p>
                  <w:pPr>
                    <w:pStyle w:val="BodyText"/>
                    <w:spacing w:before="1" w:line="307" w:lineRule="auto"/>
                    <w:ind w:left="23" w:right="20" w:firstLine="16"/>
                    <w:rPr>
                      <w:sz w:val="26"/>
                      <w:szCs w:val="26"/>
                    </w:rPr>
                  </w:pPr>
                  <w:r>
                    <w:rPr>
                      <w:spacing w:val="11"/>
                      <w:sz w:val="26"/>
                      <w:szCs w:val="26"/>
                    </w:rPr>
                    <w:t>Deal trends, exit opportun</w:t>
                  </w:r>
                  <w:r>
                    <w:rPr>
                      <w:spacing w:val="10"/>
                      <w:sz w:val="26"/>
                      <w:szCs w:val="26"/>
                    </w:rPr>
                    <w:t>ities, and what the</w:t>
                  </w:r>
                  <w:r>
                    <w:rPr>
                      <w:sz w:val="26"/>
                      <w:szCs w:val="26"/>
                    </w:rPr>
                    <w:t xml:space="preserve"> </w:t>
                  </w:r>
                  <w:r>
                    <w:rPr>
                      <w:spacing w:val="10"/>
                      <w:sz w:val="26"/>
                      <w:szCs w:val="26"/>
                    </w:rPr>
                    <w:t>future</w:t>
                  </w:r>
                  <w:r>
                    <w:rPr>
                      <w:spacing w:val="30"/>
                      <w:sz w:val="26"/>
                      <w:szCs w:val="26"/>
                    </w:rPr>
                    <w:t xml:space="preserve"> </w:t>
                  </w:r>
                  <w:r>
                    <w:rPr>
                      <w:spacing w:val="10"/>
                      <w:sz w:val="26"/>
                      <w:szCs w:val="26"/>
                    </w:rPr>
                    <w:t>holds</w:t>
                  </w:r>
                </w:p>
              </w:txbxContent>
            </v:textbox>
          </v:shape>
        </w:pict>
      </w:r>
      <w:r>
        <w:rPr>
          <w:spacing w:val="3"/>
          <w:position w:val="11"/>
          <w:sz w:val="20"/>
          <w:szCs w:val="20"/>
        </w:rPr>
        <w:t>PitchBook</w:t>
      </w:r>
      <w:r>
        <w:rPr>
          <w:spacing w:val="34"/>
          <w:position w:val="11"/>
          <w:sz w:val="20"/>
          <w:szCs w:val="20"/>
        </w:rPr>
        <w:t xml:space="preserve"> </w:t>
      </w:r>
      <w:r>
        <w:rPr>
          <w:spacing w:val="3"/>
          <w:position w:val="11"/>
          <w:sz w:val="20"/>
          <w:szCs w:val="20"/>
        </w:rPr>
        <w:t>Data,</w:t>
      </w:r>
      <w:r>
        <w:rPr>
          <w:spacing w:val="19"/>
          <w:w w:val="101"/>
          <w:position w:val="11"/>
          <w:sz w:val="20"/>
          <w:szCs w:val="20"/>
        </w:rPr>
        <w:t xml:space="preserve"> </w:t>
      </w:r>
      <w:r>
        <w:rPr>
          <w:spacing w:val="3"/>
          <w:position w:val="11"/>
          <w:sz w:val="20"/>
          <w:szCs w:val="20"/>
        </w:rPr>
        <w:t>Inc.</w:t>
      </w:r>
    </w:p>
    <w:p>
      <w:pPr>
        <w:pStyle w:val="BodyText"/>
        <w:spacing w:line="214" w:lineRule="auto"/>
        <w:ind w:left="723"/>
        <w:rPr>
          <w:sz w:val="12"/>
          <w:szCs w:val="12"/>
        </w:rPr>
      </w:pPr>
      <w:r>
        <w:rPr>
          <w:b/>
          <w:bCs/>
          <w:spacing w:val="3"/>
          <w:sz w:val="12"/>
          <w:szCs w:val="12"/>
        </w:rPr>
        <w:t xml:space="preserve">John Gabbert  </w:t>
      </w:r>
      <w:r>
        <w:rPr>
          <w:spacing w:val="3"/>
          <w:sz w:val="12"/>
          <w:szCs w:val="12"/>
        </w:rPr>
        <w:t>Founder, CEO</w:t>
      </w:r>
    </w:p>
    <w:p>
      <w:pPr>
        <w:pStyle w:val="BodyText"/>
        <w:spacing w:before="146" w:line="150" w:lineRule="exact"/>
        <w:ind w:left="730"/>
        <w:rPr>
          <w:sz w:val="12"/>
          <w:szCs w:val="12"/>
        </w:rPr>
      </w:pPr>
      <w:r>
        <w:rPr>
          <w:b/>
          <w:bCs/>
          <w:spacing w:val="7"/>
          <w:position w:val="3"/>
          <w:sz w:val="12"/>
          <w:szCs w:val="12"/>
        </w:rPr>
        <w:t>Nizar Tarhuni</w:t>
      </w:r>
      <w:r>
        <w:rPr>
          <w:b/>
          <w:bCs/>
          <w:spacing w:val="1"/>
          <w:position w:val="3"/>
          <w:sz w:val="12"/>
          <w:szCs w:val="12"/>
        </w:rPr>
        <w:t xml:space="preserve">  </w:t>
      </w:r>
      <w:r>
        <w:rPr>
          <w:spacing w:val="7"/>
          <w:position w:val="3"/>
          <w:sz w:val="12"/>
          <w:szCs w:val="12"/>
        </w:rPr>
        <w:t>Vice Preside</w:t>
      </w:r>
      <w:r>
        <w:rPr>
          <w:spacing w:val="6"/>
          <w:position w:val="3"/>
          <w:sz w:val="12"/>
          <w:szCs w:val="12"/>
        </w:rPr>
        <w:t>nt, Institutional</w:t>
      </w:r>
    </w:p>
    <w:p>
      <w:pPr>
        <w:pStyle w:val="BodyText"/>
        <w:spacing w:line="163" w:lineRule="exact"/>
        <w:ind w:left="732"/>
        <w:rPr>
          <w:sz w:val="12"/>
          <w:szCs w:val="12"/>
        </w:rPr>
      </w:pPr>
      <w:r>
        <w:rPr>
          <w:spacing w:val="5"/>
          <w:position w:val="1"/>
          <w:sz w:val="12"/>
          <w:szCs w:val="12"/>
        </w:rPr>
        <w:t>Research and Editorial</w:t>
      </w:r>
    </w:p>
    <w:p>
      <w:pPr>
        <w:pStyle w:val="BodyText"/>
        <w:spacing w:before="106" w:line="211" w:lineRule="exact"/>
        <w:ind w:left="730"/>
        <w:rPr>
          <w:sz w:val="12"/>
          <w:szCs w:val="12"/>
        </w:rPr>
      </w:pPr>
      <w:r>
        <w:rPr>
          <w:b/>
          <w:bCs/>
          <w:spacing w:val="4"/>
          <w:position w:val="6"/>
          <w:sz w:val="12"/>
          <w:szCs w:val="12"/>
        </w:rPr>
        <w:t xml:space="preserve">Paul Condra  </w:t>
      </w:r>
      <w:r>
        <w:rPr>
          <w:spacing w:val="4"/>
          <w:position w:val="6"/>
          <w:sz w:val="12"/>
          <w:szCs w:val="12"/>
        </w:rPr>
        <w:t>Head of</w:t>
      </w:r>
      <w:r>
        <w:rPr>
          <w:spacing w:val="12"/>
          <w:w w:val="101"/>
          <w:position w:val="6"/>
          <w:sz w:val="12"/>
          <w:szCs w:val="12"/>
        </w:rPr>
        <w:t xml:space="preserve"> </w:t>
      </w:r>
      <w:r>
        <w:rPr>
          <w:spacing w:val="4"/>
          <w:position w:val="6"/>
          <w:sz w:val="12"/>
          <w:szCs w:val="12"/>
        </w:rPr>
        <w:t>Emerging</w:t>
      </w:r>
    </w:p>
    <w:p>
      <w:pPr>
        <w:pStyle w:val="BodyText"/>
        <w:spacing w:line="209" w:lineRule="auto"/>
        <w:ind w:left="724"/>
        <w:rPr>
          <w:sz w:val="12"/>
          <w:szCs w:val="12"/>
        </w:rPr>
      </w:pPr>
      <w:r>
        <w:rPr>
          <w:spacing w:val="6"/>
          <w:sz w:val="12"/>
          <w:szCs w:val="12"/>
        </w:rPr>
        <w:t>Technology Research</w:t>
      </w: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before="49" w:line="311" w:lineRule="exact"/>
        <w:ind w:left="739"/>
      </w:pPr>
      <w:r>
        <w:rPr>
          <w:spacing w:val="8"/>
          <w:position w:val="12"/>
        </w:rPr>
        <w:t>Institutional Research G</w:t>
      </w:r>
      <w:r>
        <w:rPr>
          <w:spacing w:val="7"/>
          <w:position w:val="12"/>
        </w:rPr>
        <w:t>roup</w:t>
      </w:r>
    </w:p>
    <w:p>
      <w:pPr>
        <w:pStyle w:val="BodyText"/>
        <w:spacing w:line="209" w:lineRule="auto"/>
        <w:ind w:left="725"/>
        <w:rPr>
          <w:sz w:val="12"/>
          <w:szCs w:val="12"/>
        </w:rPr>
      </w:pPr>
      <w:r>
        <w:rPr>
          <w:spacing w:val="7"/>
          <w:sz w:val="12"/>
          <w:szCs w:val="12"/>
        </w:rPr>
        <w:t>Analysis</w:t>
      </w:r>
    </w:p>
    <w:p>
      <w:pPr>
        <w:pStyle w:val="BodyText"/>
        <w:spacing w:before="9" w:line="231" w:lineRule="exact"/>
        <w:ind w:left="4457"/>
      </w:pPr>
      <w:r>
        <w:rPr>
          <w:spacing w:val="7"/>
          <w:position w:val="3"/>
        </w:rPr>
        <w:t>PitchBook is a Morningstar company providing the most comprehe</w:t>
      </w:r>
      <w:r>
        <w:rPr>
          <w:spacing w:val="6"/>
          <w:position w:val="3"/>
        </w:rPr>
        <w:t>nsive, most</w:t>
      </w:r>
    </w:p>
    <w:p>
      <w:pPr>
        <w:pStyle w:val="BodyText"/>
        <w:spacing w:before="91" w:line="197" w:lineRule="auto"/>
        <w:ind w:left="1647"/>
        <w:rPr>
          <w:sz w:val="12"/>
          <w:szCs w:val="12"/>
        </w:rPr>
      </w:pPr>
      <w:r>
        <w:pict>
          <v:shape id="_x0000_s1036" type="#_x0000_t202" style="width:355.5pt;height:13.6pt;margin-top:0.42pt;margin-left:221.5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31" w:lineRule="exact"/>
                    <w:ind w:left="20"/>
                  </w:pPr>
                  <w:r>
                    <w:rPr>
                      <w:spacing w:val="7"/>
                      <w:position w:val="3"/>
                    </w:rPr>
                    <w:t>accurate, and hard-to</w:t>
                  </w:r>
                  <w:r>
                    <w:rPr>
                      <w:spacing w:val="6"/>
                      <w:position w:val="3"/>
                    </w:rPr>
                    <w:t>-find data for professionals doing business in the private markets.</w:t>
                  </w:r>
                </w:p>
              </w:txbxContent>
            </v:textbox>
          </v:shape>
        </w:pict>
      </w:r>
      <w:r>
        <w:rPr>
          <w:b/>
          <w:bCs/>
          <w:spacing w:val="3"/>
          <w:sz w:val="12"/>
          <w:szCs w:val="12"/>
        </w:rPr>
        <w:t>Aaron DeGagne, CFA</w:t>
      </w:r>
    </w:p>
    <w:p>
      <w:pPr>
        <w:pStyle w:val="BodyText"/>
        <w:spacing w:before="59" w:line="210" w:lineRule="auto"/>
        <w:ind w:left="1652"/>
        <w:rPr>
          <w:sz w:val="12"/>
          <w:szCs w:val="12"/>
        </w:rPr>
      </w:pPr>
      <w:r>
        <w:rPr>
          <w:spacing w:val="7"/>
          <w:sz w:val="12"/>
          <w:szCs w:val="12"/>
        </w:rPr>
        <w:t>Senior Analyst, Health</w:t>
      </w:r>
      <w:r>
        <w:rPr>
          <w:spacing w:val="6"/>
          <w:sz w:val="12"/>
          <w:szCs w:val="12"/>
        </w:rPr>
        <w:t>care</w:t>
      </w:r>
    </w:p>
    <w:p>
      <w:pPr>
        <w:pStyle w:val="BodyText"/>
        <w:spacing w:before="28" w:line="164" w:lineRule="exact"/>
        <w:ind w:left="1651"/>
        <w:rPr>
          <w:sz w:val="12"/>
          <w:szCs w:val="12"/>
        </w:rPr>
      </w:pPr>
      <w:r>
        <w:rPr>
          <w:spacing w:val="5"/>
          <w:position w:val="2"/>
          <w:sz w:val="12"/>
          <w:szCs w:val="12"/>
        </w:rPr>
        <w:t>aaron.degagne@pitchbook.com</w:t>
      </w:r>
    </w:p>
    <w:p>
      <w:pPr>
        <w:pStyle w:val="BodyText"/>
        <w:spacing w:before="264" w:line="164" w:lineRule="exact"/>
        <w:ind w:left="731"/>
        <w:rPr>
          <w:sz w:val="12"/>
          <w:szCs w:val="12"/>
        </w:rPr>
      </w:pPr>
      <w:r>
        <w:rPr>
          <w:spacing w:val="9"/>
          <w:position w:val="2"/>
          <w:sz w:val="12"/>
          <w:szCs w:val="12"/>
        </w:rPr>
        <w:t>pbinstitutionalresearch@pitchboo</w:t>
      </w:r>
      <w:r>
        <w:rPr>
          <w:spacing w:val="8"/>
          <w:position w:val="2"/>
          <w:sz w:val="12"/>
          <w:szCs w:val="12"/>
        </w:rPr>
        <w:t>k.com</w:t>
      </w:r>
    </w:p>
    <w:p>
      <w:pPr>
        <w:pStyle w:val="BodyText"/>
        <w:spacing w:before="137" w:line="356" w:lineRule="exact"/>
        <w:ind w:left="4462"/>
        <w:rPr>
          <w:sz w:val="26"/>
          <w:szCs w:val="26"/>
        </w:rPr>
      </w:pPr>
      <w:r>
        <w:rPr>
          <w:b/>
          <w:bCs/>
          <w:spacing w:val="3"/>
          <w:position w:val="4"/>
          <w:sz w:val="26"/>
          <w:szCs w:val="26"/>
        </w:rPr>
        <w:t>Key takeaways</w:t>
      </w:r>
    </w:p>
    <w:p>
      <w:pPr>
        <w:pStyle w:val="BodyText"/>
        <w:spacing w:before="71" w:line="184" w:lineRule="auto"/>
        <w:ind w:left="737"/>
      </w:pPr>
      <w:r>
        <w:rPr>
          <w:spacing w:val="6"/>
        </w:rPr>
        <w:t>Publishing</w:t>
      </w:r>
    </w:p>
    <w:p>
      <w:pPr>
        <w:pStyle w:val="BodyText"/>
        <w:spacing w:line="210" w:lineRule="exact"/>
        <w:ind w:left="4457"/>
      </w:pPr>
      <w:r>
        <w:rPr>
          <w:spacing w:val="9"/>
          <w:position w:val="2"/>
        </w:rPr>
        <w:t>•</w:t>
      </w:r>
      <w:r>
        <w:rPr>
          <w:spacing w:val="5"/>
          <w:position w:val="2"/>
        </w:rPr>
        <w:t xml:space="preserve">    </w:t>
      </w:r>
      <w:r>
        <w:rPr>
          <w:spacing w:val="9"/>
          <w:position w:val="2"/>
        </w:rPr>
        <w:t>Late-stage funding for healthtech unicorns has significan</w:t>
      </w:r>
      <w:r>
        <w:rPr>
          <w:spacing w:val="8"/>
          <w:position w:val="2"/>
        </w:rPr>
        <w:t>tly slowed, trailing</w:t>
      </w:r>
    </w:p>
    <w:p>
      <w:pPr>
        <w:pStyle w:val="BodyText"/>
        <w:spacing w:before="29" w:line="302" w:lineRule="auto"/>
        <w:ind w:left="4720" w:right="811" w:firstLine="6"/>
      </w:pPr>
      <w:r>
        <w:rPr>
          <w:spacing w:val="7"/>
        </w:rPr>
        <w:t>broader healthcare funding. Current unicorns raised $12.1 billion of VC funding</w:t>
      </w:r>
      <w:r>
        <w:rPr>
          <w:spacing w:val="29"/>
        </w:rPr>
        <w:t xml:space="preserve"> </w:t>
      </w:r>
      <w:r>
        <w:rPr>
          <w:spacing w:val="7"/>
        </w:rPr>
        <w:t>in</w:t>
      </w:r>
      <w:r>
        <w:t xml:space="preserve"> </w:t>
      </w:r>
      <w:r>
        <w:rPr>
          <w:spacing w:val="11"/>
        </w:rPr>
        <w:t xml:space="preserve">2021, $4.8 </w:t>
      </w:r>
      <w:r>
        <w:t>billion</w:t>
      </w:r>
      <w:r>
        <w:rPr>
          <w:spacing w:val="11"/>
        </w:rPr>
        <w:t xml:space="preserve"> </w:t>
      </w:r>
      <w:r>
        <w:t>in</w:t>
      </w:r>
      <w:r>
        <w:rPr>
          <w:spacing w:val="11"/>
        </w:rPr>
        <w:t xml:space="preserve"> 2022, </w:t>
      </w:r>
      <w:r>
        <w:t>and</w:t>
      </w:r>
      <w:r>
        <w:rPr>
          <w:spacing w:val="11"/>
        </w:rPr>
        <w:t xml:space="preserve"> </w:t>
      </w:r>
      <w:r>
        <w:t>just</w:t>
      </w:r>
      <w:r>
        <w:rPr>
          <w:spacing w:val="11"/>
        </w:rPr>
        <w:t xml:space="preserve"> $1.2</w:t>
      </w:r>
      <w:r>
        <w:rPr>
          <w:spacing w:val="20"/>
        </w:rPr>
        <w:t xml:space="preserve"> </w:t>
      </w:r>
      <w:r>
        <w:t>billion</w:t>
      </w:r>
      <w:r>
        <w:rPr>
          <w:spacing w:val="12"/>
        </w:rPr>
        <w:t xml:space="preserve"> </w:t>
      </w:r>
      <w:r>
        <w:t>in</w:t>
      </w:r>
      <w:r>
        <w:rPr>
          <w:spacing w:val="11"/>
        </w:rPr>
        <w:t xml:space="preserve"> 2023.</w:t>
      </w:r>
    </w:p>
    <w:p>
      <w:pPr>
        <w:pStyle w:val="BodyText"/>
        <w:spacing w:before="287" w:line="308" w:lineRule="auto"/>
        <w:ind w:left="4714" w:right="1205" w:hanging="257"/>
      </w:pPr>
      <w:r>
        <w:rPr>
          <w:spacing w:val="8"/>
        </w:rPr>
        <w:t>•    Investors’ demands of healthtech un</w:t>
      </w:r>
      <w:r>
        <w:rPr>
          <w:spacing w:val="7"/>
        </w:rPr>
        <w:t>icorns have changed. Expectations</w:t>
      </w:r>
      <w:r>
        <w:rPr>
          <w:spacing w:val="8"/>
        </w:rPr>
        <w:t xml:space="preserve"> </w:t>
      </w:r>
      <w:r>
        <w:rPr>
          <w:spacing w:val="7"/>
        </w:rPr>
        <w:t xml:space="preserve">of    </w:t>
      </w:r>
      <w:r>
        <w:rPr>
          <w:spacing w:val="9"/>
        </w:rPr>
        <w:t>profitability and margins have risen, putting a premium</w:t>
      </w:r>
      <w:r>
        <w:rPr>
          <w:spacing w:val="23"/>
        </w:rPr>
        <w:t xml:space="preserve"> </w:t>
      </w:r>
      <w:r>
        <w:rPr>
          <w:spacing w:val="9"/>
        </w:rPr>
        <w:t>on</w:t>
      </w:r>
      <w:r>
        <w:rPr>
          <w:spacing w:val="13"/>
          <w:w w:val="101"/>
        </w:rPr>
        <w:t xml:space="preserve"> </w:t>
      </w:r>
      <w:r>
        <w:rPr>
          <w:spacing w:val="9"/>
        </w:rPr>
        <w:t>business</w:t>
      </w:r>
      <w:r>
        <w:rPr>
          <w:spacing w:val="13"/>
          <w:w w:val="101"/>
        </w:rPr>
        <w:t xml:space="preserve"> </w:t>
      </w:r>
      <w:r>
        <w:rPr>
          <w:spacing w:val="9"/>
        </w:rPr>
        <w:t>mod</w:t>
      </w:r>
      <w:r>
        <w:rPr>
          <w:spacing w:val="8"/>
        </w:rPr>
        <w:t>els</w:t>
      </w:r>
      <w:r>
        <w:t xml:space="preserve"> </w:t>
      </w:r>
      <w:r>
        <w:rPr>
          <w:spacing w:val="9"/>
        </w:rPr>
        <w:t>geared toward enterprise as compared t</w:t>
      </w:r>
      <w:r>
        <w:rPr>
          <w:spacing w:val="8"/>
        </w:rPr>
        <w:t>o DTC solutions requiring high</w:t>
      </w:r>
    </w:p>
    <w:p>
      <w:pPr>
        <w:pStyle w:val="BodyText"/>
        <w:spacing w:before="29" w:line="231" w:lineRule="exact"/>
        <w:ind w:left="4726"/>
      </w:pPr>
      <w:r>
        <w:rPr>
          <w:spacing w:val="7"/>
          <w:position w:val="3"/>
        </w:rPr>
        <w:t>marketing expenses.</w:t>
      </w:r>
    </w:p>
    <w:p>
      <w:pPr>
        <w:pStyle w:val="BodyText"/>
        <w:spacing w:before="289" w:line="231" w:lineRule="exact"/>
        <w:ind w:left="4457"/>
      </w:pPr>
      <w:r>
        <w:rPr>
          <w:spacing w:val="10"/>
          <w:position w:val="3"/>
        </w:rPr>
        <w:t>•   The market environment will continu</w:t>
      </w:r>
      <w:r>
        <w:rPr>
          <w:spacing w:val="9"/>
          <w:position w:val="3"/>
        </w:rPr>
        <w:t>e to</w:t>
      </w:r>
      <w:r>
        <w:rPr>
          <w:spacing w:val="14"/>
          <w:position w:val="3"/>
        </w:rPr>
        <w:t xml:space="preserve"> </w:t>
      </w:r>
      <w:r>
        <w:rPr>
          <w:spacing w:val="9"/>
          <w:position w:val="3"/>
        </w:rPr>
        <w:t>be tough for</w:t>
      </w:r>
      <w:r>
        <w:rPr>
          <w:spacing w:val="15"/>
          <w:position w:val="3"/>
        </w:rPr>
        <w:t xml:space="preserve"> </w:t>
      </w:r>
      <w:r>
        <w:rPr>
          <w:spacing w:val="9"/>
          <w:position w:val="3"/>
        </w:rPr>
        <w:t>late-stage digital</w:t>
      </w:r>
      <w:r>
        <w:rPr>
          <w:spacing w:val="13"/>
          <w:w w:val="101"/>
          <w:position w:val="3"/>
        </w:rPr>
        <w:t xml:space="preserve"> </w:t>
      </w:r>
      <w:r>
        <w:rPr>
          <w:spacing w:val="9"/>
          <w:position w:val="3"/>
        </w:rPr>
        <w:t>health</w:t>
      </w:r>
    </w:p>
    <w:p>
      <w:pPr>
        <w:pStyle w:val="BodyText"/>
        <w:spacing w:before="28" w:line="302" w:lineRule="auto"/>
        <w:ind w:left="4727" w:right="822" w:hanging="8"/>
      </w:pPr>
      <w:r>
        <w:rPr>
          <w:spacing w:val="9"/>
        </w:rPr>
        <w:t>startups as the sector faces market headwind</w:t>
      </w:r>
      <w:r>
        <w:rPr>
          <w:spacing w:val="8"/>
        </w:rPr>
        <w:t>s and a small number of acquirers.</w:t>
      </w:r>
      <w:r>
        <w:t xml:space="preserve"> </w:t>
      </w:r>
      <w:r>
        <w:rPr>
          <w:spacing w:val="9"/>
        </w:rPr>
        <w:t xml:space="preserve">Lower interest rates will </w:t>
      </w:r>
      <w:r>
        <w:rPr>
          <w:spacing w:val="8"/>
        </w:rPr>
        <w:t>not be a quick fix to drive significant deal flow in the</w:t>
      </w:r>
    </w:p>
    <w:p>
      <w:pPr>
        <w:pStyle w:val="BodyText"/>
        <w:spacing w:before="86" w:line="195" w:lineRule="auto"/>
        <w:ind w:left="4726"/>
      </w:pPr>
      <w:r>
        <w:rPr>
          <w:spacing w:val="6"/>
        </w:rPr>
        <w:t>near term</w:t>
      </w:r>
      <w:r>
        <w:rPr>
          <w:spacing w:val="-11"/>
        </w:rPr>
        <w:t xml:space="preserve"> </w:t>
      </w:r>
      <w:r>
        <w:rPr>
          <w:spacing w:val="6"/>
        </w:rPr>
        <w:t>.</w:t>
      </w: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before="49" w:line="302" w:lineRule="auto"/>
        <w:ind w:left="4715" w:right="949" w:hanging="258"/>
      </w:pPr>
      <w:r>
        <w:rPr>
          <w:spacing w:val="8"/>
        </w:rPr>
        <w:t>•    In our base case, severa</w:t>
      </w:r>
      <w:r>
        <w:rPr>
          <w:spacing w:val="7"/>
        </w:rPr>
        <w:t>l healthtech unicorns go public</w:t>
      </w:r>
      <w:r>
        <w:rPr>
          <w:spacing w:val="12"/>
        </w:rPr>
        <w:t xml:space="preserve"> </w:t>
      </w:r>
      <w:r>
        <w:rPr>
          <w:spacing w:val="7"/>
        </w:rPr>
        <w:t>in 2024,</w:t>
      </w:r>
      <w:r>
        <w:rPr>
          <w:spacing w:val="8"/>
        </w:rPr>
        <w:t xml:space="preserve"> </w:t>
      </w:r>
      <w:r>
        <w:rPr>
          <w:spacing w:val="7"/>
        </w:rPr>
        <w:t>and we</w:t>
      </w:r>
      <w:r>
        <w:rPr>
          <w:spacing w:val="13"/>
          <w:w w:val="101"/>
        </w:rPr>
        <w:t xml:space="preserve"> </w:t>
      </w:r>
      <w:r>
        <w:rPr>
          <w:spacing w:val="7"/>
        </w:rPr>
        <w:t>predict</w:t>
      </w:r>
      <w:r>
        <w:t xml:space="preserve"> </w:t>
      </w:r>
      <w:r>
        <w:rPr>
          <w:spacing w:val="8"/>
        </w:rPr>
        <w:t>that at least three will succ</w:t>
      </w:r>
      <w:r>
        <w:rPr>
          <w:spacing w:val="7"/>
        </w:rPr>
        <w:t>essfully IPO. In digital</w:t>
      </w:r>
      <w:r>
        <w:rPr>
          <w:spacing w:val="13"/>
          <w:w w:val="101"/>
        </w:rPr>
        <w:t xml:space="preserve"> </w:t>
      </w:r>
      <w:r>
        <w:rPr>
          <w:spacing w:val="7"/>
        </w:rPr>
        <w:t>health</w:t>
      </w:r>
      <w:r>
        <w:rPr>
          <w:spacing w:val="13"/>
          <w:w w:val="101"/>
        </w:rPr>
        <w:t xml:space="preserve"> </w:t>
      </w:r>
      <w:r>
        <w:rPr>
          <w:spacing w:val="7"/>
        </w:rPr>
        <w:t>broadly, our top</w:t>
      </w:r>
      <w:r>
        <w:rPr>
          <w:spacing w:val="16"/>
          <w:w w:val="101"/>
        </w:rPr>
        <w:t xml:space="preserve"> </w:t>
      </w:r>
      <w:r>
        <w:rPr>
          <w:spacing w:val="7"/>
        </w:rPr>
        <w:t>IPO</w:t>
      </w:r>
    </w:p>
    <w:p>
      <w:pPr>
        <w:pStyle w:val="BodyText"/>
        <w:spacing w:before="29" w:line="302" w:lineRule="auto"/>
        <w:ind w:left="4721" w:right="840" w:hanging="1"/>
      </w:pPr>
      <w:r>
        <w:rPr>
          <w:spacing w:val="7"/>
        </w:rPr>
        <w:t>candidates for 2024 are Noom, Ro, Spring Health,</w:t>
      </w:r>
      <w:r>
        <w:rPr>
          <w:spacing w:val="15"/>
          <w:w w:val="101"/>
        </w:rPr>
        <w:t xml:space="preserve"> </w:t>
      </w:r>
      <w:r>
        <w:rPr>
          <w:spacing w:val="7"/>
        </w:rPr>
        <w:t>Hinge</w:t>
      </w:r>
      <w:r>
        <w:rPr>
          <w:spacing w:val="15"/>
          <w:w w:val="101"/>
        </w:rPr>
        <w:t xml:space="preserve"> </w:t>
      </w:r>
      <w:r>
        <w:rPr>
          <w:spacing w:val="6"/>
        </w:rPr>
        <w:t>Health,</w:t>
      </w:r>
      <w:r>
        <w:rPr>
          <w:spacing w:val="15"/>
          <w:w w:val="101"/>
        </w:rPr>
        <w:t xml:space="preserve"> </w:t>
      </w:r>
      <w:r>
        <w:rPr>
          <w:spacing w:val="6"/>
        </w:rPr>
        <w:t>Headspace,</w:t>
      </w:r>
      <w:r>
        <w:rPr>
          <w:spacing w:val="7"/>
        </w:rPr>
        <w:t xml:space="preserve"> </w:t>
      </w:r>
      <w:r>
        <w:rPr>
          <w:spacing w:val="6"/>
        </w:rPr>
        <w:t>and</w:t>
      </w:r>
      <w:r>
        <w:t xml:space="preserve"> </w:t>
      </w:r>
      <w:r>
        <w:rPr>
          <w:spacing w:val="8"/>
        </w:rPr>
        <w:t>Quantum</w:t>
      </w:r>
      <w:r>
        <w:rPr>
          <w:spacing w:val="31"/>
        </w:rPr>
        <w:t xml:space="preserve"> </w:t>
      </w:r>
      <w:r>
        <w:rPr>
          <w:spacing w:val="8"/>
        </w:rPr>
        <w:t>Health.</w:t>
      </w:r>
    </w:p>
    <w:p>
      <w:pPr>
        <w:pStyle w:val="BodyText"/>
        <w:spacing w:before="287" w:line="321" w:lineRule="auto"/>
        <w:ind w:left="4715" w:right="1402" w:hanging="258"/>
        <w:sectPr>
          <w:footerReference w:type="default" r:id="rId5"/>
          <w:pgSz w:w="12240" w:h="15840"/>
          <w:pgMar w:top="0" w:right="0" w:bottom="1" w:left="0" w:header="0" w:footer="0" w:gutter="0"/>
          <w:cols w:space="708"/>
        </w:sectPr>
      </w:pPr>
      <w:r>
        <w:rPr>
          <w:spacing w:val="9"/>
        </w:rPr>
        <w:t>•</w:t>
      </w:r>
      <w:r>
        <w:rPr>
          <w:spacing w:val="4"/>
        </w:rPr>
        <w:t xml:space="preserve">    </w:t>
      </w:r>
      <w:r>
        <w:rPr>
          <w:spacing w:val="9"/>
        </w:rPr>
        <w:t>Musculoskeletal solutions, digital therapeutics, and behavi</w:t>
      </w:r>
      <w:r>
        <w:rPr>
          <w:spacing w:val="8"/>
        </w:rPr>
        <w:t>oral health are</w:t>
      </w:r>
      <w:r>
        <w:rPr>
          <w:spacing w:val="1"/>
        </w:rPr>
        <w:t xml:space="preserve"> </w:t>
      </w:r>
      <w:r>
        <w:rPr>
          <w:spacing w:val="8"/>
        </w:rPr>
        <w:t>categories that are anticipated to see a higher rate of consoli</w:t>
      </w:r>
      <w:r>
        <w:rPr>
          <w:spacing w:val="7"/>
        </w:rPr>
        <w:t xml:space="preserve">dation over   </w:t>
      </w:r>
      <w:r>
        <w:rPr>
          <w:spacing w:val="8"/>
        </w:rPr>
        <w:t>the coming years as scaled solutions a</w:t>
      </w:r>
      <w:r>
        <w:rPr>
          <w:spacing w:val="7"/>
        </w:rPr>
        <w:t>re more likely to be successful</w:t>
      </w:r>
      <w:r>
        <w:rPr>
          <w:spacing w:val="12"/>
        </w:rPr>
        <w:t xml:space="preserve"> </w:t>
      </w:r>
      <w:r>
        <w:rPr>
          <w:spacing w:val="7"/>
        </w:rPr>
        <w:t xml:space="preserve">in    </w:t>
      </w:r>
      <w:r>
        <w:rPr>
          <w:spacing w:val="8"/>
        </w:rPr>
        <w:t>these markets.</w:t>
      </w: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before="1" w:line="708" w:lineRule="exact"/>
      </w:pPr>
      <w:r>
        <w:rPr>
          <w:position w:val="-15"/>
        </w:rPr>
        <w:pict>
          <v:shape id="_x0000_i1037" type="#_x0000_t202" style="width:612pt;height:36pt;mso-position-horizontal-relative:char;mso-position-vertical-relative:line" filled="t" fillcolor="#f0ebde" stroked="f">
            <o:lock v:ext="edit" aspectratio="f"/>
            <v:textbox inset="0,0,0,0">
              <w:txbxContent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40" w:line="193" w:lineRule="auto"/>
                    <w:ind w:left="11464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14"/>
                      <w:szCs w:val="14"/>
                    </w:rPr>
                    <w:t>1</w:t>
                  </w:r>
                </w:p>
              </w:txbxContent>
            </v:textbox>
            <w10:wrap type="none"/>
          </v:shape>
        </w:pict>
      </w:r>
    </w:p>
    <w:p>
      <w:pPr>
        <w:spacing w:line="708" w:lineRule="exact"/>
        <w:sectPr>
          <w:footerReference w:type="default" r:id="rId6"/>
          <w:type w:val="nextPage"/>
          <w:pgSz w:w="12240" w:h="15840"/>
          <w:pgMar w:top="0" w:right="0" w:bottom="1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83" w:line="197" w:lineRule="auto"/>
        <w:ind w:left="648"/>
        <w:rPr>
          <w:sz w:val="45"/>
          <w:szCs w:val="45"/>
        </w:rPr>
      </w:pP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761311</wp:posOffset>
            </wp:positionH>
            <wp:positionV relativeFrom="page">
              <wp:posOffset>6416373</wp:posOffset>
            </wp:positionV>
            <wp:extent cx="6553900" cy="971934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53900" cy="971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417F"/>
          <w:spacing w:val="53"/>
          <w:sz w:val="45"/>
          <w:szCs w:val="45"/>
        </w:rPr>
        <w:t>(pitchBooK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78" w:lineRule="auto"/>
        <w:rPr>
          <w:sz w:val="21"/>
        </w:rPr>
      </w:pPr>
    </w:p>
    <w:p>
      <w:pPr>
        <w:pStyle w:val="BodyText"/>
        <w:spacing w:before="35" w:line="210" w:lineRule="auto"/>
        <w:rPr>
          <w:sz w:val="12"/>
          <w:szCs w:val="12"/>
        </w:rPr>
      </w:pPr>
      <w:r>
        <w:rPr>
          <w:color w:val="484643"/>
          <w:spacing w:val="7"/>
          <w:sz w:val="12"/>
          <w:szCs w:val="12"/>
        </w:rPr>
        <w:t>PitchBook Analyst Note: Evaluating Healthtec</w:t>
      </w:r>
      <w:r>
        <w:rPr>
          <w:color w:val="484643"/>
          <w:spacing w:val="6"/>
          <w:sz w:val="12"/>
          <w:szCs w:val="12"/>
        </w:rPr>
        <w:t>h Unicorns</w:t>
      </w:r>
    </w:p>
    <w:p>
      <w:pPr>
        <w:spacing w:line="210" w:lineRule="auto"/>
        <w:rPr>
          <w:sz w:val="12"/>
          <w:szCs w:val="12"/>
        </w:rPr>
        <w:sectPr>
          <w:footerReference w:type="default" r:id="rId8"/>
          <w:pgSz w:w="12240" w:h="15840"/>
          <w:pgMar w:top="607" w:right="0" w:bottom="1" w:left="0" w:header="0" w:footer="0" w:gutter="0"/>
          <w:pgNumType w:start="3"/>
          <w:cols w:num="2" w:space="708" w:equalWidth="0">
            <w:col w:w="8056" w:space="100"/>
            <w:col w:w="4085" w:space="0"/>
          </w:cols>
        </w:sectPr>
      </w:pPr>
    </w:p>
    <w:p>
      <w:pPr>
        <w:pStyle w:val="BodyText"/>
        <w:spacing w:line="287" w:lineRule="auto"/>
        <w:rPr>
          <w:sz w:val="21"/>
        </w:rPr>
      </w:pPr>
    </w:p>
    <w:p>
      <w:pPr>
        <w:pStyle w:val="BodyText"/>
        <w:spacing w:line="287" w:lineRule="auto"/>
        <w:rPr>
          <w:sz w:val="21"/>
        </w:rPr>
      </w:pPr>
    </w:p>
    <w:p>
      <w:pPr>
        <w:pStyle w:val="BodyText"/>
        <w:spacing w:before="74" w:line="213" w:lineRule="auto"/>
        <w:ind w:left="4463"/>
        <w:rPr>
          <w:sz w:val="26"/>
          <w:szCs w:val="26"/>
        </w:rPr>
      </w:pPr>
      <w:r>
        <w:rPr>
          <w:b/>
          <w:bCs/>
          <w:spacing w:val="5"/>
          <w:sz w:val="26"/>
          <w:szCs w:val="26"/>
        </w:rPr>
        <w:t>Introduction</w:t>
      </w:r>
    </w:p>
    <w:p>
      <w:pPr>
        <w:pStyle w:val="BodyText"/>
        <w:spacing w:before="226" w:line="313" w:lineRule="auto"/>
        <w:ind w:left="4446" w:right="828" w:firstLine="12"/>
      </w:pPr>
      <w:r>
        <w:rPr>
          <w:spacing w:val="8"/>
        </w:rPr>
        <w:t>In 2021, digital health unicorns were being minted faster than pennies at the</w:t>
      </w:r>
      <w:r>
        <w:rPr>
          <w:spacing w:val="22"/>
          <w:w w:val="102"/>
        </w:rPr>
        <w:t xml:space="preserve"> </w:t>
      </w:r>
      <w:r>
        <w:rPr>
          <w:spacing w:val="8"/>
        </w:rPr>
        <w:t>mint.</w:t>
      </w:r>
      <w:r>
        <w:t xml:space="preserve">    </w:t>
      </w:r>
      <w:r>
        <w:rPr>
          <w:spacing w:val="10"/>
        </w:rPr>
        <w:t>Midstage startups were rapidly making the jump to unico</w:t>
      </w:r>
      <w:r>
        <w:rPr>
          <w:spacing w:val="9"/>
        </w:rPr>
        <w:t>rn status, and growth was</w:t>
      </w:r>
      <w:r>
        <w:t xml:space="preserve"> </w:t>
      </w:r>
      <w:r>
        <w:rPr>
          <w:spacing w:val="9"/>
        </w:rPr>
        <w:t xml:space="preserve">the name of the game. Fast-forward to today, </w:t>
      </w:r>
      <w:r>
        <w:rPr>
          <w:spacing w:val="8"/>
        </w:rPr>
        <w:t>and the story has dramatically shifted</w:t>
      </w:r>
      <w:r>
        <w:t xml:space="preserve"> </w:t>
      </w:r>
      <w:r>
        <w:rPr>
          <w:spacing w:val="9"/>
        </w:rPr>
        <w:t>as market dynamics have changed. Only two new healthtech</w:t>
      </w:r>
      <w:r>
        <w:rPr>
          <w:spacing w:val="13"/>
        </w:rPr>
        <w:t xml:space="preserve"> </w:t>
      </w:r>
      <w:r>
        <w:rPr>
          <w:spacing w:val="9"/>
        </w:rPr>
        <w:t>unicorns w</w:t>
      </w:r>
      <w:r>
        <w:rPr>
          <w:spacing w:val="8"/>
        </w:rPr>
        <w:t>ere</w:t>
      </w:r>
      <w:r>
        <w:rPr>
          <w:spacing w:val="13"/>
          <w:w w:val="102"/>
        </w:rPr>
        <w:t xml:space="preserve"> </w:t>
      </w:r>
      <w:r>
        <w:rPr>
          <w:spacing w:val="8"/>
        </w:rPr>
        <w:t xml:space="preserve">minted </w:t>
      </w:r>
      <w:r>
        <w:rPr>
          <w:spacing w:val="9"/>
        </w:rPr>
        <w:t>in 2023, compared wi</w:t>
      </w:r>
      <w:r>
        <w:rPr>
          <w:spacing w:val="8"/>
        </w:rPr>
        <w:t>th 52 in 2021 and 2022 combined, and funding for late-stage</w:t>
      </w:r>
      <w:r>
        <w:t xml:space="preserve">    </w:t>
      </w:r>
      <w:r>
        <w:rPr>
          <w:spacing w:val="9"/>
        </w:rPr>
        <w:t>healthtech companies has slowed significantly.</w:t>
      </w:r>
    </w:p>
    <w:p>
      <w:pPr>
        <w:pStyle w:val="BodyText"/>
        <w:spacing w:before="288" w:line="302" w:lineRule="auto"/>
        <w:ind w:left="4450" w:right="809" w:firstLine="7"/>
      </w:pPr>
      <w:r>
        <w:rPr>
          <w:spacing w:val="9"/>
        </w:rPr>
        <w:t>Healthtech unicorns have faced turbulent times in recent years. M</w:t>
      </w:r>
      <w:r>
        <w:rPr>
          <w:spacing w:val="8"/>
        </w:rPr>
        <w:t>any of them</w:t>
      </w:r>
      <w:r>
        <w:rPr>
          <w:spacing w:val="20"/>
          <w:w w:val="101"/>
        </w:rPr>
        <w:t xml:space="preserve"> </w:t>
      </w:r>
      <w:r>
        <w:rPr>
          <w:spacing w:val="8"/>
        </w:rPr>
        <w:t>were</w:t>
      </w:r>
      <w:r>
        <w:t xml:space="preserve"> </w:t>
      </w:r>
      <w:r>
        <w:rPr>
          <w:spacing w:val="9"/>
        </w:rPr>
        <w:t>created during the COVID-19 bubble, but market condi</w:t>
      </w:r>
      <w:r>
        <w:rPr>
          <w:spacing w:val="8"/>
        </w:rPr>
        <w:t>tions shifted before they</w:t>
      </w:r>
    </w:p>
    <w:p>
      <w:pPr>
        <w:pStyle w:val="BodyText"/>
        <w:spacing w:before="27" w:line="308" w:lineRule="auto"/>
        <w:ind w:left="4450" w:right="965"/>
      </w:pPr>
      <w:r>
        <w:rPr>
          <w:spacing w:val="8"/>
        </w:rPr>
        <w:t>could successfully go public via IPO or seek out another exit opportunity. Bec</w:t>
      </w:r>
      <w:r>
        <w:rPr>
          <w:spacing w:val="7"/>
        </w:rPr>
        <w:t>ause</w:t>
      </w:r>
      <w:r>
        <w:t xml:space="preserve"> </w:t>
      </w:r>
      <w:r>
        <w:rPr>
          <w:spacing w:val="9"/>
        </w:rPr>
        <w:t>of this, there is now a large group of late-stage healtht</w:t>
      </w:r>
      <w:r>
        <w:rPr>
          <w:spacing w:val="8"/>
        </w:rPr>
        <w:t>ech startups—we count 70</w:t>
      </w:r>
      <w:r>
        <w:t xml:space="preserve">  </w:t>
      </w:r>
      <w:r>
        <w:rPr>
          <w:spacing w:val="8"/>
        </w:rPr>
        <w:t>current unicorns. While a few have especially strong prospects, as a group, they</w:t>
      </w:r>
    </w:p>
    <w:p>
      <w:pPr>
        <w:pStyle w:val="BodyText"/>
        <w:spacing w:before="28" w:line="232" w:lineRule="exact"/>
        <w:ind w:left="4446"/>
      </w:pPr>
      <w:r>
        <w:rPr>
          <w:spacing w:val="10"/>
          <w:position w:val="3"/>
        </w:rPr>
        <w:t>face challenges in ad</w:t>
      </w:r>
      <w:r>
        <w:rPr>
          <w:spacing w:val="9"/>
          <w:position w:val="3"/>
        </w:rPr>
        <w:t>apting to the post-pandemic environment, growing their</w:t>
      </w:r>
    </w:p>
    <w:p>
      <w:pPr>
        <w:pStyle w:val="BodyText"/>
        <w:spacing w:before="28" w:line="302" w:lineRule="auto"/>
        <w:ind w:left="4446" w:right="962"/>
      </w:pPr>
      <w:r>
        <w:rPr>
          <w:spacing w:val="9"/>
        </w:rPr>
        <w:t>valuations despite previous high-value raises, and finding exit opport</w:t>
      </w:r>
      <w:r>
        <w:rPr>
          <w:spacing w:val="8"/>
        </w:rPr>
        <w:t>unities given</w:t>
      </w:r>
      <w:r>
        <w:t xml:space="preserve"> </w:t>
      </w:r>
      <w:r>
        <w:rPr>
          <w:spacing w:val="8"/>
        </w:rPr>
        <w:t>few large incumbents and a still-frozen IPO market.</w:t>
      </w:r>
      <w:r>
        <w:rPr>
          <w:spacing w:val="10"/>
        </w:rPr>
        <w:t xml:space="preserve"> </w:t>
      </w:r>
      <w:r>
        <w:rPr>
          <w:spacing w:val="8"/>
        </w:rPr>
        <w:t>Current</w:t>
      </w:r>
      <w:r>
        <w:rPr>
          <w:spacing w:val="12"/>
          <w:w w:val="101"/>
        </w:rPr>
        <w:t xml:space="preserve"> </w:t>
      </w:r>
      <w:r>
        <w:rPr>
          <w:spacing w:val="8"/>
        </w:rPr>
        <w:t>unicorns</w:t>
      </w:r>
      <w:r>
        <w:rPr>
          <w:spacing w:val="13"/>
          <w:w w:val="101"/>
        </w:rPr>
        <w:t xml:space="preserve"> </w:t>
      </w:r>
      <w:r>
        <w:rPr>
          <w:spacing w:val="8"/>
        </w:rPr>
        <w:t>hav</w:t>
      </w:r>
      <w:r>
        <w:rPr>
          <w:spacing w:val="7"/>
        </w:rPr>
        <w:t>e</w:t>
      </w:r>
      <w:r>
        <w:rPr>
          <w:spacing w:val="13"/>
          <w:w w:val="102"/>
        </w:rPr>
        <w:t xml:space="preserve"> </w:t>
      </w:r>
      <w:r>
        <w:rPr>
          <w:spacing w:val="7"/>
        </w:rPr>
        <w:t>been</w:t>
      </w:r>
    </w:p>
    <w:p>
      <w:pPr>
        <w:pStyle w:val="BodyText"/>
        <w:spacing w:before="27" w:line="308" w:lineRule="auto"/>
        <w:ind w:left="4456" w:right="824"/>
      </w:pPr>
      <w:r>
        <w:rPr>
          <w:spacing w:val="9"/>
        </w:rPr>
        <w:t>reluctant to go public due in part to the significant stock price decli</w:t>
      </w:r>
      <w:r>
        <w:rPr>
          <w:spacing w:val="8"/>
        </w:rPr>
        <w:t>nes experienced</w:t>
      </w:r>
      <w:r>
        <w:t xml:space="preserve"> </w:t>
      </w:r>
      <w:r>
        <w:rPr>
          <w:spacing w:val="9"/>
        </w:rPr>
        <w:t xml:space="preserve">by healthtech companies that listed during the boom times. The “Healthtech stock  </w:t>
      </w:r>
      <w:r>
        <w:rPr>
          <w:spacing w:val="10"/>
        </w:rPr>
        <w:t>prices” chart illustrates the ma</w:t>
      </w:r>
      <w:r>
        <w:rPr>
          <w:spacing w:val="9"/>
        </w:rPr>
        <w:t>terial drop in valuation that notable public digital</w:t>
      </w:r>
    </w:p>
    <w:p>
      <w:pPr>
        <w:pStyle w:val="BodyText"/>
        <w:spacing w:before="29" w:line="231" w:lineRule="exact"/>
        <w:ind w:left="4456"/>
      </w:pPr>
      <w:r>
        <w:rPr>
          <w:spacing w:val="7"/>
          <w:position w:val="3"/>
        </w:rPr>
        <w:t>health companies have experienced since 2021.</w:t>
      </w:r>
    </w:p>
    <w:p>
      <w:pPr>
        <w:pStyle w:val="BodyText"/>
        <w:spacing w:before="288" w:line="302" w:lineRule="auto"/>
        <w:ind w:left="4457" w:right="795"/>
      </w:pPr>
      <w:r>
        <w:rPr>
          <w:spacing w:val="9"/>
        </w:rPr>
        <w:t>Looking ahead, we expect t</w:t>
      </w:r>
      <w:r>
        <w:rPr>
          <w:spacing w:val="8"/>
        </w:rPr>
        <w:t>o see a mix of outcomes for current healthtech unicorns.</w:t>
      </w:r>
      <w:r>
        <w:t xml:space="preserve"> </w:t>
      </w:r>
      <w:r>
        <w:rPr>
          <w:spacing w:val="9"/>
        </w:rPr>
        <w:t>Not all current unicorns will successfully exit, though unicorns with innovative</w:t>
      </w:r>
    </w:p>
    <w:p>
      <w:pPr>
        <w:pStyle w:val="BodyText"/>
        <w:spacing w:before="29" w:line="231" w:lineRule="exact"/>
        <w:ind w:left="4449"/>
      </w:pPr>
      <w:r>
        <w:rPr>
          <w:spacing w:val="10"/>
          <w:position w:val="3"/>
        </w:rPr>
        <w:t>solutions, strong growth characteristic</w:t>
      </w:r>
      <w:r>
        <w:rPr>
          <w:spacing w:val="9"/>
          <w:position w:val="3"/>
        </w:rPr>
        <w:t>s, and less market competition are more</w:t>
      </w:r>
    </w:p>
    <w:p>
      <w:pPr>
        <w:pStyle w:val="BodyText"/>
        <w:spacing w:before="29" w:line="231" w:lineRule="exact"/>
        <w:ind w:left="4457"/>
      </w:pPr>
      <w:r>
        <w:rPr>
          <w:spacing w:val="8"/>
          <w:position w:val="3"/>
        </w:rPr>
        <w:t>likely to find success in the long term. In this note, we explore the investment</w:t>
      </w:r>
    </w:p>
    <w:p>
      <w:pPr>
        <w:pStyle w:val="BodyText"/>
        <w:spacing w:before="29" w:line="302" w:lineRule="auto"/>
        <w:ind w:left="4454" w:right="858" w:hanging="4"/>
      </w:pPr>
      <w:r>
        <w:rPr>
          <w:spacing w:val="9"/>
        </w:rPr>
        <w:t>outlook for healthtech unicorns, highlight IPO opportunities, and weigh in on which</w:t>
      </w:r>
      <w:r>
        <w:rPr>
          <w:spacing w:val="12"/>
        </w:rPr>
        <w:t xml:space="preserve"> </w:t>
      </w:r>
      <w:r>
        <w:rPr>
          <w:spacing w:val="9"/>
        </w:rPr>
        <w:t>unicorns are best positioned to bec</w:t>
      </w:r>
      <w:r>
        <w:rPr>
          <w:spacing w:val="8"/>
        </w:rPr>
        <w:t>ome mainstays in the</w:t>
      </w:r>
      <w:r>
        <w:rPr>
          <w:spacing w:val="14"/>
          <w:w w:val="101"/>
        </w:rPr>
        <w:t xml:space="preserve"> </w:t>
      </w:r>
      <w:r>
        <w:rPr>
          <w:spacing w:val="8"/>
        </w:rPr>
        <w:t>health ecosystem</w:t>
      </w:r>
      <w:r>
        <w:rPr>
          <w:spacing w:val="-14"/>
        </w:rPr>
        <w:t xml:space="preserve"> </w:t>
      </w:r>
      <w:r>
        <w:rPr>
          <w:spacing w:val="8"/>
        </w:rPr>
        <w:t>.</w:t>
      </w:r>
    </w:p>
    <w:p>
      <w:pPr>
        <w:pStyle w:val="BodyText"/>
        <w:spacing w:before="293" w:line="288" w:lineRule="exact"/>
        <w:ind w:left="738"/>
        <w:rPr>
          <w:sz w:val="21"/>
          <w:szCs w:val="21"/>
        </w:rPr>
      </w:pPr>
      <w:r>
        <w:rPr>
          <w:b/>
          <w:bCs/>
          <w:spacing w:val="4"/>
          <w:position w:val="3"/>
          <w:sz w:val="21"/>
          <w:szCs w:val="21"/>
        </w:rPr>
        <w:t>Healthtech stock prices</w:t>
      </w:r>
    </w:p>
    <w:p>
      <w:pPr>
        <w:pStyle w:val="BodyText"/>
        <w:spacing w:before="144" w:line="219" w:lineRule="auto"/>
        <w:ind w:left="740"/>
      </w:pPr>
      <w:r>
        <w:rPr>
          <w:spacing w:val="-17"/>
          <w:w w:val="97"/>
        </w:rPr>
        <w:t>$120</w:t>
      </w:r>
    </w:p>
    <w:p>
      <w:pPr>
        <w:pStyle w:val="BodyText"/>
        <w:spacing w:before="119" w:line="298" w:lineRule="exact"/>
        <w:ind w:left="726"/>
      </w:pPr>
      <w:r>
        <w:rPr>
          <w:spacing w:val="-17"/>
          <w:position w:val="10"/>
        </w:rPr>
        <w:t>$100</w:t>
      </w:r>
    </w:p>
    <w:p>
      <w:pPr>
        <w:pStyle w:val="BodyText"/>
        <w:spacing w:line="219" w:lineRule="auto"/>
        <w:ind w:left="788"/>
      </w:pPr>
      <w:r>
        <w:rPr>
          <w:spacing w:val="-11"/>
        </w:rPr>
        <w:t>$80</w:t>
      </w:r>
    </w:p>
    <w:p>
      <w:pPr>
        <w:pStyle w:val="BodyText"/>
        <w:spacing w:before="119" w:line="219" w:lineRule="auto"/>
        <w:ind w:left="790"/>
      </w:pPr>
      <w:r>
        <w:rPr>
          <w:spacing w:val="-9"/>
        </w:rPr>
        <w:t>$60</w:t>
      </w:r>
    </w:p>
    <w:p>
      <w:pPr>
        <w:pStyle w:val="BodyText"/>
        <w:spacing w:before="119" w:line="219" w:lineRule="auto"/>
        <w:ind w:left="784"/>
      </w:pPr>
      <w:r>
        <w:rPr>
          <w:spacing w:val="-10"/>
        </w:rPr>
        <w:t>$40</w:t>
      </w:r>
    </w:p>
    <w:p>
      <w:pPr>
        <w:pStyle w:val="BodyText"/>
        <w:spacing w:before="119" w:line="219" w:lineRule="auto"/>
        <w:ind w:left="796"/>
      </w:pPr>
      <w:r>
        <w:rPr>
          <w:spacing w:val="-12"/>
        </w:rPr>
        <w:t>$20</w:t>
      </w:r>
    </w:p>
    <w:p>
      <w:pPr>
        <w:pStyle w:val="BodyText"/>
        <w:spacing w:before="120" w:line="219" w:lineRule="auto"/>
        <w:ind w:left="873"/>
      </w:pPr>
      <w:r>
        <w:rPr>
          <w:spacing w:val="-8"/>
        </w:rPr>
        <w:t>$0</w:t>
      </w:r>
    </w:p>
    <w:p>
      <w:pPr>
        <w:pStyle w:val="BodyText"/>
        <w:spacing w:before="98" w:line="210" w:lineRule="auto"/>
        <w:ind w:left="1066"/>
      </w:pPr>
      <w:r>
        <w:rPr>
          <w:spacing w:val="-12"/>
        </w:rPr>
        <w:t xml:space="preserve">Jan         Mar         May          Jul          Sep          Nov         Jan          Mar     </w:t>
      </w:r>
      <w:r>
        <w:rPr>
          <w:spacing w:val="-13"/>
        </w:rPr>
        <w:t xml:space="preserve">    May          Jul          Sep         Nov          Jan          Mar         May         Jul           Sep         Nov</w:t>
      </w:r>
    </w:p>
    <w:p>
      <w:pPr>
        <w:pStyle w:val="BodyText"/>
        <w:spacing w:before="158" w:line="206" w:lineRule="auto"/>
        <w:ind w:left="1025"/>
      </w:pPr>
      <w:r>
        <w:rPr>
          <w:spacing w:val="-12"/>
          <w:w w:val="94"/>
        </w:rPr>
        <w:t>2021</w:t>
      </w:r>
      <w:r>
        <w:rPr>
          <w:spacing w:val="1"/>
        </w:rPr>
        <w:t xml:space="preserve">                        </w:t>
      </w:r>
      <w:r>
        <w:t xml:space="preserve">                                           </w:t>
      </w:r>
      <w:r>
        <w:rPr>
          <w:spacing w:val="-12"/>
          <w:w w:val="94"/>
        </w:rPr>
        <w:t>2022</w:t>
      </w:r>
      <w:r>
        <w:rPr>
          <w:spacing w:val="1"/>
        </w:rPr>
        <w:t xml:space="preserve">                         </w:t>
      </w:r>
      <w:r>
        <w:t xml:space="preserve">                                         </w:t>
      </w:r>
      <w:r>
        <w:rPr>
          <w:spacing w:val="-12"/>
          <w:w w:val="94"/>
        </w:rPr>
        <w:t>2023*</w:t>
      </w:r>
    </w:p>
    <w:p>
      <w:pPr>
        <w:pStyle w:val="BodyText"/>
        <w:spacing w:before="154" w:line="207" w:lineRule="exact"/>
        <w:ind w:left="1762"/>
      </w:pPr>
      <w:r>
        <w:rPr>
          <w:rFonts w:ascii="Microsoft YaHei" w:eastAsia="Microsoft YaHei" w:hAnsi="Microsoft YaHei" w:cs="Microsoft YaHei"/>
          <w:color w:val="40C2C9"/>
          <w:spacing w:val="-16"/>
          <w:position w:val="5"/>
          <w:sz w:val="22"/>
          <w:szCs w:val="22"/>
        </w:rPr>
        <w:t>─—</w:t>
      </w:r>
      <w:r>
        <w:rPr>
          <w:rFonts w:ascii="Microsoft YaHei" w:eastAsia="Microsoft YaHei" w:hAnsi="Microsoft YaHei" w:cs="Microsoft YaHei"/>
          <w:color w:val="40C2C9"/>
          <w:spacing w:val="-36"/>
          <w:position w:val="5"/>
          <w:sz w:val="22"/>
          <w:szCs w:val="22"/>
        </w:rPr>
        <w:t xml:space="preserve"> </w:t>
      </w:r>
      <w:r>
        <w:rPr>
          <w:spacing w:val="-16"/>
          <w:position w:val="2"/>
        </w:rPr>
        <w:t xml:space="preserve">23andMe (NASDAQ: ME)     </w:t>
      </w:r>
      <w:r>
        <w:rPr>
          <w:position w:val="5"/>
        </w:rPr>
        <w:drawing>
          <wp:inline distT="0" distB="0" distL="0" distR="0">
            <wp:extent cx="273050" cy="1905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7"/>
          <w:position w:val="2"/>
        </w:rPr>
        <w:t xml:space="preserve"> </w:t>
      </w:r>
      <w:r>
        <w:rPr>
          <w:spacing w:val="-16"/>
          <w:position w:val="2"/>
        </w:rPr>
        <w:t>Doximity (NYS</w:t>
      </w:r>
      <w:r>
        <w:rPr>
          <w:spacing w:val="-17"/>
          <w:position w:val="2"/>
        </w:rPr>
        <w:t xml:space="preserve">E: DOCS)     </w:t>
      </w:r>
      <w:r>
        <w:rPr>
          <w:rFonts w:ascii="Microsoft YaHei" w:eastAsia="Microsoft YaHei" w:hAnsi="Microsoft YaHei" w:cs="Microsoft YaHei"/>
          <w:color w:val="6185A6"/>
          <w:spacing w:val="-17"/>
          <w:position w:val="5"/>
          <w:sz w:val="22"/>
          <w:szCs w:val="22"/>
        </w:rPr>
        <w:t>─—</w:t>
      </w:r>
      <w:r>
        <w:rPr>
          <w:rFonts w:ascii="Microsoft YaHei" w:eastAsia="Microsoft YaHei" w:hAnsi="Microsoft YaHei" w:cs="Microsoft YaHei"/>
          <w:color w:val="6185A6"/>
          <w:spacing w:val="-21"/>
          <w:position w:val="5"/>
          <w:sz w:val="22"/>
          <w:szCs w:val="22"/>
        </w:rPr>
        <w:t xml:space="preserve"> </w:t>
      </w:r>
      <w:r>
        <w:rPr>
          <w:spacing w:val="-17"/>
          <w:position w:val="2"/>
        </w:rPr>
        <w:t xml:space="preserve">Privia Health (NASDAQ: PRVA)     </w:t>
      </w:r>
      <w:r>
        <w:rPr>
          <w:color w:val="F5C914"/>
          <w:spacing w:val="-17"/>
          <w:position w:val="5"/>
          <w:sz w:val="22"/>
          <w:szCs w:val="22"/>
        </w:rPr>
        <w:t>——</w:t>
      </w:r>
      <w:r>
        <w:rPr>
          <w:color w:val="F5C914"/>
          <w:spacing w:val="-22"/>
          <w:position w:val="5"/>
          <w:sz w:val="22"/>
          <w:szCs w:val="22"/>
        </w:rPr>
        <w:t xml:space="preserve"> </w:t>
      </w:r>
      <w:r>
        <w:rPr>
          <w:spacing w:val="-17"/>
          <w:position w:val="2"/>
        </w:rPr>
        <w:t>Physitrack (STO:</w:t>
      </w:r>
      <w:r>
        <w:rPr>
          <w:spacing w:val="-1"/>
          <w:position w:val="2"/>
        </w:rPr>
        <w:t xml:space="preserve"> </w:t>
      </w:r>
      <w:r>
        <w:rPr>
          <w:spacing w:val="-17"/>
          <w:position w:val="2"/>
        </w:rPr>
        <w:t>PTRK)</w:t>
      </w:r>
    </w:p>
    <w:p>
      <w:pPr>
        <w:pStyle w:val="BodyText"/>
        <w:spacing w:before="137" w:line="160" w:lineRule="exact"/>
        <w:ind w:left="2986"/>
      </w:pPr>
      <w:r>
        <w:rPr>
          <w:color w:val="E88F36"/>
          <w:spacing w:val="-16"/>
          <w:position w:val="4"/>
          <w:sz w:val="34"/>
          <w:szCs w:val="34"/>
        </w:rPr>
        <w:t>—</w:t>
      </w:r>
      <w:r>
        <w:rPr>
          <w:color w:val="E88F36"/>
          <w:spacing w:val="-63"/>
          <w:position w:val="4"/>
          <w:sz w:val="34"/>
          <w:szCs w:val="34"/>
        </w:rPr>
        <w:t xml:space="preserve"> </w:t>
      </w:r>
      <w:r>
        <w:rPr>
          <w:spacing w:val="-16"/>
        </w:rPr>
        <w:t xml:space="preserve">Cue Health (NASDAQ: HLTH)    </w:t>
      </w:r>
      <w:r>
        <w:rPr>
          <w:strike/>
          <w:spacing w:val="-16"/>
        </w:rPr>
        <w:t xml:space="preserve">            </w:t>
      </w:r>
      <w:r>
        <w:rPr>
          <w:spacing w:val="-27"/>
        </w:rPr>
        <w:t xml:space="preserve"> </w:t>
      </w:r>
      <w:r>
        <w:rPr>
          <w:spacing w:val="-16"/>
        </w:rPr>
        <w:t xml:space="preserve">Trellus (LON: TRLS)    </w:t>
      </w:r>
      <w:r>
        <w:rPr>
          <w:strike/>
          <w:spacing w:val="-16"/>
        </w:rPr>
        <w:t xml:space="preserve">           </w:t>
      </w:r>
      <w:r>
        <w:rPr>
          <w:spacing w:val="-16"/>
        </w:rPr>
        <w:t xml:space="preserve"> GoodRx (NASDAQ:</w:t>
      </w:r>
      <w:r>
        <w:rPr>
          <w:spacing w:val="-5"/>
        </w:rPr>
        <w:t xml:space="preserve"> </w:t>
      </w:r>
      <w:r>
        <w:rPr>
          <w:spacing w:val="-16"/>
        </w:rPr>
        <w:t>GDRX)</w:t>
      </w:r>
    </w:p>
    <w:p>
      <w:pPr>
        <w:pStyle w:val="BodyText"/>
        <w:spacing w:before="183" w:line="163" w:lineRule="exact"/>
        <w:ind w:left="7412"/>
        <w:rPr>
          <w:sz w:val="12"/>
          <w:szCs w:val="12"/>
        </w:rPr>
        <w:sectPr>
          <w:footerReference w:type="default" r:id="rId10"/>
          <w:type w:val="continuous"/>
          <w:pgSz w:w="12240" w:h="15840"/>
          <w:pgMar w:top="607" w:right="0" w:bottom="1" w:left="0" w:header="0" w:footer="0" w:gutter="0"/>
          <w:pgNumType w:start="4"/>
          <w:cols w:num="1" w:space="708" w:equalWidth="0">
            <w:col w:w="12240" w:space="0"/>
          </w:cols>
        </w:sectPr>
      </w:pPr>
      <w:r>
        <w:rPr>
          <w:spacing w:val="5"/>
          <w:position w:val="2"/>
          <w:sz w:val="12"/>
          <w:szCs w:val="12"/>
        </w:rPr>
        <w:t>Source: PitchBook  •  Geography: Global  •  *As of December 18, 2023</w:t>
      </w: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8" w:lineRule="auto"/>
        <w:rPr>
          <w:sz w:val="21"/>
        </w:rPr>
      </w:pPr>
    </w:p>
    <w:p>
      <w:pPr>
        <w:pStyle w:val="BodyText"/>
        <w:spacing w:before="1" w:line="709" w:lineRule="exact"/>
      </w:pPr>
      <w:r>
        <w:rPr>
          <w:position w:val="-15"/>
        </w:rPr>
        <w:pict>
          <v:shape id="_x0000_i1038" type="#_x0000_t202" style="width:612pt;height:36pt;mso-position-horizontal-relative:char;mso-position-vertical-relative:line" filled="t" fillcolor="#f0ebde" stroked="f">
            <o:lock v:ext="edit" aspectratio="f"/>
            <v:textbox inset="0,0,0,0">
              <w:txbxContent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41" w:line="195" w:lineRule="auto"/>
                    <w:ind w:left="11442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14"/>
                      <w:szCs w:val="14"/>
                    </w:rPr>
                    <w:t>2</w:t>
                  </w:r>
                </w:p>
              </w:txbxContent>
            </v:textbox>
            <w10:wrap type="none"/>
          </v:shape>
        </w:pict>
      </w:r>
    </w:p>
    <w:p>
      <w:pPr>
        <w:spacing w:line="709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https://d.book118.com/648123054040006032</w:t>
        </w:r>
      </w:hyperlink>
    </w:p>
    <w:p>
      <w:pPr>
        <w:spacing w:line="709" w:lineRule="exact"/>
      </w:pPr>
    </w:p>
    <w:sectPr>
      <w:footerReference w:type="default" r:id="rId12"/>
      <w:type w:val="nextPage"/>
      <w:pgSz w:w="12240" w:h="15840"/>
      <w:pgMar w:top="607" w:right="0" w:bottom="1" w:left="0" w:header="0" w:footer="0" w:gutter="0"/>
      <w:pgNumType w:start="5"/>
      <w:cols w:num="1" w:space="708" w:equalWidth="0">
        <w:col w:w="12240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17"/>
      <w:szCs w:val="17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hyperlink" Target="https://d.book118.com/648123054040006032" TargetMode="External" /><Relationship Id="rId12" Type="http://schemas.openxmlformats.org/officeDocument/2006/relationships/footer" Target="footer5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2.png" /><Relationship Id="rId8" Type="http://schemas.openxmlformats.org/officeDocument/2006/relationships/footer" Target="footer3.xml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2024-01-29T19:43:46Z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2024-01-29T20:02:15Z</vt:filetime>
  </property>
  <property fmtid="{D5CDD505-2E9C-101B-9397-08002B2CF9AE}" pid="3" name="CRO">
    <vt:lpwstr>wqlLaW5nc29mdCBQREYgdG8gV1BTIDkw</vt:lpwstr>
  </property>
</Properties>
</file>