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68" w:line="221" w:lineRule="auto"/>
        <w:ind w:left="1624"/>
        <w:outlineLvl w:val="0"/>
        <w:rPr>
          <w:rFonts w:ascii="SimHei" w:eastAsia="SimHei" w:hAnsi="SimHei" w:cs="SimHei"/>
          <w:sz w:val="34"/>
          <w:szCs w:val="34"/>
        </w:rPr>
      </w:pPr>
      <w:r>
        <w:rPr>
          <w:rFonts w:ascii="SimHei" w:eastAsia="SimHei" w:hAnsi="SimHei" w:cs="SimHei"/>
          <w:b/>
          <w:bCs/>
          <w:spacing w:val="8"/>
          <w:sz w:val="34"/>
          <w:szCs w:val="34"/>
        </w:rPr>
        <w:t>题目：</w:t>
      </w:r>
      <w:r>
        <w:rPr>
          <w:rFonts w:ascii="SimSun" w:eastAsia="SimSun" w:hAnsi="SimSun" w:cs="SimSun"/>
          <w:b/>
          <w:bCs/>
          <w:sz w:val="34"/>
          <w:szCs w:val="34"/>
        </w:rPr>
        <w:t>XX</w:t>
      </w:r>
      <w:r>
        <w:rPr>
          <w:rFonts w:ascii="SimSun" w:eastAsia="SimSun" w:hAnsi="SimSun" w:cs="SimSun"/>
          <w:spacing w:val="125"/>
          <w:sz w:val="34"/>
          <w:szCs w:val="34"/>
        </w:rPr>
        <w:t xml:space="preserve"> </w:t>
      </w:r>
      <w:r>
        <w:rPr>
          <w:rFonts w:ascii="SimHei" w:eastAsia="SimHei" w:hAnsi="SimHei" w:cs="SimHei"/>
          <w:b/>
          <w:bCs/>
          <w:spacing w:val="8"/>
          <w:sz w:val="34"/>
          <w:szCs w:val="34"/>
        </w:rPr>
        <w:t>学校教学教学综合楼</w:t>
      </w:r>
    </w:p>
    <w:p>
      <w:pPr>
        <w:spacing w:before="320" w:line="219" w:lineRule="auto"/>
        <w:ind w:left="1619"/>
        <w:rPr>
          <w:rFonts w:ascii="SimSun" w:eastAsia="SimSun" w:hAnsi="SimSun" w:cs="SimSun"/>
          <w:sz w:val="34"/>
          <w:szCs w:val="34"/>
        </w:rPr>
      </w:pPr>
      <w:r>
        <w:rPr>
          <w:rFonts w:ascii="SimSun" w:eastAsia="SimSun" w:hAnsi="SimSun" w:cs="SimSun"/>
          <w:spacing w:val="43"/>
          <w:sz w:val="34"/>
          <w:szCs w:val="34"/>
        </w:rPr>
        <w:t>毕业设计共62页</w:t>
      </w:r>
    </w:p>
    <w:p>
      <w:pPr>
        <w:spacing w:before="336" w:line="226" w:lineRule="auto"/>
        <w:ind w:left="1620"/>
        <w:rPr>
          <w:rFonts w:ascii="SimSun" w:eastAsia="SimSun" w:hAnsi="SimSun" w:cs="SimSun"/>
          <w:sz w:val="34"/>
          <w:szCs w:val="34"/>
        </w:rPr>
      </w:pPr>
      <w:r>
        <w:rPr>
          <w:rFonts w:ascii="SimSun" w:eastAsia="SimSun" w:hAnsi="SimSun" w:cs="SimSun"/>
          <w:spacing w:val="-9"/>
          <w:sz w:val="34"/>
          <w:szCs w:val="34"/>
        </w:rPr>
        <w:t>图纸</w:t>
      </w:r>
      <w:r>
        <w:rPr>
          <w:rFonts w:ascii="SimSun" w:eastAsia="SimSun" w:hAnsi="SimSun" w:cs="SimSun"/>
          <w:spacing w:val="28"/>
          <w:sz w:val="34"/>
          <w:szCs w:val="34"/>
        </w:rPr>
        <w:t xml:space="preserve">    </w:t>
      </w:r>
      <w:r>
        <w:rPr>
          <w:rFonts w:ascii="SimSun" w:eastAsia="SimSun" w:hAnsi="SimSun" w:cs="SimSun"/>
          <w:spacing w:val="-9"/>
          <w:sz w:val="34"/>
          <w:szCs w:val="34"/>
        </w:rPr>
        <w:t>共</w:t>
      </w:r>
      <w:r>
        <w:rPr>
          <w:rFonts w:ascii="SimSun" w:eastAsia="SimSun" w:hAnsi="SimSun" w:cs="SimSun"/>
          <w:spacing w:val="-45"/>
          <w:sz w:val="34"/>
          <w:szCs w:val="34"/>
        </w:rPr>
        <w:t xml:space="preserve"> </w:t>
      </w:r>
      <w:r>
        <w:rPr>
          <w:rFonts w:ascii="SimSun" w:eastAsia="SimSun" w:hAnsi="SimSun" w:cs="SimSun"/>
          <w:spacing w:val="-9"/>
          <w:sz w:val="34"/>
          <w:szCs w:val="34"/>
        </w:rPr>
        <w:t>1</w:t>
      </w:r>
      <w:r>
        <w:rPr>
          <w:rFonts w:ascii="SimSun" w:eastAsia="SimSun" w:hAnsi="SimSun" w:cs="SimSun"/>
          <w:spacing w:val="-63"/>
          <w:sz w:val="34"/>
          <w:szCs w:val="34"/>
        </w:rPr>
        <w:t xml:space="preserve"> </w:t>
      </w:r>
      <w:r>
        <w:rPr>
          <w:rFonts w:ascii="SimSun" w:eastAsia="SimSun" w:hAnsi="SimSun" w:cs="SimSun"/>
          <w:spacing w:val="-9"/>
          <w:sz w:val="34"/>
          <w:szCs w:val="34"/>
        </w:rPr>
        <w:t>3</w:t>
      </w:r>
      <w:r>
        <w:rPr>
          <w:rFonts w:ascii="SimSun" w:eastAsia="SimSun" w:hAnsi="SimSun" w:cs="SimSun"/>
          <w:spacing w:val="118"/>
          <w:sz w:val="34"/>
          <w:szCs w:val="34"/>
        </w:rPr>
        <w:t xml:space="preserve"> </w:t>
      </w:r>
      <w:r>
        <w:rPr>
          <w:rFonts w:ascii="SimSun" w:eastAsia="SimSun" w:hAnsi="SimSun" w:cs="SimSun"/>
          <w:spacing w:val="-9"/>
          <w:sz w:val="34"/>
          <w:szCs w:val="34"/>
        </w:rPr>
        <w:t>页</w:t>
      </w:r>
    </w:p>
    <w:p>
      <w:pPr>
        <w:spacing w:before="313" w:line="750" w:lineRule="exact"/>
        <w:ind w:left="1620"/>
        <w:rPr>
          <w:rFonts w:ascii="SimSun" w:eastAsia="SimSun" w:hAnsi="SimSun" w:cs="SimSun"/>
          <w:sz w:val="34"/>
          <w:szCs w:val="34"/>
        </w:rPr>
      </w:pPr>
      <w:r>
        <w:rPr>
          <w:rFonts w:ascii="SimSun" w:eastAsia="SimSun" w:hAnsi="SimSun" w:cs="SimSun"/>
          <w:spacing w:val="21"/>
          <w:position w:val="31"/>
          <w:sz w:val="34"/>
          <w:szCs w:val="34"/>
        </w:rPr>
        <w:t>完成日期：2015年5月1日</w:t>
      </w:r>
    </w:p>
    <w:p>
      <w:pPr>
        <w:spacing w:before="1" w:line="219" w:lineRule="auto"/>
        <w:ind w:left="1620"/>
        <w:rPr>
          <w:rFonts w:ascii="SimSun" w:eastAsia="SimSun" w:hAnsi="SimSun" w:cs="SimSun"/>
          <w:sz w:val="34"/>
          <w:szCs w:val="34"/>
        </w:rPr>
      </w:pPr>
      <w:r>
        <w:rPr>
          <w:rFonts w:ascii="SimSun" w:eastAsia="SimSun" w:hAnsi="SimSun" w:cs="SimSun"/>
          <w:spacing w:val="24"/>
          <w:sz w:val="34"/>
          <w:szCs w:val="34"/>
        </w:rPr>
        <w:t>答辩日期：2015年5月16日</w:t>
      </w:r>
    </w:p>
    <w:p>
      <w:pPr>
        <w:spacing w:line="219" w:lineRule="auto"/>
        <w:rPr>
          <w:rFonts w:ascii="SimSun" w:eastAsia="SimSun" w:hAnsi="SimSun" w:cs="SimSun"/>
          <w:sz w:val="34"/>
          <w:szCs w:val="34"/>
        </w:rPr>
        <w:sectPr>
          <w:pgSz w:w="20000" w:h="28260"/>
          <w:pgMar w:top="1817" w:right="3000" w:bottom="0" w:left="3000" w:header="0" w:footer="0" w:gutter="0"/>
          <w:cols w:space="708"/>
        </w:sectPr>
      </w:pPr>
    </w:p>
    <w:p>
      <w:pPr>
        <w:spacing w:before="85" w:line="222" w:lineRule="auto"/>
        <w:ind w:left="6746"/>
        <w:rPr>
          <w:rFonts w:ascii="SimHei" w:eastAsia="SimHei" w:hAnsi="SimHei" w:cs="SimHei"/>
          <w:sz w:val="42"/>
          <w:szCs w:val="42"/>
        </w:rPr>
      </w:pPr>
      <w:r>
        <w:rPr>
          <w:rFonts w:ascii="SimHei" w:eastAsia="SimHei" w:hAnsi="SimHei" w:cs="SimHei"/>
          <w:b/>
          <w:bCs/>
          <w:spacing w:val="-9"/>
          <w:sz w:val="42"/>
          <w:szCs w:val="42"/>
        </w:rPr>
        <w:t>摘要</w:t>
      </w:r>
    </w:p>
    <w:p>
      <w:pPr>
        <w:spacing w:line="413" w:lineRule="auto"/>
        <w:rPr>
          <w:rFonts w:ascii="Arial"/>
          <w:sz w:val="21"/>
        </w:rPr>
      </w:pPr>
    </w:p>
    <w:p>
      <w:pPr>
        <w:pStyle w:val="BodyText"/>
        <w:spacing w:before="91" w:line="369" w:lineRule="auto"/>
        <w:ind w:left="1620" w:right="1269" w:firstLine="599"/>
        <w:jc w:val="both"/>
      </w:pPr>
      <w:r>
        <w:rPr>
          <w:spacing w:val="2"/>
        </w:rPr>
        <w:t>本工程概况为地上5层，框架结构，</w:t>
      </w:r>
      <w:r>
        <w:rPr>
          <w:spacing w:val="86"/>
        </w:rPr>
        <w:t xml:space="preserve"> </w:t>
      </w:r>
      <w:r>
        <w:rPr>
          <w:spacing w:val="2"/>
        </w:rPr>
        <w:t>一层为办公室及公厕，</w:t>
      </w:r>
      <w:r>
        <w:rPr>
          <w:spacing w:val="1"/>
        </w:rPr>
        <w:t>二至五层为教室等，其中</w:t>
      </w:r>
      <w:r>
        <w:t xml:space="preserve"> </w:t>
      </w:r>
      <w:r>
        <w:rPr>
          <w:spacing w:val="7"/>
        </w:rPr>
        <w:t>三层设一阶梯教室，总建筑面积为3294.60平方米，本地区地震基本烈度为六度，设计基</w:t>
      </w:r>
      <w:r>
        <w:rPr>
          <w:spacing w:val="17"/>
        </w:rPr>
        <w:t xml:space="preserve"> </w:t>
      </w:r>
      <w:r>
        <w:rPr>
          <w:spacing w:val="4"/>
        </w:rPr>
        <w:t>准期为五十年，建筑安全等级为二级。工程采用施工图预算编制方法，施工图预算作为建</w:t>
      </w:r>
      <w:r>
        <w:rPr>
          <w:spacing w:val="15"/>
        </w:rPr>
        <w:t xml:space="preserve"> </w:t>
      </w:r>
      <w:r>
        <w:rPr>
          <w:spacing w:val="4"/>
        </w:rPr>
        <w:t>筑工程造价的重要依据，是招标、投标、签订施工合同、工程施工管理和竣工决算的重要</w:t>
      </w:r>
      <w:r>
        <w:rPr>
          <w:spacing w:val="17"/>
        </w:rPr>
        <w:t xml:space="preserve"> </w:t>
      </w:r>
      <w:r>
        <w:rPr>
          <w:spacing w:val="4"/>
        </w:rPr>
        <w:t>文件，根据具体工程采取科学合理的方法编制施工图预算，对确保工程造价的准确性具有</w:t>
      </w:r>
      <w:r>
        <w:rPr>
          <w:spacing w:val="17"/>
        </w:rPr>
        <w:t xml:space="preserve"> </w:t>
      </w:r>
      <w:r>
        <w:rPr>
          <w:spacing w:val="4"/>
        </w:rPr>
        <w:t>十分重要的意义。毕业设计过程中，通过熟悉图纸、图集、定</w:t>
      </w:r>
      <w:r>
        <w:rPr>
          <w:spacing w:val="3"/>
        </w:rPr>
        <w:t>额了解工程基本情况根据工</w:t>
      </w:r>
    </w:p>
    <w:p>
      <w:pPr>
        <w:pStyle w:val="BodyText"/>
        <w:spacing w:line="219" w:lineRule="auto"/>
        <w:ind w:left="1620"/>
      </w:pPr>
      <w:r>
        <w:rPr>
          <w:spacing w:val="5"/>
        </w:rPr>
        <w:t>程量计算基础工程、混凝土工程、砌筑工程钢筋工程、装饰装修工程，选取广联达软件套</w:t>
      </w:r>
    </w:p>
    <w:p>
      <w:pPr>
        <w:pStyle w:val="BodyText"/>
        <w:spacing w:before="225" w:line="218" w:lineRule="auto"/>
        <w:ind w:left="1620"/>
      </w:pPr>
      <w:r>
        <w:rPr>
          <w:spacing w:val="-1"/>
        </w:rPr>
        <w:t>用宁夏地区清单得出工程项目总造价。</w:t>
      </w:r>
    </w:p>
    <w:p>
      <w:pPr>
        <w:pStyle w:val="BodyText"/>
        <w:spacing w:before="98" w:line="221" w:lineRule="auto"/>
        <w:ind w:left="1624"/>
      </w:pPr>
      <w:r>
        <w:rPr>
          <w:rFonts w:ascii="SimHei" w:eastAsia="SimHei" w:hAnsi="SimHei" w:cs="SimHei"/>
          <w:b/>
          <w:bCs/>
          <w:spacing w:val="3"/>
        </w:rPr>
        <w:t>关键词</w:t>
      </w:r>
      <w:r>
        <w:rPr>
          <w:b/>
          <w:bCs/>
          <w:spacing w:val="3"/>
        </w:rPr>
        <w:t>：</w:t>
      </w:r>
      <w:r>
        <w:rPr>
          <w:spacing w:val="3"/>
        </w:rPr>
        <w:t>施工图预算；工程量；总造价；工程量清单</w:t>
      </w:r>
    </w:p>
    <w:p>
      <w:pPr>
        <w:spacing w:line="221" w:lineRule="auto"/>
        <w:sectPr>
          <w:pgSz w:w="20000" w:h="28260"/>
          <w:pgMar w:top="1755" w:right="3000" w:bottom="0" w:left="3000" w:header="0" w:footer="0" w:gutter="0"/>
          <w:pgNumType w:start="2"/>
          <w:cols w:space="708"/>
        </w:sectPr>
      </w:pPr>
    </w:p>
    <w:p>
      <w:pPr>
        <w:spacing w:before="179" w:line="222" w:lineRule="auto"/>
        <w:ind w:left="6746"/>
        <w:rPr>
          <w:rFonts w:ascii="SimHei" w:eastAsia="SimHei" w:hAnsi="SimHei" w:cs="SimHei"/>
          <w:sz w:val="43"/>
          <w:szCs w:val="43"/>
        </w:rPr>
      </w:pPr>
      <w:r>
        <w:rPr>
          <w:rFonts w:ascii="SimHei" w:eastAsia="SimHei" w:hAnsi="SimHei" w:cs="SimHei"/>
          <w:b/>
          <w:bCs/>
          <w:spacing w:val="-3"/>
          <w:sz w:val="43"/>
          <w:szCs w:val="43"/>
        </w:rPr>
        <w:t>前言</w:t>
      </w:r>
    </w:p>
    <w:p>
      <w:pPr>
        <w:pStyle w:val="BodyText"/>
        <w:spacing w:before="215" w:line="362" w:lineRule="auto"/>
        <w:ind w:left="1610" w:right="1276" w:firstLine="609"/>
      </w:pPr>
      <w:r>
        <w:rPr>
          <w:spacing w:val="6"/>
        </w:rPr>
        <w:t>本次设计是以</w:t>
      </w:r>
      <w:r>
        <w:rPr>
          <w:rFonts w:ascii="Times New Roman" w:eastAsia="Times New Roman" w:hAnsi="Times New Roman" w:cs="Times New Roman"/>
        </w:rPr>
        <w:t>XX</w:t>
      </w:r>
      <w:r>
        <w:rPr>
          <w:rFonts w:ascii="Times New Roman" w:eastAsia="Times New Roman" w:hAnsi="Times New Roman" w:cs="Times New Roman"/>
          <w:spacing w:val="6"/>
        </w:rPr>
        <w:t xml:space="preserve"> </w:t>
      </w:r>
      <w:r>
        <w:rPr>
          <w:spacing w:val="6"/>
        </w:rPr>
        <w:t>学校教学综合楼施工图为依据，通过图纸会审、工程量计算、编制</w:t>
      </w:r>
      <w:r>
        <w:rPr>
          <w:spacing w:val="12"/>
        </w:rPr>
        <w:t xml:space="preserve"> </w:t>
      </w:r>
      <w:r>
        <w:rPr>
          <w:spacing w:val="5"/>
        </w:rPr>
        <w:t>工程量清单，在综合运用所学知识的过程中，建立</w:t>
      </w:r>
      <w:r>
        <w:rPr>
          <w:spacing w:val="4"/>
        </w:rPr>
        <w:t>理论与实践相结合的完整概念。本工程</w:t>
      </w:r>
      <w:r>
        <w:t xml:space="preserve"> </w:t>
      </w:r>
      <w:r>
        <w:rPr>
          <w:spacing w:val="2"/>
        </w:rPr>
        <w:t>概况为地上5层，框架结构，</w:t>
      </w:r>
      <w:r>
        <w:rPr>
          <w:spacing w:val="102"/>
        </w:rPr>
        <w:t xml:space="preserve"> </w:t>
      </w:r>
      <w:r>
        <w:rPr>
          <w:spacing w:val="2"/>
        </w:rPr>
        <w:t>一层为办公室及公厕，二至五层为教室等，其中三层设一阶</w:t>
      </w:r>
      <w:r>
        <w:t xml:space="preserve"> </w:t>
      </w:r>
      <w:r>
        <w:rPr>
          <w:spacing w:val="7"/>
        </w:rPr>
        <w:t>梯教室，总建筑面积为3294.60平方米，本地区地震基本烈度为六度，设计基准期为五十</w:t>
      </w:r>
      <w:r>
        <w:rPr>
          <w:spacing w:val="8"/>
        </w:rPr>
        <w:t xml:space="preserve"> </w:t>
      </w:r>
      <w:r>
        <w:rPr>
          <w:spacing w:val="3"/>
        </w:rPr>
        <w:t>年，建筑安全等级为二级。此次设计也就是根据实际工程为例子进行施工图预算的编制、</w:t>
      </w:r>
    </w:p>
    <w:p>
      <w:pPr>
        <w:pStyle w:val="BodyText"/>
        <w:spacing w:before="1" w:line="217" w:lineRule="auto"/>
        <w:ind w:left="1610"/>
      </w:pPr>
      <w:r>
        <w:rPr>
          <w:spacing w:val="1"/>
        </w:rPr>
        <w:t>简单工程量的计算及工程总造价的预算。</w:t>
      </w:r>
    </w:p>
    <w:p>
      <w:pPr>
        <w:pStyle w:val="BodyText"/>
        <w:spacing w:before="238" w:line="370" w:lineRule="auto"/>
        <w:ind w:left="1610" w:right="1278" w:firstLine="610"/>
      </w:pPr>
      <w:r>
        <w:rPr>
          <w:spacing w:val="4"/>
        </w:rPr>
        <w:t>工程造价是项目决策的依据，是制定投资计划和控制投资的依据，</w:t>
      </w:r>
      <w:r>
        <w:rPr>
          <w:spacing w:val="3"/>
        </w:rPr>
        <w:t>是筹集建设资金的</w:t>
      </w:r>
      <w:r>
        <w:t xml:space="preserve"> </w:t>
      </w:r>
      <w:r>
        <w:rPr>
          <w:spacing w:val="4"/>
        </w:rPr>
        <w:t>依据，是评价投资效果的重要指标，是利益合理分配和调节产业结构的手段。建筑施工市</w:t>
      </w:r>
      <w:r>
        <w:rPr>
          <w:spacing w:val="9"/>
        </w:rPr>
        <w:t xml:space="preserve"> </w:t>
      </w:r>
      <w:r>
        <w:rPr>
          <w:spacing w:val="1"/>
        </w:rPr>
        <w:t>场上流行一句话“一个工程干得好不如管得好，</w:t>
      </w:r>
      <w:r>
        <w:t>管得好不如算得好”,工程造价的重要性可</w:t>
      </w:r>
    </w:p>
    <w:p>
      <w:pPr>
        <w:pStyle w:val="BodyText"/>
        <w:spacing w:line="219" w:lineRule="auto"/>
        <w:ind w:left="1610"/>
      </w:pPr>
      <w:r>
        <w:rPr>
          <w:spacing w:val="-9"/>
        </w:rPr>
        <w:t>见一斑。</w:t>
      </w:r>
    </w:p>
    <w:p>
      <w:pPr>
        <w:pStyle w:val="BodyText"/>
        <w:spacing w:before="256" w:line="363" w:lineRule="auto"/>
        <w:ind w:left="1610" w:right="1288" w:firstLine="550"/>
      </w:pPr>
      <w:r>
        <w:rPr>
          <w:spacing w:val="5"/>
        </w:rPr>
        <w:t>毋庸置疑，造价在现在的社会的发展的需求当中慢慢</w:t>
      </w:r>
      <w:r>
        <w:rPr>
          <w:spacing w:val="4"/>
        </w:rPr>
        <w:t>的越来越重要。从最初工程造价</w:t>
      </w:r>
      <w:r>
        <w:t xml:space="preserve"> </w:t>
      </w:r>
      <w:r>
        <w:rPr>
          <w:spacing w:val="5"/>
        </w:rPr>
        <w:t>在我国的的形成，到随着经济体制的改革和发展变化</w:t>
      </w:r>
      <w:r>
        <w:rPr>
          <w:spacing w:val="4"/>
        </w:rPr>
        <w:t>，工程造价也在随之改变着发展的过</w:t>
      </w:r>
      <w:r>
        <w:t xml:space="preserve"> </w:t>
      </w:r>
      <w:r>
        <w:rPr>
          <w:spacing w:val="3"/>
        </w:rPr>
        <w:t>程。现今的的市场化、国际化发展亦使得工程造价管理体制改革逐渐的合理化和科学化，</w:t>
      </w:r>
      <w:r>
        <w:rPr>
          <w:spacing w:val="11"/>
        </w:rPr>
        <w:t xml:space="preserve"> </w:t>
      </w:r>
      <w:r>
        <w:rPr>
          <w:spacing w:val="5"/>
        </w:rPr>
        <w:t>使得现行工程定额管理方式，实行量价分离，从而逐步</w:t>
      </w:r>
      <w:r>
        <w:rPr>
          <w:spacing w:val="4"/>
        </w:rPr>
        <w:t>建立起工程定额作为指导市场竞争</w:t>
      </w:r>
    </w:p>
    <w:p>
      <w:pPr>
        <w:pStyle w:val="BodyText"/>
        <w:spacing w:line="220" w:lineRule="auto"/>
        <w:ind w:left="1610"/>
      </w:pPr>
      <w:r>
        <w:rPr>
          <w:spacing w:val="-2"/>
        </w:rPr>
        <w:t>形成的体制。</w:t>
      </w:r>
    </w:p>
    <w:p>
      <w:pPr>
        <w:pStyle w:val="BodyText"/>
        <w:spacing w:before="204" w:line="571" w:lineRule="exact"/>
        <w:ind w:left="2159"/>
      </w:pPr>
      <w:r>
        <w:rPr>
          <w:spacing w:val="5"/>
          <w:position w:val="22"/>
        </w:rPr>
        <w:t>本次设计的意义就是通过实际工程进行工程量计算、招标文件编制，使我们具备初步</w:t>
      </w:r>
    </w:p>
    <w:p>
      <w:pPr>
        <w:pStyle w:val="BodyText"/>
        <w:spacing w:line="219" w:lineRule="auto"/>
        <w:ind w:left="1610"/>
      </w:pPr>
      <w:r>
        <w:rPr>
          <w:spacing w:val="1"/>
        </w:rPr>
        <w:t>工作能力，通过此次设计为以后的工作打下坚实基础。</w:t>
      </w:r>
    </w:p>
    <w:p>
      <w:pPr>
        <w:spacing w:line="219" w:lineRule="auto"/>
        <w:sectPr>
          <w:pgSz w:w="20000" w:h="28260"/>
          <w:pgMar w:top="2402" w:right="3000" w:bottom="0" w:left="3000" w:header="0" w:footer="0" w:gutter="0"/>
          <w:pgNumType w:start="3"/>
          <w:cols w:space="708"/>
        </w:sectPr>
      </w:pPr>
    </w:p>
    <w:sdt>
      <w:sdtPr>
        <w:rPr>
          <w:rFonts w:ascii="KaiTi" w:eastAsia="KaiTi" w:hAnsi="KaiTi" w:cs="KaiTi"/>
          <w:sz w:val="46"/>
          <w:szCs w:val="46"/>
        </w:rPr>
        <w:id w:val="1121878474"/>
        <w:docPartObj>
          <w:docPartGallery w:val="Table of Contents"/>
          <w:docPartUnique/>
        </w:docPartObj>
      </w:sdtPr>
      <w:sdtEndPr>
        <w:rPr>
          <w:rFonts w:ascii="Times New Roman" w:eastAsia="Times New Roman" w:hAnsi="Times New Roman" w:cs="Times New Roman"/>
          <w:sz w:val="33"/>
          <w:szCs w:val="33"/>
        </w:rPr>
      </w:sdtEndPr>
      <w:sdtContent>
        <w:p>
          <w:pPr>
            <w:spacing w:before="157" w:line="227" w:lineRule="auto"/>
            <w:ind w:left="6696"/>
            <w:rPr>
              <w:rFonts w:ascii="KaiTi" w:eastAsia="KaiTi" w:hAnsi="KaiTi" w:cs="KaiTi"/>
              <w:sz w:val="46"/>
              <w:szCs w:val="46"/>
            </w:rPr>
          </w:pPr>
          <w:bookmarkStart w:id="0" w:name="bookmark1"/>
          <w:bookmarkEnd w:id="0"/>
          <w:r>
            <w:rPr>
              <w:rFonts w:ascii="KaiTi" w:eastAsia="KaiTi" w:hAnsi="KaiTi" w:cs="KaiTi"/>
              <w:b/>
              <w:bCs/>
              <w:spacing w:val="-51"/>
              <w:sz w:val="46"/>
              <w:szCs w:val="46"/>
            </w:rPr>
            <w:t>目</w:t>
          </w:r>
          <w:r>
            <w:rPr>
              <w:rFonts w:ascii="KaiTi" w:eastAsia="KaiTi" w:hAnsi="KaiTi" w:cs="KaiTi"/>
              <w:spacing w:val="-51"/>
              <w:sz w:val="46"/>
              <w:szCs w:val="46"/>
            </w:rPr>
            <w:t xml:space="preserve"> </w:t>
          </w:r>
          <w:r>
            <w:rPr>
              <w:rFonts w:ascii="KaiTi" w:eastAsia="KaiTi" w:hAnsi="KaiTi" w:cs="KaiTi"/>
              <w:b/>
              <w:bCs/>
              <w:spacing w:val="-51"/>
              <w:sz w:val="46"/>
              <w:szCs w:val="46"/>
            </w:rPr>
            <w:t>录</w:t>
          </w:r>
        </w:p>
        <w:p>
          <w:pPr>
            <w:tabs>
              <w:tab w:val="right" w:leader="dot" w:pos="12635"/>
            </w:tabs>
            <w:spacing w:before="238" w:line="227" w:lineRule="auto"/>
            <w:ind w:left="1600"/>
            <w:rPr>
              <w:rFonts w:ascii="Times New Roman" w:eastAsia="Times New Roman" w:hAnsi="Times New Roman" w:cs="Times New Roman"/>
              <w:sz w:val="33"/>
              <w:szCs w:val="33"/>
            </w:rPr>
          </w:pPr>
          <w:r>
            <w:rPr>
              <w:rFonts w:ascii="Times New Roman" w:eastAsia="Times New Roman" w:hAnsi="Times New Roman" w:cs="Times New Roman"/>
              <w:spacing w:val="15"/>
              <w:sz w:val="33"/>
              <w:szCs w:val="33"/>
            </w:rPr>
            <w:t xml:space="preserve">1 </w:t>
          </w:r>
          <w:r>
            <w:rPr>
              <w:rFonts w:ascii="KaiTi" w:eastAsia="KaiTi" w:hAnsi="KaiTi" w:cs="KaiTi"/>
              <w:spacing w:val="15"/>
              <w:sz w:val="33"/>
              <w:szCs w:val="33"/>
            </w:rPr>
            <w:t>造价文件编制说明</w:t>
          </w:r>
          <w:r>
            <w:rPr>
              <w:rFonts w:ascii="KaiTi" w:eastAsia="KaiTi" w:hAnsi="KaiTi" w:cs="KaiTi"/>
              <w:sz w:val="33"/>
              <w:szCs w:val="33"/>
            </w:rPr>
            <w:tab/>
          </w:r>
          <w:hyperlink w:anchor="bookmark2" w:history="1">
            <w:r>
              <w:rPr>
                <w:rFonts w:ascii="Times New Roman" w:eastAsia="Times New Roman" w:hAnsi="Times New Roman" w:cs="Times New Roman"/>
                <w:sz w:val="33"/>
                <w:szCs w:val="33"/>
              </w:rPr>
              <w:t>1</w:t>
            </w:r>
          </w:hyperlink>
        </w:p>
        <w:p>
          <w:pPr>
            <w:tabs>
              <w:tab w:val="right" w:leader="dot" w:pos="12675"/>
            </w:tabs>
            <w:spacing w:before="328" w:line="229" w:lineRule="auto"/>
            <w:ind w:left="1600"/>
            <w:rPr>
              <w:rFonts w:ascii="Times New Roman" w:eastAsia="Times New Roman" w:hAnsi="Times New Roman" w:cs="Times New Roman"/>
              <w:sz w:val="33"/>
              <w:szCs w:val="33"/>
            </w:rPr>
          </w:pPr>
          <w:r>
            <w:rPr>
              <w:rFonts w:ascii="Times New Roman" w:eastAsia="Times New Roman" w:hAnsi="Times New Roman" w:cs="Times New Roman"/>
              <w:spacing w:val="-1"/>
              <w:sz w:val="33"/>
              <w:szCs w:val="33"/>
            </w:rPr>
            <w:t>1.1</w:t>
          </w:r>
          <w:r>
            <w:rPr>
              <w:rFonts w:ascii="Times New Roman" w:eastAsia="Times New Roman" w:hAnsi="Times New Roman" w:cs="Times New Roman"/>
              <w:spacing w:val="13"/>
              <w:sz w:val="33"/>
              <w:szCs w:val="33"/>
            </w:rPr>
            <w:t xml:space="preserve">  </w:t>
          </w:r>
          <w:r>
            <w:rPr>
              <w:rFonts w:ascii="KaiTi" w:eastAsia="KaiTi" w:hAnsi="KaiTi" w:cs="KaiTi"/>
              <w:spacing w:val="-1"/>
              <w:sz w:val="33"/>
              <w:szCs w:val="33"/>
            </w:rPr>
            <w:t>编制依据</w:t>
          </w:r>
          <w:r>
            <w:rPr>
              <w:rFonts w:ascii="KaiTi" w:eastAsia="KaiTi" w:hAnsi="KaiTi" w:cs="KaiTi"/>
              <w:spacing w:val="-143"/>
              <w:sz w:val="33"/>
              <w:szCs w:val="33"/>
            </w:rPr>
            <w:t xml:space="preserve"> </w:t>
          </w:r>
          <w:r>
            <w:rPr>
              <w:rFonts w:ascii="KaiTi" w:eastAsia="KaiTi" w:hAnsi="KaiTi" w:cs="KaiTi"/>
              <w:sz w:val="33"/>
              <w:szCs w:val="33"/>
            </w:rPr>
            <w:tab/>
          </w:r>
          <w:r>
            <w:rPr>
              <w:rFonts w:ascii="KaiTi" w:eastAsia="KaiTi" w:hAnsi="KaiTi" w:cs="KaiTi"/>
              <w:spacing w:val="-29"/>
              <w:sz w:val="33"/>
              <w:szCs w:val="33"/>
            </w:rPr>
            <w:t xml:space="preserve"> </w:t>
          </w:r>
          <w:hyperlink w:anchor="bookmark3" w:history="1">
            <w:r>
              <w:rPr>
                <w:rFonts w:ascii="Times New Roman" w:eastAsia="Times New Roman" w:hAnsi="Times New Roman" w:cs="Times New Roman"/>
                <w:sz w:val="33"/>
                <w:szCs w:val="33"/>
              </w:rPr>
              <w:t>1</w:t>
            </w:r>
          </w:hyperlink>
        </w:p>
        <w:p>
          <w:pPr>
            <w:tabs>
              <w:tab w:val="right" w:leader="dot" w:pos="12615"/>
            </w:tabs>
            <w:spacing w:before="323" w:line="232" w:lineRule="auto"/>
            <w:ind w:left="1600"/>
            <w:rPr>
              <w:rFonts w:ascii="Times New Roman" w:eastAsia="Times New Roman" w:hAnsi="Times New Roman" w:cs="Times New Roman"/>
              <w:sz w:val="33"/>
              <w:szCs w:val="33"/>
            </w:rPr>
          </w:pPr>
          <w:r>
            <w:rPr>
              <w:rFonts w:ascii="Times New Roman" w:eastAsia="Times New Roman" w:hAnsi="Times New Roman" w:cs="Times New Roman"/>
              <w:spacing w:val="6"/>
              <w:sz w:val="33"/>
              <w:szCs w:val="33"/>
            </w:rPr>
            <w:t xml:space="preserve">2.2   </w:t>
          </w:r>
          <w:r>
            <w:rPr>
              <w:rFonts w:ascii="KaiTi" w:eastAsia="KaiTi" w:hAnsi="KaiTi" w:cs="KaiTi"/>
              <w:spacing w:val="6"/>
              <w:sz w:val="33"/>
              <w:szCs w:val="33"/>
            </w:rPr>
            <w:t>项目概况</w:t>
          </w:r>
          <w:r>
            <w:rPr>
              <w:rFonts w:ascii="KaiTi" w:eastAsia="KaiTi" w:hAnsi="KaiTi" w:cs="KaiTi"/>
              <w:sz w:val="33"/>
              <w:szCs w:val="33"/>
            </w:rPr>
            <w:tab/>
          </w:r>
          <w:hyperlink w:anchor="bookmark4" w:history="1">
            <w:r>
              <w:rPr>
                <w:rFonts w:ascii="Times New Roman" w:eastAsia="Times New Roman" w:hAnsi="Times New Roman" w:cs="Times New Roman"/>
                <w:sz w:val="33"/>
                <w:szCs w:val="33"/>
              </w:rPr>
              <w:t>1</w:t>
            </w:r>
          </w:hyperlink>
        </w:p>
        <w:p>
          <w:pPr>
            <w:spacing w:line="244" w:lineRule="auto"/>
            <w:rPr>
              <w:rFonts w:ascii="Arial"/>
              <w:sz w:val="21"/>
            </w:rPr>
          </w:pPr>
        </w:p>
        <w:p>
          <w:pPr>
            <w:tabs>
              <w:tab w:val="right" w:leader="dot" w:pos="12648"/>
            </w:tabs>
            <w:spacing w:before="107" w:line="229" w:lineRule="auto"/>
            <w:ind w:left="1600"/>
            <w:rPr>
              <w:rFonts w:ascii="Times New Roman" w:eastAsia="Times New Roman" w:hAnsi="Times New Roman" w:cs="Times New Roman"/>
              <w:sz w:val="33"/>
              <w:szCs w:val="33"/>
            </w:rPr>
          </w:pPr>
          <w:r>
            <w:rPr>
              <w:rFonts w:ascii="Times New Roman" w:eastAsia="Times New Roman" w:hAnsi="Times New Roman" w:cs="Times New Roman"/>
              <w:spacing w:val="6"/>
              <w:sz w:val="33"/>
              <w:szCs w:val="33"/>
            </w:rPr>
            <w:t>2</w:t>
          </w:r>
          <w:r>
            <w:rPr>
              <w:rFonts w:ascii="Times New Roman" w:eastAsia="Times New Roman" w:hAnsi="Times New Roman" w:cs="Times New Roman"/>
              <w:spacing w:val="-14"/>
              <w:sz w:val="33"/>
              <w:szCs w:val="33"/>
            </w:rPr>
            <w:t xml:space="preserve"> </w:t>
          </w:r>
          <w:r>
            <w:rPr>
              <w:rFonts w:ascii="KaiTi" w:eastAsia="KaiTi" w:hAnsi="KaiTi" w:cs="KaiTi"/>
              <w:spacing w:val="6"/>
              <w:sz w:val="33"/>
              <w:szCs w:val="33"/>
            </w:rPr>
            <w:t>招标控制价编制依据和方法</w:t>
          </w:r>
          <w:r>
            <w:rPr>
              <w:rFonts w:ascii="KaiTi" w:eastAsia="KaiTi" w:hAnsi="KaiTi" w:cs="KaiTi"/>
              <w:spacing w:val="-148"/>
              <w:sz w:val="33"/>
              <w:szCs w:val="33"/>
            </w:rPr>
            <w:t xml:space="preserve"> </w:t>
          </w:r>
          <w:r>
            <w:rPr>
              <w:rFonts w:ascii="KaiTi" w:eastAsia="KaiTi" w:hAnsi="KaiTi" w:cs="KaiTi"/>
              <w:sz w:val="33"/>
              <w:szCs w:val="33"/>
            </w:rPr>
            <w:tab/>
          </w:r>
          <w:hyperlink w:anchor="bookmark5" w:history="1">
            <w:r>
              <w:rPr>
                <w:rFonts w:ascii="Times New Roman" w:eastAsia="Times New Roman" w:hAnsi="Times New Roman" w:cs="Times New Roman"/>
                <w:spacing w:val="30"/>
                <w:sz w:val="33"/>
                <w:szCs w:val="33"/>
              </w:rPr>
              <w:t>2</w:t>
            </w:r>
          </w:hyperlink>
        </w:p>
        <w:p>
          <w:pPr>
            <w:tabs>
              <w:tab w:val="right" w:leader="dot" w:pos="12668"/>
            </w:tabs>
            <w:spacing w:before="340" w:line="229" w:lineRule="auto"/>
            <w:ind w:left="1600"/>
            <w:rPr>
              <w:rFonts w:ascii="Times New Roman" w:eastAsia="Times New Roman" w:hAnsi="Times New Roman" w:cs="Times New Roman"/>
              <w:sz w:val="33"/>
              <w:szCs w:val="33"/>
            </w:rPr>
          </w:pPr>
          <w:r>
            <w:rPr>
              <w:rFonts w:ascii="Times New Roman" w:eastAsia="Times New Roman" w:hAnsi="Times New Roman" w:cs="Times New Roman"/>
              <w:spacing w:val="5"/>
              <w:sz w:val="33"/>
              <w:szCs w:val="33"/>
            </w:rPr>
            <w:t>2.1</w:t>
          </w:r>
          <w:r>
            <w:rPr>
              <w:rFonts w:ascii="Times New Roman" w:eastAsia="Times New Roman" w:hAnsi="Times New Roman" w:cs="Times New Roman"/>
              <w:spacing w:val="71"/>
              <w:w w:val="101"/>
              <w:sz w:val="33"/>
              <w:szCs w:val="33"/>
            </w:rPr>
            <w:t xml:space="preserve"> </w:t>
          </w:r>
          <w:r>
            <w:rPr>
              <w:rFonts w:ascii="KaiTi" w:eastAsia="KaiTi" w:hAnsi="KaiTi" w:cs="KaiTi"/>
              <w:spacing w:val="5"/>
              <w:sz w:val="33"/>
              <w:szCs w:val="33"/>
            </w:rPr>
            <w:t>招标控制价的概念</w:t>
          </w:r>
          <w:r>
            <w:rPr>
              <w:rFonts w:ascii="KaiTi" w:eastAsia="KaiTi" w:hAnsi="KaiTi" w:cs="KaiTi"/>
              <w:spacing w:val="-138"/>
              <w:sz w:val="33"/>
              <w:szCs w:val="33"/>
            </w:rPr>
            <w:t xml:space="preserve"> </w:t>
          </w:r>
          <w:r>
            <w:rPr>
              <w:rFonts w:ascii="KaiTi" w:eastAsia="KaiTi" w:hAnsi="KaiTi" w:cs="KaiTi"/>
              <w:sz w:val="33"/>
              <w:szCs w:val="33"/>
            </w:rPr>
            <w:tab/>
          </w:r>
          <w:r>
            <w:rPr>
              <w:rFonts w:ascii="KaiTi" w:eastAsia="KaiTi" w:hAnsi="KaiTi" w:cs="KaiTi"/>
              <w:spacing w:val="-99"/>
              <w:sz w:val="33"/>
              <w:szCs w:val="33"/>
            </w:rPr>
            <w:t xml:space="preserve"> </w:t>
          </w:r>
          <w:hyperlink w:anchor="bookmark6" w:history="1">
            <w:r>
              <w:rPr>
                <w:rFonts w:ascii="Times New Roman" w:eastAsia="Times New Roman" w:hAnsi="Times New Roman" w:cs="Times New Roman"/>
                <w:sz w:val="33"/>
                <w:szCs w:val="33"/>
              </w:rPr>
              <w:t>2</w:t>
            </w:r>
          </w:hyperlink>
        </w:p>
        <w:p>
          <w:pPr>
            <w:tabs>
              <w:tab w:val="right" w:leader="dot" w:pos="12648"/>
            </w:tabs>
            <w:spacing w:before="321" w:line="229" w:lineRule="auto"/>
            <w:ind w:left="1600"/>
            <w:rPr>
              <w:rFonts w:ascii="Times New Roman" w:eastAsia="Times New Roman" w:hAnsi="Times New Roman" w:cs="Times New Roman"/>
              <w:sz w:val="33"/>
              <w:szCs w:val="33"/>
            </w:rPr>
          </w:pPr>
          <w:r>
            <w:rPr>
              <w:rFonts w:ascii="Times New Roman" w:eastAsia="Times New Roman" w:hAnsi="Times New Roman" w:cs="Times New Roman"/>
              <w:spacing w:val="4"/>
              <w:sz w:val="33"/>
              <w:szCs w:val="33"/>
            </w:rPr>
            <w:t xml:space="preserve">2.2  </w:t>
          </w:r>
          <w:r>
            <w:rPr>
              <w:rFonts w:ascii="KaiTi" w:eastAsia="KaiTi" w:hAnsi="KaiTi" w:cs="KaiTi"/>
              <w:spacing w:val="4"/>
              <w:sz w:val="33"/>
              <w:szCs w:val="33"/>
            </w:rPr>
            <w:t>招标控制价的编制依据</w:t>
          </w:r>
          <w:r>
            <w:rPr>
              <w:rFonts w:ascii="KaiTi" w:eastAsia="KaiTi" w:hAnsi="KaiTi" w:cs="KaiTi"/>
              <w:spacing w:val="-143"/>
              <w:sz w:val="33"/>
              <w:szCs w:val="33"/>
            </w:rPr>
            <w:t xml:space="preserve"> </w:t>
          </w:r>
          <w:r>
            <w:rPr>
              <w:rFonts w:ascii="KaiTi" w:eastAsia="KaiTi" w:hAnsi="KaiTi" w:cs="KaiTi"/>
              <w:sz w:val="33"/>
              <w:szCs w:val="33"/>
            </w:rPr>
            <w:tab/>
          </w:r>
          <w:hyperlink w:anchor="bookmark7" w:history="1">
            <w:r>
              <w:rPr>
                <w:rFonts w:ascii="Times New Roman" w:eastAsia="Times New Roman" w:hAnsi="Times New Roman" w:cs="Times New Roman"/>
                <w:spacing w:val="30"/>
                <w:sz w:val="33"/>
                <w:szCs w:val="33"/>
              </w:rPr>
              <w:t>2</w:t>
            </w:r>
          </w:hyperlink>
        </w:p>
        <w:p>
          <w:pPr>
            <w:tabs>
              <w:tab w:val="right" w:leader="dot" w:pos="12648"/>
            </w:tabs>
            <w:spacing w:before="300" w:line="229" w:lineRule="auto"/>
            <w:ind w:left="1600"/>
            <w:rPr>
              <w:rFonts w:ascii="Times New Roman" w:eastAsia="Times New Roman" w:hAnsi="Times New Roman" w:cs="Times New Roman"/>
              <w:sz w:val="33"/>
              <w:szCs w:val="33"/>
            </w:rPr>
          </w:pPr>
          <w:r>
            <w:rPr>
              <w:rFonts w:ascii="Times New Roman" w:eastAsia="Times New Roman" w:hAnsi="Times New Roman" w:cs="Times New Roman"/>
              <w:spacing w:val="4"/>
              <w:sz w:val="33"/>
              <w:szCs w:val="33"/>
            </w:rPr>
            <w:t xml:space="preserve">2.3  </w:t>
          </w:r>
          <w:r>
            <w:rPr>
              <w:rFonts w:ascii="KaiTi" w:eastAsia="KaiTi" w:hAnsi="KaiTi" w:cs="KaiTi"/>
              <w:spacing w:val="4"/>
              <w:sz w:val="33"/>
              <w:szCs w:val="33"/>
            </w:rPr>
            <w:t>招标控制价的编制方法</w:t>
          </w:r>
          <w:r>
            <w:rPr>
              <w:rFonts w:ascii="KaiTi" w:eastAsia="KaiTi" w:hAnsi="KaiTi" w:cs="KaiTi"/>
              <w:spacing w:val="-144"/>
              <w:sz w:val="33"/>
              <w:szCs w:val="33"/>
            </w:rPr>
            <w:t xml:space="preserve"> </w:t>
          </w:r>
          <w:r>
            <w:rPr>
              <w:rFonts w:ascii="KaiTi" w:eastAsia="KaiTi" w:hAnsi="KaiTi" w:cs="KaiTi"/>
              <w:sz w:val="33"/>
              <w:szCs w:val="33"/>
            </w:rPr>
            <w:tab/>
          </w:r>
          <w:hyperlink w:anchor="bookmark8" w:history="1">
            <w:r>
              <w:rPr>
                <w:rFonts w:ascii="Times New Roman" w:eastAsia="Times New Roman" w:hAnsi="Times New Roman" w:cs="Times New Roman"/>
                <w:spacing w:val="30"/>
                <w:sz w:val="33"/>
                <w:szCs w:val="33"/>
              </w:rPr>
              <w:t>2</w:t>
            </w:r>
          </w:hyperlink>
        </w:p>
        <w:p>
          <w:pPr>
            <w:spacing w:line="253" w:lineRule="auto"/>
            <w:rPr>
              <w:rFonts w:ascii="Arial"/>
              <w:sz w:val="21"/>
            </w:rPr>
          </w:pPr>
        </w:p>
        <w:p>
          <w:pPr>
            <w:tabs>
              <w:tab w:val="right" w:leader="dot" w:pos="12648"/>
            </w:tabs>
            <w:spacing w:before="108" w:line="224" w:lineRule="auto"/>
            <w:ind w:left="1600"/>
            <w:rPr>
              <w:rFonts w:ascii="Times New Roman" w:eastAsia="Times New Roman" w:hAnsi="Times New Roman" w:cs="Times New Roman"/>
              <w:sz w:val="33"/>
              <w:szCs w:val="33"/>
            </w:rPr>
          </w:pPr>
          <w:r>
            <w:rPr>
              <w:rFonts w:ascii="Times New Roman" w:eastAsia="Times New Roman" w:hAnsi="Times New Roman" w:cs="Times New Roman"/>
              <w:spacing w:val="5"/>
              <w:sz w:val="33"/>
              <w:szCs w:val="33"/>
            </w:rPr>
            <w:t xml:space="preserve">2.3.1   </w:t>
          </w:r>
          <w:r>
            <w:rPr>
              <w:rFonts w:ascii="KaiTi" w:eastAsia="KaiTi" w:hAnsi="KaiTi" w:cs="KaiTi"/>
              <w:spacing w:val="5"/>
              <w:sz w:val="33"/>
              <w:szCs w:val="33"/>
            </w:rPr>
            <w:t>分部分项工程费的编制</w:t>
          </w:r>
          <w:r>
            <w:rPr>
              <w:rFonts w:ascii="KaiTi" w:eastAsia="KaiTi" w:hAnsi="KaiTi" w:cs="KaiTi"/>
              <w:sz w:val="33"/>
              <w:szCs w:val="33"/>
            </w:rPr>
            <w:tab/>
          </w:r>
          <w:hyperlink w:anchor="bookmark9" w:history="1">
            <w:r>
              <w:rPr>
                <w:rFonts w:ascii="Times New Roman" w:eastAsia="Times New Roman" w:hAnsi="Times New Roman" w:cs="Times New Roman"/>
                <w:spacing w:val="30"/>
                <w:sz w:val="33"/>
                <w:szCs w:val="33"/>
              </w:rPr>
              <w:t>2</w:t>
            </w:r>
          </w:hyperlink>
        </w:p>
        <w:p>
          <w:pPr>
            <w:tabs>
              <w:tab w:val="right" w:leader="dot" w:pos="12650"/>
            </w:tabs>
            <w:spacing w:before="340" w:line="225" w:lineRule="auto"/>
            <w:ind w:left="1600"/>
            <w:rPr>
              <w:rFonts w:ascii="Times New Roman" w:eastAsia="Times New Roman" w:hAnsi="Times New Roman" w:cs="Times New Roman"/>
              <w:sz w:val="33"/>
              <w:szCs w:val="33"/>
            </w:rPr>
          </w:pPr>
          <w:r>
            <w:rPr>
              <w:rFonts w:ascii="Times New Roman" w:eastAsia="Times New Roman" w:hAnsi="Times New Roman" w:cs="Times New Roman"/>
              <w:spacing w:val="4"/>
              <w:sz w:val="33"/>
              <w:szCs w:val="33"/>
            </w:rPr>
            <w:t>2.3.3</w:t>
          </w:r>
          <w:r>
            <w:rPr>
              <w:rFonts w:ascii="Times New Roman" w:eastAsia="Times New Roman" w:hAnsi="Times New Roman" w:cs="Times New Roman"/>
              <w:spacing w:val="38"/>
              <w:sz w:val="33"/>
              <w:szCs w:val="33"/>
            </w:rPr>
            <w:t xml:space="preserve">  </w:t>
          </w:r>
          <w:r>
            <w:rPr>
              <w:rFonts w:ascii="KaiTi" w:eastAsia="KaiTi" w:hAnsi="KaiTi" w:cs="KaiTi"/>
              <w:spacing w:val="4"/>
              <w:sz w:val="33"/>
              <w:szCs w:val="33"/>
            </w:rPr>
            <w:t>其他项目费应按下列规定计价</w:t>
          </w:r>
          <w:r>
            <w:rPr>
              <w:rFonts w:ascii="KaiTi" w:eastAsia="KaiTi" w:hAnsi="KaiTi" w:cs="KaiTi"/>
              <w:spacing w:val="-139"/>
              <w:sz w:val="33"/>
              <w:szCs w:val="33"/>
            </w:rPr>
            <w:t xml:space="preserve"> </w:t>
          </w:r>
          <w:r>
            <w:rPr>
              <w:rFonts w:ascii="KaiTi" w:eastAsia="KaiTi" w:hAnsi="KaiTi" w:cs="KaiTi"/>
              <w:sz w:val="33"/>
              <w:szCs w:val="33"/>
            </w:rPr>
            <w:tab/>
          </w:r>
          <w:hyperlink w:anchor="bookmark10" w:history="1">
            <w:r>
              <w:rPr>
                <w:rFonts w:ascii="Times New Roman" w:eastAsia="Times New Roman" w:hAnsi="Times New Roman" w:cs="Times New Roman"/>
                <w:spacing w:val="23"/>
                <w:sz w:val="33"/>
                <w:szCs w:val="33"/>
              </w:rPr>
              <w:t>3</w:t>
            </w:r>
          </w:hyperlink>
        </w:p>
        <w:p>
          <w:pPr>
            <w:tabs>
              <w:tab w:val="right" w:leader="dot" w:pos="12649"/>
            </w:tabs>
            <w:spacing w:before="334" w:line="223" w:lineRule="auto"/>
            <w:ind w:left="1600"/>
            <w:rPr>
              <w:rFonts w:ascii="Times New Roman" w:eastAsia="Times New Roman" w:hAnsi="Times New Roman" w:cs="Times New Roman"/>
              <w:sz w:val="33"/>
              <w:szCs w:val="33"/>
            </w:rPr>
          </w:pPr>
          <w:r>
            <w:rPr>
              <w:rFonts w:ascii="Times New Roman" w:eastAsia="Times New Roman" w:hAnsi="Times New Roman" w:cs="Times New Roman"/>
              <w:spacing w:val="5"/>
              <w:sz w:val="33"/>
              <w:szCs w:val="33"/>
            </w:rPr>
            <w:t>2.3.3</w:t>
          </w:r>
          <w:r>
            <w:rPr>
              <w:rFonts w:ascii="Times New Roman" w:eastAsia="Times New Roman" w:hAnsi="Times New Roman" w:cs="Times New Roman"/>
              <w:spacing w:val="35"/>
              <w:w w:val="101"/>
              <w:sz w:val="33"/>
              <w:szCs w:val="33"/>
            </w:rPr>
            <w:t xml:space="preserve">  </w:t>
          </w:r>
          <w:r>
            <w:rPr>
              <w:rFonts w:ascii="KaiTi" w:eastAsia="KaiTi" w:hAnsi="KaiTi" w:cs="KaiTi"/>
              <w:spacing w:val="5"/>
              <w:sz w:val="33"/>
              <w:szCs w:val="33"/>
            </w:rPr>
            <w:t>工程量清单计价特点</w:t>
          </w:r>
          <w:r>
            <w:rPr>
              <w:rFonts w:ascii="KaiTi" w:eastAsia="KaiTi" w:hAnsi="KaiTi" w:cs="KaiTi"/>
              <w:sz w:val="33"/>
              <w:szCs w:val="33"/>
            </w:rPr>
            <w:tab/>
          </w:r>
          <w:r>
            <w:rPr>
              <w:rFonts w:ascii="KaiTi" w:eastAsia="KaiTi" w:hAnsi="KaiTi" w:cs="KaiTi"/>
              <w:spacing w:val="-109"/>
              <w:sz w:val="33"/>
              <w:szCs w:val="33"/>
            </w:rPr>
            <w:t xml:space="preserve"> </w:t>
          </w:r>
          <w:hyperlink w:anchor="bookmark1" w:history="1">
            <w:r>
              <w:rPr>
                <w:rFonts w:ascii="Times New Roman" w:eastAsia="Times New Roman" w:hAnsi="Times New Roman" w:cs="Times New Roman"/>
                <w:sz w:val="33"/>
                <w:szCs w:val="33"/>
              </w:rPr>
              <w:t>4</w:t>
            </w:r>
          </w:hyperlink>
        </w:p>
        <w:p>
          <w:pPr>
            <w:tabs>
              <w:tab w:val="right" w:leader="dot" w:pos="12689"/>
            </w:tabs>
            <w:spacing w:before="340" w:line="228" w:lineRule="auto"/>
            <w:ind w:left="1600"/>
            <w:rPr>
              <w:rFonts w:ascii="Times New Roman" w:eastAsia="Times New Roman" w:hAnsi="Times New Roman" w:cs="Times New Roman"/>
              <w:sz w:val="33"/>
              <w:szCs w:val="33"/>
            </w:rPr>
          </w:pPr>
          <w:r>
            <w:rPr>
              <w:rFonts w:ascii="Times New Roman" w:eastAsia="Times New Roman" w:hAnsi="Times New Roman" w:cs="Times New Roman"/>
              <w:spacing w:val="3"/>
              <w:sz w:val="33"/>
              <w:szCs w:val="33"/>
            </w:rPr>
            <w:t xml:space="preserve">3 </w:t>
          </w:r>
          <w:r>
            <w:rPr>
              <w:rFonts w:ascii="KaiTi" w:eastAsia="KaiTi" w:hAnsi="KaiTi" w:cs="KaiTi"/>
              <w:spacing w:val="3"/>
              <w:sz w:val="33"/>
              <w:szCs w:val="33"/>
            </w:rPr>
            <w:t>工程预算书的编制过程</w:t>
          </w:r>
          <w:r>
            <w:rPr>
              <w:rFonts w:ascii="KaiTi" w:eastAsia="KaiTi" w:hAnsi="KaiTi" w:cs="KaiTi"/>
              <w:spacing w:val="-130"/>
              <w:sz w:val="33"/>
              <w:szCs w:val="33"/>
            </w:rPr>
            <w:t xml:space="preserve"> </w:t>
          </w:r>
          <w:r>
            <w:rPr>
              <w:rFonts w:ascii="KaiTi" w:eastAsia="KaiTi" w:hAnsi="KaiTi" w:cs="KaiTi"/>
              <w:sz w:val="33"/>
              <w:szCs w:val="33"/>
            </w:rPr>
            <w:tab/>
          </w:r>
          <w:r>
            <w:rPr>
              <w:rFonts w:ascii="KaiTi" w:eastAsia="KaiTi" w:hAnsi="KaiTi" w:cs="KaiTi"/>
              <w:spacing w:val="-69"/>
              <w:sz w:val="33"/>
              <w:szCs w:val="33"/>
            </w:rPr>
            <w:t xml:space="preserve"> </w:t>
          </w:r>
          <w:hyperlink w:anchor="bookmark11" w:history="1">
            <w:r>
              <w:rPr>
                <w:rFonts w:ascii="Times New Roman" w:eastAsia="Times New Roman" w:hAnsi="Times New Roman" w:cs="Times New Roman"/>
                <w:sz w:val="33"/>
                <w:szCs w:val="33"/>
              </w:rPr>
              <w:t>5</w:t>
            </w:r>
          </w:hyperlink>
        </w:p>
        <w:p>
          <w:pPr>
            <w:tabs>
              <w:tab w:val="right" w:leader="dot" w:pos="12649"/>
            </w:tabs>
            <w:spacing w:before="342" w:line="228" w:lineRule="auto"/>
            <w:ind w:left="1600"/>
            <w:rPr>
              <w:rFonts w:ascii="Times New Roman" w:eastAsia="Times New Roman" w:hAnsi="Times New Roman" w:cs="Times New Roman"/>
              <w:sz w:val="33"/>
              <w:szCs w:val="33"/>
            </w:rPr>
          </w:pPr>
          <w:r>
            <w:rPr>
              <w:rFonts w:ascii="Times New Roman" w:eastAsia="Times New Roman" w:hAnsi="Times New Roman" w:cs="Times New Roman"/>
              <w:spacing w:val="15"/>
              <w:sz w:val="33"/>
              <w:szCs w:val="33"/>
            </w:rPr>
            <w:t>3.1</w:t>
          </w:r>
          <w:r>
            <w:rPr>
              <w:rFonts w:ascii="Times New Roman" w:eastAsia="Times New Roman" w:hAnsi="Times New Roman" w:cs="Times New Roman"/>
              <w:spacing w:val="81"/>
              <w:sz w:val="33"/>
              <w:szCs w:val="33"/>
            </w:rPr>
            <w:t xml:space="preserve"> </w:t>
          </w:r>
          <w:r>
            <w:rPr>
              <w:rFonts w:ascii="KaiTi" w:eastAsia="KaiTi" w:hAnsi="KaiTi" w:cs="KaiTi"/>
              <w:spacing w:val="15"/>
              <w:sz w:val="33"/>
              <w:szCs w:val="33"/>
            </w:rPr>
            <w:t>熟悉施工图纸和设计说明</w:t>
          </w:r>
          <w:r>
            <w:rPr>
              <w:rFonts w:ascii="KaiTi" w:eastAsia="KaiTi" w:hAnsi="KaiTi" w:cs="KaiTi"/>
              <w:sz w:val="33"/>
              <w:szCs w:val="33"/>
            </w:rPr>
            <w:tab/>
          </w:r>
          <w:hyperlink w:anchor="bookmark12" w:history="1">
            <w:r>
              <w:rPr>
                <w:rFonts w:ascii="Times New Roman" w:eastAsia="Times New Roman" w:hAnsi="Times New Roman" w:cs="Times New Roman"/>
                <w:sz w:val="33"/>
                <w:szCs w:val="33"/>
              </w:rPr>
              <w:t>5</w:t>
            </w:r>
          </w:hyperlink>
        </w:p>
        <w:p>
          <w:pPr>
            <w:tabs>
              <w:tab w:val="right" w:leader="dot" w:pos="12649"/>
            </w:tabs>
            <w:spacing w:before="346" w:line="229" w:lineRule="auto"/>
            <w:ind w:left="1600"/>
            <w:rPr>
              <w:rFonts w:ascii="Times New Roman" w:eastAsia="Times New Roman" w:hAnsi="Times New Roman" w:cs="Times New Roman"/>
              <w:sz w:val="33"/>
              <w:szCs w:val="33"/>
            </w:rPr>
          </w:pPr>
          <w:r>
            <w:rPr>
              <w:rFonts w:ascii="Times New Roman" w:eastAsia="Times New Roman" w:hAnsi="Times New Roman" w:cs="Times New Roman"/>
              <w:spacing w:val="7"/>
              <w:sz w:val="33"/>
              <w:szCs w:val="33"/>
            </w:rPr>
            <w:t>3.1.1</w:t>
          </w:r>
          <w:r>
            <w:rPr>
              <w:rFonts w:ascii="Times New Roman" w:eastAsia="Times New Roman" w:hAnsi="Times New Roman" w:cs="Times New Roman"/>
              <w:spacing w:val="35"/>
              <w:sz w:val="33"/>
              <w:szCs w:val="33"/>
            </w:rPr>
            <w:t xml:space="preserve">  </w:t>
          </w:r>
          <w:r>
            <w:rPr>
              <w:rFonts w:ascii="KaiTi" w:eastAsia="KaiTi" w:hAnsi="KaiTi" w:cs="KaiTi"/>
              <w:spacing w:val="7"/>
              <w:sz w:val="33"/>
              <w:szCs w:val="33"/>
            </w:rPr>
            <w:t>工程概况</w:t>
          </w:r>
          <w:r>
            <w:rPr>
              <w:rFonts w:ascii="KaiTi" w:eastAsia="KaiTi" w:hAnsi="KaiTi" w:cs="KaiTi"/>
              <w:sz w:val="33"/>
              <w:szCs w:val="33"/>
            </w:rPr>
            <w:tab/>
          </w:r>
          <w:r>
            <w:rPr>
              <w:rFonts w:ascii="KaiTi" w:eastAsia="KaiTi" w:hAnsi="KaiTi" w:cs="KaiTi"/>
              <w:spacing w:val="-99"/>
              <w:sz w:val="33"/>
              <w:szCs w:val="33"/>
            </w:rPr>
            <w:t xml:space="preserve"> </w:t>
          </w:r>
          <w:hyperlink w:anchor="bookmark13" w:history="1">
            <w:r>
              <w:rPr>
                <w:rFonts w:ascii="Times New Roman" w:eastAsia="Times New Roman" w:hAnsi="Times New Roman" w:cs="Times New Roman"/>
                <w:sz w:val="33"/>
                <w:szCs w:val="33"/>
              </w:rPr>
              <w:t>5</w:t>
            </w:r>
          </w:hyperlink>
        </w:p>
        <w:p>
          <w:pPr>
            <w:tabs>
              <w:tab w:val="right" w:leader="dot" w:pos="12649"/>
            </w:tabs>
            <w:spacing w:before="338" w:line="228" w:lineRule="auto"/>
            <w:ind w:left="1600"/>
            <w:rPr>
              <w:rFonts w:ascii="Times New Roman" w:eastAsia="Times New Roman" w:hAnsi="Times New Roman" w:cs="Times New Roman"/>
              <w:sz w:val="33"/>
              <w:szCs w:val="33"/>
            </w:rPr>
          </w:pPr>
          <w:r>
            <w:rPr>
              <w:rFonts w:ascii="Times New Roman" w:eastAsia="Times New Roman" w:hAnsi="Times New Roman" w:cs="Times New Roman"/>
              <w:spacing w:val="4"/>
              <w:sz w:val="33"/>
              <w:szCs w:val="33"/>
            </w:rPr>
            <w:t>3.1.2</w:t>
          </w:r>
          <w:r>
            <w:rPr>
              <w:rFonts w:ascii="Times New Roman" w:eastAsia="Times New Roman" w:hAnsi="Times New Roman" w:cs="Times New Roman"/>
              <w:spacing w:val="39"/>
              <w:sz w:val="33"/>
              <w:szCs w:val="33"/>
            </w:rPr>
            <w:t xml:space="preserve">  </w:t>
          </w:r>
          <w:r>
            <w:rPr>
              <w:rFonts w:ascii="KaiTi" w:eastAsia="KaiTi" w:hAnsi="KaiTi" w:cs="KaiTi"/>
              <w:spacing w:val="4"/>
              <w:sz w:val="33"/>
              <w:szCs w:val="33"/>
            </w:rPr>
            <w:t>建筑设计主要依据</w:t>
          </w:r>
          <w:r>
            <w:rPr>
              <w:rFonts w:ascii="KaiTi" w:eastAsia="KaiTi" w:hAnsi="KaiTi" w:cs="KaiTi"/>
              <w:spacing w:val="-142"/>
              <w:sz w:val="33"/>
              <w:szCs w:val="33"/>
            </w:rPr>
            <w:t xml:space="preserve"> </w:t>
          </w:r>
          <w:r>
            <w:rPr>
              <w:rFonts w:ascii="KaiTi" w:eastAsia="KaiTi" w:hAnsi="KaiTi" w:cs="KaiTi"/>
              <w:sz w:val="33"/>
              <w:szCs w:val="33"/>
            </w:rPr>
            <w:tab/>
          </w:r>
          <w:r>
            <w:rPr>
              <w:rFonts w:ascii="KaiTi" w:eastAsia="KaiTi" w:hAnsi="KaiTi" w:cs="KaiTi"/>
              <w:spacing w:val="-109"/>
              <w:sz w:val="33"/>
              <w:szCs w:val="33"/>
            </w:rPr>
            <w:t xml:space="preserve"> </w:t>
          </w:r>
          <w:hyperlink w:anchor="bookmark14" w:history="1">
            <w:r>
              <w:rPr>
                <w:rFonts w:ascii="Times New Roman" w:eastAsia="Times New Roman" w:hAnsi="Times New Roman" w:cs="Times New Roman"/>
                <w:sz w:val="33"/>
                <w:szCs w:val="33"/>
              </w:rPr>
              <w:t>5</w:t>
            </w:r>
          </w:hyperlink>
        </w:p>
        <w:p>
          <w:pPr>
            <w:tabs>
              <w:tab w:val="right" w:leader="dot" w:pos="12629"/>
            </w:tabs>
            <w:spacing w:before="302" w:line="222" w:lineRule="auto"/>
            <w:ind w:left="1600"/>
            <w:rPr>
              <w:rFonts w:ascii="Times New Roman" w:eastAsia="Times New Roman" w:hAnsi="Times New Roman" w:cs="Times New Roman"/>
              <w:sz w:val="33"/>
              <w:szCs w:val="33"/>
            </w:rPr>
          </w:pPr>
          <w:r>
            <w:rPr>
              <w:rFonts w:ascii="Times New Roman" w:eastAsia="Times New Roman" w:hAnsi="Times New Roman" w:cs="Times New Roman"/>
              <w:spacing w:val="4"/>
              <w:sz w:val="33"/>
              <w:szCs w:val="33"/>
            </w:rPr>
            <w:t xml:space="preserve">3.2  </w:t>
          </w:r>
          <w:r>
            <w:rPr>
              <w:rFonts w:ascii="KaiTi" w:eastAsia="KaiTi" w:hAnsi="KaiTi" w:cs="KaiTi"/>
              <w:spacing w:val="4"/>
              <w:sz w:val="33"/>
              <w:szCs w:val="33"/>
            </w:rPr>
            <w:t>学习并掌握工程清单、定额及有关规定</w:t>
          </w:r>
          <w:r>
            <w:rPr>
              <w:rFonts w:ascii="KaiTi" w:eastAsia="KaiTi" w:hAnsi="KaiTi" w:cs="KaiTi"/>
              <w:sz w:val="33"/>
              <w:szCs w:val="33"/>
            </w:rPr>
            <w:tab/>
          </w:r>
          <w:hyperlink w:anchor="bookmark15" w:history="1">
            <w:r>
              <w:rPr>
                <w:rFonts w:ascii="Times New Roman" w:eastAsia="Times New Roman" w:hAnsi="Times New Roman" w:cs="Times New Roman"/>
                <w:sz w:val="33"/>
                <w:szCs w:val="33"/>
              </w:rPr>
              <w:t>5</w:t>
            </w:r>
          </w:hyperlink>
        </w:p>
        <w:p>
          <w:pPr>
            <w:spacing w:line="251" w:lineRule="auto"/>
            <w:rPr>
              <w:rFonts w:ascii="Arial"/>
              <w:sz w:val="21"/>
            </w:rPr>
          </w:pPr>
        </w:p>
        <w:p>
          <w:pPr>
            <w:tabs>
              <w:tab w:val="right" w:leader="dot" w:pos="12619"/>
            </w:tabs>
            <w:spacing w:before="107" w:line="227" w:lineRule="auto"/>
            <w:ind w:left="1600"/>
            <w:rPr>
              <w:rFonts w:ascii="Times New Roman" w:eastAsia="Times New Roman" w:hAnsi="Times New Roman" w:cs="Times New Roman"/>
              <w:sz w:val="33"/>
              <w:szCs w:val="33"/>
            </w:rPr>
          </w:pPr>
          <w:r>
            <w:rPr>
              <w:rFonts w:ascii="Times New Roman" w:eastAsia="Times New Roman" w:hAnsi="Times New Roman" w:cs="Times New Roman"/>
              <w:spacing w:val="5"/>
              <w:sz w:val="33"/>
              <w:szCs w:val="33"/>
            </w:rPr>
            <w:t>3.3</w:t>
          </w:r>
          <w:r>
            <w:rPr>
              <w:rFonts w:ascii="Times New Roman" w:eastAsia="Times New Roman" w:hAnsi="Times New Roman" w:cs="Times New Roman"/>
              <w:spacing w:val="82"/>
              <w:sz w:val="33"/>
              <w:szCs w:val="33"/>
            </w:rPr>
            <w:t xml:space="preserve"> </w:t>
          </w:r>
          <w:r>
            <w:rPr>
              <w:rFonts w:ascii="KaiTi" w:eastAsia="KaiTi" w:hAnsi="KaiTi" w:cs="KaiTi"/>
              <w:spacing w:val="5"/>
              <w:sz w:val="33"/>
              <w:szCs w:val="33"/>
            </w:rPr>
            <w:t>确定工程项目、计算工程量</w:t>
          </w:r>
          <w:r>
            <w:rPr>
              <w:rFonts w:ascii="KaiTi" w:eastAsia="KaiTi" w:hAnsi="KaiTi" w:cs="KaiTi"/>
              <w:sz w:val="33"/>
              <w:szCs w:val="33"/>
            </w:rPr>
            <w:tab/>
          </w:r>
          <w:hyperlink w:anchor="bookmark16" w:history="1">
            <w:r>
              <w:rPr>
                <w:rFonts w:ascii="Times New Roman" w:eastAsia="Times New Roman" w:hAnsi="Times New Roman" w:cs="Times New Roman"/>
                <w:spacing w:val="1"/>
                <w:sz w:val="33"/>
                <w:szCs w:val="33"/>
              </w:rPr>
              <w:t>5</w:t>
            </w:r>
          </w:hyperlink>
        </w:p>
        <w:p>
          <w:pPr>
            <w:tabs>
              <w:tab w:val="right" w:leader="dot" w:pos="12649"/>
            </w:tabs>
            <w:spacing w:before="328" w:line="228" w:lineRule="auto"/>
            <w:ind w:left="1600"/>
            <w:rPr>
              <w:rFonts w:ascii="Times New Roman" w:eastAsia="Times New Roman" w:hAnsi="Times New Roman" w:cs="Times New Roman"/>
              <w:sz w:val="33"/>
              <w:szCs w:val="33"/>
            </w:rPr>
          </w:pPr>
          <w:r>
            <w:rPr>
              <w:rFonts w:ascii="Times New Roman" w:eastAsia="Times New Roman" w:hAnsi="Times New Roman" w:cs="Times New Roman"/>
              <w:spacing w:val="4"/>
              <w:sz w:val="33"/>
              <w:szCs w:val="33"/>
            </w:rPr>
            <w:t>3.4</w:t>
          </w:r>
          <w:r>
            <w:rPr>
              <w:rFonts w:ascii="Times New Roman" w:eastAsia="Times New Roman" w:hAnsi="Times New Roman" w:cs="Times New Roman"/>
              <w:spacing w:val="90"/>
              <w:sz w:val="33"/>
              <w:szCs w:val="33"/>
            </w:rPr>
            <w:t xml:space="preserve"> </w:t>
          </w:r>
          <w:r>
            <w:rPr>
              <w:rFonts w:ascii="KaiTi" w:eastAsia="KaiTi" w:hAnsi="KaiTi" w:cs="KaiTi"/>
              <w:spacing w:val="4"/>
              <w:sz w:val="33"/>
              <w:szCs w:val="33"/>
            </w:rPr>
            <w:t>复核、工程预算书的编制</w:t>
          </w:r>
          <w:r>
            <w:rPr>
              <w:rFonts w:ascii="KaiTi" w:eastAsia="KaiTi" w:hAnsi="KaiTi" w:cs="KaiTi"/>
              <w:sz w:val="33"/>
              <w:szCs w:val="33"/>
            </w:rPr>
            <w:tab/>
          </w:r>
          <w:r>
            <w:rPr>
              <w:rFonts w:ascii="KaiTi" w:eastAsia="KaiTi" w:hAnsi="KaiTi" w:cs="KaiTi"/>
              <w:spacing w:val="-89"/>
              <w:sz w:val="33"/>
              <w:szCs w:val="33"/>
            </w:rPr>
            <w:t xml:space="preserve"> </w:t>
          </w:r>
          <w:hyperlink w:anchor="bookmark17" w:history="1">
            <w:r>
              <w:rPr>
                <w:rFonts w:ascii="Times New Roman" w:eastAsia="Times New Roman" w:hAnsi="Times New Roman" w:cs="Times New Roman"/>
                <w:sz w:val="33"/>
                <w:szCs w:val="33"/>
              </w:rPr>
              <w:t>5</w:t>
            </w:r>
          </w:hyperlink>
        </w:p>
        <w:p>
          <w:pPr>
            <w:tabs>
              <w:tab w:val="right" w:leader="dot" w:pos="12671"/>
            </w:tabs>
            <w:spacing w:before="318" w:line="225" w:lineRule="auto"/>
            <w:ind w:left="1600"/>
            <w:rPr>
              <w:rFonts w:ascii="Times New Roman" w:eastAsia="Times New Roman" w:hAnsi="Times New Roman" w:cs="Times New Roman"/>
              <w:sz w:val="33"/>
              <w:szCs w:val="33"/>
            </w:rPr>
          </w:pPr>
          <w:r>
            <w:rPr>
              <w:rFonts w:ascii="Times New Roman" w:eastAsia="Times New Roman" w:hAnsi="Times New Roman" w:cs="Times New Roman"/>
              <w:spacing w:val="6"/>
              <w:sz w:val="33"/>
              <w:szCs w:val="33"/>
            </w:rPr>
            <w:t>4</w:t>
          </w:r>
          <w:r>
            <w:rPr>
              <w:rFonts w:ascii="Times New Roman" w:eastAsia="Times New Roman" w:hAnsi="Times New Roman" w:cs="Times New Roman"/>
              <w:spacing w:val="-19"/>
              <w:sz w:val="33"/>
              <w:szCs w:val="33"/>
            </w:rPr>
            <w:t xml:space="preserve"> </w:t>
          </w:r>
          <w:r>
            <w:rPr>
              <w:rFonts w:ascii="KaiTi" w:eastAsia="KaiTi" w:hAnsi="KaiTi" w:cs="KaiTi"/>
              <w:spacing w:val="6"/>
              <w:sz w:val="33"/>
              <w:szCs w:val="33"/>
            </w:rPr>
            <w:t>单体工程造价文件</w:t>
          </w:r>
          <w:r>
            <w:rPr>
              <w:rFonts w:ascii="KaiTi" w:eastAsia="KaiTi" w:hAnsi="KaiTi" w:cs="KaiTi"/>
              <w:spacing w:val="-149"/>
              <w:sz w:val="33"/>
              <w:szCs w:val="33"/>
            </w:rPr>
            <w:t xml:space="preserve"> </w:t>
          </w:r>
          <w:r>
            <w:rPr>
              <w:rFonts w:ascii="KaiTi" w:eastAsia="KaiTi" w:hAnsi="KaiTi" w:cs="KaiTi"/>
              <w:sz w:val="33"/>
              <w:szCs w:val="33"/>
            </w:rPr>
            <w:tab/>
          </w:r>
          <w:r>
            <w:rPr>
              <w:rFonts w:ascii="KaiTi" w:eastAsia="KaiTi" w:hAnsi="KaiTi" w:cs="KaiTi"/>
              <w:spacing w:val="-69"/>
              <w:sz w:val="33"/>
              <w:szCs w:val="33"/>
            </w:rPr>
            <w:t xml:space="preserve"> </w:t>
          </w:r>
          <w:hyperlink w:anchor="bookmark18" w:history="1">
            <w:r>
              <w:rPr>
                <w:rFonts w:ascii="Times New Roman" w:eastAsia="Times New Roman" w:hAnsi="Times New Roman" w:cs="Times New Roman"/>
                <w:sz w:val="33"/>
                <w:szCs w:val="33"/>
              </w:rPr>
              <w:t>7</w:t>
            </w:r>
          </w:hyperlink>
        </w:p>
        <w:p>
          <w:pPr>
            <w:spacing w:line="251" w:lineRule="auto"/>
            <w:rPr>
              <w:rFonts w:ascii="Arial"/>
              <w:sz w:val="21"/>
            </w:rPr>
          </w:pPr>
        </w:p>
        <w:p>
          <w:pPr>
            <w:tabs>
              <w:tab w:val="right" w:leader="dot" w:pos="12634"/>
            </w:tabs>
            <w:spacing w:before="108" w:line="232" w:lineRule="auto"/>
            <w:ind w:left="1600"/>
            <w:rPr>
              <w:rFonts w:ascii="Times New Roman" w:eastAsia="Times New Roman" w:hAnsi="Times New Roman" w:cs="Times New Roman"/>
              <w:sz w:val="33"/>
              <w:szCs w:val="33"/>
            </w:rPr>
          </w:pPr>
          <w:r>
            <w:rPr>
              <w:rFonts w:ascii="Times New Roman" w:eastAsia="Times New Roman" w:hAnsi="Times New Roman" w:cs="Times New Roman"/>
              <w:spacing w:val="-15"/>
              <w:sz w:val="33"/>
              <w:szCs w:val="33"/>
            </w:rPr>
            <w:t>4.1</w:t>
          </w:r>
          <w:r>
            <w:rPr>
              <w:rFonts w:ascii="Times New Roman" w:eastAsia="Times New Roman" w:hAnsi="Times New Roman" w:cs="Times New Roman"/>
              <w:spacing w:val="72"/>
              <w:sz w:val="33"/>
              <w:szCs w:val="33"/>
            </w:rPr>
            <w:t xml:space="preserve"> </w:t>
          </w:r>
          <w:r>
            <w:rPr>
              <w:rFonts w:ascii="KaiTi" w:eastAsia="KaiTi" w:hAnsi="KaiTi" w:cs="KaiTi"/>
              <w:spacing w:val="-15"/>
              <w:sz w:val="33"/>
              <w:szCs w:val="33"/>
            </w:rPr>
            <w:t>总</w:t>
          </w:r>
          <w:r>
            <w:rPr>
              <w:rFonts w:ascii="KaiTi" w:eastAsia="KaiTi" w:hAnsi="KaiTi" w:cs="KaiTi"/>
              <w:spacing w:val="-57"/>
              <w:sz w:val="33"/>
              <w:szCs w:val="33"/>
            </w:rPr>
            <w:t xml:space="preserve"> </w:t>
          </w:r>
          <w:r>
            <w:rPr>
              <w:rFonts w:ascii="KaiTi" w:eastAsia="KaiTi" w:hAnsi="KaiTi" w:cs="KaiTi"/>
              <w:spacing w:val="-15"/>
              <w:sz w:val="33"/>
              <w:szCs w:val="33"/>
            </w:rPr>
            <w:t>说</w:t>
          </w:r>
          <w:r>
            <w:rPr>
              <w:rFonts w:ascii="KaiTi" w:eastAsia="KaiTi" w:hAnsi="KaiTi" w:cs="KaiTi"/>
              <w:spacing w:val="-24"/>
              <w:sz w:val="33"/>
              <w:szCs w:val="33"/>
            </w:rPr>
            <w:t xml:space="preserve"> </w:t>
          </w:r>
          <w:r>
            <w:rPr>
              <w:rFonts w:ascii="KaiTi" w:eastAsia="KaiTi" w:hAnsi="KaiTi" w:cs="KaiTi"/>
              <w:spacing w:val="-15"/>
              <w:sz w:val="33"/>
              <w:szCs w:val="33"/>
            </w:rPr>
            <w:t>明</w:t>
          </w:r>
          <w:r>
            <w:rPr>
              <w:rFonts w:ascii="KaiTi" w:eastAsia="KaiTi" w:hAnsi="KaiTi" w:cs="KaiTi"/>
              <w:sz w:val="33"/>
              <w:szCs w:val="33"/>
            </w:rPr>
            <w:tab/>
          </w:r>
          <w:hyperlink w:anchor="bookmark19" w:history="1">
            <w:r>
              <w:rPr>
                <w:rFonts w:ascii="Times New Roman" w:eastAsia="Times New Roman" w:hAnsi="Times New Roman" w:cs="Times New Roman"/>
                <w:sz w:val="33"/>
                <w:szCs w:val="33"/>
              </w:rPr>
              <w:t>8</w:t>
            </w:r>
          </w:hyperlink>
        </w:p>
        <w:p>
          <w:pPr>
            <w:tabs>
              <w:tab w:val="right" w:leader="dot" w:pos="12644"/>
            </w:tabs>
            <w:spacing w:before="330" w:line="229" w:lineRule="auto"/>
            <w:ind w:left="1600"/>
            <w:rPr>
              <w:rFonts w:ascii="Times New Roman" w:eastAsia="Times New Roman" w:hAnsi="Times New Roman" w:cs="Times New Roman"/>
              <w:sz w:val="33"/>
              <w:szCs w:val="33"/>
            </w:rPr>
          </w:pPr>
          <w:r>
            <w:rPr>
              <w:rFonts w:ascii="Times New Roman" w:eastAsia="Times New Roman" w:hAnsi="Times New Roman" w:cs="Times New Roman"/>
              <w:spacing w:val="6"/>
              <w:sz w:val="33"/>
              <w:szCs w:val="33"/>
            </w:rPr>
            <w:t>4.1.1</w:t>
          </w:r>
          <w:r>
            <w:rPr>
              <w:rFonts w:ascii="Times New Roman" w:eastAsia="Times New Roman" w:hAnsi="Times New Roman" w:cs="Times New Roman"/>
              <w:spacing w:val="33"/>
              <w:sz w:val="33"/>
              <w:szCs w:val="33"/>
            </w:rPr>
            <w:t xml:space="preserve">  </w:t>
          </w:r>
          <w:r>
            <w:rPr>
              <w:rFonts w:ascii="KaiTi" w:eastAsia="KaiTi" w:hAnsi="KaiTi" w:cs="KaiTi"/>
              <w:spacing w:val="6"/>
              <w:sz w:val="33"/>
              <w:szCs w:val="33"/>
            </w:rPr>
            <w:t>编制依据</w:t>
          </w:r>
          <w:r>
            <w:rPr>
              <w:rFonts w:ascii="KaiTi" w:eastAsia="KaiTi" w:hAnsi="KaiTi" w:cs="KaiTi"/>
              <w:spacing w:val="-141"/>
              <w:sz w:val="33"/>
              <w:szCs w:val="33"/>
            </w:rPr>
            <w:t xml:space="preserve"> </w:t>
          </w:r>
          <w:r>
            <w:rPr>
              <w:rFonts w:ascii="KaiTi" w:eastAsia="KaiTi" w:hAnsi="KaiTi" w:cs="KaiTi"/>
              <w:sz w:val="33"/>
              <w:szCs w:val="33"/>
            </w:rPr>
            <w:tab/>
          </w:r>
          <w:r>
            <w:rPr>
              <w:rFonts w:ascii="KaiTi" w:eastAsia="KaiTi" w:hAnsi="KaiTi" w:cs="KaiTi"/>
              <w:spacing w:val="-99"/>
              <w:sz w:val="33"/>
              <w:szCs w:val="33"/>
            </w:rPr>
            <w:t xml:space="preserve"> </w:t>
          </w:r>
          <w:hyperlink w:anchor="bookmark20" w:history="1">
            <w:r>
              <w:rPr>
                <w:rFonts w:ascii="Times New Roman" w:eastAsia="Times New Roman" w:hAnsi="Times New Roman" w:cs="Times New Roman"/>
                <w:sz w:val="33"/>
                <w:szCs w:val="33"/>
              </w:rPr>
              <w:t>8</w:t>
            </w:r>
          </w:hyperlink>
        </w:p>
      </w:sdtContent>
    </w:sdt>
    <w:p>
      <w:pPr>
        <w:spacing w:line="229" w:lineRule="auto"/>
        <w:rPr>
          <w:rFonts w:ascii="Times New Roman" w:eastAsia="Times New Roman" w:hAnsi="Times New Roman" w:cs="Times New Roman"/>
          <w:sz w:val="33"/>
          <w:szCs w:val="33"/>
        </w:rPr>
        <w:sectPr>
          <w:pgSz w:w="20000" w:h="28260"/>
          <w:pgMar w:top="2402" w:right="3000" w:bottom="0" w:left="3000" w:header="0" w:footer="0" w:gutter="0"/>
          <w:pgNumType w:start="4"/>
          <w:cols w:space="708"/>
        </w:sectPr>
      </w:pPr>
    </w:p>
    <w:sdt>
      <w:sdtPr>
        <w:rPr>
          <w:rFonts w:ascii="Times New Roman" w:eastAsia="Times New Roman" w:hAnsi="Times New Roman" w:cs="Times New Roman"/>
          <w:sz w:val="32"/>
          <w:szCs w:val="32"/>
        </w:rPr>
        <w:id w:val="2030418412"/>
        <w:docPartObj>
          <w:docPartGallery w:val="Table of Contents"/>
          <w:docPartUnique/>
        </w:docPartObj>
      </w:sdtPr>
      <w:sdtEndPr>
        <w:rPr>
          <w:rFonts w:ascii="Times New Roman" w:eastAsia="Times New Roman" w:hAnsi="Times New Roman" w:cs="Times New Roman"/>
          <w:sz w:val="32"/>
          <w:szCs w:val="32"/>
        </w:rPr>
      </w:sdtEndPr>
      <w:sdtContent>
        <w:p>
          <w:pPr>
            <w:tabs>
              <w:tab w:val="right" w:leader="dot" w:pos="12670"/>
            </w:tabs>
            <w:spacing w:before="65" w:line="232" w:lineRule="auto"/>
            <w:ind w:left="1619"/>
            <w:rPr>
              <w:rFonts w:ascii="Times New Roman" w:eastAsia="Times New Roman" w:hAnsi="Times New Roman" w:cs="Times New Roman"/>
              <w:sz w:val="32"/>
              <w:szCs w:val="32"/>
            </w:rPr>
          </w:pPr>
          <w:bookmarkStart w:id="1" w:name="bookmark11"/>
          <w:bookmarkEnd w:id="1"/>
          <w:bookmarkStart w:id="2" w:name="bookmark12"/>
          <w:bookmarkEnd w:id="2"/>
          <w:bookmarkStart w:id="3" w:name="bookmark13"/>
          <w:bookmarkEnd w:id="3"/>
          <w:bookmarkStart w:id="4" w:name="bookmark14"/>
          <w:bookmarkEnd w:id="4"/>
          <w:bookmarkStart w:id="5" w:name="bookmark15"/>
          <w:bookmarkEnd w:id="5"/>
          <w:bookmarkStart w:id="6" w:name="bookmark16"/>
          <w:bookmarkEnd w:id="6"/>
          <w:bookmarkStart w:id="7" w:name="bookmark17"/>
          <w:bookmarkEnd w:id="7"/>
          <w:r>
            <w:rPr>
              <w:rFonts w:ascii="Times New Roman" w:eastAsia="Times New Roman" w:hAnsi="Times New Roman" w:cs="Times New Roman"/>
              <w:spacing w:val="-15"/>
              <w:sz w:val="32"/>
              <w:szCs w:val="32"/>
            </w:rPr>
            <w:t>4.1.2</w:t>
          </w:r>
          <w:r>
            <w:rPr>
              <w:rFonts w:ascii="Times New Roman" w:eastAsia="Times New Roman" w:hAnsi="Times New Roman" w:cs="Times New Roman"/>
              <w:spacing w:val="3"/>
              <w:sz w:val="32"/>
              <w:szCs w:val="32"/>
            </w:rPr>
            <w:t xml:space="preserve">   </w:t>
          </w:r>
          <w:r>
            <w:rPr>
              <w:rFonts w:ascii="KaiTi" w:eastAsia="KaiTi" w:hAnsi="KaiTi" w:cs="KaiTi"/>
              <w:spacing w:val="-15"/>
              <w:sz w:val="32"/>
              <w:szCs w:val="32"/>
            </w:rPr>
            <w:t>项</w:t>
          </w:r>
          <w:r>
            <w:rPr>
              <w:rFonts w:ascii="KaiTi" w:eastAsia="KaiTi" w:hAnsi="KaiTi" w:cs="KaiTi"/>
              <w:spacing w:val="71"/>
              <w:sz w:val="32"/>
              <w:szCs w:val="32"/>
            </w:rPr>
            <w:t xml:space="preserve"> </w:t>
          </w:r>
          <w:r>
            <w:rPr>
              <w:rFonts w:ascii="KaiTi" w:eastAsia="KaiTi" w:hAnsi="KaiTi" w:cs="KaiTi"/>
              <w:spacing w:val="-15"/>
              <w:sz w:val="32"/>
              <w:szCs w:val="32"/>
            </w:rPr>
            <w:t>目</w:t>
          </w:r>
          <w:r>
            <w:rPr>
              <w:rFonts w:ascii="KaiTi" w:eastAsia="KaiTi" w:hAnsi="KaiTi" w:cs="KaiTi"/>
              <w:spacing w:val="-15"/>
              <w:sz w:val="32"/>
              <w:szCs w:val="32"/>
            </w:rPr>
            <w:t xml:space="preserve"> </w:t>
          </w:r>
          <w:r>
            <w:rPr>
              <w:rFonts w:ascii="KaiTi" w:eastAsia="KaiTi" w:hAnsi="KaiTi" w:cs="KaiTi"/>
              <w:spacing w:val="-15"/>
              <w:sz w:val="32"/>
              <w:szCs w:val="32"/>
            </w:rPr>
            <w:t>概</w:t>
          </w:r>
          <w:r>
            <w:rPr>
              <w:rFonts w:ascii="KaiTi" w:eastAsia="KaiTi" w:hAnsi="KaiTi" w:cs="KaiTi"/>
              <w:spacing w:val="16"/>
              <w:sz w:val="32"/>
              <w:szCs w:val="32"/>
            </w:rPr>
            <w:t xml:space="preserve"> </w:t>
          </w:r>
          <w:r>
            <w:rPr>
              <w:rFonts w:ascii="KaiTi" w:eastAsia="KaiTi" w:hAnsi="KaiTi" w:cs="KaiTi"/>
              <w:spacing w:val="-15"/>
              <w:sz w:val="32"/>
              <w:szCs w:val="32"/>
            </w:rPr>
            <w:t>况</w:t>
          </w:r>
          <w:r>
            <w:rPr>
              <w:rFonts w:ascii="KaiTi" w:eastAsia="KaiTi" w:hAnsi="KaiTi" w:cs="KaiTi"/>
              <w:spacing w:val="10"/>
              <w:sz w:val="32"/>
              <w:szCs w:val="32"/>
            </w:rPr>
            <w:t xml:space="preserve"> </w:t>
          </w:r>
          <w:r>
            <w:rPr>
              <w:rFonts w:ascii="KaiTi" w:eastAsia="KaiTi" w:hAnsi="KaiTi" w:cs="KaiTi"/>
              <w:sz w:val="32"/>
              <w:szCs w:val="32"/>
            </w:rPr>
            <w:tab/>
          </w:r>
          <w:r>
            <w:rPr>
              <w:rFonts w:ascii="KaiTi" w:eastAsia="KaiTi" w:hAnsi="KaiTi" w:cs="KaiTi"/>
              <w:spacing w:val="-25"/>
              <w:sz w:val="32"/>
              <w:szCs w:val="32"/>
            </w:rPr>
            <w:t xml:space="preserve"> </w:t>
          </w:r>
          <w:hyperlink w:anchor="bookmark21" w:history="1">
            <w:r>
              <w:rPr>
                <w:rFonts w:ascii="Times New Roman" w:eastAsia="Times New Roman" w:hAnsi="Times New Roman" w:cs="Times New Roman"/>
                <w:sz w:val="32"/>
                <w:szCs w:val="32"/>
              </w:rPr>
              <w:t>8</w:t>
            </w:r>
          </w:hyperlink>
        </w:p>
        <w:p>
          <w:pPr>
            <w:tabs>
              <w:tab w:val="right" w:leader="dot" w:pos="12646"/>
            </w:tabs>
            <w:spacing w:before="317" w:line="225" w:lineRule="auto"/>
            <w:ind w:left="1619"/>
            <w:rPr>
              <w:rFonts w:ascii="Times New Roman" w:eastAsia="Times New Roman" w:hAnsi="Times New Roman" w:cs="Times New Roman"/>
              <w:sz w:val="32"/>
              <w:szCs w:val="32"/>
            </w:rPr>
          </w:pPr>
          <w:r>
            <w:rPr>
              <w:rFonts w:ascii="Times New Roman" w:eastAsia="Times New Roman" w:hAnsi="Times New Roman" w:cs="Times New Roman"/>
              <w:spacing w:val="14"/>
              <w:sz w:val="32"/>
              <w:szCs w:val="32"/>
            </w:rPr>
            <w:t>4.2</w:t>
          </w:r>
          <w:r>
            <w:rPr>
              <w:rFonts w:ascii="Times New Roman" w:eastAsia="Times New Roman" w:hAnsi="Times New Roman" w:cs="Times New Roman"/>
              <w:spacing w:val="82"/>
              <w:w w:val="101"/>
              <w:sz w:val="32"/>
              <w:szCs w:val="32"/>
            </w:rPr>
            <w:t xml:space="preserve"> </w:t>
          </w:r>
          <w:r>
            <w:rPr>
              <w:rFonts w:ascii="KaiTi" w:eastAsia="KaiTi" w:hAnsi="KaiTi" w:cs="KaiTi"/>
              <w:spacing w:val="14"/>
              <w:sz w:val="32"/>
              <w:szCs w:val="32"/>
            </w:rPr>
            <w:t>单位工程招标控制价总表</w:t>
          </w:r>
          <w:r>
            <w:rPr>
              <w:rFonts w:ascii="KaiTi" w:eastAsia="KaiTi" w:hAnsi="KaiTi" w:cs="KaiTi"/>
              <w:sz w:val="32"/>
              <w:szCs w:val="32"/>
            </w:rPr>
            <w:tab/>
          </w:r>
          <w:hyperlink w:anchor="bookmark22" w:history="1">
            <w:r>
              <w:rPr>
                <w:rFonts w:ascii="Times New Roman" w:eastAsia="Times New Roman" w:hAnsi="Times New Roman" w:cs="Times New Roman"/>
                <w:sz w:val="32"/>
                <w:szCs w:val="32"/>
              </w:rPr>
              <w:t>9</w:t>
            </w:r>
          </w:hyperlink>
        </w:p>
        <w:p>
          <w:pPr>
            <w:tabs>
              <w:tab w:val="right" w:leader="dot" w:pos="12641"/>
            </w:tabs>
            <w:spacing w:before="336" w:line="223" w:lineRule="auto"/>
            <w:ind w:left="1619"/>
            <w:rPr>
              <w:rFonts w:ascii="Times New Roman" w:eastAsia="Times New Roman" w:hAnsi="Times New Roman" w:cs="Times New Roman"/>
              <w:sz w:val="32"/>
              <w:szCs w:val="32"/>
            </w:rPr>
          </w:pPr>
          <w:r>
            <w:rPr>
              <w:rFonts w:ascii="Times New Roman" w:eastAsia="Times New Roman" w:hAnsi="Times New Roman" w:cs="Times New Roman"/>
              <w:spacing w:val="14"/>
              <w:sz w:val="32"/>
              <w:szCs w:val="32"/>
            </w:rPr>
            <w:t>4.3</w:t>
          </w:r>
          <w:r>
            <w:rPr>
              <w:rFonts w:ascii="Times New Roman" w:eastAsia="Times New Roman" w:hAnsi="Times New Roman" w:cs="Times New Roman"/>
              <w:spacing w:val="7"/>
              <w:sz w:val="32"/>
              <w:szCs w:val="32"/>
            </w:rPr>
            <w:t xml:space="preserve">  </w:t>
          </w:r>
          <w:r>
            <w:rPr>
              <w:rFonts w:ascii="KaiTi" w:eastAsia="KaiTi" w:hAnsi="KaiTi" w:cs="KaiTi"/>
              <w:spacing w:val="14"/>
              <w:sz w:val="32"/>
              <w:szCs w:val="32"/>
            </w:rPr>
            <w:t>分部分项工程量清单与计价</w:t>
          </w:r>
          <w:r>
            <w:rPr>
              <w:rFonts w:ascii="KaiTi" w:eastAsia="KaiTi" w:hAnsi="KaiTi" w:cs="KaiTi"/>
              <w:spacing w:val="-135"/>
              <w:sz w:val="32"/>
              <w:szCs w:val="32"/>
            </w:rPr>
            <w:t xml:space="preserve"> </w:t>
          </w:r>
          <w:r>
            <w:rPr>
              <w:rFonts w:ascii="KaiTi" w:eastAsia="KaiTi" w:hAnsi="KaiTi" w:cs="KaiTi"/>
              <w:sz w:val="32"/>
              <w:szCs w:val="32"/>
            </w:rPr>
            <w:tab/>
          </w:r>
          <w:r>
            <w:rPr>
              <w:rFonts w:ascii="KaiTi" w:eastAsia="KaiTi" w:hAnsi="KaiTi" w:cs="KaiTi"/>
              <w:spacing w:val="-114"/>
              <w:sz w:val="32"/>
              <w:szCs w:val="32"/>
            </w:rPr>
            <w:t xml:space="preserve"> </w:t>
          </w:r>
          <w:hyperlink w:anchor="bookmark23" w:history="1">
            <w:r>
              <w:rPr>
                <w:rFonts w:ascii="Times New Roman" w:eastAsia="Times New Roman" w:hAnsi="Times New Roman" w:cs="Times New Roman"/>
                <w:spacing w:val="-10"/>
                <w:sz w:val="32"/>
                <w:szCs w:val="32"/>
              </w:rPr>
              <w:t>11</w:t>
            </w:r>
          </w:hyperlink>
        </w:p>
        <w:p>
          <w:pPr>
            <w:spacing w:line="257" w:lineRule="auto"/>
            <w:rPr>
              <w:rFonts w:ascii="Arial"/>
              <w:sz w:val="21"/>
            </w:rPr>
          </w:pPr>
        </w:p>
        <w:p>
          <w:pPr>
            <w:tabs>
              <w:tab w:val="right" w:leader="dot" w:pos="12611"/>
            </w:tabs>
            <w:spacing w:before="104" w:line="223" w:lineRule="auto"/>
            <w:ind w:left="1619"/>
            <w:rPr>
              <w:rFonts w:ascii="Times New Roman" w:eastAsia="Times New Roman" w:hAnsi="Times New Roman" w:cs="Times New Roman"/>
              <w:sz w:val="32"/>
              <w:szCs w:val="32"/>
            </w:rPr>
          </w:pPr>
          <w:r>
            <w:rPr>
              <w:rFonts w:ascii="Times New Roman" w:eastAsia="Times New Roman" w:hAnsi="Times New Roman" w:cs="Times New Roman"/>
              <w:spacing w:val="14"/>
              <w:sz w:val="32"/>
              <w:szCs w:val="32"/>
            </w:rPr>
            <w:t>4.4</w:t>
          </w:r>
          <w:r>
            <w:rPr>
              <w:rFonts w:ascii="Times New Roman" w:eastAsia="Times New Roman" w:hAnsi="Times New Roman" w:cs="Times New Roman"/>
              <w:spacing w:val="9"/>
              <w:sz w:val="32"/>
              <w:szCs w:val="32"/>
            </w:rPr>
            <w:t xml:space="preserve">  </w:t>
          </w:r>
          <w:r>
            <w:rPr>
              <w:rFonts w:ascii="KaiTi" w:eastAsia="KaiTi" w:hAnsi="KaiTi" w:cs="KaiTi"/>
              <w:spacing w:val="14"/>
              <w:sz w:val="32"/>
              <w:szCs w:val="32"/>
            </w:rPr>
            <w:t>总价措施项目清单与计价表</w:t>
          </w:r>
          <w:r>
            <w:rPr>
              <w:rFonts w:ascii="KaiTi" w:eastAsia="KaiTi" w:hAnsi="KaiTi" w:cs="KaiTi"/>
              <w:sz w:val="32"/>
              <w:szCs w:val="32"/>
            </w:rPr>
            <w:tab/>
          </w:r>
          <w:hyperlink w:anchor="bookmark24" w:history="1">
            <w:r>
              <w:rPr>
                <w:rFonts w:ascii="Times New Roman" w:eastAsia="Times New Roman" w:hAnsi="Times New Roman" w:cs="Times New Roman"/>
                <w:spacing w:val="-3"/>
                <w:sz w:val="32"/>
                <w:szCs w:val="32"/>
              </w:rPr>
              <w:t>18</w:t>
            </w:r>
          </w:hyperlink>
        </w:p>
        <w:p>
          <w:pPr>
            <w:spacing w:line="269" w:lineRule="auto"/>
            <w:rPr>
              <w:rFonts w:ascii="Arial"/>
              <w:sz w:val="21"/>
            </w:rPr>
          </w:pPr>
        </w:p>
        <w:p>
          <w:pPr>
            <w:tabs>
              <w:tab w:val="right" w:leader="dot" w:pos="12675"/>
            </w:tabs>
            <w:spacing w:before="105" w:line="229" w:lineRule="auto"/>
            <w:ind w:left="1620"/>
            <w:rPr>
              <w:rFonts w:ascii="Times New Roman" w:eastAsia="Times New Roman" w:hAnsi="Times New Roman" w:cs="Times New Roman"/>
              <w:sz w:val="32"/>
              <w:szCs w:val="32"/>
            </w:rPr>
          </w:pPr>
          <w:r>
            <w:rPr>
              <w:rFonts w:ascii="KaiTi" w:eastAsia="KaiTi" w:hAnsi="KaiTi" w:cs="KaiTi"/>
              <w:spacing w:val="21"/>
              <w:sz w:val="32"/>
              <w:szCs w:val="32"/>
            </w:rPr>
            <w:t>致谢</w:t>
          </w:r>
          <w:r>
            <w:rPr>
              <w:rFonts w:ascii="KaiTi" w:eastAsia="KaiTi" w:hAnsi="KaiTi" w:cs="KaiTi"/>
              <w:spacing w:val="-143"/>
              <w:sz w:val="32"/>
              <w:szCs w:val="32"/>
            </w:rPr>
            <w:t xml:space="preserve"> </w:t>
          </w:r>
          <w:r>
            <w:rPr>
              <w:rFonts w:ascii="KaiTi" w:eastAsia="KaiTi" w:hAnsi="KaiTi" w:cs="KaiTi"/>
              <w:sz w:val="32"/>
              <w:szCs w:val="32"/>
            </w:rPr>
            <w:tab/>
          </w:r>
          <w:r>
            <w:rPr>
              <w:rFonts w:ascii="Times New Roman" w:eastAsia="Times New Roman" w:hAnsi="Times New Roman" w:cs="Times New Roman"/>
              <w:spacing w:val="-5"/>
              <w:sz w:val="32"/>
              <w:szCs w:val="32"/>
            </w:rPr>
            <w:t>61</w:t>
          </w:r>
        </w:p>
        <w:p>
          <w:pPr>
            <w:tabs>
              <w:tab w:val="right" w:leader="dot" w:pos="12655"/>
            </w:tabs>
            <w:spacing w:before="336" w:line="227" w:lineRule="auto"/>
            <w:ind w:left="1620"/>
            <w:rPr>
              <w:rFonts w:ascii="Times New Roman" w:eastAsia="Times New Roman" w:hAnsi="Times New Roman" w:cs="Times New Roman"/>
              <w:sz w:val="32"/>
              <w:szCs w:val="32"/>
            </w:rPr>
          </w:pPr>
          <w:r>
            <w:rPr>
              <w:rFonts w:ascii="KaiTi" w:eastAsia="KaiTi" w:hAnsi="KaiTi" w:cs="KaiTi"/>
              <w:spacing w:val="28"/>
              <w:sz w:val="32"/>
              <w:szCs w:val="32"/>
            </w:rPr>
            <w:t>参考文献</w:t>
          </w:r>
          <w:r>
            <w:rPr>
              <w:rFonts w:ascii="KaiTi" w:eastAsia="KaiTi" w:hAnsi="KaiTi" w:cs="KaiTi"/>
              <w:spacing w:val="-134"/>
              <w:sz w:val="32"/>
              <w:szCs w:val="32"/>
            </w:rPr>
            <w:t xml:space="preserve"> </w:t>
          </w:r>
          <w:r>
            <w:rPr>
              <w:rFonts w:ascii="KaiTi" w:eastAsia="KaiTi" w:hAnsi="KaiTi" w:cs="KaiTi"/>
              <w:sz w:val="32"/>
              <w:szCs w:val="32"/>
            </w:rPr>
            <w:tab/>
          </w:r>
          <w:r>
            <w:rPr>
              <w:rFonts w:ascii="KaiTi" w:eastAsia="KaiTi" w:hAnsi="KaiTi" w:cs="KaiTi"/>
              <w:spacing w:val="-94"/>
              <w:sz w:val="32"/>
              <w:szCs w:val="32"/>
            </w:rPr>
            <w:t xml:space="preserve"> </w:t>
          </w:r>
          <w:r>
            <w:rPr>
              <w:rFonts w:ascii="Times New Roman" w:eastAsia="Times New Roman" w:hAnsi="Times New Roman" w:cs="Times New Roman"/>
              <w:spacing w:val="-4"/>
              <w:sz w:val="32"/>
              <w:szCs w:val="32"/>
            </w:rPr>
            <w:t>62</w:t>
          </w:r>
        </w:p>
      </w:sdtContent>
    </w:sdt>
    <w:p>
      <w:pPr>
        <w:spacing w:line="227" w:lineRule="auto"/>
        <w:rPr>
          <w:rFonts w:ascii="Times New Roman" w:eastAsia="Times New Roman" w:hAnsi="Times New Roman" w:cs="Times New Roman"/>
          <w:sz w:val="32"/>
          <w:szCs w:val="32"/>
        </w:rPr>
        <w:sectPr>
          <w:pgSz w:w="20000" w:h="28260"/>
          <w:pgMar w:top="1843" w:right="3000" w:bottom="0" w:left="3000" w:header="0" w:footer="0" w:gutter="0"/>
          <w:pgNumType w:start="5"/>
          <w:cols w:space="708"/>
        </w:sectPr>
      </w:pPr>
    </w:p>
    <w:p>
      <w:pPr>
        <w:spacing w:line="368" w:lineRule="auto"/>
        <w:rPr>
          <w:rFonts w:ascii="Arial"/>
          <w:sz w:val="21"/>
        </w:rPr>
      </w:pPr>
    </w:p>
    <w:p>
      <w:pPr>
        <w:spacing w:before="137" w:line="221" w:lineRule="auto"/>
        <w:ind w:left="5346"/>
        <w:rPr>
          <w:rFonts w:ascii="SimHei" w:eastAsia="SimHei" w:hAnsi="SimHei" w:cs="SimHei"/>
          <w:sz w:val="42"/>
          <w:szCs w:val="42"/>
        </w:rPr>
      </w:pPr>
      <w:r>
        <w:rPr>
          <w:rFonts w:ascii="SimHei" w:eastAsia="SimHei" w:hAnsi="SimHei" w:cs="SimHei"/>
          <w:b/>
          <w:bCs/>
          <w:spacing w:val="-4"/>
          <w:sz w:val="42"/>
          <w:szCs w:val="42"/>
        </w:rPr>
        <w:t>1</w:t>
      </w:r>
      <w:r>
        <w:rPr>
          <w:rFonts w:ascii="SimHei" w:eastAsia="SimHei" w:hAnsi="SimHei" w:cs="SimHei"/>
          <w:spacing w:val="-116"/>
          <w:sz w:val="42"/>
          <w:szCs w:val="42"/>
        </w:rPr>
        <w:t xml:space="preserve"> </w:t>
      </w:r>
      <w:r>
        <w:rPr>
          <w:rFonts w:ascii="SimHei" w:eastAsia="SimHei" w:hAnsi="SimHei" w:cs="SimHei"/>
          <w:b/>
          <w:bCs/>
          <w:spacing w:val="-4"/>
          <w:sz w:val="42"/>
          <w:szCs w:val="42"/>
        </w:rPr>
        <w:t>造价文件编制说明</w:t>
      </w:r>
    </w:p>
    <w:p>
      <w:pPr>
        <w:spacing w:line="429" w:lineRule="auto"/>
        <w:rPr>
          <w:rFonts w:ascii="Arial"/>
          <w:sz w:val="21"/>
        </w:rPr>
      </w:pPr>
    </w:p>
    <w:p>
      <w:pPr>
        <w:spacing w:before="114" w:line="221" w:lineRule="auto"/>
        <w:ind w:left="1634"/>
        <w:outlineLvl w:val="0"/>
        <w:rPr>
          <w:rFonts w:ascii="SimHei" w:eastAsia="SimHei" w:hAnsi="SimHei" w:cs="SimHei"/>
          <w:sz w:val="35"/>
          <w:szCs w:val="35"/>
        </w:rPr>
      </w:pPr>
      <w:r>
        <w:rPr>
          <w:rFonts w:ascii="SimHei" w:eastAsia="SimHei" w:hAnsi="SimHei" w:cs="SimHei"/>
          <w:b/>
          <w:bCs/>
          <w:spacing w:val="-17"/>
          <w:sz w:val="35"/>
          <w:szCs w:val="35"/>
        </w:rPr>
        <w:t>1.1</w:t>
      </w:r>
      <w:r>
        <w:rPr>
          <w:rFonts w:ascii="SimHei" w:eastAsia="SimHei" w:hAnsi="SimHei" w:cs="SimHei"/>
          <w:spacing w:val="-71"/>
          <w:sz w:val="35"/>
          <w:szCs w:val="35"/>
        </w:rPr>
        <w:t xml:space="preserve"> </w:t>
      </w:r>
      <w:r>
        <w:rPr>
          <w:rFonts w:ascii="SimHei" w:eastAsia="SimHei" w:hAnsi="SimHei" w:cs="SimHei"/>
          <w:b/>
          <w:bCs/>
          <w:spacing w:val="-17"/>
          <w:sz w:val="35"/>
          <w:szCs w:val="35"/>
        </w:rPr>
        <w:t>编制依据</w:t>
      </w:r>
    </w:p>
    <w:p>
      <w:pPr>
        <w:spacing w:line="353" w:lineRule="auto"/>
        <w:rPr>
          <w:rFonts w:ascii="Arial"/>
          <w:sz w:val="21"/>
        </w:rPr>
      </w:pPr>
    </w:p>
    <w:p>
      <w:pPr>
        <w:pStyle w:val="BodyText"/>
        <w:spacing w:before="91" w:line="220" w:lineRule="auto"/>
        <w:ind w:left="2259"/>
      </w:pPr>
      <w:r>
        <w:rPr>
          <w:spacing w:val="-12"/>
        </w:rPr>
        <w:t>1.建筑、结构施工图；</w:t>
      </w:r>
    </w:p>
    <w:p>
      <w:pPr>
        <w:pStyle w:val="BodyText"/>
        <w:spacing w:before="212" w:line="218" w:lineRule="auto"/>
        <w:ind w:left="2260"/>
      </w:pPr>
      <w:r>
        <w:rPr>
          <w:spacing w:val="-2"/>
        </w:rPr>
        <w:t>2.建筑设计防火规范</w:t>
      </w:r>
      <w:r>
        <w:rPr>
          <w:spacing w:val="-25"/>
        </w:rPr>
        <w:t xml:space="preserve"> </w:t>
      </w:r>
      <w:r>
        <w:rPr>
          <w:spacing w:val="-2"/>
        </w:rPr>
        <w:t>(GBJ16-87)2001   年版；</w:t>
      </w:r>
    </w:p>
    <w:p>
      <w:pPr>
        <w:pStyle w:val="BodyText"/>
        <w:spacing w:before="200" w:line="212" w:lineRule="auto"/>
        <w:ind w:left="2260"/>
        <w:rPr>
          <w:rFonts w:ascii="Times New Roman" w:eastAsia="Times New Roman" w:hAnsi="Times New Roman" w:cs="Times New Roman"/>
        </w:rPr>
      </w:pPr>
      <w:r>
        <w:t>3.民用建筑设计通则</w:t>
      </w:r>
      <w:r>
        <w:rPr>
          <w:spacing w:val="-35"/>
        </w:rPr>
        <w:t xml:space="preserve"> </w:t>
      </w:r>
      <w:r>
        <w:rPr>
          <w:rFonts w:ascii="Times New Roman" w:eastAsia="Times New Roman" w:hAnsi="Times New Roman" w:cs="Times New Roman"/>
        </w:rPr>
        <w:t xml:space="preserve">(JGJ      </w:t>
      </w:r>
      <w:r>
        <w:rPr>
          <w:rFonts w:ascii="Times New Roman" w:eastAsia="Times New Roman" w:hAnsi="Times New Roman" w:cs="Times New Roman"/>
          <w:spacing w:val="-1"/>
        </w:rPr>
        <w:t>37-87);</w:t>
      </w:r>
    </w:p>
    <w:p>
      <w:pPr>
        <w:pStyle w:val="BodyText"/>
        <w:spacing w:before="239" w:line="592" w:lineRule="exact"/>
        <w:ind w:left="2260"/>
      </w:pPr>
      <w:r>
        <w:rPr>
          <w:spacing w:val="-1"/>
          <w:position w:val="24"/>
        </w:rPr>
        <w:t>4.建筑设计抗震规范</w:t>
      </w:r>
      <w:r>
        <w:rPr>
          <w:spacing w:val="122"/>
          <w:position w:val="24"/>
        </w:rPr>
        <w:t xml:space="preserve"> </w:t>
      </w:r>
      <w:r>
        <w:rPr>
          <w:rFonts w:ascii="Times New Roman" w:eastAsia="Times New Roman" w:hAnsi="Times New Roman" w:cs="Times New Roman"/>
          <w:spacing w:val="-1"/>
          <w:position w:val="24"/>
        </w:rPr>
        <w:t xml:space="preserve">(GBJ     </w:t>
      </w:r>
      <w:r>
        <w:rPr>
          <w:spacing w:val="-1"/>
          <w:position w:val="24"/>
        </w:rPr>
        <w:t>11-89);</w:t>
      </w:r>
    </w:p>
    <w:p>
      <w:pPr>
        <w:pStyle w:val="BodyText"/>
        <w:spacing w:line="220" w:lineRule="auto"/>
        <w:ind w:left="2260"/>
      </w:pPr>
      <w:r>
        <w:rPr>
          <w:spacing w:val="-6"/>
        </w:rPr>
        <w:t>5.工程量清单项目计量规范(2013-宁夏):</w:t>
      </w:r>
    </w:p>
    <w:p>
      <w:pPr>
        <w:pStyle w:val="BodyText"/>
        <w:spacing w:before="223" w:line="218" w:lineRule="auto"/>
        <w:ind w:left="2260"/>
      </w:pPr>
      <w:r>
        <w:rPr>
          <w:spacing w:val="-3"/>
        </w:rPr>
        <w:t>6.宁夏建筑装饰工程计价定额(2013</w:t>
      </w:r>
      <w:r>
        <w:rPr>
          <w:spacing w:val="-4"/>
        </w:rPr>
        <w:t>);</w:t>
      </w:r>
    </w:p>
    <w:p>
      <w:pPr>
        <w:pStyle w:val="BodyText"/>
        <w:spacing w:before="213" w:line="220" w:lineRule="auto"/>
        <w:ind w:left="2260"/>
      </w:pPr>
      <w:r>
        <w:rPr>
          <w:spacing w:val="-7"/>
        </w:rPr>
        <w:t>7.有关建筑的其他规范及规定；</w:t>
      </w:r>
    </w:p>
    <w:p>
      <w:pPr>
        <w:pStyle w:val="BodyText"/>
        <w:spacing w:before="226" w:line="219" w:lineRule="auto"/>
        <w:ind w:left="2259"/>
      </w:pPr>
      <w:r>
        <w:rPr>
          <w:spacing w:val="-2"/>
        </w:rPr>
        <w:t>8.屋面工程技术规范</w:t>
      </w:r>
      <w:r>
        <w:rPr>
          <w:spacing w:val="-36"/>
        </w:rPr>
        <w:t xml:space="preserve"> </w:t>
      </w:r>
      <w:r>
        <w:rPr>
          <w:spacing w:val="-2"/>
        </w:rPr>
        <w:t>(GB50207-94);</w:t>
      </w:r>
    </w:p>
    <w:p>
      <w:pPr>
        <w:spacing w:line="286" w:lineRule="auto"/>
        <w:rPr>
          <w:rFonts w:ascii="Arial"/>
          <w:sz w:val="21"/>
        </w:rPr>
      </w:pPr>
    </w:p>
    <w:p>
      <w:pPr>
        <w:spacing w:before="114" w:line="221" w:lineRule="auto"/>
        <w:ind w:left="1604"/>
        <w:outlineLvl w:val="0"/>
        <w:rPr>
          <w:rFonts w:ascii="SimHei" w:eastAsia="SimHei" w:hAnsi="SimHei" w:cs="SimHei"/>
          <w:sz w:val="35"/>
          <w:szCs w:val="35"/>
        </w:rPr>
      </w:pPr>
      <w:r>
        <w:rPr>
          <w:rFonts w:ascii="SimHei" w:eastAsia="SimHei" w:hAnsi="SimHei" w:cs="SimHei"/>
          <w:b/>
          <w:bCs/>
          <w:spacing w:val="-11"/>
          <w:sz w:val="35"/>
          <w:szCs w:val="35"/>
        </w:rPr>
        <w:t>2.2</w:t>
      </w:r>
      <w:r>
        <w:rPr>
          <w:rFonts w:ascii="SimHei" w:eastAsia="SimHei" w:hAnsi="SimHei" w:cs="SimHei"/>
          <w:spacing w:val="-11"/>
          <w:sz w:val="35"/>
          <w:szCs w:val="35"/>
        </w:rPr>
        <w:t xml:space="preserve"> </w:t>
      </w:r>
      <w:r>
        <w:rPr>
          <w:rFonts w:ascii="SimHei" w:eastAsia="SimHei" w:hAnsi="SimHei" w:cs="SimHei"/>
          <w:b/>
          <w:bCs/>
          <w:spacing w:val="-11"/>
          <w:sz w:val="35"/>
          <w:szCs w:val="35"/>
        </w:rPr>
        <w:t>项目概况</w:t>
      </w:r>
    </w:p>
    <w:p>
      <w:pPr>
        <w:spacing w:line="342" w:lineRule="auto"/>
        <w:rPr>
          <w:rFonts w:ascii="Arial"/>
          <w:sz w:val="21"/>
        </w:rPr>
      </w:pPr>
    </w:p>
    <w:p>
      <w:pPr>
        <w:pStyle w:val="BodyText"/>
        <w:spacing w:before="92" w:line="550" w:lineRule="exact"/>
        <w:ind w:left="2350"/>
      </w:pPr>
      <w:r>
        <w:rPr>
          <w:spacing w:val="-15"/>
          <w:position w:val="20"/>
        </w:rPr>
        <w:t>1.工程名称：</w:t>
      </w:r>
      <w:r>
        <w:rPr>
          <w:spacing w:val="-25"/>
          <w:position w:val="20"/>
        </w:rPr>
        <w:t xml:space="preserve"> </w:t>
      </w:r>
      <w:r>
        <w:rPr>
          <w:rFonts w:ascii="Times New Roman" w:eastAsia="Times New Roman" w:hAnsi="Times New Roman" w:cs="Times New Roman"/>
          <w:spacing w:val="-15"/>
          <w:position w:val="20"/>
        </w:rPr>
        <w:t>XX</w:t>
      </w:r>
      <w:r>
        <w:rPr>
          <w:rFonts w:ascii="Times New Roman" w:eastAsia="Times New Roman" w:hAnsi="Times New Roman" w:cs="Times New Roman"/>
          <w:spacing w:val="18"/>
          <w:position w:val="20"/>
        </w:rPr>
        <w:t xml:space="preserve"> </w:t>
      </w:r>
      <w:r>
        <w:rPr>
          <w:spacing w:val="-15"/>
          <w:position w:val="20"/>
        </w:rPr>
        <w:t>学校教学综合楼；</w:t>
      </w:r>
    </w:p>
    <w:p>
      <w:pPr>
        <w:pStyle w:val="BodyText"/>
        <w:spacing w:before="1" w:line="219" w:lineRule="auto"/>
        <w:ind w:left="2260"/>
      </w:pPr>
      <w:r>
        <w:rPr>
          <w:spacing w:val="-8"/>
        </w:rPr>
        <w:t>2.建设地点：银川市；</w:t>
      </w:r>
    </w:p>
    <w:p>
      <w:pPr>
        <w:pStyle w:val="BodyText"/>
        <w:spacing w:before="205" w:line="219" w:lineRule="auto"/>
        <w:ind w:left="2260"/>
      </w:pPr>
      <w:r>
        <w:rPr>
          <w:spacing w:val="-2"/>
        </w:rPr>
        <w:t>3.工程概况：本工程为地上5层，框架结构，</w:t>
      </w:r>
      <w:r>
        <w:rPr>
          <w:spacing w:val="98"/>
        </w:rPr>
        <w:t xml:space="preserve"> </w:t>
      </w:r>
      <w:r>
        <w:rPr>
          <w:spacing w:val="-2"/>
        </w:rPr>
        <w:t>一层为办公室及公厕，二至五层为教室</w:t>
      </w:r>
    </w:p>
    <w:p>
      <w:pPr>
        <w:pStyle w:val="BodyText"/>
        <w:spacing w:before="250" w:line="540" w:lineRule="exact"/>
        <w:ind w:left="2580"/>
      </w:pPr>
      <w:r>
        <w:rPr>
          <w:spacing w:val="3"/>
          <w:position w:val="19"/>
        </w:rPr>
        <w:t>等，其中三层设一阶梯教室；</w:t>
      </w:r>
    </w:p>
    <w:p>
      <w:pPr>
        <w:pStyle w:val="BodyText"/>
        <w:spacing w:line="219" w:lineRule="auto"/>
        <w:ind w:left="2260"/>
      </w:pPr>
      <w:r>
        <w:rPr>
          <w:spacing w:val="-1"/>
        </w:rPr>
        <w:t>4.总建筑面积为3294.60平方米；</w:t>
      </w:r>
    </w:p>
    <w:p>
      <w:pPr>
        <w:pStyle w:val="BodyText"/>
        <w:spacing w:before="237" w:line="551" w:lineRule="exact"/>
        <w:ind w:left="2260"/>
      </w:pPr>
      <w:r>
        <w:rPr>
          <w:position w:val="20"/>
        </w:rPr>
        <w:t>5.本地区地震基本烈度为六度，本工程设计基准期为五十</w:t>
      </w:r>
      <w:r>
        <w:rPr>
          <w:spacing w:val="-1"/>
          <w:position w:val="20"/>
        </w:rPr>
        <w:t>年；</w:t>
      </w:r>
    </w:p>
    <w:p>
      <w:pPr>
        <w:pStyle w:val="BodyText"/>
        <w:spacing w:line="219" w:lineRule="auto"/>
        <w:ind w:left="2260"/>
      </w:pPr>
      <w:r>
        <w:rPr>
          <w:spacing w:val="-9"/>
        </w:rPr>
        <w:t>6.建筑安全等级为二级；</w:t>
      </w:r>
    </w:p>
    <w:p>
      <w:pPr>
        <w:spacing w:line="219" w:lineRule="auto"/>
        <w:sectPr>
          <w:headerReference w:type="default" r:id="rId4"/>
          <w:pgSz w:w="20000" w:h="28260"/>
          <w:pgMar w:top="1329" w:right="3000" w:bottom="0" w:left="3000" w:header="1048" w:footer="0" w:gutter="0"/>
          <w:pgNumType w:start="6"/>
          <w:cols w:space="708"/>
        </w:sectPr>
      </w:pPr>
    </w:p>
    <w:p>
      <w:pPr>
        <w:spacing w:line="369" w:lineRule="auto"/>
        <w:rPr>
          <w:rFonts w:ascii="Arial"/>
          <w:sz w:val="21"/>
        </w:rPr>
      </w:pPr>
    </w:p>
    <w:p>
      <w:pPr>
        <w:spacing w:before="136" w:line="1059" w:lineRule="exact"/>
        <w:ind w:left="4476"/>
        <w:rPr>
          <w:rFonts w:ascii="SimHei" w:eastAsia="SimHei" w:hAnsi="SimHei" w:cs="SimHei"/>
          <w:sz w:val="42"/>
          <w:szCs w:val="42"/>
        </w:rPr>
      </w:pPr>
      <w:bookmarkStart w:id="8" w:name="bookmark18"/>
      <w:bookmarkEnd w:id="8"/>
      <w:r>
        <w:rPr>
          <w:rFonts w:ascii="SimHei" w:eastAsia="SimHei" w:hAnsi="SimHei" w:cs="SimHei"/>
          <w:b/>
          <w:bCs/>
          <w:spacing w:val="6"/>
          <w:position w:val="48"/>
          <w:sz w:val="42"/>
          <w:szCs w:val="42"/>
        </w:rPr>
        <w:t>2招标控制价编制依据和方法</w:t>
      </w:r>
    </w:p>
    <w:p>
      <w:pPr>
        <w:spacing w:before="1" w:line="220" w:lineRule="auto"/>
        <w:ind w:left="1584"/>
        <w:rPr>
          <w:rFonts w:ascii="SimHei" w:eastAsia="SimHei" w:hAnsi="SimHei" w:cs="SimHei"/>
          <w:sz w:val="34"/>
          <w:szCs w:val="34"/>
        </w:rPr>
      </w:pPr>
      <w:r>
        <w:rPr>
          <w:rFonts w:ascii="SimHei" w:eastAsia="SimHei" w:hAnsi="SimHei" w:cs="SimHei"/>
          <w:b/>
          <w:bCs/>
          <w:spacing w:val="13"/>
          <w:sz w:val="34"/>
          <w:szCs w:val="34"/>
        </w:rPr>
        <w:t>2.1招标控制价的概念</w:t>
      </w:r>
    </w:p>
    <w:p>
      <w:pPr>
        <w:spacing w:line="370" w:lineRule="auto"/>
        <w:rPr>
          <w:rFonts w:ascii="Arial"/>
          <w:sz w:val="21"/>
        </w:rPr>
      </w:pPr>
    </w:p>
    <w:p>
      <w:pPr>
        <w:pStyle w:val="BodyText"/>
        <w:spacing w:before="91" w:line="363" w:lineRule="auto"/>
        <w:ind w:left="1580" w:right="1284" w:firstLine="619"/>
        <w:jc w:val="both"/>
      </w:pPr>
      <w:r>
        <w:rPr>
          <w:spacing w:val="4"/>
        </w:rPr>
        <w:t>招标人根据国家或省级、行业建设主管部门颁发的有关计价依据和办法，按设计施工</w:t>
      </w:r>
      <w:r>
        <w:rPr>
          <w:spacing w:val="6"/>
        </w:rPr>
        <w:t xml:space="preserve"> </w:t>
      </w:r>
      <w:r>
        <w:rPr>
          <w:spacing w:val="6"/>
        </w:rPr>
        <w:t>图纸计算的，对招标工程限定的最高工程造</w:t>
      </w:r>
      <w:r>
        <w:rPr>
          <w:spacing w:val="5"/>
        </w:rPr>
        <w:t>价。招标控制价一般在招标文件中会说明其具</w:t>
      </w:r>
      <w:r>
        <w:t xml:space="preserve"> </w:t>
      </w:r>
      <w:r>
        <w:rPr>
          <w:spacing w:val="5"/>
        </w:rPr>
        <w:t>体价格，若投标人的投标价超过招标控制价，则就是废标。</w:t>
      </w:r>
      <w:r>
        <w:rPr>
          <w:spacing w:val="4"/>
        </w:rPr>
        <w:t>国有资金投资的工程建设项目</w:t>
      </w:r>
      <w:r>
        <w:t xml:space="preserve"> </w:t>
      </w:r>
      <w:r>
        <w:rPr>
          <w:spacing w:val="5"/>
        </w:rPr>
        <w:t>应实行工程量清单招标，并应编制招标控制价。招标控制</w:t>
      </w:r>
      <w:r>
        <w:rPr>
          <w:spacing w:val="4"/>
        </w:rPr>
        <w:t>价超过批准的概算时，招标人应</w:t>
      </w:r>
      <w:r>
        <w:t xml:space="preserve"> </w:t>
      </w:r>
      <w:r>
        <w:rPr>
          <w:spacing w:val="-5"/>
        </w:rPr>
        <w:t>将其报原概算审批部门审核。投标人的投标报价高于招标控制价的，其投标应予以拒绝，招</w:t>
      </w:r>
    </w:p>
    <w:p>
      <w:pPr>
        <w:pStyle w:val="BodyText"/>
        <w:spacing w:before="1" w:line="217" w:lineRule="auto"/>
        <w:ind w:left="1580"/>
      </w:pPr>
      <w:r>
        <w:rPr>
          <w:spacing w:val="4"/>
        </w:rPr>
        <w:t>标控制价应由具有编制能力的招标人，或受其委</w:t>
      </w:r>
      <w:r>
        <w:rPr>
          <w:spacing w:val="3"/>
        </w:rPr>
        <w:t>托具有相应资质的工程造价咨询人编制。</w:t>
      </w:r>
    </w:p>
    <w:p>
      <w:pPr>
        <w:spacing w:line="280" w:lineRule="auto"/>
        <w:rPr>
          <w:rFonts w:ascii="Arial"/>
          <w:sz w:val="21"/>
        </w:rPr>
      </w:pPr>
    </w:p>
    <w:p>
      <w:pPr>
        <w:spacing w:line="280" w:lineRule="auto"/>
        <w:rPr>
          <w:rFonts w:ascii="Arial"/>
          <w:sz w:val="21"/>
        </w:rPr>
      </w:pPr>
    </w:p>
    <w:p>
      <w:pPr>
        <w:spacing w:line="280" w:lineRule="auto"/>
        <w:rPr>
          <w:rFonts w:ascii="Arial"/>
          <w:sz w:val="21"/>
        </w:rPr>
      </w:pPr>
    </w:p>
    <w:p>
      <w:pPr>
        <w:spacing w:before="111" w:line="221" w:lineRule="auto"/>
        <w:ind w:left="1584"/>
        <w:outlineLvl w:val="0"/>
        <w:rPr>
          <w:rFonts w:ascii="SimHei" w:eastAsia="SimHei" w:hAnsi="SimHei" w:cs="SimHei"/>
          <w:sz w:val="34"/>
          <w:szCs w:val="34"/>
        </w:rPr>
      </w:pPr>
      <w:r>
        <w:rPr>
          <w:rFonts w:ascii="SimHei" w:eastAsia="SimHei" w:hAnsi="SimHei" w:cs="SimHei"/>
          <w:b/>
          <w:bCs/>
          <w:spacing w:val="9"/>
          <w:sz w:val="34"/>
          <w:szCs w:val="34"/>
        </w:rPr>
        <w:t>2.2招标控制价的编制依据</w:t>
      </w:r>
    </w:p>
    <w:p>
      <w:pPr>
        <w:spacing w:line="352" w:lineRule="auto"/>
        <w:rPr>
          <w:rFonts w:ascii="Arial"/>
          <w:sz w:val="21"/>
        </w:rPr>
      </w:pPr>
    </w:p>
    <w:p>
      <w:pPr>
        <w:pStyle w:val="BodyText"/>
        <w:spacing w:before="91" w:line="218" w:lineRule="auto"/>
        <w:ind w:left="1730"/>
      </w:pPr>
      <w:r>
        <w:rPr>
          <w:spacing w:val="-5"/>
        </w:rPr>
        <w:t>(1)《建设工程工程量清单计价规范》;</w:t>
      </w:r>
    </w:p>
    <w:p>
      <w:pPr>
        <w:pStyle w:val="BodyText"/>
        <w:spacing w:before="239" w:line="552" w:lineRule="exact"/>
        <w:ind w:left="1729"/>
      </w:pPr>
      <w:r>
        <w:rPr>
          <w:spacing w:val="7"/>
          <w:position w:val="20"/>
        </w:rPr>
        <w:t>(2)国家或省级、国务院有关部门建设主管部门颁发的计价定额</w:t>
      </w:r>
      <w:r>
        <w:rPr>
          <w:spacing w:val="6"/>
          <w:position w:val="20"/>
        </w:rPr>
        <w:t>和计价办法；</w:t>
      </w:r>
    </w:p>
    <w:p>
      <w:pPr>
        <w:pStyle w:val="BodyText"/>
        <w:spacing w:before="1" w:line="219" w:lineRule="auto"/>
        <w:ind w:left="1729"/>
      </w:pPr>
      <w:r>
        <w:rPr>
          <w:spacing w:val="7"/>
        </w:rPr>
        <w:t>(3)建设工程设计文件及相关资料：</w:t>
      </w:r>
    </w:p>
    <w:p>
      <w:pPr>
        <w:pStyle w:val="BodyText"/>
        <w:spacing w:before="218" w:line="219" w:lineRule="auto"/>
        <w:ind w:left="1729"/>
      </w:pPr>
      <w:r>
        <w:rPr>
          <w:spacing w:val="8"/>
        </w:rPr>
        <w:t>(4)招标文件中的工程量清单及有关要求；</w:t>
      </w:r>
    </w:p>
    <w:p>
      <w:pPr>
        <w:pStyle w:val="BodyText"/>
        <w:spacing w:before="227" w:line="219" w:lineRule="auto"/>
        <w:ind w:left="1729"/>
      </w:pPr>
      <w:r>
        <w:rPr>
          <w:spacing w:val="8"/>
        </w:rPr>
        <w:t>(5)与建设项目相关的标准、规范、技术资料；</w:t>
      </w:r>
    </w:p>
    <w:p>
      <w:pPr>
        <w:pStyle w:val="BodyText"/>
        <w:spacing w:before="216" w:line="582" w:lineRule="exact"/>
        <w:ind w:left="1729"/>
      </w:pPr>
      <w:r>
        <w:rPr>
          <w:spacing w:val="7"/>
          <w:position w:val="23"/>
        </w:rPr>
        <w:t>(6)工程造价管理机构发布的工程造价信息；</w:t>
      </w:r>
      <w:r>
        <w:rPr>
          <w:spacing w:val="6"/>
          <w:position w:val="23"/>
        </w:rPr>
        <w:t>工程造价信息没有发布的参照市场价；</w:t>
      </w:r>
    </w:p>
    <w:p>
      <w:pPr>
        <w:pStyle w:val="BodyText"/>
        <w:spacing w:line="219" w:lineRule="auto"/>
        <w:ind w:left="1729"/>
      </w:pPr>
      <w:r>
        <w:rPr>
          <w:spacing w:val="8"/>
        </w:rPr>
        <w:t>(7)其他的相关资料。主要指施工现场情况、工程特点及常规施工方案等。</w:t>
      </w:r>
    </w:p>
    <w:p>
      <w:pPr>
        <w:spacing w:line="296" w:lineRule="auto"/>
        <w:rPr>
          <w:rFonts w:ascii="Arial"/>
          <w:sz w:val="21"/>
        </w:rPr>
      </w:pPr>
    </w:p>
    <w:p>
      <w:pPr>
        <w:spacing w:line="296" w:lineRule="auto"/>
        <w:rPr>
          <w:rFonts w:ascii="Arial"/>
          <w:sz w:val="21"/>
        </w:rPr>
      </w:pPr>
    </w:p>
    <w:p>
      <w:pPr>
        <w:spacing w:line="296" w:lineRule="auto"/>
        <w:rPr>
          <w:rFonts w:ascii="Arial"/>
          <w:sz w:val="21"/>
        </w:rPr>
      </w:pPr>
    </w:p>
    <w:p>
      <w:pPr>
        <w:spacing w:line="296" w:lineRule="auto"/>
        <w:rPr>
          <w:rFonts w:ascii="Arial"/>
          <w:sz w:val="21"/>
        </w:rPr>
      </w:pPr>
    </w:p>
    <w:p>
      <w:pPr>
        <w:spacing w:before="111" w:line="221" w:lineRule="auto"/>
        <w:ind w:left="1584"/>
        <w:outlineLvl w:val="0"/>
        <w:rPr>
          <w:rFonts w:ascii="SimHei" w:eastAsia="SimHei" w:hAnsi="SimHei" w:cs="SimHei"/>
          <w:sz w:val="34"/>
          <w:szCs w:val="34"/>
        </w:rPr>
      </w:pPr>
      <w:r>
        <w:rPr>
          <w:rFonts w:ascii="SimHei" w:eastAsia="SimHei" w:hAnsi="SimHei" w:cs="SimHei"/>
          <w:b/>
          <w:bCs/>
          <w:spacing w:val="10"/>
          <w:sz w:val="34"/>
          <w:szCs w:val="34"/>
        </w:rPr>
        <w:t>2.3招标控制价的编制方法</w:t>
      </w:r>
    </w:p>
    <w:p>
      <w:pPr>
        <w:spacing w:line="343" w:lineRule="auto"/>
        <w:rPr>
          <w:rFonts w:ascii="Arial"/>
          <w:sz w:val="21"/>
        </w:rPr>
      </w:pPr>
    </w:p>
    <w:p>
      <w:pPr>
        <w:pStyle w:val="BodyText"/>
        <w:spacing w:before="91" w:line="563" w:lineRule="exact"/>
        <w:ind w:left="2060"/>
      </w:pPr>
      <w:r>
        <w:rPr>
          <w:spacing w:val="7"/>
          <w:position w:val="21"/>
        </w:rPr>
        <w:t>采用工程量清单计价时，招标控制价的编制内容包括分部分</w:t>
      </w:r>
      <w:r>
        <w:rPr>
          <w:spacing w:val="6"/>
          <w:position w:val="21"/>
        </w:rPr>
        <w:t>项工程费、措施项目费、</w:t>
      </w:r>
    </w:p>
    <w:p>
      <w:pPr>
        <w:pStyle w:val="BodyText"/>
        <w:spacing w:line="220" w:lineRule="auto"/>
        <w:ind w:left="1580"/>
      </w:pPr>
      <w:r>
        <w:t>其他项目费、规费和税金。</w:t>
      </w:r>
    </w:p>
    <w:p>
      <w:pPr>
        <w:spacing w:line="277" w:lineRule="auto"/>
        <w:rPr>
          <w:rFonts w:ascii="Arial"/>
          <w:sz w:val="21"/>
        </w:rPr>
      </w:pPr>
    </w:p>
    <w:p>
      <w:pPr>
        <w:spacing w:before="112" w:line="221" w:lineRule="auto"/>
        <w:ind w:left="1583"/>
        <w:outlineLvl w:val="0"/>
        <w:rPr>
          <w:rFonts w:ascii="SimHei" w:eastAsia="SimHei" w:hAnsi="SimHei" w:cs="SimHei"/>
          <w:sz w:val="34"/>
          <w:szCs w:val="34"/>
        </w:rPr>
      </w:pPr>
      <w:r>
        <w:rPr>
          <w:rFonts w:ascii="SimHei" w:eastAsia="SimHei" w:hAnsi="SimHei" w:cs="SimHei"/>
          <w:b/>
          <w:bCs/>
          <w:spacing w:val="-23"/>
          <w:sz w:val="34"/>
          <w:szCs w:val="34"/>
        </w:rPr>
        <w:t>2.3.1</w:t>
      </w:r>
      <w:r>
        <w:rPr>
          <w:rFonts w:ascii="SimHei" w:eastAsia="SimHei" w:hAnsi="SimHei" w:cs="SimHei"/>
          <w:spacing w:val="-62"/>
          <w:sz w:val="34"/>
          <w:szCs w:val="34"/>
        </w:rPr>
        <w:t xml:space="preserve"> </w:t>
      </w:r>
      <w:r>
        <w:rPr>
          <w:rFonts w:ascii="SimHei" w:eastAsia="SimHei" w:hAnsi="SimHei" w:cs="SimHei"/>
          <w:b/>
          <w:bCs/>
          <w:spacing w:val="-23"/>
          <w:sz w:val="34"/>
          <w:szCs w:val="34"/>
        </w:rPr>
        <w:t>分部分项工程费的编制</w:t>
      </w:r>
    </w:p>
    <w:p>
      <w:pPr>
        <w:spacing w:line="375" w:lineRule="auto"/>
        <w:rPr>
          <w:rFonts w:ascii="Arial"/>
          <w:sz w:val="21"/>
        </w:rPr>
      </w:pPr>
    </w:p>
    <w:p>
      <w:pPr>
        <w:pStyle w:val="BodyText"/>
        <w:spacing w:before="91" w:line="219" w:lineRule="auto"/>
        <w:ind w:left="2200"/>
      </w:pPr>
      <w:r>
        <w:rPr>
          <w:spacing w:val="4"/>
        </w:rPr>
        <w:t>分部分项工程费应根据招标文件中的分部分项工程量清单项目的特征描述及有关要</w:t>
      </w:r>
    </w:p>
    <w:p>
      <w:pPr>
        <w:pStyle w:val="BodyText"/>
        <w:spacing w:before="215" w:line="550" w:lineRule="exact"/>
        <w:ind w:left="1580"/>
      </w:pPr>
      <w:r>
        <w:rPr>
          <w:spacing w:val="5"/>
          <w:position w:val="20"/>
        </w:rPr>
        <w:t>求，按规定确定综合单价进行计算。综合单价中应包括招</w:t>
      </w:r>
      <w:r>
        <w:rPr>
          <w:spacing w:val="4"/>
          <w:position w:val="20"/>
        </w:rPr>
        <w:t>标文件中要求投标人承担的风险</w:t>
      </w:r>
    </w:p>
    <w:p>
      <w:pPr>
        <w:pStyle w:val="BodyText"/>
        <w:spacing w:before="2" w:line="217" w:lineRule="auto"/>
        <w:ind w:left="1580"/>
      </w:pPr>
      <w:r>
        <w:rPr>
          <w:spacing w:val="3"/>
        </w:rPr>
        <w:t>费用。招标文件提供了暂估单价的材料，按暂估的单价计人综</w:t>
      </w:r>
      <w:r>
        <w:rPr>
          <w:spacing w:val="2"/>
        </w:rPr>
        <w:t>合单价。</w:t>
      </w:r>
    </w:p>
    <w:p>
      <w:pPr>
        <w:spacing w:line="251" w:lineRule="auto"/>
        <w:rPr>
          <w:rFonts w:ascii="Arial"/>
          <w:sz w:val="21"/>
        </w:rPr>
      </w:pPr>
    </w:p>
    <w:p>
      <w:pPr>
        <w:spacing w:line="251" w:lineRule="auto"/>
        <w:rPr>
          <w:rFonts w:ascii="Arial"/>
          <w:sz w:val="21"/>
        </w:rPr>
      </w:pPr>
    </w:p>
    <w:p>
      <w:pPr>
        <w:pStyle w:val="BodyText"/>
        <w:spacing w:before="62" w:line="183" w:lineRule="auto"/>
        <w:ind w:left="12570"/>
        <w:rPr>
          <w:sz w:val="19"/>
          <w:szCs w:val="19"/>
        </w:rPr>
      </w:pPr>
      <w:r>
        <w:rPr>
          <w:sz w:val="19"/>
          <w:szCs w:val="19"/>
        </w:rPr>
        <w:t>2</w:t>
      </w:r>
    </w:p>
    <w:p>
      <w:pPr>
        <w:spacing w:line="183" w:lineRule="auto"/>
        <w:rPr>
          <w:sz w:val="19"/>
          <w:szCs w:val="19"/>
        </w:rPr>
        <w:sectPr>
          <w:headerReference w:type="default" r:id="rId5"/>
          <w:pgSz w:w="20000" w:h="28260"/>
          <w:pgMar w:top="1329" w:right="3000" w:bottom="0" w:left="3000" w:header="1057" w:footer="0" w:gutter="0"/>
          <w:pgNumType w:start="7"/>
          <w:cols w:space="708"/>
        </w:sectPr>
      </w:pPr>
    </w:p>
    <w:p>
      <w:pPr>
        <w:spacing w:line="436" w:lineRule="auto"/>
        <w:rPr>
          <w:rFonts w:ascii="Arial"/>
          <w:sz w:val="21"/>
        </w:rPr>
      </w:pPr>
    </w:p>
    <w:p>
      <w:pPr>
        <w:spacing w:before="108" w:line="222" w:lineRule="auto"/>
        <w:ind w:left="1594"/>
        <w:outlineLvl w:val="0"/>
        <w:rPr>
          <w:rFonts w:ascii="SimHei" w:eastAsia="SimHei" w:hAnsi="SimHei" w:cs="SimHei"/>
          <w:sz w:val="33"/>
          <w:szCs w:val="33"/>
        </w:rPr>
      </w:pPr>
      <w:bookmarkStart w:id="9" w:name="bookmark21"/>
      <w:bookmarkEnd w:id="9"/>
      <w:bookmarkStart w:id="10" w:name="bookmark19"/>
      <w:bookmarkEnd w:id="10"/>
      <w:bookmarkStart w:id="11" w:name="bookmark20"/>
      <w:bookmarkEnd w:id="11"/>
      <w:r>
        <w:rPr>
          <w:rFonts w:ascii="SimHei" w:eastAsia="SimHei" w:hAnsi="SimHei" w:cs="SimHei"/>
          <w:b/>
          <w:bCs/>
          <w:spacing w:val="-9"/>
          <w:sz w:val="33"/>
          <w:szCs w:val="33"/>
        </w:rPr>
        <w:t>2.3.2措施项目费</w:t>
      </w:r>
    </w:p>
    <w:p>
      <w:pPr>
        <w:spacing w:line="343" w:lineRule="auto"/>
        <w:rPr>
          <w:rFonts w:ascii="Arial"/>
          <w:sz w:val="21"/>
        </w:rPr>
      </w:pPr>
    </w:p>
    <w:p>
      <w:pPr>
        <w:pStyle w:val="BodyText"/>
        <w:spacing w:before="91" w:line="369" w:lineRule="auto"/>
        <w:ind w:left="1590" w:right="1278" w:firstLine="609"/>
        <w:jc w:val="both"/>
      </w:pPr>
      <w:r>
        <w:rPr>
          <w:spacing w:val="4"/>
        </w:rPr>
        <w:t>应按招标文件中提供的措施项目清单确定，措施项目采用分部分项工程综合单价形式</w:t>
      </w:r>
      <w:r>
        <w:rPr>
          <w:spacing w:val="12"/>
        </w:rPr>
        <w:t xml:space="preserve"> </w:t>
      </w:r>
      <w:r>
        <w:rPr>
          <w:spacing w:val="-3"/>
        </w:rPr>
        <w:t>进行计价的工程量，应按措施项目清单中的工</w:t>
      </w:r>
      <w:r>
        <w:rPr>
          <w:spacing w:val="-4"/>
        </w:rPr>
        <w:t>程量，并按规定确定综合单价；以“项”为单</w:t>
      </w:r>
      <w:r>
        <w:t xml:space="preserve"> </w:t>
      </w:r>
      <w:r>
        <w:rPr>
          <w:spacing w:val="4"/>
        </w:rPr>
        <w:t>位的方式计介的，按规定确定除规费、税金以外的全部费用。措施项目费中的安全文明施</w:t>
      </w:r>
    </w:p>
    <w:p>
      <w:pPr>
        <w:pStyle w:val="BodyText"/>
        <w:spacing w:before="1" w:line="217" w:lineRule="auto"/>
        <w:ind w:left="1590"/>
      </w:pPr>
      <w:r>
        <w:rPr>
          <w:spacing w:val="2"/>
        </w:rPr>
        <w:t>工费应当按照国家或省级、行业建设主管部门的规定标准计价。</w:t>
      </w:r>
    </w:p>
    <w:p>
      <w:pPr>
        <w:spacing w:line="297" w:lineRule="auto"/>
        <w:rPr>
          <w:rFonts w:ascii="Arial"/>
          <w:sz w:val="21"/>
        </w:rPr>
      </w:pPr>
    </w:p>
    <w:p>
      <w:pPr>
        <w:spacing w:before="108" w:line="222" w:lineRule="auto"/>
        <w:ind w:left="1594"/>
        <w:outlineLvl w:val="0"/>
        <w:rPr>
          <w:rFonts w:ascii="SimHei" w:eastAsia="SimHei" w:hAnsi="SimHei" w:cs="SimHei"/>
          <w:sz w:val="33"/>
          <w:szCs w:val="33"/>
        </w:rPr>
      </w:pPr>
      <w:r>
        <w:rPr>
          <w:rFonts w:ascii="SimHei" w:eastAsia="SimHei" w:hAnsi="SimHei" w:cs="SimHei"/>
          <w:b/>
          <w:bCs/>
          <w:spacing w:val="-6"/>
          <w:sz w:val="33"/>
          <w:szCs w:val="33"/>
        </w:rPr>
        <w:t>2.3.3其他项目费应按下列规定计价</w:t>
      </w:r>
    </w:p>
    <w:p>
      <w:pPr>
        <w:pStyle w:val="BodyText"/>
        <w:spacing w:before="325" w:line="363" w:lineRule="auto"/>
        <w:ind w:left="1590" w:right="1311" w:firstLine="439"/>
      </w:pPr>
      <w:r>
        <w:rPr>
          <w:spacing w:val="4"/>
        </w:rPr>
        <w:t>(1)暂列金额。暂列金额由招标人根据工程特点，按有关计价规定进</w:t>
      </w:r>
      <w:r>
        <w:rPr>
          <w:spacing w:val="3"/>
        </w:rPr>
        <w:t>行估算确定。为保</w:t>
      </w:r>
      <w:r>
        <w:t xml:space="preserve"> </w:t>
      </w:r>
      <w:r>
        <w:rPr>
          <w:spacing w:val="5"/>
        </w:rPr>
        <w:t>证工程施工建设的顺利实施，在编制招标控制价</w:t>
      </w:r>
      <w:r>
        <w:rPr>
          <w:spacing w:val="4"/>
        </w:rPr>
        <w:t>时应对施工过程中可能出现的各种不确定</w:t>
      </w:r>
      <w:r>
        <w:t xml:space="preserve"> </w:t>
      </w:r>
      <w:r>
        <w:rPr>
          <w:spacing w:val="4"/>
        </w:rPr>
        <w:t>因素对工程造价的影响进行估算，列出一笔暂列金</w:t>
      </w:r>
      <w:r>
        <w:rPr>
          <w:spacing w:val="3"/>
        </w:rPr>
        <w:t>额。暂列金额可根据工程的复杂程度、</w:t>
      </w:r>
      <w:r>
        <w:t xml:space="preserve"> </w:t>
      </w:r>
      <w:r>
        <w:rPr>
          <w:spacing w:val="-4"/>
        </w:rPr>
        <w:t>设计深度、工程环境条件(包括地质、水文、气候条件等)进行估算，</w:t>
      </w:r>
      <w:r>
        <w:rPr>
          <w:spacing w:val="80"/>
        </w:rPr>
        <w:t xml:space="preserve"> </w:t>
      </w:r>
      <w:r>
        <w:rPr>
          <w:spacing w:val="-4"/>
        </w:rPr>
        <w:t>一般可</w:t>
      </w:r>
      <w:r>
        <w:rPr>
          <w:spacing w:val="-5"/>
        </w:rPr>
        <w:t>按分部分项工</w:t>
      </w:r>
    </w:p>
    <w:p>
      <w:pPr>
        <w:pStyle w:val="BodyText"/>
        <w:spacing w:line="219" w:lineRule="auto"/>
        <w:ind w:left="1590"/>
      </w:pPr>
      <w:r>
        <w:rPr>
          <w:spacing w:val="16"/>
        </w:rPr>
        <w:t>程费的10%～15%作为参考。</w:t>
      </w:r>
    </w:p>
    <w:p>
      <w:pPr>
        <w:pStyle w:val="BodyText"/>
        <w:spacing w:before="265" w:line="356" w:lineRule="auto"/>
        <w:ind w:left="1590" w:right="1318" w:firstLine="439"/>
      </w:pPr>
      <w:r>
        <w:rPr>
          <w:spacing w:val="2"/>
        </w:rPr>
        <w:t>(2)暂估价。暂估价包括材料暂估价和专业工程暂估价。暂估价中的材料单价应按照工</w:t>
      </w:r>
      <w:r>
        <w:rPr>
          <w:spacing w:val="6"/>
        </w:rPr>
        <w:t xml:space="preserve"> </w:t>
      </w:r>
      <w:r>
        <w:rPr>
          <w:spacing w:val="4"/>
        </w:rPr>
        <w:t>程造价管理机构发布的工程造价信息或参考市场价格确定；暂估价中的专业工程暂估价应</w:t>
      </w:r>
    </w:p>
    <w:p>
      <w:pPr>
        <w:pStyle w:val="BodyText"/>
        <w:spacing w:before="2" w:line="217" w:lineRule="auto"/>
        <w:ind w:left="1590"/>
      </w:pPr>
      <w:r>
        <w:rPr>
          <w:spacing w:val="-3"/>
        </w:rPr>
        <w:t>分不同专业，按有关计价规定估算；</w:t>
      </w:r>
    </w:p>
    <w:p>
      <w:pPr>
        <w:pStyle w:val="BodyText"/>
        <w:spacing w:before="239" w:line="356" w:lineRule="auto"/>
        <w:ind w:left="1590" w:right="1314" w:firstLine="439"/>
      </w:pPr>
      <w:r>
        <w:rPr>
          <w:spacing w:val="3"/>
        </w:rPr>
        <w:t>(3)计日工。计日工包括计日工人工、材料和施工机械。在编制招标控制价时，对计日</w:t>
      </w:r>
      <w:r>
        <w:rPr>
          <w:spacing w:val="2"/>
        </w:rPr>
        <w:t xml:space="preserve"> </w:t>
      </w:r>
      <w:r>
        <w:rPr>
          <w:spacing w:val="4"/>
        </w:rPr>
        <w:t>工中的人工单价和施工机械台班单价应按省级、行业建设主管部门或其授权的工程造价管</w:t>
      </w:r>
      <w:r>
        <w:rPr>
          <w:spacing w:val="18"/>
        </w:rPr>
        <w:t xml:space="preserve"> </w:t>
      </w:r>
      <w:r>
        <w:rPr>
          <w:spacing w:val="4"/>
        </w:rPr>
        <w:t>理机构公布的单价计算；材料应按工程造价管理机构发布的工程造价信息中的材料单价计</w:t>
      </w:r>
    </w:p>
    <w:p>
      <w:pPr>
        <w:pStyle w:val="BodyText"/>
        <w:spacing w:before="2" w:line="217" w:lineRule="auto"/>
        <w:ind w:left="1590"/>
      </w:pPr>
      <w:r>
        <w:rPr>
          <w:spacing w:val="3"/>
        </w:rPr>
        <w:t>算，工程造价信息未发布材料单价的材料，其价格应按市场调查确定的单价计算。</w:t>
      </w:r>
    </w:p>
    <w:p>
      <w:pPr>
        <w:pStyle w:val="BodyText"/>
        <w:spacing w:before="268" w:line="363" w:lineRule="auto"/>
        <w:ind w:left="1590" w:right="1274" w:firstLine="439"/>
      </w:pPr>
      <w:r>
        <w:rPr>
          <w:spacing w:val="3"/>
        </w:rPr>
        <w:t>(4)总承包服务费。招标人应根据招标文件中列出的内容和向总承包人提出的要求，参</w:t>
      </w:r>
      <w:r>
        <w:rPr>
          <w:spacing w:val="4"/>
        </w:rPr>
        <w:t xml:space="preserve"> </w:t>
      </w:r>
      <w:r>
        <w:rPr>
          <w:spacing w:val="6"/>
        </w:rPr>
        <w:t>照下列标准计算：招标人权要求对分包的专</w:t>
      </w:r>
      <w:r>
        <w:rPr>
          <w:spacing w:val="5"/>
        </w:rPr>
        <w:t>业工程进行总承包管理和协调时，按分包的专</w:t>
      </w:r>
      <w:r>
        <w:t xml:space="preserve"> </w:t>
      </w:r>
      <w:r>
        <w:rPr>
          <w:spacing w:val="11"/>
        </w:rPr>
        <w:t>业工程估算造价的1.5%计算；招标人要求对</w:t>
      </w:r>
      <w:r>
        <w:rPr>
          <w:spacing w:val="10"/>
        </w:rPr>
        <w:t>分包的专业工程进行总承包管理和协调，并</w:t>
      </w:r>
      <w:r>
        <w:t xml:space="preserve"> </w:t>
      </w:r>
      <w:r>
        <w:rPr>
          <w:spacing w:val="4"/>
        </w:rPr>
        <w:t>同时要求提供配合服务时，根据招标文件中列出的配合服务内容和提出的要</w:t>
      </w:r>
      <w:r>
        <w:rPr>
          <w:spacing w:val="3"/>
        </w:rPr>
        <w:t>求，按分包的</w:t>
      </w:r>
      <w:r>
        <w:t xml:space="preserve"> </w:t>
      </w:r>
      <w:r>
        <w:rPr>
          <w:spacing w:val="11"/>
        </w:rPr>
        <w:t>专业工程估算造价的3%～5%计算；招标入自行供应材料的，按招标人供应材</w:t>
      </w:r>
      <w:r>
        <w:rPr>
          <w:spacing w:val="10"/>
        </w:rPr>
        <w:t>料价值的1%</w:t>
      </w:r>
    </w:p>
    <w:p>
      <w:pPr>
        <w:pStyle w:val="BodyText"/>
        <w:spacing w:before="1" w:line="219" w:lineRule="auto"/>
        <w:ind w:left="1590"/>
      </w:pPr>
      <w:r>
        <w:rPr>
          <w:spacing w:val="-3"/>
        </w:rPr>
        <w:t>计算。</w:t>
      </w: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pStyle w:val="BodyText"/>
        <w:spacing w:before="62" w:line="183" w:lineRule="auto"/>
        <w:ind w:left="12580"/>
        <w:rPr>
          <w:sz w:val="19"/>
          <w:szCs w:val="19"/>
        </w:rPr>
      </w:pPr>
      <w:r>
        <w:rPr>
          <w:sz w:val="19"/>
          <w:szCs w:val="19"/>
        </w:rPr>
        <w:t>3</w:t>
      </w:r>
    </w:p>
    <w:p>
      <w:pPr>
        <w:spacing w:line="183" w:lineRule="auto"/>
        <w:rPr>
          <w:sz w:val="19"/>
          <w:szCs w:val="19"/>
        </w:rPr>
        <w:sectPr>
          <w:headerReference w:type="default" r:id="rId6"/>
          <w:pgSz w:w="20000" w:h="28260"/>
          <w:pgMar w:top="1329" w:right="3000" w:bottom="0" w:left="3000" w:header="1057" w:footer="0" w:gutter="0"/>
          <w:pgNumType w:start="8"/>
          <w:cols w:space="708"/>
        </w:sectPr>
      </w:pPr>
    </w:p>
    <w:p>
      <w:pPr>
        <w:spacing w:line="436" w:lineRule="auto"/>
        <w:rPr>
          <w:rFonts w:ascii="Arial"/>
          <w:sz w:val="21"/>
        </w:rPr>
      </w:pPr>
    </w:p>
    <w:p>
      <w:pPr>
        <w:spacing w:before="108" w:line="222" w:lineRule="auto"/>
        <w:ind w:left="1604"/>
        <w:outlineLvl w:val="0"/>
        <w:rPr>
          <w:rFonts w:ascii="SimHei" w:eastAsia="SimHei" w:hAnsi="SimHei" w:cs="SimHei"/>
          <w:sz w:val="33"/>
          <w:szCs w:val="33"/>
        </w:rPr>
      </w:pPr>
      <w:bookmarkStart w:id="12" w:name="bookmark22"/>
      <w:bookmarkEnd w:id="12"/>
      <w:r>
        <w:rPr>
          <w:rFonts w:ascii="SimHei" w:eastAsia="SimHei" w:hAnsi="SimHei" w:cs="SimHei"/>
          <w:b/>
          <w:bCs/>
          <w:spacing w:val="-10"/>
          <w:sz w:val="33"/>
          <w:szCs w:val="33"/>
        </w:rPr>
        <w:t>2.3.3工程量清单计价特点</w:t>
      </w:r>
    </w:p>
    <w:p>
      <w:pPr>
        <w:spacing w:line="352" w:lineRule="auto"/>
        <w:rPr>
          <w:rFonts w:ascii="Arial"/>
          <w:sz w:val="21"/>
        </w:rPr>
      </w:pPr>
    </w:p>
    <w:p>
      <w:pPr>
        <w:pStyle w:val="BodyText"/>
        <w:spacing w:before="91" w:line="218" w:lineRule="auto"/>
        <w:ind w:left="2299"/>
      </w:pPr>
      <w:r>
        <w:rPr>
          <w:spacing w:val="19"/>
        </w:rPr>
        <w:t>(1)统一计价规则</w:t>
      </w:r>
    </w:p>
    <w:p>
      <w:pPr>
        <w:pStyle w:val="BodyText"/>
        <w:spacing w:before="209" w:line="363" w:lineRule="auto"/>
        <w:ind w:left="1600" w:right="1305" w:firstLine="569"/>
      </w:pPr>
      <w:r>
        <w:rPr>
          <w:spacing w:val="4"/>
        </w:rPr>
        <w:t>通过制定统一的建设工程工程量清单计价方法、统一的工程量计量则、统一的工程量</w:t>
      </w:r>
      <w:r>
        <w:rPr>
          <w:spacing w:val="12"/>
        </w:rPr>
        <w:t xml:space="preserve"> </w:t>
      </w:r>
      <w:r>
        <w:rPr>
          <w:spacing w:val="4"/>
        </w:rPr>
        <w:t>清单项目设置规则，达到规范计价行为的目的。这些规则和办法是强制性的，建设各方面</w:t>
      </w:r>
      <w:r>
        <w:rPr>
          <w:spacing w:val="15"/>
        </w:rPr>
        <w:t xml:space="preserve"> </w:t>
      </w:r>
      <w:r>
        <w:rPr>
          <w:spacing w:val="8"/>
        </w:rPr>
        <w:t>都应该遵守，这是工程造价管理部门首次在文件中明确政府应管什么,不应管什么。实行</w:t>
      </w:r>
      <w:r>
        <w:rPr>
          <w:spacing w:val="1"/>
        </w:rPr>
        <w:t xml:space="preserve"> </w:t>
      </w:r>
      <w:r>
        <w:rPr>
          <w:spacing w:val="4"/>
        </w:rPr>
        <w:t>工程量清单计价，工程清单计价文件必须做到工程量清单的项目划分、计量规则计量单位</w:t>
      </w:r>
    </w:p>
    <w:p>
      <w:pPr>
        <w:pStyle w:val="BodyText"/>
        <w:spacing w:line="219" w:lineRule="auto"/>
        <w:ind w:left="1600"/>
      </w:pPr>
      <w:r>
        <w:rPr>
          <w:spacing w:val="2"/>
        </w:rPr>
        <w:t>以及清单项目编码四统一，达到清单项目工程量统一的目的。</w:t>
      </w:r>
    </w:p>
    <w:p>
      <w:pPr>
        <w:pStyle w:val="BodyText"/>
        <w:spacing w:before="247" w:line="219" w:lineRule="auto"/>
        <w:ind w:left="2299"/>
      </w:pPr>
      <w:r>
        <w:rPr>
          <w:spacing w:val="18"/>
        </w:rPr>
        <w:t>(2)有效控制消耗量</w:t>
      </w:r>
    </w:p>
    <w:p>
      <w:pPr>
        <w:pStyle w:val="BodyText"/>
        <w:spacing w:before="216" w:line="569" w:lineRule="exact"/>
        <w:ind w:left="2169"/>
      </w:pPr>
      <w:r>
        <w:rPr>
          <w:spacing w:val="6"/>
          <w:position w:val="21"/>
        </w:rPr>
        <w:t>通过由政府发布统一的社会平均消耗量指导标准，为企</w:t>
      </w:r>
      <w:r>
        <w:rPr>
          <w:spacing w:val="5"/>
          <w:position w:val="21"/>
        </w:rPr>
        <w:t>业提供一个社会平均尺度，避</w:t>
      </w:r>
    </w:p>
    <w:p>
      <w:pPr>
        <w:pStyle w:val="BodyText"/>
        <w:spacing w:before="1" w:line="217" w:lineRule="auto"/>
        <w:ind w:left="1600"/>
      </w:pPr>
      <w:r>
        <w:rPr>
          <w:spacing w:val="3"/>
        </w:rPr>
        <w:t>免企业盲目或随意大幅度减少或扩大消耗量，从而达到保证工程质量的目的。</w:t>
      </w:r>
    </w:p>
    <w:p>
      <w:pPr>
        <w:pStyle w:val="BodyText"/>
        <w:spacing w:before="240" w:line="218" w:lineRule="auto"/>
        <w:ind w:left="2299"/>
      </w:pPr>
      <w:r>
        <w:rPr>
          <w:spacing w:val="18"/>
        </w:rPr>
        <w:t>(3)彻底放开价格</w:t>
      </w:r>
    </w:p>
    <w:p>
      <w:pPr>
        <w:pStyle w:val="BodyText"/>
        <w:spacing w:before="219" w:line="550" w:lineRule="exact"/>
        <w:ind w:left="2300"/>
      </w:pPr>
      <w:r>
        <w:rPr>
          <w:spacing w:val="4"/>
          <w:position w:val="20"/>
        </w:rPr>
        <w:t>将工程消耗量定额中的工、料、机价格和利润、管理费全面放开，由市场的供求关</w:t>
      </w:r>
    </w:p>
    <w:p>
      <w:pPr>
        <w:pStyle w:val="BodyText"/>
        <w:spacing w:before="2" w:line="217" w:lineRule="auto"/>
        <w:ind w:left="1600"/>
      </w:pPr>
      <w:r>
        <w:rPr>
          <w:spacing w:val="-2"/>
        </w:rPr>
        <w:t>系自行确定价格。</w:t>
      </w:r>
    </w:p>
    <w:p>
      <w:pPr>
        <w:pStyle w:val="BodyText"/>
        <w:spacing w:before="229" w:line="218" w:lineRule="auto"/>
        <w:ind w:left="2299"/>
      </w:pPr>
      <w:r>
        <w:rPr>
          <w:spacing w:val="18"/>
        </w:rPr>
        <w:t>(4)企业自主报价</w:t>
      </w:r>
    </w:p>
    <w:p>
      <w:pPr>
        <w:pStyle w:val="BodyText"/>
        <w:spacing w:before="230" w:line="363" w:lineRule="auto"/>
        <w:ind w:left="1600" w:right="1309" w:firstLine="570"/>
      </w:pPr>
      <w:r>
        <w:rPr>
          <w:spacing w:val="4"/>
        </w:rPr>
        <w:t>投标企业根据自身的技术专长、材料采购渠道和管理水平等，制定企业自己的报价定</w:t>
      </w:r>
      <w:r>
        <w:t xml:space="preserve"> </w:t>
      </w:r>
      <w:r>
        <w:rPr>
          <w:spacing w:val="4"/>
        </w:rPr>
        <w:t>额，自主报价。企业尚无报价定额的，可参考使用造价管理部门颁布的《建设工程消耗量</w:t>
      </w:r>
    </w:p>
    <w:p>
      <w:pPr>
        <w:pStyle w:val="BodyText"/>
        <w:spacing w:before="1" w:line="219" w:lineRule="auto"/>
        <w:ind w:left="1600"/>
      </w:pPr>
      <w:r>
        <w:rPr>
          <w:spacing w:val="-28"/>
        </w:rPr>
        <w:t>定额》</w:t>
      </w:r>
      <w:r>
        <w:rPr>
          <w:spacing w:val="92"/>
        </w:rPr>
        <w:t xml:space="preserve"> </w:t>
      </w:r>
      <w:r>
        <w:rPr>
          <w:spacing w:val="-28"/>
        </w:rPr>
        <w:t>。</w:t>
      </w:r>
    </w:p>
    <w:p>
      <w:pPr>
        <w:pStyle w:val="BodyText"/>
        <w:spacing w:before="235" w:line="218" w:lineRule="auto"/>
        <w:ind w:left="2299"/>
      </w:pPr>
      <w:r>
        <w:rPr>
          <w:spacing w:val="13"/>
        </w:rPr>
        <w:t>(5)市场有序竞争形成价格</w:t>
      </w:r>
    </w:p>
    <w:p>
      <w:pPr>
        <w:pStyle w:val="BodyText"/>
        <w:spacing w:before="227" w:line="363" w:lineRule="auto"/>
        <w:ind w:left="1600" w:right="1069" w:firstLine="569"/>
      </w:pPr>
      <w:r>
        <w:rPr>
          <w:spacing w:val="4"/>
        </w:rPr>
        <w:t>通过建立与国际惯例接轨的工程量清单计价模式，</w:t>
      </w:r>
      <w:r>
        <w:rPr>
          <w:spacing w:val="3"/>
        </w:rPr>
        <w:t xml:space="preserve">引入充分竞争形成价格的机制，制  </w:t>
      </w:r>
      <w:r>
        <w:rPr>
          <w:spacing w:val="-1"/>
        </w:rPr>
        <w:t>定衡量投标报价合理性的基础标准，在投标过程中，有效引入竞争</w:t>
      </w:r>
      <w:r>
        <w:rPr>
          <w:spacing w:val="-2"/>
        </w:rPr>
        <w:t>机制，淡化标底的作用，</w:t>
      </w:r>
      <w:r>
        <w:t xml:space="preserve">  </w:t>
      </w:r>
      <w:r>
        <w:rPr>
          <w:spacing w:val="3"/>
        </w:rPr>
        <w:t>在保证质量、工期的前提下，按国家《招标投标法》有关条理规定，最终以“不低于成本”</w:t>
      </w:r>
      <w:r>
        <w:rPr>
          <w:spacing w:val="9"/>
        </w:rPr>
        <w:t xml:space="preserve"> </w:t>
      </w:r>
      <w:r>
        <w:rPr>
          <w:spacing w:val="4"/>
        </w:rPr>
        <w:t>的合理低价者中标。针对上述特点不难总结出工程量清单计</w:t>
      </w:r>
      <w:r>
        <w:rPr>
          <w:spacing w:val="3"/>
        </w:rPr>
        <w:t xml:space="preserve">价的依据主要包括：工程量清  </w:t>
      </w:r>
      <w:r>
        <w:rPr>
          <w:spacing w:val="4"/>
        </w:rPr>
        <w:t>单计价规范规定的计价规则、政府统一发布的消耗量定额、企业自主报价时参照的企业定</w:t>
      </w:r>
    </w:p>
    <w:p>
      <w:pPr>
        <w:pStyle w:val="BodyText"/>
        <w:spacing w:before="1" w:line="217" w:lineRule="auto"/>
        <w:ind w:left="1600"/>
      </w:pPr>
      <w:r>
        <w:rPr>
          <w:spacing w:val="4"/>
        </w:rPr>
        <w:t>额、由市场的供求关系影响的工、料、机市场价格及企业自行确定的利</w:t>
      </w:r>
      <w:r>
        <w:rPr>
          <w:spacing w:val="3"/>
        </w:rPr>
        <w:t>润、管理费标准。</w:t>
      </w: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pStyle w:val="BodyText"/>
        <w:spacing w:before="59" w:line="183" w:lineRule="auto"/>
        <w:ind w:left="12570"/>
        <w:rPr>
          <w:sz w:val="18"/>
          <w:szCs w:val="18"/>
        </w:rPr>
      </w:pPr>
      <w:r>
        <w:rPr>
          <w:sz w:val="18"/>
          <w:szCs w:val="18"/>
        </w:rPr>
        <w:t>4</w:t>
      </w:r>
    </w:p>
    <w:p>
      <w:pPr>
        <w:spacing w:line="183" w:lineRule="auto"/>
        <w:rPr>
          <w:sz w:val="18"/>
          <w:szCs w:val="18"/>
        </w:rPr>
        <w:sectPr>
          <w:headerReference w:type="default" r:id="rId7"/>
          <w:pgSz w:w="20000" w:h="28260"/>
          <w:pgMar w:top="1329" w:right="3000" w:bottom="0" w:left="3000" w:header="1067" w:footer="0" w:gutter="0"/>
          <w:pgNumType w:start="9"/>
          <w:cols w:space="708"/>
        </w:sectPr>
      </w:pPr>
    </w:p>
    <w:p>
      <w:pPr>
        <w:spacing w:line="368" w:lineRule="auto"/>
        <w:rPr>
          <w:rFonts w:ascii="Arial"/>
          <w:sz w:val="21"/>
        </w:rPr>
      </w:pPr>
    </w:p>
    <w:p>
      <w:pPr>
        <w:spacing w:before="137" w:line="221" w:lineRule="auto"/>
        <w:ind w:left="4886"/>
        <w:rPr>
          <w:rFonts w:ascii="SimHei" w:eastAsia="SimHei" w:hAnsi="SimHei" w:cs="SimHei"/>
          <w:sz w:val="42"/>
          <w:szCs w:val="42"/>
        </w:rPr>
      </w:pPr>
      <w:r>
        <w:rPr>
          <w:rFonts w:ascii="SimHei" w:eastAsia="SimHei" w:hAnsi="SimHei" w:cs="SimHei"/>
          <w:b/>
          <w:bCs/>
          <w:spacing w:val="8"/>
          <w:sz w:val="42"/>
          <w:szCs w:val="42"/>
        </w:rPr>
        <w:t>3工程预算书的编制过程</w:t>
      </w:r>
    </w:p>
    <w:p>
      <w:pPr>
        <w:spacing w:line="442" w:lineRule="auto"/>
        <w:rPr>
          <w:rFonts w:ascii="Arial"/>
          <w:sz w:val="21"/>
        </w:rPr>
      </w:pPr>
    </w:p>
    <w:p>
      <w:pPr>
        <w:spacing w:before="111" w:line="221" w:lineRule="auto"/>
        <w:ind w:left="1604"/>
        <w:outlineLvl w:val="0"/>
        <w:rPr>
          <w:rFonts w:ascii="SimHei" w:eastAsia="SimHei" w:hAnsi="SimHei" w:cs="SimHei"/>
          <w:sz w:val="34"/>
          <w:szCs w:val="34"/>
        </w:rPr>
      </w:pPr>
      <w:r>
        <w:rPr>
          <w:rFonts w:ascii="SimHei" w:eastAsia="SimHei" w:hAnsi="SimHei" w:cs="SimHei"/>
          <w:b/>
          <w:bCs/>
          <w:spacing w:val="-2"/>
          <w:sz w:val="34"/>
          <w:szCs w:val="34"/>
        </w:rPr>
        <w:t>3.1</w:t>
      </w:r>
      <w:r>
        <w:rPr>
          <w:rFonts w:ascii="SimHei" w:eastAsia="SimHei" w:hAnsi="SimHei" w:cs="SimHei"/>
          <w:spacing w:val="-69"/>
          <w:sz w:val="34"/>
          <w:szCs w:val="34"/>
        </w:rPr>
        <w:t xml:space="preserve"> </w:t>
      </w:r>
      <w:r>
        <w:rPr>
          <w:rFonts w:ascii="SimHei" w:eastAsia="SimHei" w:hAnsi="SimHei" w:cs="SimHei"/>
          <w:b/>
          <w:bCs/>
          <w:spacing w:val="-2"/>
          <w:sz w:val="34"/>
          <w:szCs w:val="34"/>
        </w:rPr>
        <w:t>熟悉施工图纸和设计说明</w:t>
      </w:r>
    </w:p>
    <w:p>
      <w:pPr>
        <w:spacing w:line="340" w:lineRule="auto"/>
        <w:rPr>
          <w:rFonts w:ascii="Arial"/>
          <w:sz w:val="21"/>
        </w:rPr>
      </w:pPr>
    </w:p>
    <w:p>
      <w:pPr>
        <w:spacing w:before="110" w:line="221" w:lineRule="auto"/>
        <w:ind w:left="1603"/>
        <w:outlineLvl w:val="0"/>
        <w:rPr>
          <w:rFonts w:ascii="SimHei" w:eastAsia="SimHei" w:hAnsi="SimHei" w:cs="SimHei"/>
          <w:sz w:val="34"/>
          <w:szCs w:val="34"/>
        </w:rPr>
      </w:pPr>
      <w:r>
        <w:rPr>
          <w:rFonts w:ascii="SimHei" w:eastAsia="SimHei" w:hAnsi="SimHei" w:cs="SimHei"/>
          <w:b/>
          <w:bCs/>
          <w:spacing w:val="-27"/>
          <w:sz w:val="34"/>
          <w:szCs w:val="34"/>
        </w:rPr>
        <w:t>3.1.1</w:t>
      </w:r>
      <w:r>
        <w:rPr>
          <w:rFonts w:ascii="SimHei" w:eastAsia="SimHei" w:hAnsi="SimHei" w:cs="SimHei"/>
          <w:spacing w:val="-71"/>
          <w:sz w:val="34"/>
          <w:szCs w:val="34"/>
        </w:rPr>
        <w:t xml:space="preserve"> </w:t>
      </w:r>
      <w:r>
        <w:rPr>
          <w:rFonts w:ascii="SimHei" w:eastAsia="SimHei" w:hAnsi="SimHei" w:cs="SimHei"/>
          <w:b/>
          <w:bCs/>
          <w:spacing w:val="-27"/>
          <w:sz w:val="34"/>
          <w:szCs w:val="34"/>
        </w:rPr>
        <w:t>工程概况</w:t>
      </w:r>
    </w:p>
    <w:p>
      <w:pPr>
        <w:spacing w:line="370" w:lineRule="auto"/>
        <w:rPr>
          <w:rFonts w:ascii="Arial"/>
          <w:sz w:val="21"/>
        </w:rPr>
      </w:pPr>
    </w:p>
    <w:p>
      <w:pPr>
        <w:pStyle w:val="BodyText"/>
        <w:spacing w:before="94" w:line="357" w:lineRule="auto"/>
        <w:ind w:left="1599" w:right="1332" w:firstLine="599"/>
        <w:jc w:val="both"/>
        <w:rPr>
          <w:sz w:val="29"/>
          <w:szCs w:val="29"/>
        </w:rPr>
      </w:pPr>
      <w:r>
        <w:rPr>
          <w:spacing w:val="-7"/>
          <w:sz w:val="29"/>
          <w:szCs w:val="29"/>
        </w:rPr>
        <w:t>本工程为</w:t>
      </w:r>
      <w:r>
        <w:rPr>
          <w:rFonts w:ascii="Times New Roman" w:eastAsia="Times New Roman" w:hAnsi="Times New Roman" w:cs="Times New Roman"/>
          <w:spacing w:val="-7"/>
          <w:sz w:val="29"/>
          <w:szCs w:val="29"/>
        </w:rPr>
        <w:t xml:space="preserve">XX </w:t>
      </w:r>
      <w:r>
        <w:rPr>
          <w:spacing w:val="-7"/>
          <w:sz w:val="29"/>
          <w:szCs w:val="29"/>
        </w:rPr>
        <w:t>学校教学综合楼，框架结构，地上5层，</w:t>
      </w:r>
      <w:r>
        <w:rPr>
          <w:spacing w:val="91"/>
          <w:sz w:val="29"/>
          <w:szCs w:val="29"/>
        </w:rPr>
        <w:t xml:space="preserve"> </w:t>
      </w:r>
      <w:r>
        <w:rPr>
          <w:spacing w:val="-7"/>
          <w:sz w:val="29"/>
          <w:szCs w:val="29"/>
        </w:rPr>
        <w:t>一层为办公室及公厕，二至五</w:t>
      </w:r>
      <w:r>
        <w:rPr>
          <w:sz w:val="29"/>
          <w:szCs w:val="29"/>
        </w:rPr>
        <w:t xml:space="preserve"> </w:t>
      </w:r>
      <w:r>
        <w:rPr>
          <w:spacing w:val="-3"/>
          <w:sz w:val="29"/>
          <w:szCs w:val="29"/>
        </w:rPr>
        <w:t>层为教室等，其中三层设一阶梯教室，总建筑面积3294.60平方米</w:t>
      </w:r>
      <w:r>
        <w:rPr>
          <w:spacing w:val="-4"/>
          <w:sz w:val="29"/>
          <w:szCs w:val="29"/>
        </w:rPr>
        <w:t>，本地区地震基本烈度</w:t>
      </w:r>
    </w:p>
    <w:p>
      <w:pPr>
        <w:pStyle w:val="BodyText"/>
        <w:spacing w:line="219" w:lineRule="auto"/>
        <w:ind w:left="1600"/>
        <w:rPr>
          <w:sz w:val="29"/>
          <w:szCs w:val="29"/>
        </w:rPr>
      </w:pPr>
      <w:r>
        <w:rPr>
          <w:spacing w:val="-7"/>
          <w:sz w:val="29"/>
          <w:szCs w:val="29"/>
        </w:rPr>
        <w:t>为六度，设计基准期为五十年，建筑安全等级为二级。</w:t>
      </w:r>
    </w:p>
    <w:p>
      <w:pPr>
        <w:spacing w:line="258" w:lineRule="auto"/>
        <w:rPr>
          <w:rFonts w:ascii="Arial"/>
          <w:sz w:val="21"/>
        </w:rPr>
      </w:pPr>
    </w:p>
    <w:p>
      <w:pPr>
        <w:spacing w:before="111" w:line="222" w:lineRule="auto"/>
        <w:ind w:left="1604"/>
        <w:outlineLvl w:val="0"/>
        <w:rPr>
          <w:rFonts w:ascii="SimHei" w:eastAsia="SimHei" w:hAnsi="SimHei" w:cs="SimHei"/>
          <w:sz w:val="34"/>
          <w:szCs w:val="34"/>
        </w:rPr>
      </w:pPr>
      <w:r>
        <w:rPr>
          <w:rFonts w:ascii="SimHei" w:eastAsia="SimHei" w:hAnsi="SimHei" w:cs="SimHei"/>
          <w:b/>
          <w:bCs/>
          <w:spacing w:val="-15"/>
          <w:sz w:val="34"/>
          <w:szCs w:val="34"/>
        </w:rPr>
        <w:t>3.1.2建筑设计主要依据</w:t>
      </w:r>
    </w:p>
    <w:p>
      <w:pPr>
        <w:spacing w:line="347" w:lineRule="auto"/>
        <w:rPr>
          <w:rFonts w:ascii="Arial"/>
          <w:sz w:val="21"/>
        </w:rPr>
      </w:pPr>
    </w:p>
    <w:p>
      <w:pPr>
        <w:pStyle w:val="BodyText"/>
        <w:spacing w:before="95" w:line="218" w:lineRule="auto"/>
        <w:ind w:left="2020"/>
        <w:rPr>
          <w:sz w:val="29"/>
          <w:szCs w:val="29"/>
        </w:rPr>
      </w:pPr>
      <w:r>
        <w:rPr>
          <w:spacing w:val="6"/>
          <w:sz w:val="29"/>
          <w:szCs w:val="29"/>
        </w:rPr>
        <w:t>(1)建筑设计防火规范(</w:t>
      </w:r>
      <w:r>
        <w:rPr>
          <w:sz w:val="29"/>
          <w:szCs w:val="29"/>
        </w:rPr>
        <w:t>GBJ</w:t>
      </w:r>
      <w:r>
        <w:rPr>
          <w:spacing w:val="6"/>
          <w:sz w:val="29"/>
          <w:szCs w:val="29"/>
        </w:rPr>
        <w:t>16-87)2001  年版；</w:t>
      </w:r>
    </w:p>
    <w:p>
      <w:pPr>
        <w:pStyle w:val="BodyText"/>
        <w:spacing w:before="187" w:line="212" w:lineRule="auto"/>
        <w:ind w:left="2020"/>
        <w:rPr>
          <w:rFonts w:ascii="Times New Roman" w:eastAsia="Times New Roman" w:hAnsi="Times New Roman" w:cs="Times New Roman"/>
          <w:sz w:val="29"/>
          <w:szCs w:val="29"/>
        </w:rPr>
      </w:pPr>
      <w:r>
        <w:rPr>
          <w:spacing w:val="5"/>
          <w:sz w:val="29"/>
          <w:szCs w:val="29"/>
        </w:rPr>
        <w:t>(2)民用建筑设计通则</w:t>
      </w:r>
      <w:r>
        <w:rPr>
          <w:spacing w:val="-51"/>
          <w:sz w:val="29"/>
          <w:szCs w:val="29"/>
        </w:rPr>
        <w:t xml:space="preserve"> </w:t>
      </w:r>
      <w:r>
        <w:rPr>
          <w:rFonts w:ascii="Times New Roman" w:eastAsia="Times New Roman" w:hAnsi="Times New Roman" w:cs="Times New Roman"/>
          <w:spacing w:val="5"/>
          <w:sz w:val="29"/>
          <w:szCs w:val="29"/>
        </w:rPr>
        <w:t>(</w:t>
      </w:r>
      <w:r>
        <w:rPr>
          <w:rFonts w:ascii="Times New Roman" w:eastAsia="Times New Roman" w:hAnsi="Times New Roman" w:cs="Times New Roman"/>
          <w:sz w:val="29"/>
          <w:szCs w:val="29"/>
        </w:rPr>
        <w:t>JGJ</w:t>
      </w:r>
      <w:r>
        <w:rPr>
          <w:rFonts w:ascii="Times New Roman" w:eastAsia="Times New Roman" w:hAnsi="Times New Roman" w:cs="Times New Roman"/>
          <w:spacing w:val="5"/>
          <w:sz w:val="29"/>
          <w:szCs w:val="29"/>
        </w:rPr>
        <w:t xml:space="preserve">     37-87);</w:t>
      </w:r>
    </w:p>
    <w:p>
      <w:pPr>
        <w:pStyle w:val="BodyText"/>
        <w:spacing w:before="227" w:line="212" w:lineRule="auto"/>
        <w:ind w:left="2020"/>
        <w:rPr>
          <w:sz w:val="29"/>
          <w:szCs w:val="29"/>
        </w:rPr>
      </w:pPr>
      <w:r>
        <w:rPr>
          <w:sz w:val="29"/>
          <w:szCs w:val="29"/>
        </w:rPr>
        <w:t>(3)建筑设计抗震规范</w:t>
      </w:r>
      <w:r>
        <w:rPr>
          <w:spacing w:val="127"/>
          <w:sz w:val="29"/>
          <w:szCs w:val="29"/>
        </w:rPr>
        <w:t xml:space="preserve"> </w:t>
      </w:r>
      <w:r>
        <w:rPr>
          <w:rFonts w:ascii="Times New Roman" w:eastAsia="Times New Roman" w:hAnsi="Times New Roman" w:cs="Times New Roman"/>
          <w:sz w:val="29"/>
          <w:szCs w:val="29"/>
        </w:rPr>
        <w:t>(GBJ</w:t>
      </w:r>
      <w:r>
        <w:rPr>
          <w:rFonts w:ascii="Times New Roman" w:eastAsia="Times New Roman" w:hAnsi="Times New Roman" w:cs="Times New Roman"/>
          <w:spacing w:val="12"/>
          <w:sz w:val="29"/>
          <w:szCs w:val="29"/>
        </w:rPr>
        <w:t xml:space="preserve">    </w:t>
      </w:r>
      <w:r>
        <w:rPr>
          <w:sz w:val="29"/>
          <w:szCs w:val="29"/>
        </w:rPr>
        <w:t>11-89);</w:t>
      </w:r>
    </w:p>
    <w:p>
      <w:pPr>
        <w:pStyle w:val="BodyText"/>
        <w:spacing w:before="251" w:line="546" w:lineRule="exact"/>
        <w:ind w:left="2000"/>
        <w:rPr>
          <w:sz w:val="29"/>
          <w:szCs w:val="29"/>
        </w:rPr>
      </w:pPr>
      <w:r>
        <w:rPr>
          <w:spacing w:val="-3"/>
          <w:position w:val="19"/>
          <w:sz w:val="29"/>
          <w:szCs w:val="29"/>
        </w:rPr>
        <w:t>(4)工程量清单项目计量规范(2013-宁夏);</w:t>
      </w:r>
    </w:p>
    <w:p>
      <w:pPr>
        <w:pStyle w:val="BodyText"/>
        <w:spacing w:before="2" w:line="217" w:lineRule="auto"/>
        <w:ind w:left="2019"/>
        <w:rPr>
          <w:sz w:val="29"/>
          <w:szCs w:val="29"/>
        </w:rPr>
      </w:pPr>
      <w:r>
        <w:rPr>
          <w:spacing w:val="-4"/>
          <w:sz w:val="29"/>
          <w:szCs w:val="29"/>
        </w:rPr>
        <w:t>(5)宁夏建筑装饰工程计价定额(2013);</w:t>
      </w:r>
    </w:p>
    <w:p>
      <w:pPr>
        <w:pStyle w:val="BodyText"/>
        <w:spacing w:before="220" w:line="219" w:lineRule="auto"/>
        <w:ind w:left="2020"/>
        <w:rPr>
          <w:sz w:val="29"/>
          <w:szCs w:val="29"/>
        </w:rPr>
      </w:pPr>
      <w:r>
        <w:rPr>
          <w:spacing w:val="6"/>
          <w:sz w:val="29"/>
          <w:szCs w:val="29"/>
        </w:rPr>
        <w:t>(6)屋面工程技术规范(</w:t>
      </w:r>
      <w:r>
        <w:rPr>
          <w:sz w:val="29"/>
          <w:szCs w:val="29"/>
        </w:rPr>
        <w:t>GB</w:t>
      </w:r>
      <w:r>
        <w:rPr>
          <w:spacing w:val="6"/>
          <w:sz w:val="29"/>
          <w:szCs w:val="29"/>
        </w:rPr>
        <w:t>50207-94);</w:t>
      </w:r>
    </w:p>
    <w:p>
      <w:pPr>
        <w:spacing w:line="297" w:lineRule="auto"/>
        <w:rPr>
          <w:rFonts w:ascii="Arial"/>
          <w:sz w:val="21"/>
        </w:rPr>
      </w:pPr>
    </w:p>
    <w:p>
      <w:pPr>
        <w:spacing w:before="111" w:line="221" w:lineRule="auto"/>
        <w:ind w:left="1604"/>
        <w:outlineLvl w:val="0"/>
        <w:rPr>
          <w:rFonts w:ascii="SimHei" w:eastAsia="SimHei" w:hAnsi="SimHei" w:cs="SimHei"/>
          <w:sz w:val="34"/>
          <w:szCs w:val="34"/>
        </w:rPr>
      </w:pPr>
      <w:r>
        <w:rPr>
          <w:rFonts w:ascii="SimHei" w:eastAsia="SimHei" w:hAnsi="SimHei" w:cs="SimHei"/>
          <w:b/>
          <w:bCs/>
          <w:spacing w:val="9"/>
          <w:sz w:val="34"/>
          <w:szCs w:val="34"/>
        </w:rPr>
        <w:t>3.2学习并掌握工程清单、定额及有关规定</w:t>
      </w:r>
    </w:p>
    <w:p>
      <w:pPr>
        <w:spacing w:line="298" w:lineRule="auto"/>
        <w:rPr>
          <w:rFonts w:ascii="Arial"/>
          <w:sz w:val="21"/>
        </w:rPr>
      </w:pPr>
    </w:p>
    <w:p>
      <w:pPr>
        <w:pStyle w:val="BodyText"/>
        <w:spacing w:before="95" w:line="357" w:lineRule="auto"/>
        <w:ind w:left="1599" w:right="1304" w:firstLine="420"/>
        <w:rPr>
          <w:sz w:val="29"/>
          <w:szCs w:val="29"/>
        </w:rPr>
      </w:pPr>
      <w:r>
        <w:rPr>
          <w:spacing w:val="-12"/>
          <w:sz w:val="29"/>
          <w:szCs w:val="29"/>
        </w:rPr>
        <w:t>本设计所编制的</w:t>
      </w:r>
      <w:r>
        <w:rPr>
          <w:rFonts w:ascii="Times New Roman" w:eastAsia="Times New Roman" w:hAnsi="Times New Roman" w:cs="Times New Roman"/>
          <w:spacing w:val="-12"/>
          <w:sz w:val="29"/>
          <w:szCs w:val="29"/>
        </w:rPr>
        <w:t>XX</w:t>
      </w:r>
      <w:r>
        <w:rPr>
          <w:rFonts w:ascii="Times New Roman" w:eastAsia="Times New Roman" w:hAnsi="Times New Roman" w:cs="Times New Roman"/>
          <w:spacing w:val="-8"/>
          <w:sz w:val="29"/>
          <w:szCs w:val="29"/>
        </w:rPr>
        <w:t xml:space="preserve"> </w:t>
      </w:r>
      <w:r>
        <w:rPr>
          <w:spacing w:val="-12"/>
          <w:sz w:val="29"/>
          <w:szCs w:val="29"/>
        </w:rPr>
        <w:t>学校教学综合楼造价文件，以全国统一工程量清单，宁夏[2000]006</w:t>
      </w:r>
      <w:r>
        <w:rPr>
          <w:sz w:val="29"/>
          <w:szCs w:val="29"/>
        </w:rPr>
        <w:t xml:space="preserve"> </w:t>
      </w:r>
      <w:r>
        <w:rPr>
          <w:spacing w:val="-8"/>
          <w:sz w:val="29"/>
          <w:szCs w:val="29"/>
        </w:rPr>
        <w:t>号文件中颁布的《宁夏回族自治区统一基价表》为编制的依据。结合定额分为上下两册，</w:t>
      </w:r>
      <w:r>
        <w:rPr>
          <w:spacing w:val="5"/>
          <w:sz w:val="29"/>
          <w:szCs w:val="29"/>
        </w:rPr>
        <w:t xml:space="preserve"> </w:t>
      </w:r>
      <w:r>
        <w:rPr>
          <w:spacing w:val="-6"/>
          <w:sz w:val="29"/>
          <w:szCs w:val="29"/>
        </w:rPr>
        <w:t>在每个分项工程工程中，定额对每一步的计算，都有符合本地区工程计量的规则。如果不</w:t>
      </w:r>
      <w:r>
        <w:rPr>
          <w:spacing w:val="18"/>
          <w:sz w:val="29"/>
          <w:szCs w:val="29"/>
        </w:rPr>
        <w:t xml:space="preserve"> </w:t>
      </w:r>
      <w:r>
        <w:rPr>
          <w:spacing w:val="-6"/>
          <w:sz w:val="29"/>
          <w:szCs w:val="29"/>
        </w:rPr>
        <w:t>按照定额计算就会出现大的错误比如漏算等。在本此设计中主要参考了《建筑工程工程量</w:t>
      </w:r>
    </w:p>
    <w:p>
      <w:pPr>
        <w:pStyle w:val="BodyText"/>
        <w:spacing w:before="1" w:line="218" w:lineRule="auto"/>
        <w:ind w:left="1599"/>
        <w:rPr>
          <w:sz w:val="29"/>
          <w:szCs w:val="29"/>
        </w:rPr>
      </w:pPr>
      <w:r>
        <w:rPr>
          <w:spacing w:val="-8"/>
          <w:sz w:val="29"/>
          <w:szCs w:val="29"/>
        </w:rPr>
        <w:t>计算》这本书，次数给了我横多实质性的帮助。</w:t>
      </w:r>
    </w:p>
    <w:p>
      <w:pPr>
        <w:spacing w:line="290" w:lineRule="auto"/>
        <w:rPr>
          <w:rFonts w:ascii="Arial"/>
          <w:sz w:val="21"/>
        </w:rPr>
      </w:pPr>
    </w:p>
    <w:p>
      <w:pPr>
        <w:spacing w:before="111" w:line="222" w:lineRule="auto"/>
        <w:ind w:left="1604"/>
        <w:outlineLvl w:val="0"/>
        <w:rPr>
          <w:rFonts w:ascii="SimHei" w:eastAsia="SimHei" w:hAnsi="SimHei" w:cs="SimHei"/>
          <w:sz w:val="34"/>
          <w:szCs w:val="34"/>
        </w:rPr>
      </w:pPr>
      <w:r>
        <w:rPr>
          <w:rFonts w:ascii="SimHei" w:eastAsia="SimHei" w:hAnsi="SimHei" w:cs="SimHei"/>
          <w:b/>
          <w:bCs/>
          <w:spacing w:val="9"/>
          <w:sz w:val="34"/>
          <w:szCs w:val="34"/>
        </w:rPr>
        <w:t>3.3确定工程项目、计算工程量</w:t>
      </w:r>
    </w:p>
    <w:p>
      <w:pPr>
        <w:spacing w:line="348" w:lineRule="auto"/>
        <w:rPr>
          <w:rFonts w:ascii="Arial"/>
          <w:sz w:val="21"/>
        </w:rPr>
      </w:pPr>
    </w:p>
    <w:p>
      <w:pPr>
        <w:pStyle w:val="BodyText"/>
        <w:spacing w:before="95" w:line="539" w:lineRule="exact"/>
        <w:ind w:left="2200"/>
        <w:rPr>
          <w:sz w:val="29"/>
          <w:szCs w:val="29"/>
        </w:rPr>
      </w:pPr>
      <w:r>
        <w:rPr>
          <w:spacing w:val="-5"/>
          <w:position w:val="18"/>
          <w:sz w:val="29"/>
          <w:szCs w:val="29"/>
        </w:rPr>
        <w:t>计算工程量是编制预算书最关键的一步。先计算</w:t>
      </w:r>
      <w:r>
        <w:rPr>
          <w:spacing w:val="-6"/>
          <w:position w:val="18"/>
          <w:sz w:val="29"/>
          <w:szCs w:val="29"/>
        </w:rPr>
        <w:t>基本的数据，然后从场地平整，基础</w:t>
      </w:r>
    </w:p>
    <w:p>
      <w:pPr>
        <w:pStyle w:val="BodyText"/>
        <w:spacing w:before="1" w:line="218" w:lineRule="auto"/>
        <w:ind w:left="1600"/>
        <w:rPr>
          <w:sz w:val="29"/>
          <w:szCs w:val="29"/>
        </w:rPr>
      </w:pPr>
      <w:r>
        <w:rPr>
          <w:spacing w:val="-6"/>
          <w:sz w:val="29"/>
          <w:szCs w:val="29"/>
        </w:rPr>
        <w:t>的挖土方，然后逐层柱梁板混凝土、模板、钢筋量的计算，在到装饰装修工</w:t>
      </w:r>
      <w:r>
        <w:rPr>
          <w:spacing w:val="-7"/>
          <w:sz w:val="29"/>
          <w:szCs w:val="29"/>
        </w:rPr>
        <w:t>程量的计算。</w:t>
      </w:r>
    </w:p>
    <w:p>
      <w:pPr>
        <w:spacing w:line="309" w:lineRule="auto"/>
        <w:rPr>
          <w:rFonts w:ascii="Arial"/>
          <w:sz w:val="21"/>
        </w:rPr>
      </w:pPr>
    </w:p>
    <w:p>
      <w:pPr>
        <w:spacing w:before="112" w:line="221" w:lineRule="auto"/>
        <w:ind w:left="1604"/>
        <w:outlineLvl w:val="0"/>
        <w:rPr>
          <w:rFonts w:ascii="SimHei" w:eastAsia="SimHei" w:hAnsi="SimHei" w:cs="SimHei"/>
          <w:sz w:val="34"/>
          <w:szCs w:val="34"/>
        </w:rPr>
      </w:pPr>
      <w:r>
        <w:rPr>
          <w:rFonts w:ascii="SimHei" w:eastAsia="SimHei" w:hAnsi="SimHei" w:cs="SimHei"/>
          <w:b/>
          <w:bCs/>
          <w:spacing w:val="9"/>
          <w:sz w:val="34"/>
          <w:szCs w:val="34"/>
        </w:rPr>
        <w:t>3.4复核、工程预算书的编制</w:t>
      </w:r>
    </w:p>
    <w:p>
      <w:pPr>
        <w:spacing w:line="308" w:lineRule="auto"/>
        <w:rPr>
          <w:rFonts w:ascii="Arial"/>
          <w:sz w:val="21"/>
        </w:rPr>
      </w:pPr>
    </w:p>
    <w:p>
      <w:pPr>
        <w:pStyle w:val="BodyText"/>
        <w:spacing w:before="94" w:line="216" w:lineRule="auto"/>
        <w:ind w:left="2200"/>
        <w:rPr>
          <w:sz w:val="29"/>
          <w:szCs w:val="29"/>
        </w:rPr>
      </w:pPr>
      <w:r>
        <w:rPr>
          <w:spacing w:val="-12"/>
          <w:sz w:val="29"/>
          <w:szCs w:val="29"/>
        </w:rPr>
        <w:t>工程量计算出来后依据《工程量清单项目计量规范(2013-宁夏)》,《宁夏建筑装饰工程</w:t>
      </w:r>
    </w:p>
    <w:p>
      <w:pPr>
        <w:spacing w:line="307" w:lineRule="auto"/>
        <w:rPr>
          <w:rFonts w:ascii="Arial"/>
          <w:sz w:val="21"/>
        </w:rPr>
      </w:pPr>
    </w:p>
    <w:p>
      <w:pPr>
        <w:spacing w:line="308" w:lineRule="auto"/>
        <w:rPr>
          <w:rFonts w:ascii="Arial"/>
          <w:sz w:val="21"/>
        </w:rPr>
      </w:pPr>
    </w:p>
    <w:p>
      <w:pPr>
        <w:pStyle w:val="BodyText"/>
        <w:spacing w:before="62" w:line="182" w:lineRule="auto"/>
        <w:ind w:left="12570"/>
        <w:rPr>
          <w:sz w:val="19"/>
          <w:szCs w:val="19"/>
        </w:rPr>
      </w:pPr>
      <w:r>
        <w:rPr>
          <w:sz w:val="19"/>
          <w:szCs w:val="19"/>
        </w:rPr>
        <w:t>5</w:t>
      </w:r>
    </w:p>
    <w:p>
      <w:pPr>
        <w:spacing w:line="182" w:lineRule="auto"/>
        <w:rPr>
          <w:sz w:val="19"/>
          <w:szCs w:val="19"/>
        </w:rPr>
        <w:sectPr>
          <w:headerReference w:type="default" r:id="rId8"/>
          <w:pgSz w:w="20000" w:h="28260"/>
          <w:pgMar w:top="1329" w:right="3000" w:bottom="0" w:left="3000" w:header="1057" w:footer="0" w:gutter="0"/>
          <w:pgNumType w:start="10"/>
          <w:cols w:space="708"/>
        </w:sectPr>
      </w:pPr>
    </w:p>
    <w:p>
      <w:pPr>
        <w:spacing w:line="422" w:lineRule="auto"/>
        <w:rPr>
          <w:rFonts w:ascii="Arial"/>
          <w:sz w:val="21"/>
        </w:rPr>
      </w:pPr>
    </w:p>
    <w:p>
      <w:pPr>
        <w:pStyle w:val="BodyText"/>
        <w:spacing w:before="94" w:line="218" w:lineRule="auto"/>
        <w:ind w:left="1620"/>
        <w:rPr>
          <w:sz w:val="29"/>
          <w:szCs w:val="29"/>
        </w:rPr>
      </w:pPr>
      <w:bookmarkStart w:id="13" w:name="bookmark23"/>
      <w:bookmarkEnd w:id="13"/>
      <w:r>
        <w:rPr>
          <w:spacing w:val="-9"/>
          <w:sz w:val="29"/>
          <w:szCs w:val="29"/>
        </w:rPr>
        <w:t>计价定额(2013)》进行套价，初稿出来后在老师</w:t>
      </w:r>
      <w:r>
        <w:rPr>
          <w:spacing w:val="-10"/>
          <w:sz w:val="29"/>
          <w:szCs w:val="29"/>
        </w:rPr>
        <w:t>的指导下进行了终稿的编制。</w:t>
      </w: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sectPr>
          <w:headerReference w:type="default" r:id="rId9"/>
          <w:pgSz w:w="20000" w:h="28260"/>
          <w:pgMar w:top="1329" w:right="3000" w:bottom="0" w:left="3000" w:header="1057" w:footer="0" w:gutter="0"/>
          <w:pgNumType w:start="11"/>
          <w:cols w:space="708"/>
        </w:sect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pStyle w:val="BodyText"/>
        <w:spacing w:before="55" w:line="183" w:lineRule="auto"/>
        <w:ind w:left="12579"/>
        <w:rPr>
          <w:sz w:val="17"/>
          <w:szCs w:val="17"/>
        </w:rPr>
      </w:pPr>
      <w:r>
        <w:rPr>
          <w:sz w:val="17"/>
          <w:szCs w:val="17"/>
        </w:rPr>
        <w:t>6</w:t>
      </w:r>
    </w:p>
    <w:p>
      <w:pPr>
        <w:spacing w:line="183" w:lineRule="auto"/>
        <w:rPr>
          <w:sz w:val="17"/>
          <w:szCs w:val="17"/>
        </w:rPr>
        <w:sectPr>
          <w:headerReference w:type="default" r:id="rId10"/>
          <w:type w:val="nextPage"/>
          <w:pgSz w:w="20000" w:h="28260"/>
          <w:pgMar w:top="1329" w:right="3000" w:bottom="0" w:left="3000" w:header="1057" w:footer="0" w:gutter="0"/>
          <w:pgNumType w:start="12"/>
          <w:cols w:space="708"/>
          <w:titlePg w:val="0"/>
        </w:sectPr>
      </w:pPr>
    </w:p>
    <w:p>
      <w:pPr>
        <w:spacing w:line="279" w:lineRule="auto"/>
        <w:rPr>
          <w:rFonts w:ascii="Arial"/>
          <w:sz w:val="21"/>
        </w:rPr>
      </w:pPr>
      <w:r>
        <w:drawing>
          <wp:anchor distT="0" distB="0" distL="0" distR="0" simplePos="0" relativeHeight="251658240" behindDoc="0" locked="0" layoutInCell="0" allowOverlap="1">
            <wp:simplePos x="0" y="0"/>
            <wp:positionH relativeFrom="page">
              <wp:posOffset>3816350</wp:posOffset>
            </wp:positionH>
            <wp:positionV relativeFrom="page">
              <wp:posOffset>9397993</wp:posOffset>
            </wp:positionV>
            <wp:extent cx="1955800" cy="6350"/>
            <wp:effectExtent l="0" t="0" r="0" b="0"/>
            <wp:wrapNone/>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1"/>
                    <a:stretch>
                      <a:fillRect/>
                    </a:stretch>
                  </pic:blipFill>
                  <pic:spPr>
                    <a:xfrm>
                      <a:off x="0" y="0"/>
                      <a:ext cx="1955800" cy="6350"/>
                    </a:xfrm>
                    <a:prstGeom prst="rect">
                      <a:avLst/>
                    </a:prstGeom>
                  </pic:spPr>
                </pic:pic>
              </a:graphicData>
            </a:graphic>
          </wp:anchor>
        </w:drawing>
      </w: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line="280" w:lineRule="auto"/>
        <w:rPr>
          <w:rFonts w:ascii="Arial"/>
          <w:sz w:val="21"/>
        </w:rPr>
      </w:pPr>
    </w:p>
    <w:p>
      <w:pPr>
        <w:spacing w:before="133" w:line="222" w:lineRule="auto"/>
        <w:ind w:left="5325"/>
        <w:rPr>
          <w:rFonts w:ascii="SimHei" w:eastAsia="SimHei" w:hAnsi="SimHei" w:cs="SimHei"/>
          <w:sz w:val="41"/>
          <w:szCs w:val="41"/>
        </w:rPr>
      </w:pPr>
      <w:r>
        <w:rPr>
          <w:rFonts w:ascii="SimHei" w:eastAsia="SimHei" w:hAnsi="SimHei" w:cs="SimHei"/>
          <w:b/>
          <w:bCs/>
          <w:spacing w:val="19"/>
          <w:sz w:val="41"/>
          <w:szCs w:val="41"/>
        </w:rPr>
        <w:t>4单体工程造价文件</w:t>
      </w: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pStyle w:val="BodyText"/>
        <w:spacing w:before="114" w:line="364" w:lineRule="auto"/>
        <w:ind w:left="5239"/>
      </w:pPr>
      <w:r>
        <w:rPr>
          <w:spacing w:val="-13"/>
          <w:sz w:val="35"/>
          <w:szCs w:val="35"/>
          <w:u w:val="single" w:color="auto"/>
        </w:rPr>
        <w:t>X</w:t>
      </w:r>
      <w:r>
        <w:rPr>
          <w:spacing w:val="-79"/>
          <w:sz w:val="35"/>
          <w:szCs w:val="35"/>
          <w:u w:val="single" w:color="auto"/>
        </w:rPr>
        <w:t xml:space="preserve"> </w:t>
      </w:r>
      <w:r>
        <w:rPr>
          <w:spacing w:val="-13"/>
          <w:sz w:val="35"/>
          <w:szCs w:val="35"/>
          <w:u w:val="single" w:color="auto"/>
        </w:rPr>
        <w:t>X</w:t>
      </w:r>
      <w:r>
        <w:rPr>
          <w:spacing w:val="-67"/>
          <w:sz w:val="35"/>
          <w:szCs w:val="35"/>
          <w:u w:val="single" w:color="auto"/>
        </w:rPr>
        <w:t xml:space="preserve"> </w:t>
      </w:r>
      <w:r>
        <w:rPr>
          <w:spacing w:val="-13"/>
          <w:sz w:val="35"/>
          <w:szCs w:val="35"/>
          <w:u w:val="single" w:color="auto"/>
        </w:rPr>
        <w:t>学</w:t>
      </w:r>
      <w:r>
        <w:rPr>
          <w:spacing w:val="-73"/>
          <w:sz w:val="35"/>
          <w:szCs w:val="35"/>
          <w:u w:val="single" w:color="auto"/>
        </w:rPr>
        <w:t xml:space="preserve"> </w:t>
      </w:r>
      <w:r>
        <w:rPr>
          <w:spacing w:val="-13"/>
          <w:sz w:val="35"/>
          <w:szCs w:val="35"/>
          <w:u w:val="single" w:color="auto"/>
        </w:rPr>
        <w:t>校</w:t>
      </w:r>
      <w:r>
        <w:rPr>
          <w:spacing w:val="-71"/>
          <w:sz w:val="35"/>
          <w:szCs w:val="35"/>
          <w:u w:val="single" w:color="auto"/>
        </w:rPr>
        <w:t xml:space="preserve"> </w:t>
      </w:r>
      <w:r>
        <w:rPr>
          <w:spacing w:val="-13"/>
          <w:sz w:val="35"/>
          <w:szCs w:val="35"/>
          <w:u w:val="single" w:color="auto"/>
        </w:rPr>
        <w:t>教</w:t>
      </w:r>
      <w:r>
        <w:rPr>
          <w:spacing w:val="-67"/>
          <w:sz w:val="35"/>
          <w:szCs w:val="35"/>
          <w:u w:val="single" w:color="auto"/>
        </w:rPr>
        <w:t xml:space="preserve"> </w:t>
      </w:r>
      <w:r>
        <w:rPr>
          <w:spacing w:val="-13"/>
          <w:sz w:val="35"/>
          <w:szCs w:val="35"/>
          <w:u w:val="single" w:color="auto"/>
        </w:rPr>
        <w:t>学</w:t>
      </w:r>
      <w:r>
        <w:rPr>
          <w:spacing w:val="-70"/>
          <w:sz w:val="35"/>
          <w:szCs w:val="35"/>
          <w:u w:val="single" w:color="auto"/>
        </w:rPr>
        <w:t xml:space="preserve"> </w:t>
      </w:r>
      <w:r>
        <w:rPr>
          <w:spacing w:val="-13"/>
          <w:sz w:val="35"/>
          <w:szCs w:val="35"/>
          <w:u w:val="single" w:color="auto"/>
        </w:rPr>
        <w:t>综</w:t>
      </w:r>
      <w:r>
        <w:rPr>
          <w:spacing w:val="-73"/>
          <w:sz w:val="35"/>
          <w:szCs w:val="35"/>
          <w:u w:val="single" w:color="auto"/>
        </w:rPr>
        <w:t xml:space="preserve"> </w:t>
      </w:r>
      <w:r>
        <w:rPr>
          <w:spacing w:val="-13"/>
          <w:sz w:val="35"/>
          <w:szCs w:val="35"/>
          <w:u w:val="single" w:color="auto"/>
        </w:rPr>
        <w:t>合</w:t>
      </w:r>
      <w:r>
        <w:rPr>
          <w:spacing w:val="-76"/>
          <w:sz w:val="35"/>
          <w:szCs w:val="35"/>
          <w:u w:val="single" w:color="auto"/>
        </w:rPr>
        <w:t xml:space="preserve"> </w:t>
      </w:r>
      <w:r>
        <w:rPr>
          <w:spacing w:val="-13"/>
          <w:sz w:val="35"/>
          <w:szCs w:val="35"/>
          <w:u w:val="single" w:color="auto"/>
        </w:rPr>
        <w:t>楼</w:t>
      </w:r>
      <w:r>
        <w:rPr>
          <w:spacing w:val="-13"/>
          <w:position w:val="2"/>
        </w:rPr>
        <w:t>工 程</w:t>
      </w:r>
    </w:p>
    <w:p>
      <w:pPr>
        <w:pStyle w:val="BodyText"/>
        <w:spacing w:before="1" w:line="217" w:lineRule="auto"/>
        <w:ind w:left="5670"/>
        <w:rPr>
          <w:sz w:val="41"/>
          <w:szCs w:val="41"/>
        </w:rPr>
      </w:pPr>
      <w:r>
        <w:rPr>
          <w:spacing w:val="-14"/>
          <w:sz w:val="41"/>
          <w:szCs w:val="41"/>
        </w:rPr>
        <w:t>招</w:t>
      </w:r>
      <w:r>
        <w:rPr>
          <w:spacing w:val="53"/>
          <w:sz w:val="41"/>
          <w:szCs w:val="41"/>
        </w:rPr>
        <w:t xml:space="preserve"> </w:t>
      </w:r>
      <w:r>
        <w:rPr>
          <w:spacing w:val="-14"/>
          <w:sz w:val="41"/>
          <w:szCs w:val="41"/>
        </w:rPr>
        <w:t>标</w:t>
      </w:r>
      <w:r>
        <w:rPr>
          <w:spacing w:val="48"/>
          <w:sz w:val="41"/>
          <w:szCs w:val="41"/>
        </w:rPr>
        <w:t xml:space="preserve"> </w:t>
      </w:r>
      <w:r>
        <w:rPr>
          <w:spacing w:val="-14"/>
          <w:sz w:val="41"/>
          <w:szCs w:val="41"/>
        </w:rPr>
        <w:t>控</w:t>
      </w:r>
      <w:r>
        <w:rPr>
          <w:spacing w:val="51"/>
          <w:sz w:val="41"/>
          <w:szCs w:val="41"/>
        </w:rPr>
        <w:t xml:space="preserve"> </w:t>
      </w:r>
      <w:r>
        <w:rPr>
          <w:spacing w:val="-14"/>
          <w:sz w:val="41"/>
          <w:szCs w:val="41"/>
        </w:rPr>
        <w:t>制</w:t>
      </w:r>
      <w:r>
        <w:rPr>
          <w:spacing w:val="52"/>
          <w:sz w:val="41"/>
          <w:szCs w:val="41"/>
        </w:rPr>
        <w:t xml:space="preserve"> </w:t>
      </w:r>
      <w:r>
        <w:rPr>
          <w:spacing w:val="-14"/>
          <w:sz w:val="41"/>
          <w:szCs w:val="41"/>
        </w:rPr>
        <w:t>价</w:t>
      </w:r>
    </w:p>
    <w:p>
      <w:pPr>
        <w:spacing w:line="278" w:lineRule="auto"/>
        <w:rPr>
          <w:rFonts w:ascii="Arial"/>
          <w:sz w:val="21"/>
        </w:rPr>
      </w:pPr>
    </w:p>
    <w:p>
      <w:pPr>
        <w:spacing w:line="278" w:lineRule="auto"/>
        <w:rPr>
          <w:rFonts w:ascii="Arial"/>
          <w:sz w:val="21"/>
        </w:rPr>
      </w:pPr>
    </w:p>
    <w:p>
      <w:pPr>
        <w:spacing w:line="278" w:lineRule="auto"/>
        <w:rPr>
          <w:rFonts w:ascii="Arial"/>
          <w:sz w:val="21"/>
        </w:rPr>
      </w:pPr>
    </w:p>
    <w:p>
      <w:pPr>
        <w:spacing w:line="279" w:lineRule="auto"/>
        <w:rPr>
          <w:rFonts w:ascii="Arial"/>
          <w:sz w:val="21"/>
        </w:rPr>
      </w:pPr>
    </w:p>
    <w:p>
      <w:pPr>
        <w:pStyle w:val="BodyText"/>
        <w:spacing w:before="91" w:line="219" w:lineRule="auto"/>
        <w:ind w:left="1610"/>
        <w:rPr>
          <w:sz w:val="26"/>
          <w:szCs w:val="26"/>
        </w:rPr>
      </w:pPr>
      <w:r>
        <w:rPr>
          <w:spacing w:val="-2"/>
          <w:position w:val="2"/>
        </w:rPr>
        <w:t>招 标</w:t>
      </w:r>
      <w:r>
        <w:rPr>
          <w:spacing w:val="33"/>
          <w:position w:val="2"/>
        </w:rPr>
        <w:t xml:space="preserve"> </w:t>
      </w:r>
      <w:r>
        <w:rPr>
          <w:spacing w:val="-2"/>
          <w:position w:val="2"/>
        </w:rPr>
        <w:t>控</w:t>
      </w:r>
      <w:r>
        <w:rPr>
          <w:spacing w:val="25"/>
          <w:position w:val="2"/>
        </w:rPr>
        <w:t xml:space="preserve"> </w:t>
      </w:r>
      <w:r>
        <w:rPr>
          <w:spacing w:val="-2"/>
          <w:position w:val="2"/>
        </w:rPr>
        <w:t>制</w:t>
      </w:r>
      <w:r>
        <w:rPr>
          <w:spacing w:val="26"/>
          <w:position w:val="2"/>
        </w:rPr>
        <w:t xml:space="preserve"> </w:t>
      </w:r>
      <w:r>
        <w:rPr>
          <w:spacing w:val="-2"/>
          <w:position w:val="2"/>
        </w:rPr>
        <w:t>价</w:t>
      </w:r>
      <w:r>
        <w:rPr>
          <w:spacing w:val="1"/>
          <w:position w:val="2"/>
        </w:rPr>
        <w:t xml:space="preserve">              </w:t>
      </w:r>
      <w:r>
        <w:rPr>
          <w:spacing w:val="-2"/>
          <w:position w:val="1"/>
        </w:rPr>
        <w:t xml:space="preserve">(小写): </w:t>
      </w:r>
      <w:r>
        <w:rPr>
          <w:spacing w:val="7"/>
          <w:position w:val="-2"/>
          <w:sz w:val="26"/>
          <w:szCs w:val="26"/>
          <w:u w:val="single" w:color="auto"/>
        </w:rPr>
        <w:t xml:space="preserve">        </w:t>
      </w:r>
      <w:r>
        <w:rPr>
          <w:spacing w:val="-2"/>
          <w:position w:val="-2"/>
          <w:sz w:val="26"/>
          <w:szCs w:val="26"/>
          <w:u w:val="single" w:color="auto"/>
        </w:rPr>
        <w:t xml:space="preserve">3,036,878.56                 </w:t>
      </w:r>
    </w:p>
    <w:p>
      <w:pPr>
        <w:pStyle w:val="BodyText"/>
        <w:spacing w:before="55" w:line="219" w:lineRule="auto"/>
        <w:ind w:left="5609"/>
      </w:pPr>
      <w:r>
        <w:rPr>
          <w:spacing w:val="3"/>
        </w:rPr>
        <w:t xml:space="preserve">(大写): </w:t>
      </w:r>
      <w:r>
        <w:rPr>
          <w:spacing w:val="3"/>
          <w:u w:val="single" w:color="auto"/>
        </w:rPr>
        <w:t>叁佰零叁万陆任捌佰柒拾捌元伍角陆分</w:t>
      </w:r>
    </w:p>
    <w:p>
      <w:pPr>
        <w:spacing w:line="252" w:lineRule="auto"/>
        <w:rPr>
          <w:rFonts w:ascii="Arial"/>
          <w:sz w:val="21"/>
        </w:rPr>
      </w:pPr>
    </w:p>
    <w:p>
      <w:pPr>
        <w:spacing w:line="252" w:lineRule="auto"/>
        <w:rPr>
          <w:rFonts w:ascii="Arial"/>
          <w:sz w:val="21"/>
        </w:rPr>
      </w:pPr>
    </w:p>
    <w:p>
      <w:pPr>
        <w:spacing w:line="253" w:lineRule="auto"/>
        <w:rPr>
          <w:rFonts w:ascii="Arial"/>
          <w:sz w:val="21"/>
        </w:rPr>
      </w:pPr>
    </w:p>
    <w:p>
      <w:pPr>
        <w:spacing w:line="253" w:lineRule="auto"/>
        <w:rPr>
          <w:rFonts w:ascii="Arial"/>
          <w:sz w:val="21"/>
        </w:rPr>
      </w:pPr>
    </w:p>
    <w:p>
      <w:pPr>
        <w:pStyle w:val="BodyText"/>
        <w:spacing w:before="91" w:line="218" w:lineRule="auto"/>
        <w:ind w:left="7190"/>
      </w:pPr>
      <w:r>
        <w:rPr>
          <w:spacing w:val="-3"/>
        </w:rPr>
        <w:t>工程造价</w:t>
      </w:r>
    </w:p>
    <w:p>
      <w:pPr>
        <w:pStyle w:val="BodyText"/>
        <w:spacing w:before="52" w:line="221" w:lineRule="auto"/>
        <w:ind w:left="1610"/>
      </w:pPr>
      <w:r>
        <w:rPr>
          <w:spacing w:val="-11"/>
        </w:rPr>
        <w:t>招</w:t>
      </w:r>
      <w:r>
        <w:rPr>
          <w:spacing w:val="-23"/>
        </w:rPr>
        <w:t xml:space="preserve"> </w:t>
      </w:r>
      <w:r>
        <w:rPr>
          <w:spacing w:val="-11"/>
        </w:rPr>
        <w:t>标 人</w:t>
      </w:r>
      <w:r>
        <w:rPr>
          <w:spacing w:val="-35"/>
        </w:rPr>
        <w:t xml:space="preserve"> </w:t>
      </w:r>
      <w:r>
        <w:rPr>
          <w:spacing w:val="-11"/>
        </w:rPr>
        <w:t>：</w:t>
      </w:r>
      <w:r>
        <w:rPr>
          <w:spacing w:val="-11"/>
          <w:u w:val="single" w:color="auto"/>
        </w:rPr>
        <w:t xml:space="preserve">                        </w:t>
      </w:r>
      <w:r>
        <w:rPr>
          <w:spacing w:val="40"/>
        </w:rPr>
        <w:t xml:space="preserve">   </w:t>
      </w:r>
      <w:r>
        <w:rPr>
          <w:spacing w:val="-11"/>
        </w:rPr>
        <w:t>咨 询 人 ：</w:t>
      </w:r>
      <w:r>
        <w:rPr>
          <w:spacing w:val="-11"/>
          <w:u w:val="single" w:color="auto"/>
        </w:rPr>
        <w:t xml:space="preserve">                           </w:t>
      </w:r>
    </w:p>
    <w:p>
      <w:pPr>
        <w:pStyle w:val="BodyText"/>
        <w:spacing w:before="90" w:line="219" w:lineRule="auto"/>
        <w:ind w:left="3710"/>
        <w:rPr>
          <w:sz w:val="21"/>
          <w:szCs w:val="21"/>
        </w:rPr>
      </w:pPr>
      <w:r>
        <w:rPr>
          <w:spacing w:val="9"/>
          <w:sz w:val="21"/>
          <w:szCs w:val="21"/>
        </w:rPr>
        <w:t>(单位盖章)                                    (单位资质</w:t>
      </w:r>
      <w:r>
        <w:rPr>
          <w:spacing w:val="8"/>
          <w:sz w:val="21"/>
          <w:szCs w:val="21"/>
        </w:rPr>
        <w:t>专用章)</w:t>
      </w: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pStyle w:val="BodyText"/>
        <w:spacing w:before="92" w:line="219" w:lineRule="auto"/>
        <w:ind w:left="1900"/>
      </w:pPr>
      <w:r>
        <w:rPr>
          <w:spacing w:val="-1"/>
        </w:rPr>
        <w:t xml:space="preserve">法定代理人                      </w:t>
      </w:r>
      <w:r>
        <w:rPr>
          <w:spacing w:val="-2"/>
        </w:rPr>
        <w:t xml:space="preserve">       法定代理人</w:t>
      </w:r>
    </w:p>
    <w:p>
      <w:pPr>
        <w:pStyle w:val="BodyText"/>
        <w:spacing w:before="7" w:line="226" w:lineRule="auto"/>
        <w:ind w:left="1610"/>
      </w:pPr>
      <w:r>
        <w:rPr>
          <w:spacing w:val="-29"/>
          <w:w w:val="98"/>
        </w:rPr>
        <w:t>或其授权人：</w:t>
      </w:r>
      <w:r>
        <w:rPr>
          <w:spacing w:val="64"/>
        </w:rPr>
        <w:t xml:space="preserve"> </w:t>
      </w:r>
      <w:r>
        <w:rPr>
          <w:spacing w:val="6"/>
          <w:u w:val="single" w:color="auto"/>
        </w:rPr>
        <w:t xml:space="preserve">                    </w:t>
      </w:r>
      <w:r>
        <w:rPr>
          <w:spacing w:val="40"/>
        </w:rPr>
        <w:t xml:space="preserve">   </w:t>
      </w:r>
      <w:r>
        <w:rPr>
          <w:spacing w:val="-29"/>
          <w:w w:val="98"/>
        </w:rPr>
        <w:t>或其授权人：</w:t>
      </w:r>
      <w:r>
        <w:rPr>
          <w:spacing w:val="50"/>
        </w:rPr>
        <w:t xml:space="preserve"> </w:t>
      </w:r>
      <w:r>
        <w:rPr>
          <w:u w:val="single" w:color="auto"/>
        </w:rPr>
        <w:t xml:space="preserve">                   </w:t>
      </w:r>
    </w:p>
    <w:p>
      <w:pPr>
        <w:pStyle w:val="BodyText"/>
        <w:spacing w:before="53" w:line="219" w:lineRule="auto"/>
        <w:ind w:left="3305"/>
        <w:rPr>
          <w:sz w:val="21"/>
          <w:szCs w:val="21"/>
        </w:rPr>
      </w:pPr>
      <w:r>
        <w:rPr>
          <w:spacing w:val="9"/>
          <w:sz w:val="21"/>
          <w:szCs w:val="21"/>
        </w:rPr>
        <w:t>《签字或盖章)</w:t>
      </w:r>
      <w:r>
        <w:rPr>
          <w:spacing w:val="2"/>
          <w:sz w:val="21"/>
          <w:szCs w:val="21"/>
        </w:rPr>
        <w:t xml:space="preserve">                                     </w:t>
      </w:r>
      <w:r>
        <w:rPr>
          <w:spacing w:val="9"/>
          <w:sz w:val="21"/>
          <w:szCs w:val="21"/>
        </w:rPr>
        <w:t>(签字或盖章)</w:t>
      </w:r>
    </w:p>
    <w:p>
      <w:pPr>
        <w:spacing w:before="32"/>
      </w:pPr>
    </w:p>
    <w:p>
      <w:pPr>
        <w:spacing w:before="32"/>
      </w:pPr>
    </w:p>
    <w:p>
      <w:pPr>
        <w:spacing w:before="31"/>
      </w:pPr>
    </w:p>
    <w:p>
      <w:pPr>
        <w:spacing w:before="31"/>
      </w:pPr>
    </w:p>
    <w:p>
      <w:pPr>
        <w:spacing w:before="31"/>
      </w:pPr>
    </w:p>
    <w:p>
      <w:pPr>
        <w:spacing w:before="31"/>
      </w:pPr>
    </w:p>
    <w:p>
      <w:pPr>
        <w:spacing w:before="31"/>
      </w:pPr>
    </w:p>
    <w:p>
      <w:pPr>
        <w:sectPr>
          <w:headerReference w:type="default" r:id="rId12"/>
          <w:pgSz w:w="20000" w:h="28260"/>
          <w:pgMar w:top="1329" w:right="3000" w:bottom="0" w:left="3000" w:header="1038" w:footer="0" w:gutter="0"/>
          <w:pgNumType w:start="13"/>
          <w:cols w:num="1" w:space="708" w:equalWidth="0">
            <w:col w:w="14000" w:space="0"/>
          </w:cols>
        </w:sectPr>
      </w:pPr>
    </w:p>
    <w:p>
      <w:pPr>
        <w:pStyle w:val="BodyText"/>
        <w:spacing w:before="56" w:line="219" w:lineRule="auto"/>
        <w:jc w:val="right"/>
      </w:pPr>
      <w:r>
        <w:rPr>
          <w:spacing w:val="-26"/>
        </w:rPr>
        <w:t>编</w:t>
      </w:r>
      <w:r>
        <w:rPr>
          <w:spacing w:val="-22"/>
        </w:rPr>
        <w:t xml:space="preserve"> </w:t>
      </w:r>
      <w:r>
        <w:rPr>
          <w:spacing w:val="-26"/>
        </w:rPr>
        <w:t>制</w:t>
      </w:r>
      <w:r>
        <w:rPr>
          <w:spacing w:val="-21"/>
        </w:rPr>
        <w:t xml:space="preserve"> </w:t>
      </w:r>
      <w:r>
        <w:rPr>
          <w:spacing w:val="-26"/>
        </w:rPr>
        <w:t>人</w:t>
      </w:r>
      <w:r>
        <w:rPr>
          <w:spacing w:val="-34"/>
        </w:rPr>
        <w:t xml:space="preserve"> </w:t>
      </w:r>
      <w:r>
        <w:rPr>
          <w:spacing w:val="-26"/>
        </w:rPr>
        <w:t>：</w:t>
      </w:r>
    </w:p>
    <w:p>
      <w:pPr>
        <w:spacing w:line="14" w:lineRule="auto"/>
        <w:rPr>
          <w:rFonts w:ascii="Arial"/>
          <w:sz w:val="2"/>
        </w:rPr>
      </w:pPr>
      <w:r>
        <w:rPr>
          <w:rFonts w:ascii="Arial" w:eastAsia="Arial" w:hAnsi="Arial" w:cs="Arial"/>
          <w:sz w:val="2"/>
          <w:szCs w:val="2"/>
        </w:rPr>
        <w:br w:type="column"/>
      </w:r>
    </w:p>
    <w:p>
      <w:pPr>
        <w:spacing w:line="370" w:lineRule="auto"/>
        <w:rPr>
          <w:rFonts w:ascii="Arial"/>
          <w:sz w:val="21"/>
        </w:rPr>
      </w:pPr>
    </w:p>
    <w:p>
      <w:pPr>
        <w:pStyle w:val="BodyText"/>
        <w:spacing w:before="68" w:line="184" w:lineRule="auto"/>
        <w:ind w:left="200"/>
        <w:rPr>
          <w:sz w:val="21"/>
          <w:szCs w:val="21"/>
        </w:rPr>
      </w:pPr>
      <w:r>
        <w:rPr>
          <w:spacing w:val="6"/>
          <w:sz w:val="21"/>
          <w:szCs w:val="21"/>
        </w:rPr>
        <w:t>(造价人员签字盖专用章)</w:t>
      </w:r>
    </w:p>
    <w:p>
      <w:pPr>
        <w:spacing w:line="14" w:lineRule="auto"/>
        <w:rPr>
          <w:rFonts w:ascii="Arial"/>
          <w:sz w:val="2"/>
        </w:rPr>
      </w:pPr>
      <w:r>
        <w:rPr>
          <w:rFonts w:ascii="Arial" w:eastAsia="Arial" w:hAnsi="Arial" w:cs="Arial"/>
          <w:sz w:val="2"/>
          <w:szCs w:val="2"/>
        </w:rPr>
        <w:br w:type="column"/>
      </w:r>
    </w:p>
    <w:p>
      <w:pPr>
        <w:pStyle w:val="BodyText"/>
        <w:spacing w:before="55" w:line="254" w:lineRule="auto"/>
      </w:pPr>
      <w:r>
        <w:rPr>
          <w:spacing w:val="-26"/>
        </w:rPr>
        <w:t>复</w:t>
      </w:r>
      <w:r>
        <w:rPr>
          <w:spacing w:val="-19"/>
        </w:rPr>
        <w:t xml:space="preserve"> </w:t>
      </w:r>
      <w:r>
        <w:rPr>
          <w:spacing w:val="-26"/>
        </w:rPr>
        <w:t>核</w:t>
      </w:r>
      <w:r>
        <w:rPr>
          <w:spacing w:val="-23"/>
        </w:rPr>
        <w:t xml:space="preserve"> </w:t>
      </w:r>
      <w:r>
        <w:rPr>
          <w:spacing w:val="-26"/>
        </w:rPr>
        <w:t>人</w:t>
      </w:r>
      <w:r>
        <w:rPr>
          <w:spacing w:val="-35"/>
        </w:rPr>
        <w:t xml:space="preserve"> </w:t>
      </w:r>
      <w:r>
        <w:rPr>
          <w:spacing w:val="-26"/>
        </w:rPr>
        <w:t>：</w:t>
      </w:r>
      <w:r>
        <w:rPr>
          <w:u w:val="single" w:color="auto"/>
        </w:rPr>
        <w:t xml:space="preserve">                     </w:t>
      </w:r>
    </w:p>
    <w:p>
      <w:pPr>
        <w:pStyle w:val="BodyText"/>
        <w:spacing w:line="184" w:lineRule="auto"/>
        <w:ind w:left="1520"/>
        <w:rPr>
          <w:sz w:val="21"/>
          <w:szCs w:val="21"/>
        </w:rPr>
      </w:pPr>
      <w:r>
        <w:rPr>
          <w:spacing w:val="6"/>
          <w:sz w:val="21"/>
          <w:szCs w:val="21"/>
        </w:rPr>
        <w:t>(造价工程帅签字盖专用章)</w:t>
      </w:r>
    </w:p>
    <w:p>
      <w:pPr>
        <w:spacing w:line="184" w:lineRule="auto"/>
        <w:rPr>
          <w:sz w:val="21"/>
          <w:szCs w:val="21"/>
        </w:rPr>
        <w:sectPr>
          <w:headerReference w:type="default" r:id="rId13"/>
          <w:type w:val="continuous"/>
          <w:pgSz w:w="20000" w:h="28260"/>
          <w:pgMar w:top="1329" w:right="3000" w:bottom="0" w:left="3000" w:header="1038" w:footer="0" w:gutter="0"/>
          <w:pgNumType w:start="14"/>
          <w:cols w:num="3" w:space="708" w:equalWidth="0">
            <w:col w:w="2971" w:space="39"/>
            <w:col w:w="3940" w:space="100"/>
            <w:col w:w="6950" w:space="0"/>
          </w:cols>
        </w:sect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8" w:lineRule="auto"/>
        <w:rPr>
          <w:rFonts w:ascii="Arial"/>
          <w:sz w:val="21"/>
        </w:rPr>
      </w:pPr>
    </w:p>
    <w:p>
      <w:pPr>
        <w:spacing w:line="258" w:lineRule="auto"/>
        <w:rPr>
          <w:rFonts w:ascii="Arial"/>
          <w:sz w:val="21"/>
        </w:rPr>
      </w:pPr>
    </w:p>
    <w:p>
      <w:pPr>
        <w:pStyle w:val="BodyText"/>
        <w:spacing w:before="91" w:line="226" w:lineRule="auto"/>
        <w:ind w:left="1610"/>
      </w:pPr>
      <w:r>
        <w:rPr>
          <w:spacing w:val="-6"/>
        </w:rPr>
        <w:t>编制时间：</w:t>
      </w:r>
      <w:r>
        <w:rPr>
          <w:spacing w:val="55"/>
        </w:rPr>
        <w:t xml:space="preserve">  </w:t>
      </w:r>
      <w:r>
        <w:rPr>
          <w:spacing w:val="-6"/>
        </w:rPr>
        <w:t>年</w:t>
      </w:r>
      <w:r>
        <w:rPr>
          <w:spacing w:val="56"/>
        </w:rPr>
        <w:t xml:space="preserve">  </w:t>
      </w:r>
      <w:r>
        <w:rPr>
          <w:spacing w:val="-6"/>
        </w:rPr>
        <w:t>月  日                    复核时间：年  月</w:t>
      </w:r>
      <w:r>
        <w:rPr>
          <w:spacing w:val="23"/>
        </w:rPr>
        <w:t xml:space="preserve">  </w:t>
      </w:r>
      <w:r>
        <w:rPr>
          <w:spacing w:val="-6"/>
        </w:rPr>
        <w:t>日</w:t>
      </w: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pStyle w:val="BodyText"/>
        <w:spacing w:before="56" w:line="117" w:lineRule="exact"/>
        <w:ind w:left="12580"/>
        <w:rPr>
          <w:sz w:val="17"/>
          <w:szCs w:val="17"/>
        </w:rPr>
      </w:pPr>
      <w:r>
        <w:rPr>
          <w:position w:val="-2"/>
          <w:sz w:val="17"/>
          <w:szCs w:val="17"/>
        </w:rPr>
        <w:t>7</w:t>
      </w:r>
    </w:p>
    <w:p>
      <w:pPr>
        <w:spacing w:line="117" w:lineRule="exact"/>
        <w:rPr>
          <w:sz w:val="17"/>
          <w:szCs w:val="17"/>
        </w:rPr>
        <w:sectPr>
          <w:headerReference w:type="default" r:id="rId14"/>
          <w:type w:val="continuous"/>
          <w:pgSz w:w="20000" w:h="28260"/>
          <w:pgMar w:top="1329" w:right="3000" w:bottom="0" w:left="3000" w:header="1038" w:footer="0" w:gutter="0"/>
          <w:pgNumType w:start="15"/>
          <w:cols w:num="1" w:space="708" w:equalWidth="0">
            <w:col w:w="14000" w:space="0"/>
          </w:cols>
        </w:sectPr>
      </w:pPr>
    </w:p>
    <w:p>
      <w:pPr>
        <w:spacing w:line="314" w:lineRule="auto"/>
        <w:rPr>
          <w:rFonts w:ascii="Arial"/>
          <w:sz w:val="21"/>
        </w:rPr>
      </w:pPr>
    </w:p>
    <w:p>
      <w:pPr>
        <w:spacing w:line="314" w:lineRule="auto"/>
        <w:rPr>
          <w:rFonts w:ascii="Arial"/>
          <w:sz w:val="21"/>
        </w:rPr>
      </w:pPr>
    </w:p>
    <w:p>
      <w:pPr>
        <w:spacing w:line="315" w:lineRule="auto"/>
        <w:rPr>
          <w:rFonts w:ascii="Arial"/>
          <w:sz w:val="21"/>
        </w:rPr>
      </w:pPr>
    </w:p>
    <w:p>
      <w:pPr>
        <w:spacing w:before="107" w:line="221" w:lineRule="auto"/>
        <w:ind w:left="1604"/>
        <w:outlineLvl w:val="0"/>
        <w:rPr>
          <w:rFonts w:ascii="SimHei" w:eastAsia="SimHei" w:hAnsi="SimHei" w:cs="SimHei"/>
          <w:sz w:val="33"/>
          <w:szCs w:val="33"/>
        </w:rPr>
      </w:pPr>
      <w:r>
        <w:rPr>
          <w:rFonts w:ascii="SimHei" w:eastAsia="SimHei" w:hAnsi="SimHei" w:cs="SimHei"/>
          <w:b/>
          <w:bCs/>
          <w:spacing w:val="-4"/>
          <w:sz w:val="33"/>
          <w:szCs w:val="33"/>
        </w:rPr>
        <w:t>4.1</w:t>
      </w:r>
      <w:r>
        <w:rPr>
          <w:rFonts w:ascii="SimHei" w:eastAsia="SimHei" w:hAnsi="SimHei" w:cs="SimHei"/>
          <w:spacing w:val="-65"/>
          <w:sz w:val="33"/>
          <w:szCs w:val="33"/>
        </w:rPr>
        <w:t xml:space="preserve"> </w:t>
      </w:r>
      <w:r>
        <w:rPr>
          <w:rFonts w:ascii="SimHei" w:eastAsia="SimHei" w:hAnsi="SimHei" w:cs="SimHei"/>
          <w:b/>
          <w:bCs/>
          <w:spacing w:val="-4"/>
          <w:sz w:val="33"/>
          <w:szCs w:val="33"/>
        </w:rPr>
        <w:t>总说明</w:t>
      </w:r>
    </w:p>
    <w:p>
      <w:pPr>
        <w:spacing w:line="365" w:lineRule="auto"/>
        <w:rPr>
          <w:rFonts w:ascii="Arial"/>
          <w:sz w:val="21"/>
        </w:rPr>
      </w:pPr>
    </w:p>
    <w:p>
      <w:pPr>
        <w:spacing w:before="107" w:line="221" w:lineRule="auto"/>
        <w:ind w:left="1603"/>
        <w:outlineLvl w:val="0"/>
        <w:rPr>
          <w:rFonts w:ascii="SimHei" w:eastAsia="SimHei" w:hAnsi="SimHei" w:cs="SimHei"/>
          <w:sz w:val="33"/>
          <w:szCs w:val="33"/>
        </w:rPr>
      </w:pPr>
      <w:r>
        <w:rPr>
          <w:rFonts w:ascii="SimHei" w:eastAsia="SimHei" w:hAnsi="SimHei" w:cs="SimHei"/>
          <w:b/>
          <w:bCs/>
          <w:spacing w:val="-20"/>
          <w:sz w:val="33"/>
          <w:szCs w:val="33"/>
        </w:rPr>
        <w:t>4.1.1</w:t>
      </w:r>
      <w:r>
        <w:rPr>
          <w:rFonts w:ascii="SimHei" w:eastAsia="SimHei" w:hAnsi="SimHei" w:cs="SimHei"/>
          <w:spacing w:val="-66"/>
          <w:sz w:val="33"/>
          <w:szCs w:val="33"/>
        </w:rPr>
        <w:t xml:space="preserve"> </w:t>
      </w:r>
      <w:r>
        <w:rPr>
          <w:rFonts w:ascii="SimHei" w:eastAsia="SimHei" w:hAnsi="SimHei" w:cs="SimHei"/>
          <w:b/>
          <w:bCs/>
          <w:spacing w:val="-20"/>
          <w:sz w:val="33"/>
          <w:szCs w:val="33"/>
        </w:rPr>
        <w:t>编制依据</w:t>
      </w:r>
    </w:p>
    <w:p>
      <w:pPr>
        <w:spacing w:line="384" w:lineRule="auto"/>
        <w:rPr>
          <w:rFonts w:ascii="Arial"/>
          <w:sz w:val="21"/>
        </w:rPr>
      </w:pPr>
    </w:p>
    <w:p>
      <w:pPr>
        <w:pStyle w:val="BodyText"/>
        <w:spacing w:before="91" w:line="218" w:lineRule="auto"/>
        <w:ind w:left="1989"/>
      </w:pPr>
      <w:r>
        <w:rPr>
          <w:spacing w:val="-2"/>
        </w:rPr>
        <w:t>(1)建筑设计防火规范</w:t>
      </w:r>
      <w:r>
        <w:rPr>
          <w:spacing w:val="-31"/>
        </w:rPr>
        <w:t xml:space="preserve"> </w:t>
      </w:r>
      <w:r>
        <w:rPr>
          <w:spacing w:val="-2"/>
        </w:rPr>
        <w:t>(GBJ16-87)2001   年版</w:t>
      </w:r>
    </w:p>
    <w:p>
      <w:pPr>
        <w:pStyle w:val="BodyText"/>
        <w:spacing w:before="190" w:line="212" w:lineRule="auto"/>
        <w:ind w:left="1989"/>
        <w:rPr>
          <w:rFonts w:ascii="Times New Roman" w:eastAsia="Times New Roman" w:hAnsi="Times New Roman" w:cs="Times New Roman"/>
        </w:rPr>
      </w:pPr>
      <w:r>
        <w:t>(2)民用建筑设计通则</w:t>
      </w:r>
      <w:r>
        <w:rPr>
          <w:spacing w:val="-40"/>
        </w:rPr>
        <w:t xml:space="preserve"> </w:t>
      </w:r>
      <w:r>
        <w:rPr>
          <w:rFonts w:ascii="Times New Roman" w:eastAsia="Times New Roman" w:hAnsi="Times New Roman" w:cs="Times New Roman"/>
        </w:rPr>
        <w:t>(JGJ      37-87)</w:t>
      </w:r>
    </w:p>
    <w:p>
      <w:pPr>
        <w:pStyle w:val="BodyText"/>
        <w:spacing w:before="248" w:line="212" w:lineRule="auto"/>
        <w:ind w:left="1989"/>
      </w:pPr>
      <w:r>
        <w:rPr>
          <w:spacing w:val="-4"/>
        </w:rPr>
        <w:t xml:space="preserve">(3)建筑设计抗震规范  </w:t>
      </w:r>
      <w:r>
        <w:rPr>
          <w:rFonts w:ascii="Times New Roman" w:eastAsia="Times New Roman" w:hAnsi="Times New Roman" w:cs="Times New Roman"/>
          <w:spacing w:val="-4"/>
        </w:rPr>
        <w:t xml:space="preserve">(GBJ      </w:t>
      </w:r>
      <w:r>
        <w:rPr>
          <w:spacing w:val="-4"/>
        </w:rPr>
        <w:t>11-89)</w:t>
      </w:r>
    </w:p>
    <w:p>
      <w:pPr>
        <w:pStyle w:val="BodyText"/>
        <w:spacing w:before="271" w:line="537" w:lineRule="exact"/>
        <w:ind w:left="1989"/>
      </w:pPr>
      <w:r>
        <w:rPr>
          <w:spacing w:val="-3"/>
          <w:position w:val="19"/>
        </w:rPr>
        <w:t>(4)工程量清单项目计量规范(2013-宁夏)</w:t>
      </w:r>
    </w:p>
    <w:p>
      <w:pPr>
        <w:pStyle w:val="BodyText"/>
        <w:spacing w:before="1" w:line="217" w:lineRule="auto"/>
        <w:ind w:left="1990"/>
      </w:pPr>
      <w:r>
        <w:rPr>
          <w:spacing w:val="-5"/>
        </w:rPr>
        <w:t>(5)宁夏建筑装饰工程计价定额(2013)</w:t>
      </w:r>
    </w:p>
    <w:p>
      <w:pPr>
        <w:pStyle w:val="BodyText"/>
        <w:spacing w:before="243" w:line="220" w:lineRule="auto"/>
        <w:ind w:left="1989"/>
      </w:pPr>
      <w:r>
        <w:rPr>
          <w:spacing w:val="-1"/>
        </w:rPr>
        <w:t>(6)有关建筑的其他规范及规定</w:t>
      </w:r>
    </w:p>
    <w:p>
      <w:pPr>
        <w:spacing w:line="280" w:lineRule="auto"/>
        <w:rPr>
          <w:rFonts w:ascii="Arial"/>
          <w:sz w:val="21"/>
        </w:rPr>
      </w:pPr>
    </w:p>
    <w:p>
      <w:pPr>
        <w:spacing w:before="108" w:line="221" w:lineRule="auto"/>
        <w:ind w:left="1604"/>
        <w:outlineLvl w:val="0"/>
        <w:rPr>
          <w:rFonts w:ascii="SimHei" w:eastAsia="SimHei" w:hAnsi="SimHei" w:cs="SimHei"/>
          <w:sz w:val="33"/>
          <w:szCs w:val="33"/>
        </w:rPr>
      </w:pPr>
      <w:r>
        <w:rPr>
          <w:rFonts w:ascii="SimHei" w:eastAsia="SimHei" w:hAnsi="SimHei" w:cs="SimHei"/>
          <w:b/>
          <w:bCs/>
          <w:spacing w:val="-9"/>
          <w:sz w:val="33"/>
          <w:szCs w:val="33"/>
        </w:rPr>
        <w:t>4.1.2项目概况</w:t>
      </w:r>
    </w:p>
    <w:p>
      <w:pPr>
        <w:spacing w:line="347" w:lineRule="auto"/>
        <w:rPr>
          <w:rFonts w:ascii="Arial"/>
          <w:sz w:val="21"/>
        </w:rPr>
      </w:pPr>
    </w:p>
    <w:p>
      <w:pPr>
        <w:pStyle w:val="BodyText"/>
        <w:spacing w:before="91" w:line="219" w:lineRule="auto"/>
        <w:ind w:left="1989"/>
      </w:pPr>
      <w:r>
        <w:rPr>
          <w:spacing w:val="-8"/>
        </w:rPr>
        <w:t>(1)工程名称：</w:t>
      </w:r>
      <w:r>
        <w:rPr>
          <w:spacing w:val="-44"/>
        </w:rPr>
        <w:t xml:space="preserve"> </w:t>
      </w:r>
      <w:r>
        <w:rPr>
          <w:rFonts w:ascii="Times New Roman" w:eastAsia="Times New Roman" w:hAnsi="Times New Roman" w:cs="Times New Roman"/>
          <w:spacing w:val="-8"/>
        </w:rPr>
        <w:t>XX</w:t>
      </w:r>
      <w:r>
        <w:rPr>
          <w:rFonts w:ascii="Times New Roman" w:eastAsia="Times New Roman" w:hAnsi="Times New Roman" w:cs="Times New Roman"/>
          <w:spacing w:val="27"/>
          <w:w w:val="101"/>
        </w:rPr>
        <w:t xml:space="preserve"> </w:t>
      </w:r>
      <w:r>
        <w:rPr>
          <w:spacing w:val="-8"/>
        </w:rPr>
        <w:t>学校教学综合楼</w:t>
      </w:r>
    </w:p>
    <w:p>
      <w:pPr>
        <w:pStyle w:val="BodyText"/>
        <w:spacing w:before="248" w:line="219" w:lineRule="auto"/>
        <w:ind w:left="1989"/>
      </w:pPr>
      <w:r>
        <w:rPr>
          <w:spacing w:val="-5"/>
        </w:rPr>
        <w:t>(2)建设地点：银川市</w:t>
      </w:r>
    </w:p>
    <w:p>
      <w:pPr>
        <w:pStyle w:val="BodyText"/>
        <w:spacing w:before="197" w:line="561" w:lineRule="exact"/>
        <w:ind w:left="1989"/>
      </w:pPr>
      <w:r>
        <w:rPr>
          <w:position w:val="21"/>
        </w:rPr>
        <w:t>(3)工程概况：本工程为地上5层，框架结构，</w:t>
      </w:r>
      <w:r>
        <w:rPr>
          <w:spacing w:val="92"/>
          <w:position w:val="21"/>
        </w:rPr>
        <w:t xml:space="preserve"> </w:t>
      </w:r>
      <w:r>
        <w:rPr>
          <w:position w:val="21"/>
        </w:rPr>
        <w:t>一层为办公室及公厕；二至五层为教室</w:t>
      </w:r>
    </w:p>
    <w:p>
      <w:pPr>
        <w:pStyle w:val="BodyText"/>
        <w:spacing w:line="219" w:lineRule="auto"/>
        <w:ind w:left="1990"/>
      </w:pPr>
      <w:r>
        <w:rPr>
          <w:spacing w:val="5"/>
        </w:rPr>
        <w:t>等，其中三层设一阶梯教室，总建筑面积为3294.60平方米</w:t>
      </w:r>
    </w:p>
    <w:p>
      <w:pPr>
        <w:pStyle w:val="BodyText"/>
        <w:spacing w:before="217" w:line="550" w:lineRule="exact"/>
        <w:ind w:left="1989"/>
      </w:pPr>
      <w:r>
        <w:rPr>
          <w:spacing w:val="1"/>
          <w:position w:val="20"/>
        </w:rPr>
        <w:t>(4)本地区地震基本烈度为六度，本工程设</w:t>
      </w:r>
      <w:r>
        <w:rPr>
          <w:position w:val="20"/>
        </w:rPr>
        <w:t>计基准期为五十年</w:t>
      </w:r>
    </w:p>
    <w:p>
      <w:pPr>
        <w:pStyle w:val="BodyText"/>
        <w:spacing w:before="1" w:line="219" w:lineRule="auto"/>
        <w:ind w:left="1989"/>
      </w:pPr>
      <w:r>
        <w:rPr>
          <w:spacing w:val="-5"/>
        </w:rPr>
        <w:t>(5)建筑安全等级为二级</w:t>
      </w: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pStyle w:val="BodyText"/>
        <w:spacing w:before="55" w:line="183" w:lineRule="auto"/>
        <w:ind w:left="12570"/>
        <w:rPr>
          <w:sz w:val="17"/>
          <w:szCs w:val="17"/>
        </w:rPr>
      </w:pPr>
      <w:r>
        <w:rPr>
          <w:sz w:val="17"/>
          <w:szCs w:val="17"/>
        </w:rPr>
        <w:t>8</w:t>
      </w:r>
    </w:p>
    <w:p>
      <w:pPr>
        <w:spacing w:line="183" w:lineRule="auto"/>
        <w:rPr>
          <w:sz w:val="17"/>
          <w:szCs w:val="17"/>
        </w:rPr>
      </w:pPr>
      <w:r>
        <w:rPr>
          <w:sz w:val="17"/>
          <w:szCs w:val="17"/>
        </w:rPr>
        <w:br/>
      </w:r>
      <w:r>
        <w:rPr>
          <w:sz w:val="17"/>
          <w:szCs w:val="17"/>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15" w:history="1">
        <w:r>
          <w:rPr>
            <w:rFonts w:ascii="SimSun" w:eastAsia="SimSun" w:hAnsi="SimSun" w:cs="SimSun"/>
            <w:b/>
            <w:bCs/>
            <w:noProof w:val="0"/>
            <w:snapToGrid/>
            <w:color w:val="0000EE"/>
            <w:kern w:val="0"/>
            <w:sz w:val="30"/>
            <w:szCs w:val="30"/>
            <w:u w:val="single" w:color="0000EE"/>
          </w:rPr>
          <w:t>https://d.book118.com/648131010141006022</w:t>
        </w:r>
      </w:hyperlink>
    </w:p>
    <w:p>
      <w:pPr>
        <w:spacing w:line="183" w:lineRule="auto"/>
        <w:rPr>
          <w:sz w:val="17"/>
          <w:szCs w:val="17"/>
        </w:rPr>
      </w:pPr>
    </w:p>
    <w:sectPr>
      <w:headerReference w:type="default" r:id="rId16"/>
      <w:pgSz w:w="20000" w:h="28260"/>
      <w:pgMar w:top="1329" w:right="3000" w:bottom="0" w:left="3000" w:header="1038" w:footer="0" w:gutter="0"/>
      <w:pgNumType w:start="16"/>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9" w:lineRule="auto"/>
      <w:ind w:left="6740"/>
      <w:rPr>
        <w:sz w:val="20"/>
        <w:szCs w:val="20"/>
      </w:rPr>
    </w:pPr>
    <w:r>
      <w:drawing>
        <wp:anchor distT="0" distB="0" distL="0" distR="0" simplePos="0" relativeHeight="251658240" behindDoc="0" locked="0" layoutInCell="0" allowOverlap="1">
          <wp:simplePos x="0" y="0"/>
          <wp:positionH relativeFrom="page">
            <wp:posOffset>2876550</wp:posOffset>
          </wp:positionH>
          <wp:positionV relativeFrom="page">
            <wp:posOffset>838178</wp:posOffset>
          </wp:positionV>
          <wp:extent cx="7143750" cy="6350"/>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
                  <a:stretch>
                    <a:fillRect/>
                  </a:stretch>
                </pic:blipFill>
                <pic:spPr>
                  <a:xfrm>
                    <a:off x="0" y="0"/>
                    <a:ext cx="7143750" cy="6350"/>
                  </a:xfrm>
                  <a:prstGeom prst="rect">
                    <a:avLst/>
                  </a:prstGeom>
                </pic:spPr>
              </pic:pic>
            </a:graphicData>
          </a:graphic>
        </wp:anchor>
      </w:drawing>
    </w:r>
    <w:r>
      <w:rPr>
        <w:spacing w:val="14"/>
        <w:sz w:val="20"/>
        <w:szCs w:val="20"/>
      </w:rPr>
      <w:t>毕业设计</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9" w:lineRule="auto"/>
      <w:ind w:left="6739"/>
      <w:rPr>
        <w:sz w:val="19"/>
        <w:szCs w:val="19"/>
      </w:rPr>
    </w:pPr>
    <w:r>
      <w:drawing>
        <wp:anchor distT="0" distB="0" distL="0" distR="0" simplePos="0" relativeHeight="251659264" behindDoc="0" locked="0" layoutInCell="0" allowOverlap="1">
          <wp:simplePos x="0" y="0"/>
          <wp:positionH relativeFrom="page">
            <wp:posOffset>2876550</wp:posOffset>
          </wp:positionH>
          <wp:positionV relativeFrom="page">
            <wp:posOffset>838178</wp:posOffset>
          </wp:positionV>
          <wp:extent cx="7143750" cy="6350"/>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
                  <a:stretch>
                    <a:fillRect/>
                  </a:stretch>
                </pic:blipFill>
                <pic:spPr>
                  <a:xfrm>
                    <a:off x="0" y="0"/>
                    <a:ext cx="7143750" cy="6350"/>
                  </a:xfrm>
                  <a:prstGeom prst="rect">
                    <a:avLst/>
                  </a:prstGeom>
                </pic:spPr>
              </pic:pic>
            </a:graphicData>
          </a:graphic>
        </wp:anchor>
      </w:drawing>
    </w:r>
    <w:r>
      <w:rPr>
        <w:spacing w:val="22"/>
        <w:sz w:val="19"/>
        <w:szCs w:val="19"/>
      </w:rPr>
      <w:t>毕业设计</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9" w:lineRule="auto"/>
      <w:ind w:left="6739"/>
      <w:rPr>
        <w:sz w:val="19"/>
        <w:szCs w:val="19"/>
      </w:rPr>
    </w:pPr>
    <w:r>
      <w:drawing>
        <wp:anchor distT="0" distB="0" distL="0" distR="0" simplePos="0" relativeHeight="251660288" behindDoc="0" locked="0" layoutInCell="0" allowOverlap="1">
          <wp:simplePos x="0" y="0"/>
          <wp:positionH relativeFrom="page">
            <wp:posOffset>2876550</wp:posOffset>
          </wp:positionH>
          <wp:positionV relativeFrom="page">
            <wp:posOffset>838178</wp:posOffset>
          </wp:positionV>
          <wp:extent cx="7143750" cy="6350"/>
          <wp:effectExtent l="0" t="0" r="0" b="0"/>
          <wp:wrapNone/>
          <wp:docPr id="716728927" name="IM 4"/>
          <wp:cNvGraphicFramePr/>
          <a:graphic xmlns:a="http://schemas.openxmlformats.org/drawingml/2006/main">
            <a:graphicData uri="http://schemas.openxmlformats.org/drawingml/2006/picture">
              <pic:pic xmlns:pic="http://schemas.openxmlformats.org/drawingml/2006/picture">
                <pic:nvPicPr>
                  <pic:cNvPr id="716728927" name="IM 4"/>
                  <pic:cNvPicPr/>
                </pic:nvPicPr>
                <pic:blipFill>
                  <a:blip xmlns:r="http://schemas.openxmlformats.org/officeDocument/2006/relationships" r:embed="rId1"/>
                  <a:stretch>
                    <a:fillRect/>
                  </a:stretch>
                </pic:blipFill>
                <pic:spPr>
                  <a:xfrm>
                    <a:off x="0" y="0"/>
                    <a:ext cx="7143750" cy="6350"/>
                  </a:xfrm>
                  <a:prstGeom prst="rect">
                    <a:avLst/>
                  </a:prstGeom>
                </pic:spPr>
              </pic:pic>
            </a:graphicData>
          </a:graphic>
        </wp:anchor>
      </w:drawing>
    </w:r>
    <w:r>
      <w:rPr>
        <w:spacing w:val="22"/>
        <w:sz w:val="19"/>
        <w:szCs w:val="19"/>
      </w:rPr>
      <w:t>毕业设计</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9" w:lineRule="auto"/>
      <w:ind w:left="6739"/>
      <w:rPr>
        <w:sz w:val="18"/>
        <w:szCs w:val="18"/>
      </w:rPr>
    </w:pPr>
    <w:r>
      <w:pict>
        <v:rect id="_x0000_s2049" style="width:562.5pt;height:0.5pt;margin-top:66pt;margin-left:226.5pt;mso-position-horizontal-relative:page;mso-position-vertical-relative:page;position:absolute;z-index:251661312" o:allowincell="f" filled="t" fillcolor="black" stroked="f"/>
      </w:pict>
    </w:r>
    <w:r>
      <w:rPr>
        <w:spacing w:val="33"/>
        <w:sz w:val="18"/>
        <w:szCs w:val="18"/>
      </w:rPr>
      <w:t>毕业设计</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9" w:lineRule="auto"/>
      <w:ind w:left="6739"/>
      <w:rPr>
        <w:sz w:val="19"/>
        <w:szCs w:val="19"/>
      </w:rPr>
    </w:pPr>
    <w:r>
      <w:drawing>
        <wp:anchor distT="0" distB="0" distL="0" distR="0" simplePos="0" relativeHeight="251662336" behindDoc="0" locked="0" layoutInCell="0" allowOverlap="1">
          <wp:simplePos x="0" y="0"/>
          <wp:positionH relativeFrom="page">
            <wp:posOffset>2876550</wp:posOffset>
          </wp:positionH>
          <wp:positionV relativeFrom="page">
            <wp:posOffset>838178</wp:posOffset>
          </wp:positionV>
          <wp:extent cx="7143750" cy="6350"/>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
                  <a:stretch>
                    <a:fillRect/>
                  </a:stretch>
                </pic:blipFill>
                <pic:spPr>
                  <a:xfrm>
                    <a:off x="0" y="0"/>
                    <a:ext cx="7143750" cy="6350"/>
                  </a:xfrm>
                  <a:prstGeom prst="rect">
                    <a:avLst/>
                  </a:prstGeom>
                </pic:spPr>
              </pic:pic>
            </a:graphicData>
          </a:graphic>
        </wp:anchor>
      </w:drawing>
    </w:r>
    <w:r>
      <w:rPr>
        <w:spacing w:val="24"/>
        <w:sz w:val="19"/>
        <w:szCs w:val="19"/>
      </w:rPr>
      <w:t>毕业设计</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9" w:lineRule="auto"/>
      <w:ind w:left="6739"/>
      <w:rPr>
        <w:sz w:val="19"/>
        <w:szCs w:val="19"/>
      </w:rPr>
    </w:pPr>
    <w:r>
      <w:drawing>
        <wp:anchor distT="0" distB="0" distL="0" distR="0" simplePos="0" relativeHeight="251663360" behindDoc="0" locked="0" layoutInCell="0" allowOverlap="1">
          <wp:simplePos x="0" y="0"/>
          <wp:positionH relativeFrom="page">
            <wp:posOffset>2876550</wp:posOffset>
          </wp:positionH>
          <wp:positionV relativeFrom="page">
            <wp:posOffset>838178</wp:posOffset>
          </wp:positionV>
          <wp:extent cx="7143750" cy="6350"/>
          <wp:effectExtent l="0" t="0" r="0" b="0"/>
          <wp:wrapNone/>
          <wp:docPr id="1313642573" name="IM 4"/>
          <wp:cNvGraphicFramePr/>
          <a:graphic xmlns:a="http://schemas.openxmlformats.org/drawingml/2006/main">
            <a:graphicData uri="http://schemas.openxmlformats.org/drawingml/2006/picture">
              <pic:pic xmlns:pic="http://schemas.openxmlformats.org/drawingml/2006/picture">
                <pic:nvPicPr>
                  <pic:cNvPr id="1313642573" name="IM 4"/>
                  <pic:cNvPicPr/>
                </pic:nvPicPr>
                <pic:blipFill>
                  <a:blip xmlns:r="http://schemas.openxmlformats.org/officeDocument/2006/relationships" r:embed="rId1"/>
                  <a:stretch>
                    <a:fillRect/>
                  </a:stretch>
                </pic:blipFill>
                <pic:spPr>
                  <a:xfrm>
                    <a:off x="0" y="0"/>
                    <a:ext cx="7143750" cy="6350"/>
                  </a:xfrm>
                  <a:prstGeom prst="rect">
                    <a:avLst/>
                  </a:prstGeom>
                </pic:spPr>
              </pic:pic>
            </a:graphicData>
          </a:graphic>
        </wp:anchor>
      </w:drawing>
    </w:r>
    <w:r>
      <w:rPr>
        <w:spacing w:val="22"/>
        <w:sz w:val="19"/>
        <w:szCs w:val="19"/>
      </w:rPr>
      <w:t>毕业设计</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9" w:lineRule="auto"/>
      <w:ind w:left="6739"/>
      <w:rPr>
        <w:sz w:val="19"/>
        <w:szCs w:val="19"/>
      </w:rPr>
    </w:pPr>
    <w:r>
      <w:drawing>
        <wp:anchor distT="0" distB="0" distL="0" distR="0" simplePos="0" relativeHeight="251664384" behindDoc="0" locked="0" layoutInCell="0" allowOverlap="1">
          <wp:simplePos x="0" y="0"/>
          <wp:positionH relativeFrom="page">
            <wp:posOffset>2876550</wp:posOffset>
          </wp:positionH>
          <wp:positionV relativeFrom="page">
            <wp:posOffset>838178</wp:posOffset>
          </wp:positionV>
          <wp:extent cx="7143750" cy="6350"/>
          <wp:effectExtent l="0" t="0" r="0" b="0"/>
          <wp:wrapNone/>
          <wp:docPr id="872697603" name="IM 4"/>
          <wp:cNvGraphicFramePr/>
          <a:graphic xmlns:a="http://schemas.openxmlformats.org/drawingml/2006/main">
            <a:graphicData uri="http://schemas.openxmlformats.org/drawingml/2006/picture">
              <pic:pic xmlns:pic="http://schemas.openxmlformats.org/drawingml/2006/picture">
                <pic:nvPicPr>
                  <pic:cNvPr id="872697603" name="IM 4"/>
                  <pic:cNvPicPr/>
                </pic:nvPicPr>
                <pic:blipFill>
                  <a:blip xmlns:r="http://schemas.openxmlformats.org/officeDocument/2006/relationships" r:embed="rId1"/>
                  <a:stretch>
                    <a:fillRect/>
                  </a:stretch>
                </pic:blipFill>
                <pic:spPr>
                  <a:xfrm>
                    <a:off x="0" y="0"/>
                    <a:ext cx="7143750" cy="6350"/>
                  </a:xfrm>
                  <a:prstGeom prst="rect">
                    <a:avLst/>
                  </a:prstGeom>
                </pic:spPr>
              </pic:pic>
            </a:graphicData>
          </a:graphic>
        </wp:anchor>
      </w:drawing>
    </w:r>
    <w:r>
      <w:rPr>
        <w:spacing w:val="22"/>
        <w:sz w:val="19"/>
        <w:szCs w:val="19"/>
      </w:rPr>
      <w:t>毕业设计</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9" w:lineRule="auto"/>
      <w:ind w:left="6729"/>
      <w:rPr>
        <w:sz w:val="21"/>
        <w:szCs w:val="21"/>
      </w:rPr>
    </w:pPr>
    <w:r>
      <w:drawing>
        <wp:anchor distT="0" distB="0" distL="0" distR="0" simplePos="0" relativeHeight="251665408" behindDoc="0" locked="0" layoutInCell="0" allowOverlap="1">
          <wp:simplePos x="0" y="0"/>
          <wp:positionH relativeFrom="page">
            <wp:posOffset>2876550</wp:posOffset>
          </wp:positionH>
          <wp:positionV relativeFrom="page">
            <wp:posOffset>838178</wp:posOffset>
          </wp:positionV>
          <wp:extent cx="7143750" cy="6350"/>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
                  <a:stretch>
                    <a:fillRect/>
                  </a:stretch>
                </pic:blipFill>
                <pic:spPr>
                  <a:xfrm>
                    <a:off x="0" y="0"/>
                    <a:ext cx="7143750" cy="6350"/>
                  </a:xfrm>
                  <a:prstGeom prst="rect">
                    <a:avLst/>
                  </a:prstGeom>
                </pic:spPr>
              </pic:pic>
            </a:graphicData>
          </a:graphic>
        </wp:anchor>
      </w:drawing>
    </w:r>
    <w:r>
      <w:rPr>
        <w:spacing w:val="2"/>
        <w:sz w:val="21"/>
        <w:szCs w:val="21"/>
      </w:rPr>
      <w:t>毕业设计</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9" w:lineRule="auto"/>
      <w:ind w:left="6729"/>
      <w:rPr>
        <w:sz w:val="21"/>
        <w:szCs w:val="21"/>
      </w:rPr>
    </w:pPr>
    <w:r>
      <w:drawing>
        <wp:anchor distT="0" distB="0" distL="0" distR="0" simplePos="0" relativeHeight="251666432" behindDoc="0" locked="0" layoutInCell="0" allowOverlap="1">
          <wp:simplePos x="0" y="0"/>
          <wp:positionH relativeFrom="page">
            <wp:posOffset>2876550</wp:posOffset>
          </wp:positionH>
          <wp:positionV relativeFrom="page">
            <wp:posOffset>838178</wp:posOffset>
          </wp:positionV>
          <wp:extent cx="7143750" cy="6350"/>
          <wp:effectExtent l="0" t="0" r="0" b="0"/>
          <wp:wrapNone/>
          <wp:docPr id="803787076" name="IM 8"/>
          <wp:cNvGraphicFramePr/>
          <a:graphic xmlns:a="http://schemas.openxmlformats.org/drawingml/2006/main">
            <a:graphicData uri="http://schemas.openxmlformats.org/drawingml/2006/picture">
              <pic:pic xmlns:pic="http://schemas.openxmlformats.org/drawingml/2006/picture">
                <pic:nvPicPr>
                  <pic:cNvPr id="803787076" name="IM 8"/>
                  <pic:cNvPicPr/>
                </pic:nvPicPr>
                <pic:blipFill>
                  <a:blip xmlns:r="http://schemas.openxmlformats.org/officeDocument/2006/relationships" r:embed="rId1"/>
                  <a:stretch>
                    <a:fillRect/>
                  </a:stretch>
                </pic:blipFill>
                <pic:spPr>
                  <a:xfrm>
                    <a:off x="0" y="0"/>
                    <a:ext cx="7143750" cy="6350"/>
                  </a:xfrm>
                  <a:prstGeom prst="rect">
                    <a:avLst/>
                  </a:prstGeom>
                </pic:spPr>
              </pic:pic>
            </a:graphicData>
          </a:graphic>
        </wp:anchor>
      </w:drawing>
    </w:r>
    <w:r>
      <w:rPr>
        <w:spacing w:val="2"/>
        <w:sz w:val="21"/>
        <w:szCs w:val="21"/>
      </w:rPr>
      <w:t>毕业设计</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9" w:lineRule="auto"/>
      <w:ind w:left="6729"/>
      <w:rPr>
        <w:sz w:val="21"/>
        <w:szCs w:val="21"/>
      </w:rPr>
    </w:pPr>
    <w:r>
      <w:drawing>
        <wp:anchor distT="0" distB="0" distL="0" distR="0" simplePos="0" relativeHeight="251667456" behindDoc="0" locked="0" layoutInCell="0" allowOverlap="1">
          <wp:simplePos x="0" y="0"/>
          <wp:positionH relativeFrom="page">
            <wp:posOffset>2876550</wp:posOffset>
          </wp:positionH>
          <wp:positionV relativeFrom="page">
            <wp:posOffset>838178</wp:posOffset>
          </wp:positionV>
          <wp:extent cx="7143750" cy="6350"/>
          <wp:effectExtent l="0" t="0" r="0" b="0"/>
          <wp:wrapNone/>
          <wp:docPr id="892593502" name="IM 8"/>
          <wp:cNvGraphicFramePr/>
          <a:graphic xmlns:a="http://schemas.openxmlformats.org/drawingml/2006/main">
            <a:graphicData uri="http://schemas.openxmlformats.org/drawingml/2006/picture">
              <pic:pic xmlns:pic="http://schemas.openxmlformats.org/drawingml/2006/picture">
                <pic:nvPicPr>
                  <pic:cNvPr id="892593502" name="IM 8"/>
                  <pic:cNvPicPr/>
                </pic:nvPicPr>
                <pic:blipFill>
                  <a:blip xmlns:r="http://schemas.openxmlformats.org/officeDocument/2006/relationships" r:embed="rId1"/>
                  <a:stretch>
                    <a:fillRect/>
                  </a:stretch>
                </pic:blipFill>
                <pic:spPr>
                  <a:xfrm>
                    <a:off x="0" y="0"/>
                    <a:ext cx="7143750" cy="6350"/>
                  </a:xfrm>
                  <a:prstGeom prst="rect">
                    <a:avLst/>
                  </a:prstGeom>
                </pic:spPr>
              </pic:pic>
            </a:graphicData>
          </a:graphic>
        </wp:anchor>
      </w:drawing>
    </w:r>
    <w:r>
      <w:rPr>
        <w:spacing w:val="2"/>
        <w:sz w:val="21"/>
        <w:szCs w:val="21"/>
      </w:rPr>
      <w:t>毕业设计</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9" w:lineRule="auto"/>
      <w:ind w:left="6749"/>
      <w:rPr>
        <w:sz w:val="21"/>
        <w:szCs w:val="21"/>
      </w:rPr>
    </w:pPr>
    <w:r>
      <w:drawing>
        <wp:anchor distT="0" distB="0" distL="0" distR="0" simplePos="0" relativeHeight="251668480" behindDoc="0" locked="0" layoutInCell="0" allowOverlap="1">
          <wp:simplePos x="0" y="0"/>
          <wp:positionH relativeFrom="page">
            <wp:posOffset>2876550</wp:posOffset>
          </wp:positionH>
          <wp:positionV relativeFrom="page">
            <wp:posOffset>838178</wp:posOffset>
          </wp:positionV>
          <wp:extent cx="7143750" cy="6350"/>
          <wp:effectExtent l="0" t="0" r="0" b="0"/>
          <wp:wrapNone/>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1"/>
                  <a:stretch>
                    <a:fillRect/>
                  </a:stretch>
                </pic:blipFill>
                <pic:spPr>
                  <a:xfrm>
                    <a:off x="0" y="0"/>
                    <a:ext cx="7143750" cy="6350"/>
                  </a:xfrm>
                  <a:prstGeom prst="rect">
                    <a:avLst/>
                  </a:prstGeom>
                </pic:spPr>
              </pic:pic>
            </a:graphicData>
          </a:graphic>
        </wp:anchor>
      </w:drawing>
    </w:r>
    <w:r>
      <w:rPr>
        <w:spacing w:val="-3"/>
        <w:sz w:val="21"/>
        <w:szCs w:val="21"/>
      </w:rPr>
      <w:t>毕业设计</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28"/>
      <w:szCs w:val="28"/>
      <w:lang w:val="en-US" w:eastAsia="en-US" w:bidi="ar-SA"/>
    </w:rPr>
  </w:style>
  <w:style w:type="paragraph" w:customStyle="1" w:styleId="TableText">
    <w:name w:val="Table Text"/>
    <w:basedOn w:val="Normal"/>
    <w:semiHidden/>
    <w:qFormat/>
    <w:rPr>
      <w:rFonts w:ascii="SimSun" w:eastAsia="SimSun" w:hAnsi="SimSun" w:cs="SimSun"/>
      <w:sz w:val="24"/>
      <w:szCs w:val="24"/>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image" Target="media/image2.jpeg" /><Relationship Id="rId12" Type="http://schemas.openxmlformats.org/officeDocument/2006/relationships/header" Target="header8.xml" /><Relationship Id="rId13" Type="http://schemas.openxmlformats.org/officeDocument/2006/relationships/header" Target="header9.xml" /><Relationship Id="rId14" Type="http://schemas.openxmlformats.org/officeDocument/2006/relationships/header" Target="header10.xml" /><Relationship Id="rId15" Type="http://schemas.openxmlformats.org/officeDocument/2006/relationships/hyperlink" Target="https://d.book118.com/648131010141006022" TargetMode="External" /><Relationship Id="rId16" Type="http://schemas.openxmlformats.org/officeDocument/2006/relationships/header" Target="header11.xm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_rels/header1.xml.rels><?xml version="1.0" encoding="utf-8" standalone="yes"?><Relationships xmlns="http://schemas.openxmlformats.org/package/2006/relationships"><Relationship Id="rId1" Type="http://schemas.openxmlformats.org/officeDocument/2006/relationships/image" Target="media/image1.jpeg" /></Relationships>
</file>

<file path=word/_rels/header2.xml.rels><?xml version="1.0" encoding="utf-8" standalone="yes"?><Relationships xmlns="http://schemas.openxmlformats.org/package/2006/relationships"><Relationship Id="rId1" Type="http://schemas.openxmlformats.org/officeDocument/2006/relationships/image" Target="media/image1.jpeg" /></Relationships>
</file>

<file path=word/_rels/header3.xml.rels><?xml version="1.0" encoding="utf-8" standalone="yes"?><Relationships xmlns="http://schemas.openxmlformats.org/package/2006/relationships"><Relationship Id="rId1" Type="http://schemas.openxmlformats.org/officeDocument/2006/relationships/image" Target="media/image1.jpeg" /></Relationships>
</file>

<file path=word/_rels/header5.xml.rels><?xml version="1.0" encoding="utf-8" standalone="yes"?><Relationships xmlns="http://schemas.openxmlformats.org/package/2006/relationships"><Relationship Id="rId1" Type="http://schemas.openxmlformats.org/officeDocument/2006/relationships/image" Target="media/image1.jpeg" /></Relationships>
</file>

<file path=word/_rels/header6.xml.rels><?xml version="1.0" encoding="utf-8" standalone="yes"?><Relationships xmlns="http://schemas.openxmlformats.org/package/2006/relationships"><Relationship Id="rId1" Type="http://schemas.openxmlformats.org/officeDocument/2006/relationships/image" Target="media/image1.jpeg" /></Relationships>
</file>

<file path=word/_rels/header7.xml.rels><?xml version="1.0" encoding="utf-8" standalone="yes"?><Relationships xmlns="http://schemas.openxmlformats.org/package/2006/relationships"><Relationship Id="rId1" Type="http://schemas.openxmlformats.org/officeDocument/2006/relationships/image" Target="media/image1.jpeg" /></Relationships>
</file>

<file path=word/_rels/header8.xml.rels><?xml version="1.0" encoding="utf-8" standalone="yes"?><Relationships xmlns="http://schemas.openxmlformats.org/package/2006/relationships"><Relationship Id="rId1" Type="http://schemas.openxmlformats.org/officeDocument/2006/relationships/image" Target="media/image1.jpeg" /></Relationships>
</file>

<file path=word/_rels/header9.xml.rels><?xml version="1.0" encoding="utf-8" standalone="yes"?><Relationships xmlns="http://schemas.openxmlformats.org/package/2006/relationships"><Relationship Id="rId1" Type="http://schemas.openxmlformats.org/officeDocument/2006/relationships/image" Target="media/image1.jpeg" /></Relationships>
</file>

<file path=word/_rels/header10.xml.rels><?xml version="1.0" encoding="utf-8" standalone="yes"?><Relationships xmlns="http://schemas.openxmlformats.org/package/2006/relationships"><Relationship Id="rId1" Type="http://schemas.openxmlformats.org/officeDocument/2006/relationships/image" Target="media/image1.jpeg" /></Relationships>
</file>

<file path=word/_rels/header11.xml.rels><?xml version="1.0" encoding="utf-8" standalone="yes"?><Relationships xmlns="http://schemas.openxmlformats.org/package/2006/relationships"><Relationship Id="rId1" Type="http://schemas.openxmlformats.org/officeDocument/2006/relationships/image" Target="media/image1.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2024-01-02T10:03:37Z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2024-01-02T10:03:40Z</vt:filetime>
  </property>
  <property fmtid="{D5CDD505-2E9C-101B-9397-08002B2CF9AE}" pid="3" name="CRO">
    <vt:lpwstr>wqlLaW5nc29mdCBQREYgdG8gV1BTIDkw</vt:lpwstr>
  </property>
  <property fmtid="{D5CDD505-2E9C-101B-9397-08002B2CF9AE}" pid="4" name="UsrData">
    <vt:lpwstr>65936ef298caa6001fc5cfaawl</vt:lpwstr>
  </property>
</Properties>
</file>