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line="265" w:lineRule="auto"/>
      </w:pPr>
      <w:r>
        <w:drawing>
          <wp:anchor distT="0" distB="0" distL="0" distR="0" simplePos="0" relativeHeight="251658240" behindDoc="1" locked="0" layoutInCell="0" allowOverlap="1">
            <wp:simplePos x="0" y="0"/>
            <wp:positionH relativeFrom="page">
              <wp:posOffset>1001257</wp:posOffset>
            </wp:positionH>
            <wp:positionV relativeFrom="page">
              <wp:posOffset>6283692</wp:posOffset>
            </wp:positionV>
            <wp:extent cx="428254" cy="171694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28254" cy="1716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line="265" w:lineRule="auto"/>
      </w:pPr>
    </w:p>
    <w:p>
      <w:pPr>
        <w:pStyle w:val="BodyText"/>
        <w:spacing w:line="265" w:lineRule="auto"/>
      </w:pPr>
    </w:p>
    <w:p>
      <w:pPr>
        <w:pStyle w:val="BodyText"/>
        <w:spacing w:line="265" w:lineRule="auto"/>
      </w:pPr>
    </w:p>
    <w:p>
      <w:pPr>
        <w:pStyle w:val="BodyText"/>
        <w:spacing w:line="265" w:lineRule="auto"/>
      </w:pPr>
    </w:p>
    <w:p>
      <w:pPr>
        <w:pStyle w:val="BodyText"/>
        <w:spacing w:line="266" w:lineRule="auto"/>
      </w:pPr>
    </w:p>
    <w:p>
      <w:pPr>
        <w:spacing w:line="286" w:lineRule="exact"/>
        <w:ind w:left="1350"/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-1270512</wp:posOffset>
            </wp:positionV>
            <wp:extent cx="9906000" cy="6857999"/>
            <wp:effectExtent l="0" t="0" r="0" b="0"/>
            <wp:wrapNone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9906000" cy="68579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6"/>
        </w:rPr>
        <w:drawing>
          <wp:inline distT="0" distB="0" distL="0" distR="0">
            <wp:extent cx="581758" cy="181977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81758" cy="1819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437" w:lineRule="auto"/>
      </w:pPr>
    </w:p>
    <w:p>
      <w:pPr>
        <w:spacing w:before="463" w:line="167" w:lineRule="auto"/>
        <w:ind w:left="1321"/>
        <w:outlineLvl w:val="0"/>
        <w:rPr>
          <w:rFonts w:ascii="Microsoft YaHei" w:eastAsia="Microsoft YaHei" w:hAnsi="Microsoft YaHei" w:cs="Microsoft YaHei"/>
          <w:sz w:val="108"/>
          <w:szCs w:val="108"/>
        </w:rPr>
      </w:pPr>
      <w:r>
        <w:rPr>
          <w:rFonts w:ascii="Microsoft YaHei" w:eastAsia="Microsoft YaHei" w:hAnsi="Microsoft YaHei" w:cs="Microsoft YaHei"/>
          <w:b/>
          <w:bCs/>
          <w:color w:val="FFFFFF"/>
          <w:spacing w:val="-19"/>
          <w:sz w:val="108"/>
          <w:szCs w:val="108"/>
        </w:rPr>
        <w:t>2024年银行业</w:t>
      </w:r>
    </w:p>
    <w:p>
      <w:pPr>
        <w:spacing w:before="4" w:line="178" w:lineRule="auto"/>
        <w:ind w:left="1314"/>
        <w:rPr>
          <w:rFonts w:ascii="Microsoft YaHei" w:eastAsia="Microsoft YaHei" w:hAnsi="Microsoft YaHei" w:cs="Microsoft YaHei"/>
          <w:sz w:val="108"/>
          <w:szCs w:val="108"/>
        </w:rPr>
      </w:pPr>
      <w:r>
        <w:rPr>
          <w:rFonts w:ascii="Microsoft YaHei" w:eastAsia="Microsoft YaHei" w:hAnsi="Microsoft YaHei" w:cs="Microsoft YaHei"/>
          <w:b/>
          <w:bCs/>
          <w:color w:val="FFFFFF"/>
          <w:spacing w:val="-6"/>
          <w:sz w:val="108"/>
          <w:szCs w:val="108"/>
        </w:rPr>
        <w:t>风险雷达图</w:t>
      </w: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5" w:lineRule="auto"/>
        <w:sectPr>
          <w:headerReference w:type="default" r:id="rId7"/>
          <w:pgSz w:w="15600" w:h="10800"/>
          <w:pgMar w:top="400" w:right="0" w:bottom="0" w:left="0" w:header="0" w:footer="0" w:gutter="0"/>
          <w:cols w:space="708"/>
        </w:sectPr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spacing w:before="95" w:line="179" w:lineRule="auto"/>
        <w:ind w:left="1290"/>
        <w:rPr>
          <w:rFonts w:ascii="Microsoft YaHei" w:eastAsia="Microsoft YaHei" w:hAnsi="Microsoft YaHei" w:cs="Microsoft YaHei"/>
          <w:sz w:val="22"/>
          <w:szCs w:val="22"/>
        </w:rPr>
      </w:pPr>
      <w:r>
        <w:rPr>
          <w:rFonts w:ascii="Microsoft YaHei" w:eastAsia="Microsoft YaHei" w:hAnsi="Microsoft YaHei" w:cs="Microsoft YaHei"/>
          <w:b/>
          <w:bCs/>
          <w:color w:val="FFFFFF"/>
          <w:spacing w:val="-6"/>
          <w:sz w:val="22"/>
          <w:szCs w:val="22"/>
        </w:rPr>
        <w:t>2024年2月</w:t>
      </w:r>
    </w:p>
    <w:p>
      <w:pPr>
        <w:spacing w:line="179" w:lineRule="auto"/>
        <w:rPr>
          <w:rFonts w:ascii="Microsoft YaHei" w:eastAsia="Microsoft YaHei" w:hAnsi="Microsoft YaHei" w:cs="Microsoft YaHei"/>
          <w:sz w:val="22"/>
          <w:szCs w:val="22"/>
        </w:rPr>
        <w:sectPr>
          <w:headerReference w:type="default" r:id="rId8"/>
          <w:type w:val="nextPage"/>
          <w:pgSz w:w="15600" w:h="10800"/>
          <w:pgMar w:top="400" w:right="0" w:bottom="0" w:left="0" w:header="0" w:footer="0" w:gutter="0"/>
          <w:pgNumType w:start="2"/>
          <w:cols w:space="708"/>
          <w:titlePg w:val="0"/>
        </w:sectPr>
      </w:pPr>
    </w:p>
    <w:p>
      <w:pPr>
        <w:pStyle w:val="BodyText"/>
        <w:spacing w:line="317" w:lineRule="auto"/>
      </w:pPr>
    </w:p>
    <w:p>
      <w:pPr>
        <w:spacing w:before="270" w:line="180" w:lineRule="auto"/>
        <w:ind w:left="1546"/>
        <w:outlineLvl w:val="0"/>
        <w:rPr>
          <w:rFonts w:ascii="Microsoft YaHei" w:eastAsia="Microsoft YaHei" w:hAnsi="Microsoft YaHei" w:cs="Microsoft YaHei"/>
          <w:sz w:val="63"/>
          <w:szCs w:val="63"/>
        </w:rPr>
      </w:pPr>
      <w:r>
        <w:rPr>
          <w:rFonts w:ascii="Microsoft YaHei" w:eastAsia="Microsoft YaHei" w:hAnsi="Microsoft YaHei" w:cs="Microsoft YaHei"/>
          <w:b/>
          <w:bCs/>
          <w:color w:val="00338D"/>
          <w:sz w:val="63"/>
          <w:szCs w:val="63"/>
        </w:rPr>
        <w:t>综述</w:t>
      </w:r>
    </w:p>
    <w:p>
      <w:pPr>
        <w:pStyle w:val="BodyText"/>
        <w:spacing w:line="381" w:lineRule="auto"/>
      </w:pPr>
    </w:p>
    <w:p>
      <w:pPr>
        <w:spacing w:line="1761" w:lineRule="exact"/>
        <w:ind w:firstLine="964"/>
      </w:pPr>
      <w:r>
        <w:rPr>
          <w:position w:val="-35"/>
        </w:rPr>
        <w:pict>
          <v:group id="_x0000_i1025" style="width:681.15pt;height:88.1pt;mso-position-horizontal-relative:char;mso-position-vertical-relative:line" coordorigin="0,0" coordsize="13623,1761" filled="f" stroked="f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3623;height:1560;position:absolute" filled="f" stroked="f">
              <v:imagedata r:id="rId9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13663;height:1801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302" w:line="197" w:lineRule="auto"/>
                      <w:ind w:left="916" w:right="643" w:firstLine="3"/>
                      <w:jc w:val="both"/>
                      <w:rPr>
                        <w:rFonts w:ascii="Microsoft YaHei" w:eastAsia="Microsoft YaHei" w:hAnsi="Microsoft YaHei" w:cs="Microsoft YaHei"/>
                        <w:sz w:val="22"/>
                        <w:szCs w:val="22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z w:val="22"/>
                        <w:szCs w:val="22"/>
                      </w:rPr>
                      <w:t>2024年</w:t>
                    </w:r>
                    <w:r>
                      <w:rPr>
                        <w:rFonts w:ascii="Microsoft YaHei" w:eastAsia="Microsoft YaHei" w:hAnsi="Microsoft YaHei" w:cs="Microsoft YaHei"/>
                        <w:spacing w:val="-35"/>
                        <w:sz w:val="22"/>
                        <w:szCs w:val="22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sz w:val="22"/>
                        <w:szCs w:val="22"/>
                      </w:rPr>
                      <w:t>，从全球环境看</w:t>
                    </w:r>
                    <w:r>
                      <w:rPr>
                        <w:rFonts w:ascii="Microsoft YaHei" w:eastAsia="Microsoft YaHei" w:hAnsi="Microsoft YaHei" w:cs="Microsoft YaHei"/>
                        <w:spacing w:val="-36"/>
                        <w:sz w:val="22"/>
                        <w:szCs w:val="22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sz w:val="22"/>
                        <w:szCs w:val="22"/>
                      </w:rPr>
                      <w:t>，国际局势复杂多变</w:t>
                    </w:r>
                    <w:r>
                      <w:rPr>
                        <w:rFonts w:ascii="Microsoft YaHei" w:eastAsia="Microsoft YaHei" w:hAnsi="Microsoft YaHei" w:cs="Microsoft YaHei"/>
                        <w:spacing w:val="-30"/>
                        <w:sz w:val="22"/>
                        <w:szCs w:val="22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sz w:val="22"/>
                        <w:szCs w:val="22"/>
                      </w:rPr>
                      <w:t>，地缘冲突不断升级</w:t>
                    </w:r>
                    <w:r>
                      <w:rPr>
                        <w:rFonts w:ascii="Microsoft YaHei" w:eastAsia="Microsoft YaHei" w:hAnsi="Microsoft YaHei" w:cs="Microsoft YaHei"/>
                        <w:spacing w:val="-31"/>
                        <w:sz w:val="22"/>
                        <w:szCs w:val="22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sz w:val="22"/>
                        <w:szCs w:val="22"/>
                      </w:rPr>
                      <w:t>，全球经</w:t>
                    </w:r>
                    <w:r>
                      <w:rPr>
                        <w:rFonts w:ascii="Microsoft YaHei" w:eastAsia="Microsoft YaHei" w:hAnsi="Microsoft YaHei" w:cs="Microsoft YaHei"/>
                        <w:spacing w:val="-1"/>
                        <w:sz w:val="22"/>
                        <w:szCs w:val="22"/>
                      </w:rPr>
                      <w:t>济增长动力不足</w:t>
                    </w:r>
                    <w:r>
                      <w:rPr>
                        <w:rFonts w:ascii="Microsoft YaHei" w:eastAsia="Microsoft YaHei" w:hAnsi="Microsoft YaHei" w:cs="Microsoft YaHei"/>
                        <w:spacing w:val="-30"/>
                        <w:sz w:val="22"/>
                        <w:szCs w:val="22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spacing w:val="-1"/>
                        <w:sz w:val="22"/>
                        <w:szCs w:val="22"/>
                      </w:rPr>
                      <w:t>，贸易增长略显乏力</w:t>
                    </w:r>
                    <w:r>
                      <w:rPr>
                        <w:rFonts w:ascii="Microsoft YaHei" w:eastAsia="Microsoft YaHei" w:hAnsi="Microsoft YaHei" w:cs="Microsoft YaHei"/>
                        <w:spacing w:val="-31"/>
                        <w:sz w:val="22"/>
                        <w:szCs w:val="22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spacing w:val="-1"/>
                        <w:sz w:val="22"/>
                        <w:szCs w:val="22"/>
                      </w:rPr>
                      <w:t>，整体压力</w:t>
                    </w:r>
                    <w:r>
                      <w:rPr>
                        <w:rFonts w:ascii="Microsoft YaHei" w:eastAsia="Microsoft YaHei" w:hAnsi="Microsoft YaHei" w:cs="Microsoft YaHei"/>
                        <w:sz w:val="22"/>
                        <w:szCs w:val="22"/>
                      </w:rPr>
                      <w:t xml:space="preserve">    </w:t>
                    </w:r>
                    <w:r>
                      <w:rPr>
                        <w:rFonts w:ascii="Microsoft YaHei" w:eastAsia="Microsoft YaHei" w:hAnsi="Microsoft YaHei" w:cs="Microsoft YaHei"/>
                        <w:sz w:val="22"/>
                        <w:szCs w:val="22"/>
                      </w:rPr>
                      <w:t>持续积聚。从国内环境看</w:t>
                    </w:r>
                    <w:r>
                      <w:rPr>
                        <w:rFonts w:ascii="Microsoft YaHei" w:eastAsia="Microsoft YaHei" w:hAnsi="Microsoft YaHei" w:cs="Microsoft YaHei"/>
                        <w:spacing w:val="-36"/>
                        <w:sz w:val="22"/>
                        <w:szCs w:val="22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sz w:val="22"/>
                        <w:szCs w:val="22"/>
                      </w:rPr>
                      <w:t>，经济发展面临增速换挡与新旧动能切换</w:t>
                    </w:r>
                    <w:r>
                      <w:rPr>
                        <w:rFonts w:ascii="Microsoft YaHei" w:eastAsia="Microsoft YaHei" w:hAnsi="Microsoft YaHei" w:cs="Microsoft YaHei"/>
                        <w:spacing w:val="-35"/>
                        <w:sz w:val="22"/>
                        <w:szCs w:val="22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sz w:val="22"/>
                        <w:szCs w:val="22"/>
                      </w:rPr>
                      <w:t>，各</w:t>
                    </w:r>
                    <w:r>
                      <w:rPr>
                        <w:rFonts w:ascii="Microsoft YaHei" w:eastAsia="Microsoft YaHei" w:hAnsi="Microsoft YaHei" w:cs="Microsoft YaHei"/>
                        <w:spacing w:val="-1"/>
                        <w:sz w:val="22"/>
                        <w:szCs w:val="22"/>
                      </w:rPr>
                      <w:t>行业风险特征快速变化；同时监管体系的重塑与金融</w:t>
                    </w:r>
                    <w:r>
                      <w:rPr>
                        <w:rFonts w:ascii="Microsoft YaHei" w:eastAsia="Microsoft YaHei" w:hAnsi="Microsoft YaHei" w:cs="Microsoft YaHei"/>
                        <w:sz w:val="22"/>
                        <w:szCs w:val="22"/>
                      </w:rPr>
                      <w:t xml:space="preserve">    </w:t>
                    </w:r>
                    <w:r>
                      <w:rPr>
                        <w:rFonts w:ascii="Microsoft YaHei" w:eastAsia="Microsoft YaHei" w:hAnsi="Microsoft YaHei" w:cs="Microsoft YaHei"/>
                        <w:sz w:val="22"/>
                        <w:szCs w:val="22"/>
                      </w:rPr>
                      <w:t>供给侧改革的深化亦对商业银行带来新的挑战。伴随着金融对外开放进入下一阶段</w:t>
                    </w:r>
                    <w:r>
                      <w:rPr>
                        <w:rFonts w:ascii="Microsoft YaHei" w:eastAsia="Microsoft YaHei" w:hAnsi="Microsoft YaHei" w:cs="Microsoft YaHei"/>
                        <w:spacing w:val="-29"/>
                        <w:sz w:val="22"/>
                        <w:szCs w:val="22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sz w:val="22"/>
                        <w:szCs w:val="22"/>
                      </w:rPr>
                      <w:t xml:space="preserve">，国际市场波动、金融风险交叉传染、资    </w:t>
                    </w:r>
                    <w:r>
                      <w:rPr>
                        <w:rFonts w:ascii="Microsoft YaHei" w:eastAsia="Microsoft YaHei" w:hAnsi="Microsoft YaHei" w:cs="Microsoft YaHei"/>
                        <w:sz w:val="22"/>
                        <w:szCs w:val="22"/>
                      </w:rPr>
                      <w:t>本流动无序等风险日益突出</w:t>
                    </w:r>
                    <w:r>
                      <w:rPr>
                        <w:rFonts w:ascii="Microsoft YaHei" w:eastAsia="Microsoft YaHei" w:hAnsi="Microsoft YaHei" w:cs="Microsoft YaHei"/>
                        <w:spacing w:val="-36"/>
                        <w:sz w:val="22"/>
                        <w:szCs w:val="22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sz w:val="22"/>
                        <w:szCs w:val="22"/>
                      </w:rPr>
                      <w:t>，对金融机构提高自身治理与风险</w:t>
                    </w:r>
                    <w:r>
                      <w:rPr>
                        <w:rFonts w:ascii="Microsoft YaHei" w:eastAsia="Microsoft YaHei" w:hAnsi="Microsoft YaHei" w:cs="Microsoft YaHei"/>
                        <w:spacing w:val="-1"/>
                        <w:sz w:val="22"/>
                        <w:szCs w:val="22"/>
                      </w:rPr>
                      <w:t>防范化解能力提出了更高要求。如何提升自身风险管理的能力、</w:t>
                    </w:r>
                    <w:r>
                      <w:rPr>
                        <w:rFonts w:ascii="Microsoft YaHei" w:eastAsia="Microsoft YaHei" w:hAnsi="Microsoft YaHei" w:cs="Microsoft YaHei"/>
                        <w:sz w:val="22"/>
                        <w:szCs w:val="22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spacing w:val="-2"/>
                        <w:sz w:val="22"/>
                        <w:szCs w:val="22"/>
                      </w:rPr>
                      <w:t>韧性与可持续性</w:t>
                    </w:r>
                    <w:r>
                      <w:rPr>
                        <w:rFonts w:ascii="Microsoft YaHei" w:eastAsia="Microsoft YaHei" w:hAnsi="Microsoft YaHei" w:cs="Microsoft YaHei"/>
                        <w:spacing w:val="-22"/>
                        <w:sz w:val="22"/>
                        <w:szCs w:val="22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spacing w:val="-2"/>
                        <w:sz w:val="22"/>
                        <w:szCs w:val="22"/>
                      </w:rPr>
                      <w:t>，抵御外部环境不确定性的影响</w:t>
                    </w:r>
                    <w:r>
                      <w:rPr>
                        <w:rFonts w:ascii="Microsoft YaHei" w:eastAsia="Microsoft YaHei" w:hAnsi="Microsoft YaHei" w:cs="Microsoft YaHei"/>
                        <w:spacing w:val="-35"/>
                        <w:sz w:val="22"/>
                        <w:szCs w:val="22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spacing w:val="-2"/>
                        <w:sz w:val="22"/>
                        <w:szCs w:val="22"/>
                      </w:rPr>
                      <w:t>，保持和提升自身盈利能力</w:t>
                    </w:r>
                    <w:r>
                      <w:rPr>
                        <w:rFonts w:ascii="Microsoft YaHei" w:eastAsia="Microsoft YaHei" w:hAnsi="Microsoft YaHei" w:cs="Microsoft YaHei"/>
                        <w:spacing w:val="-36"/>
                        <w:sz w:val="22"/>
                        <w:szCs w:val="22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spacing w:val="-2"/>
                        <w:sz w:val="22"/>
                        <w:szCs w:val="22"/>
                      </w:rPr>
                      <w:t>，成为银行机构普遍关注的课题。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before="263" w:line="197" w:lineRule="auto"/>
        <w:ind w:left="1862" w:right="1821" w:firstLine="3"/>
        <w:jc w:val="both"/>
        <w:rPr>
          <w:rFonts w:ascii="Microsoft YaHei" w:eastAsia="Microsoft YaHei" w:hAnsi="Microsoft YaHei" w:cs="Microsoft YaHei"/>
          <w:sz w:val="22"/>
          <w:szCs w:val="22"/>
        </w:rPr>
      </w:pPr>
      <w:r>
        <w:rPr>
          <w:rFonts w:ascii="Microsoft YaHei" w:eastAsia="Microsoft YaHei" w:hAnsi="Microsoft YaHei" w:cs="Microsoft YaHei"/>
          <w:spacing w:val="-1"/>
          <w:sz w:val="22"/>
          <w:szCs w:val="22"/>
        </w:rPr>
        <w:t>新形势下</w:t>
      </w:r>
      <w:r>
        <w:rPr>
          <w:rFonts w:ascii="Microsoft YaHei" w:eastAsia="Microsoft YaHei" w:hAnsi="Microsoft YaHei" w:cs="Microsoft YaHei"/>
          <w:spacing w:val="-35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22"/>
          <w:szCs w:val="22"/>
        </w:rPr>
        <w:t>，在银行机构重点管理的三大实质性风险中</w:t>
      </w:r>
      <w:r>
        <w:rPr>
          <w:rFonts w:ascii="Microsoft YaHei" w:eastAsia="Microsoft YaHei" w:hAnsi="Microsoft YaHei" w:cs="Microsoft YaHei"/>
          <w:spacing w:val="-35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22"/>
          <w:szCs w:val="22"/>
        </w:rPr>
        <w:t>，新兴风险的涌现使操作风险的形态变得更为复杂多变</w:t>
      </w:r>
      <w:r>
        <w:rPr>
          <w:rFonts w:ascii="Microsoft YaHei" w:eastAsia="Microsoft YaHei" w:hAnsi="Microsoft YaHei" w:cs="Microsoft YaHei"/>
          <w:spacing w:val="-36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22"/>
          <w:szCs w:val="22"/>
        </w:rPr>
        <w:t>，凸显</w:t>
      </w:r>
      <w:r>
        <w:rPr>
          <w:rFonts w:ascii="Microsoft YaHei" w:eastAsia="Microsoft YaHei" w:hAnsi="Microsoft YaHei" w:cs="Microsoft YaHei"/>
          <w:spacing w:val="-2"/>
          <w:sz w:val="22"/>
          <w:szCs w:val="22"/>
        </w:rPr>
        <w:t>其“非营</w:t>
      </w:r>
      <w:r>
        <w:rPr>
          <w:rFonts w:ascii="Microsoft YaHei" w:eastAsia="Microsoft YaHei" w:hAnsi="Microsoft YaHei" w:cs="Microsoft YaHei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22"/>
          <w:szCs w:val="22"/>
        </w:rPr>
        <w:t>利性”风险的属性</w:t>
      </w:r>
      <w:r>
        <w:rPr>
          <w:rFonts w:ascii="Microsoft YaHei" w:eastAsia="Microsoft YaHei" w:hAnsi="Microsoft YaHei" w:cs="Microsoft YaHei"/>
          <w:spacing w:val="-36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22"/>
          <w:szCs w:val="22"/>
        </w:rPr>
        <w:t>，需要银行机构采用更为整合的风险管理框架</w:t>
      </w:r>
      <w:r>
        <w:rPr>
          <w:rFonts w:ascii="Microsoft YaHei" w:eastAsia="Microsoft YaHei" w:hAnsi="Microsoft YaHei" w:cs="Microsoft YaHei"/>
          <w:spacing w:val="-35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22"/>
          <w:szCs w:val="22"/>
        </w:rPr>
        <w:t>，结合操作风险的成因与类型</w:t>
      </w:r>
      <w:r>
        <w:rPr>
          <w:rFonts w:ascii="Microsoft YaHei" w:eastAsia="Microsoft YaHei" w:hAnsi="Microsoft YaHei" w:cs="Microsoft YaHei"/>
          <w:spacing w:val="-35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22"/>
          <w:szCs w:val="22"/>
        </w:rPr>
        <w:t>，采取针对性的管理措施；针</w:t>
      </w:r>
      <w:r>
        <w:rPr>
          <w:rFonts w:ascii="Microsoft YaHei" w:eastAsia="Microsoft YaHei" w:hAnsi="Microsoft YaHei" w:cs="Microsoft YaHei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22"/>
          <w:szCs w:val="22"/>
        </w:rPr>
        <w:t>对信用风险</w:t>
      </w:r>
      <w:r>
        <w:rPr>
          <w:rFonts w:ascii="Microsoft YaHei" w:eastAsia="Microsoft YaHei" w:hAnsi="Microsoft YaHei" w:cs="Microsoft YaHei"/>
          <w:spacing w:val="-36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22"/>
          <w:szCs w:val="22"/>
        </w:rPr>
        <w:t>，银行机构在贷前、贷中、贷后的全流程管控基础上</w:t>
      </w:r>
      <w:r>
        <w:rPr>
          <w:rFonts w:ascii="Microsoft YaHei" w:eastAsia="Microsoft YaHei" w:hAnsi="Microsoft YaHei" w:cs="Microsoft YaHei"/>
          <w:spacing w:val="-35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22"/>
          <w:szCs w:val="22"/>
        </w:rPr>
        <w:t>，关注数字化手段的应用</w:t>
      </w:r>
      <w:r>
        <w:rPr>
          <w:rFonts w:ascii="Microsoft YaHei" w:eastAsia="Microsoft YaHei" w:hAnsi="Microsoft YaHei" w:cs="Microsoft YaHei"/>
          <w:spacing w:val="-35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22"/>
          <w:szCs w:val="22"/>
        </w:rPr>
        <w:t>，进一步加强对客户及行业的实质</w:t>
      </w:r>
      <w:r>
        <w:rPr>
          <w:rFonts w:ascii="Microsoft YaHei" w:eastAsia="Microsoft YaHei" w:hAnsi="Microsoft YaHei" w:cs="Microsoft YaHei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22"/>
          <w:szCs w:val="22"/>
        </w:rPr>
        <w:t>性风险的识别、评估与应对；在市场风险方面</w:t>
      </w:r>
      <w:r>
        <w:rPr>
          <w:rFonts w:ascii="Microsoft YaHei" w:eastAsia="Microsoft YaHei" w:hAnsi="Microsoft YaHei" w:cs="Microsoft YaHei"/>
          <w:spacing w:val="-36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22"/>
          <w:szCs w:val="22"/>
        </w:rPr>
        <w:t>，面对利率汇率波动加剧</w:t>
      </w:r>
      <w:r>
        <w:rPr>
          <w:rFonts w:ascii="Microsoft YaHei" w:eastAsia="Microsoft YaHei" w:hAnsi="Microsoft YaHei" w:cs="Microsoft YaHei"/>
          <w:spacing w:val="-35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22"/>
          <w:szCs w:val="22"/>
        </w:rPr>
        <w:t>，净息差和盈利水平下行的压力</w:t>
      </w:r>
      <w:r>
        <w:rPr>
          <w:rFonts w:ascii="Microsoft YaHei" w:eastAsia="Microsoft YaHei" w:hAnsi="Microsoft YaHei" w:cs="Microsoft YaHei"/>
          <w:spacing w:val="-35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22"/>
          <w:szCs w:val="22"/>
        </w:rPr>
        <w:t>，银行机构应通过资</w:t>
      </w:r>
      <w:r>
        <w:rPr>
          <w:rFonts w:ascii="Microsoft YaHei" w:eastAsia="Microsoft YaHei" w:hAnsi="Microsoft YaHei" w:cs="Microsoft YaHei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22"/>
          <w:szCs w:val="22"/>
        </w:rPr>
        <w:t>产负债配置、投资组合及金融衍生工具等多种手段的运用</w:t>
      </w:r>
      <w:r>
        <w:rPr>
          <w:rFonts w:ascii="Microsoft YaHei" w:eastAsia="Microsoft YaHei" w:hAnsi="Microsoft YaHei" w:cs="Microsoft YaHei"/>
          <w:spacing w:val="-21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22"/>
          <w:szCs w:val="22"/>
        </w:rPr>
        <w:t>，主动管理市场风险。</w:t>
      </w:r>
    </w:p>
    <w:p>
      <w:pPr>
        <w:spacing w:before="190" w:line="198" w:lineRule="auto"/>
        <w:ind w:left="1863" w:right="1821" w:firstLine="5"/>
        <w:rPr>
          <w:rFonts w:ascii="Microsoft YaHei" w:eastAsia="Microsoft YaHei" w:hAnsi="Microsoft YaHei" w:cs="Microsoft YaHei"/>
          <w:sz w:val="22"/>
          <w:szCs w:val="22"/>
        </w:rPr>
      </w:pPr>
      <w:r>
        <w:rPr>
          <w:rFonts w:ascii="Microsoft YaHei" w:eastAsia="Microsoft YaHei" w:hAnsi="Microsoft YaHei" w:cs="Microsoft YaHei"/>
          <w:spacing w:val="-1"/>
          <w:sz w:val="22"/>
          <w:szCs w:val="22"/>
        </w:rPr>
        <w:t>面对不断变化的内、外部风险</w:t>
      </w:r>
      <w:r>
        <w:rPr>
          <w:rFonts w:ascii="Microsoft YaHei" w:eastAsia="Microsoft YaHei" w:hAnsi="Microsoft YaHei" w:cs="Microsoft YaHei"/>
          <w:spacing w:val="-36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22"/>
          <w:szCs w:val="22"/>
        </w:rPr>
        <w:t>，数字化转型是银行机构持续投资的领域</w:t>
      </w:r>
      <w:r>
        <w:rPr>
          <w:rFonts w:ascii="Microsoft YaHei" w:eastAsia="Microsoft YaHei" w:hAnsi="Microsoft YaHei" w:cs="Microsoft YaHei"/>
          <w:spacing w:val="-35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22"/>
          <w:szCs w:val="22"/>
        </w:rPr>
        <w:t>，金融科技融入风险管理的不同应用</w:t>
      </w:r>
      <w:r>
        <w:rPr>
          <w:rFonts w:ascii="Microsoft YaHei" w:eastAsia="Microsoft YaHei" w:hAnsi="Microsoft YaHei" w:cs="Microsoft YaHei"/>
          <w:spacing w:val="-2"/>
          <w:sz w:val="22"/>
          <w:szCs w:val="22"/>
        </w:rPr>
        <w:t>场景</w:t>
      </w:r>
      <w:r>
        <w:rPr>
          <w:rFonts w:ascii="Microsoft YaHei" w:eastAsia="Microsoft YaHei" w:hAnsi="Microsoft YaHei" w:cs="Microsoft YaHei"/>
          <w:spacing w:val="-35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22"/>
          <w:szCs w:val="22"/>
        </w:rPr>
        <w:t>，借助算法</w:t>
      </w:r>
      <w:r>
        <w:rPr>
          <w:rFonts w:ascii="Microsoft YaHei" w:eastAsia="Microsoft YaHei" w:hAnsi="Microsoft YaHei" w:cs="Microsoft YaHei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z w:val="22"/>
          <w:szCs w:val="22"/>
        </w:rPr>
        <w:t>模型等进行数据分析和决策支持</w:t>
      </w:r>
      <w:r>
        <w:rPr>
          <w:rFonts w:ascii="Microsoft YaHei" w:eastAsia="Microsoft YaHei" w:hAnsi="Microsoft YaHei" w:cs="Microsoft YaHei"/>
          <w:spacing w:val="-36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z w:val="22"/>
          <w:szCs w:val="22"/>
        </w:rPr>
        <w:t>，尝试应用生成式人工智能</w:t>
      </w:r>
      <w:r>
        <w:rPr>
          <w:rFonts w:ascii="Microsoft YaHei" w:eastAsia="Microsoft YaHei" w:hAnsi="Microsoft YaHei" w:cs="Microsoft YaHei"/>
          <w:spacing w:val="-35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z w:val="22"/>
          <w:szCs w:val="22"/>
        </w:rPr>
        <w:t>，不</w:t>
      </w:r>
      <w:r>
        <w:rPr>
          <w:rFonts w:ascii="Microsoft YaHei" w:eastAsia="Microsoft YaHei" w:hAnsi="Microsoft YaHei" w:cs="Microsoft YaHei"/>
          <w:spacing w:val="-1"/>
          <w:sz w:val="22"/>
          <w:szCs w:val="22"/>
        </w:rPr>
        <w:t>断探索实现从主观到客观、从事后到事前、从被动到主动、</w:t>
      </w:r>
      <w:r>
        <w:rPr>
          <w:rFonts w:ascii="Microsoft YaHei" w:eastAsia="Microsoft YaHei" w:hAnsi="Microsoft YaHei" w:cs="Microsoft YaHei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z w:val="22"/>
          <w:szCs w:val="22"/>
        </w:rPr>
        <w:t>从手工到系统的多重转变</w:t>
      </w:r>
      <w:r>
        <w:rPr>
          <w:rFonts w:ascii="Microsoft YaHei" w:eastAsia="Microsoft YaHei" w:hAnsi="Microsoft YaHei" w:cs="Microsoft YaHei"/>
          <w:spacing w:val="-35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z w:val="22"/>
          <w:szCs w:val="22"/>
        </w:rPr>
        <w:t>，以不断提升风险管理效果和效率</w:t>
      </w:r>
      <w:r>
        <w:rPr>
          <w:rFonts w:ascii="Microsoft YaHei" w:eastAsia="Microsoft YaHei" w:hAnsi="Microsoft YaHei" w:cs="Microsoft YaHei"/>
          <w:spacing w:val="-35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z w:val="22"/>
          <w:szCs w:val="22"/>
        </w:rPr>
        <w:t>，并</w:t>
      </w:r>
      <w:r>
        <w:rPr>
          <w:rFonts w:ascii="Microsoft YaHei" w:eastAsia="Microsoft YaHei" w:hAnsi="Microsoft YaHei" w:cs="Microsoft YaHei"/>
          <w:spacing w:val="-1"/>
          <w:sz w:val="22"/>
          <w:szCs w:val="22"/>
        </w:rPr>
        <w:t>对战略和规划落地产生影响。数字化转型在催生新业务、新</w:t>
      </w:r>
      <w:r>
        <w:rPr>
          <w:rFonts w:ascii="Microsoft YaHei" w:eastAsia="Microsoft YaHei" w:hAnsi="Microsoft YaHei" w:cs="Microsoft YaHei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22"/>
          <w:szCs w:val="22"/>
        </w:rPr>
        <w:t>产品、新的服务模式的同时</w:t>
      </w:r>
      <w:r>
        <w:rPr>
          <w:rFonts w:ascii="Microsoft YaHei" w:eastAsia="Microsoft YaHei" w:hAnsi="Microsoft YaHei" w:cs="Microsoft YaHei"/>
          <w:spacing w:val="-36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22"/>
          <w:szCs w:val="22"/>
        </w:rPr>
        <w:t>，也带来传统风险的新变化</w:t>
      </w:r>
      <w:r>
        <w:rPr>
          <w:rFonts w:ascii="Microsoft YaHei" w:eastAsia="Microsoft YaHei" w:hAnsi="Microsoft YaHei" w:cs="Microsoft YaHei"/>
          <w:spacing w:val="-36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22"/>
          <w:szCs w:val="22"/>
        </w:rPr>
        <w:t>，以及衍生的新兴风险</w:t>
      </w:r>
      <w:r>
        <w:rPr>
          <w:rFonts w:ascii="Microsoft YaHei" w:eastAsia="Microsoft YaHei" w:hAnsi="Microsoft YaHei" w:cs="Microsoft YaHei"/>
          <w:spacing w:val="-35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22"/>
          <w:szCs w:val="22"/>
        </w:rPr>
        <w:t>，对银行机构在数字时代下的风险管理提出了</w:t>
      </w:r>
      <w:r>
        <w:rPr>
          <w:rFonts w:ascii="Microsoft YaHei" w:eastAsia="Microsoft YaHei" w:hAnsi="Microsoft YaHei" w:cs="Microsoft YaHei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z w:val="22"/>
          <w:szCs w:val="22"/>
        </w:rPr>
        <w:t>更高的要求。银行保险机构应持续加强战略风险、创新业务合规性、流动性风险、</w:t>
      </w:r>
      <w:r>
        <w:rPr>
          <w:rFonts w:ascii="Microsoft YaHei" w:eastAsia="Microsoft YaHei" w:hAnsi="Microsoft YaHei" w:cs="Microsoft YaHei"/>
          <w:spacing w:val="-31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z w:val="22"/>
          <w:szCs w:val="22"/>
        </w:rPr>
        <w:t xml:space="preserve">网络安全、模型风险及外包风险等管理风 </w:t>
      </w:r>
      <w:r>
        <w:rPr>
          <w:rFonts w:ascii="Microsoft YaHei" w:eastAsia="Microsoft YaHei" w:hAnsi="Microsoft YaHei" w:cs="Microsoft YaHei"/>
          <w:spacing w:val="-2"/>
          <w:sz w:val="22"/>
          <w:szCs w:val="22"/>
        </w:rPr>
        <w:t>险</w:t>
      </w:r>
      <w:r>
        <w:rPr>
          <w:rFonts w:ascii="Microsoft YaHei" w:eastAsia="Microsoft YaHei" w:hAnsi="Microsoft YaHei" w:cs="Microsoft YaHei"/>
          <w:spacing w:val="-19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22"/>
          <w:szCs w:val="22"/>
        </w:rPr>
        <w:t>，在全面风险管理体系下落实更为主动的管理措施</w:t>
      </w:r>
      <w:r>
        <w:rPr>
          <w:rFonts w:ascii="Microsoft YaHei" w:eastAsia="Microsoft YaHei" w:hAnsi="Microsoft YaHei" w:cs="Microsoft YaHei"/>
          <w:spacing w:val="-36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22"/>
          <w:szCs w:val="22"/>
        </w:rPr>
        <w:t>，以持续提升运营韧性。</w:t>
      </w:r>
    </w:p>
    <w:p>
      <w:pPr>
        <w:spacing w:before="10"/>
      </w:pPr>
    </w:p>
    <w:p>
      <w:pPr>
        <w:spacing w:before="10"/>
      </w:pPr>
    </w:p>
    <w:p>
      <w:pPr>
        <w:spacing w:before="10"/>
      </w:pPr>
    </w:p>
    <w:p>
      <w:pPr>
        <w:spacing w:before="10"/>
      </w:pPr>
    </w:p>
    <w:p>
      <w:pPr>
        <w:spacing w:before="10"/>
      </w:pPr>
    </w:p>
    <w:p>
      <w:pPr>
        <w:spacing w:before="10"/>
        <w:sectPr>
          <w:headerReference w:type="default" r:id="rId10"/>
          <w:pgSz w:w="15600" w:h="10800"/>
          <w:pgMar w:top="400" w:right="0" w:bottom="0" w:left="0" w:header="0" w:footer="0" w:gutter="0"/>
          <w:pgNumType w:start="3"/>
          <w:cols w:num="1" w:space="708" w:equalWidth="0">
            <w:col w:w="15600" w:space="0"/>
          </w:cols>
        </w:sectPr>
      </w:pPr>
    </w:p>
    <w:p>
      <w:pPr>
        <w:spacing w:before="9"/>
      </w:pPr>
    </w:p>
    <w:p>
      <w:pPr>
        <w:spacing w:before="9"/>
      </w:pPr>
    </w:p>
    <w:p>
      <w:pPr>
        <w:sectPr>
          <w:headerReference w:type="default" r:id="rId11"/>
          <w:type w:val="nextPage"/>
          <w:pgSz w:w="15600" w:h="10800"/>
          <w:pgMar w:top="400" w:right="0" w:bottom="0" w:left="0" w:header="0" w:footer="0" w:gutter="0"/>
          <w:pgNumType w:start="4"/>
          <w:cols w:num="1" w:space="708" w:equalWidth="0">
            <w:col w:w="15600" w:space="0"/>
          </w:cols>
          <w:titlePg w:val="0"/>
        </w:sectPr>
      </w:pPr>
    </w:p>
    <w:p>
      <w:pPr>
        <w:spacing w:line="238" w:lineRule="exact"/>
        <w:ind w:firstLine="1566"/>
      </w:pPr>
      <w:r>
        <w:rPr>
          <w:position w:val="-4"/>
        </w:rPr>
        <w:drawing>
          <wp:inline distT="0" distB="0" distL="0" distR="0">
            <wp:extent cx="376766" cy="150603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76766" cy="1506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64" w:line="118" w:lineRule="exact"/>
        <w:ind w:firstLine="1568"/>
      </w:pPr>
      <w:r>
        <w:rPr>
          <w:position w:val="-2"/>
        </w:rPr>
        <w:drawing>
          <wp:inline distT="0" distB="0" distL="0" distR="0">
            <wp:extent cx="239999" cy="75329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39999" cy="753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71" w:line="174" w:lineRule="auto"/>
        <w:ind w:right="916"/>
        <w:rPr>
          <w:rFonts w:ascii="Microsoft YaHei" w:eastAsia="Microsoft YaHei" w:hAnsi="Microsoft YaHei" w:cs="Microsoft YaHei"/>
          <w:sz w:val="12"/>
          <w:szCs w:val="12"/>
        </w:rPr>
      </w:pPr>
      <w:r>
        <w:rPr>
          <w:rFonts w:ascii="Microsoft YaHei" w:eastAsia="Microsoft YaHei" w:hAnsi="Microsoft YaHei" w:cs="Microsoft YaHei"/>
          <w:color w:val="A6A6A6"/>
          <w:spacing w:val="-2"/>
          <w:sz w:val="12"/>
          <w:szCs w:val="12"/>
        </w:rPr>
        <w:t>© 2024 毕马威华振会计师事务所(特殊普通合伙) — 中国合伙制会计师事务所，毕马威企业咨询 (中国) 有限公司 — 中国有限责任公司，毕马威会计师事务所 — 澳门特别行政区合伙制事务所及</w:t>
      </w:r>
      <w:r>
        <w:rPr>
          <w:rFonts w:ascii="Microsoft YaHei" w:eastAsia="Microsoft YaHei" w:hAnsi="Microsoft YaHei" w:cs="Microsoft YaHei"/>
          <w:color w:val="A6A6A6"/>
          <w:spacing w:val="11"/>
          <w:w w:val="101"/>
          <w:sz w:val="12"/>
          <w:szCs w:val="12"/>
        </w:rPr>
        <w:t xml:space="preserve"> </w:t>
      </w:r>
      <w:r>
        <w:rPr>
          <w:rFonts w:ascii="Microsoft YaHei" w:eastAsia="Microsoft YaHei" w:hAnsi="Microsoft YaHei" w:cs="Microsoft YaHei"/>
          <w:color w:val="A6A6A6"/>
          <w:spacing w:val="-1"/>
          <w:sz w:val="12"/>
          <w:szCs w:val="12"/>
        </w:rPr>
        <w:t>毕马威会计师事务所 — 香港特别行政区合伙制事务所，均是与英国私营担保有限公司 — 毕马威国际有限公司相关联的独立成员所全球性组织中的成员。版</w:t>
      </w:r>
      <w:r>
        <w:rPr>
          <w:rFonts w:ascii="Microsoft YaHei" w:eastAsia="Microsoft YaHei" w:hAnsi="Microsoft YaHei" w:cs="Microsoft YaHei"/>
          <w:color w:val="A6A6A6"/>
          <w:spacing w:val="-2"/>
          <w:sz w:val="12"/>
          <w:szCs w:val="12"/>
        </w:rPr>
        <w:t>权所有，不得转载。在中国印刷。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113" w:line="171" w:lineRule="auto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color w:val="00338D"/>
          <w:sz w:val="20"/>
          <w:szCs w:val="20"/>
        </w:rPr>
        <w:t>2</w:t>
      </w:r>
    </w:p>
    <w:p>
      <w:pPr>
        <w:spacing w:line="171" w:lineRule="auto"/>
        <w:rPr>
          <w:rFonts w:ascii="Microsoft YaHei" w:eastAsia="Microsoft YaHei" w:hAnsi="Microsoft YaHei" w:cs="Microsoft YaHei"/>
          <w:sz w:val="20"/>
          <w:szCs w:val="20"/>
        </w:rPr>
        <w:sectPr>
          <w:headerReference w:type="default" r:id="rId14"/>
          <w:type w:val="continuous"/>
          <w:pgSz w:w="15600" w:h="10800"/>
          <w:pgMar w:top="400" w:right="0" w:bottom="0" w:left="0" w:header="0" w:footer="0" w:gutter="0"/>
          <w:pgNumType w:start="5"/>
          <w:cols w:num="3" w:space="708" w:equalWidth="0">
            <w:col w:w="2838" w:space="100"/>
            <w:col w:w="10918" w:space="100"/>
            <w:col w:w="1646" w:space="0"/>
          </w:cols>
        </w:sectPr>
      </w:pPr>
    </w:p>
    <w:p>
      <w:pPr>
        <w:pStyle w:val="BodyText"/>
        <w:spacing w:line="1550" w:lineRule="exact"/>
      </w:pPr>
      <w:r>
        <w:drawing>
          <wp:anchor distT="0" distB="0" distL="0" distR="0" simplePos="0" relativeHeight="251661312" behindDoc="0" locked="0" layoutInCell="0" allowOverlap="1">
            <wp:simplePos x="0" y="0"/>
            <wp:positionH relativeFrom="page">
              <wp:posOffset>-3175</wp:posOffset>
            </wp:positionH>
            <wp:positionV relativeFrom="page">
              <wp:posOffset>0</wp:posOffset>
            </wp:positionV>
            <wp:extent cx="6350" cy="1356359"/>
            <wp:effectExtent l="0" t="0" r="0" b="0"/>
            <wp:wrapNone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350" cy="13563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0288" behindDoc="0" locked="0" layoutInCell="0" allowOverlap="1">
            <wp:simplePos x="0" y="0"/>
            <wp:positionH relativeFrom="page">
              <wp:posOffset>1159381</wp:posOffset>
            </wp:positionH>
            <wp:positionV relativeFrom="page">
              <wp:posOffset>6431609</wp:posOffset>
            </wp:positionV>
            <wp:extent cx="76582" cy="75329"/>
            <wp:effectExtent l="0" t="0" r="0" b="0"/>
            <wp:wrapNone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76582" cy="753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28" style="width:565.7pt;height:268.1pt;margin-top:177.84pt;margin-left:106.56pt;mso-position-horizontal-relative:page;mso-position-vertical-relative:page;position:absolute;z-index:251662336" coordorigin="0,0" coordsize="11314,5362" o:allowincell="f" filled="f" stroked="f">
            <v:shape id="_x0000_s1029" style="width:11314;height:5360;position:absolute" coordorigin="0,0" coordsize="11314,5360" path="m,5359c,2399,2532,,5656,c8780,,11313,2399,11313,5359l5656,5359l,5359xe" filled="t" fillcolor="#caf2ff" stroked="f"/>
            <v:shape id="_x0000_s1030" style="width:7550;height:3547;left:1929;position:absolute;top:1815" coordorigin="0,0" coordsize="7550,3547" path="m4,3546c,1594,1685,8,3769,4c5852,,7545,1579,7550,3531c7550,3534,7550,3536,7550,3539l3777,3539l4,3546xe" filled="t" fillcolor="#00b8f5" stroked="f"/>
          </v:group>
        </w:pict>
      </w:r>
      <w:r>
        <w:pict>
          <v:shape id="_x0000_s1031" type="#_x0000_t202" style="width:519.25pt;height:255.05pt;margin-top:186.13pt;margin-left:128.15pt;mso-position-horizontal-relative:page;mso-position-vertical-relative:page;position:absolute;z-index:251721728" o:allowincell="f" filled="f" stroked="f">
            <o:lock v:ext="edit" aspectratio="f"/>
            <v:textbox inset="0,0,0,0">
              <w:txbxContent>
                <w:p>
                  <w:pPr>
                    <w:spacing w:before="20" w:line="227" w:lineRule="exact"/>
                    <w:ind w:left="843"/>
                    <w:rPr>
                      <w:rFonts w:ascii="Microsoft YaHei" w:eastAsia="Microsoft YaHei" w:hAnsi="Microsoft YaHei" w:cs="Microsoft YaHei"/>
                      <w:sz w:val="21"/>
                      <w:szCs w:val="21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00338D"/>
                      <w:position w:val="-1"/>
                      <w:sz w:val="21"/>
                      <w:szCs w:val="21"/>
                    </w:rPr>
                    <w:t>合规风险及声誉风险</w:t>
                  </w:r>
                </w:p>
                <w:p>
                  <w:pPr>
                    <w:spacing w:line="182" w:lineRule="auto"/>
                    <w:ind w:left="4329"/>
                    <w:rPr>
                      <w:rFonts w:ascii="Microsoft YaHei" w:eastAsia="Microsoft YaHei" w:hAnsi="Microsoft YaHei" w:cs="Microsoft YaHei"/>
                      <w:sz w:val="15"/>
                      <w:szCs w:val="15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00338D"/>
                      <w:spacing w:val="6"/>
                      <w:sz w:val="15"/>
                      <w:szCs w:val="15"/>
                    </w:rPr>
                    <w:t>反恐怖融资</w:t>
                  </w:r>
                </w:p>
                <w:p>
                  <w:pPr>
                    <w:spacing w:before="184" w:line="184" w:lineRule="auto"/>
                    <w:ind w:left="2549"/>
                    <w:rPr>
                      <w:rFonts w:ascii="Microsoft YaHei" w:eastAsia="Microsoft YaHei" w:hAnsi="Microsoft YaHei" w:cs="Microsoft YaHei"/>
                      <w:sz w:val="15"/>
                      <w:szCs w:val="15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00338D"/>
                      <w:spacing w:val="7"/>
                      <w:sz w:val="15"/>
                      <w:szCs w:val="15"/>
                    </w:rPr>
                    <w:t>声誉风险</w:t>
                  </w:r>
                </w:p>
                <w:p>
                  <w:pPr>
                    <w:spacing w:before="68" w:line="142" w:lineRule="exact"/>
                    <w:ind w:left="5704"/>
                    <w:rPr>
                      <w:rFonts w:ascii="Microsoft YaHei" w:eastAsia="Microsoft YaHei" w:hAnsi="Microsoft YaHei" w:cs="Microsoft YaHei"/>
                      <w:sz w:val="15"/>
                      <w:szCs w:val="15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00338D"/>
                      <w:spacing w:val="6"/>
                      <w:position w:val="-1"/>
                      <w:sz w:val="15"/>
                      <w:szCs w:val="15"/>
                    </w:rPr>
                    <w:t>网络安全与信息安全</w:t>
                  </w:r>
                </w:p>
                <w:p>
                  <w:pPr>
                    <w:spacing w:before="1" w:line="177" w:lineRule="auto"/>
                    <w:ind w:left="2112"/>
                    <w:rPr>
                      <w:rFonts w:ascii="Microsoft YaHei" w:eastAsia="Microsoft YaHei" w:hAnsi="Microsoft YaHei" w:cs="Microsoft YaHei"/>
                      <w:sz w:val="15"/>
                      <w:szCs w:val="15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00338D"/>
                      <w:spacing w:val="6"/>
                      <w:sz w:val="15"/>
                      <w:szCs w:val="15"/>
                    </w:rPr>
                    <w:t>交叉风险</w:t>
                  </w:r>
                </w:p>
                <w:p>
                  <w:pPr>
                    <w:pStyle w:val="BodyText"/>
                    <w:spacing w:line="273" w:lineRule="auto"/>
                  </w:pPr>
                </w:p>
                <w:p>
                  <w:pPr>
                    <w:pStyle w:val="BodyText"/>
                    <w:spacing w:line="273" w:lineRule="auto"/>
                  </w:pPr>
                </w:p>
                <w:p>
                  <w:pPr>
                    <w:pStyle w:val="BodyText"/>
                    <w:spacing w:line="273" w:lineRule="auto"/>
                  </w:pPr>
                </w:p>
                <w:p>
                  <w:pPr>
                    <w:pStyle w:val="BodyText"/>
                    <w:spacing w:line="274" w:lineRule="auto"/>
                  </w:pPr>
                </w:p>
                <w:p>
                  <w:pPr>
                    <w:pStyle w:val="BodyText"/>
                    <w:spacing w:line="274" w:lineRule="auto"/>
                  </w:pPr>
                </w:p>
                <w:p>
                  <w:pPr>
                    <w:pStyle w:val="BodyText"/>
                    <w:spacing w:line="274" w:lineRule="auto"/>
                  </w:pPr>
                </w:p>
                <w:p>
                  <w:pPr>
                    <w:pStyle w:val="BodyText"/>
                    <w:spacing w:line="274" w:lineRule="auto"/>
                  </w:pPr>
                </w:p>
                <w:p>
                  <w:pPr>
                    <w:spacing w:before="65" w:line="184" w:lineRule="auto"/>
                    <w:ind w:left="9171"/>
                    <w:rPr>
                      <w:rFonts w:ascii="Microsoft YaHei" w:eastAsia="Microsoft YaHei" w:hAnsi="Microsoft YaHei" w:cs="Microsoft YaHei"/>
                      <w:sz w:val="15"/>
                      <w:szCs w:val="15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00338D"/>
                      <w:spacing w:val="6"/>
                      <w:sz w:val="15"/>
                      <w:szCs w:val="15"/>
                    </w:rPr>
                    <w:t>汇率风险</w:t>
                  </w:r>
                </w:p>
                <w:p>
                  <w:pPr>
                    <w:spacing w:before="37" w:line="183" w:lineRule="auto"/>
                    <w:ind w:left="312"/>
                    <w:rPr>
                      <w:rFonts w:ascii="Microsoft YaHei" w:eastAsia="Microsoft YaHei" w:hAnsi="Microsoft YaHei" w:cs="Microsoft YaHei"/>
                      <w:sz w:val="15"/>
                      <w:szCs w:val="15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00338D"/>
                      <w:spacing w:val="4"/>
                      <w:sz w:val="15"/>
                      <w:szCs w:val="15"/>
                    </w:rPr>
                    <w:t>审慎监管</w:t>
                  </w:r>
                </w:p>
                <w:p>
                  <w:pPr>
                    <w:spacing w:before="280" w:line="182" w:lineRule="auto"/>
                    <w:ind w:left="178"/>
                    <w:rPr>
                      <w:rFonts w:ascii="Microsoft YaHei" w:eastAsia="Microsoft YaHei" w:hAnsi="Microsoft YaHei" w:cs="Microsoft YaHei"/>
                      <w:sz w:val="15"/>
                      <w:szCs w:val="15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00338D"/>
                      <w:spacing w:val="7"/>
                      <w:sz w:val="15"/>
                      <w:szCs w:val="15"/>
                    </w:rPr>
                    <w:t>行为监管</w:t>
                  </w:r>
                </w:p>
                <w:p>
                  <w:pPr>
                    <w:spacing w:before="197" w:line="179" w:lineRule="auto"/>
                    <w:ind w:left="110"/>
                    <w:rPr>
                      <w:rFonts w:ascii="Microsoft YaHei" w:eastAsia="Microsoft YaHei" w:hAnsi="Microsoft YaHei" w:cs="Microsoft YaHei"/>
                      <w:sz w:val="15"/>
                      <w:szCs w:val="15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00338D"/>
                      <w:spacing w:val="6"/>
                      <w:sz w:val="15"/>
                      <w:szCs w:val="15"/>
                    </w:rPr>
                    <w:t>系统重要性金融</w:t>
                  </w:r>
                </w:p>
                <w:p>
                  <w:pPr>
                    <w:spacing w:line="146" w:lineRule="exact"/>
                    <w:ind w:left="105"/>
                    <w:rPr>
                      <w:rFonts w:ascii="Microsoft YaHei" w:eastAsia="Microsoft YaHei" w:hAnsi="Microsoft YaHei" w:cs="Microsoft YaHei"/>
                      <w:sz w:val="15"/>
                      <w:szCs w:val="15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00338D"/>
                      <w:spacing w:val="6"/>
                      <w:position w:val="-1"/>
                      <w:sz w:val="15"/>
                      <w:szCs w:val="15"/>
                    </w:rPr>
                    <w:t>机构监管</w:t>
                  </w:r>
                </w:p>
                <w:p>
                  <w:pPr>
                    <w:spacing w:before="1" w:line="181" w:lineRule="auto"/>
                    <w:ind w:right="20"/>
                    <w:jc w:val="right"/>
                    <w:rPr>
                      <w:rFonts w:ascii="Microsoft YaHei" w:eastAsia="Microsoft YaHei" w:hAnsi="Microsoft YaHei" w:cs="Microsoft YaHei"/>
                      <w:sz w:val="15"/>
                      <w:szCs w:val="15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00338D"/>
                      <w:spacing w:val="7"/>
                      <w:sz w:val="15"/>
                      <w:szCs w:val="15"/>
                    </w:rPr>
                    <w:t>行业竞争</w:t>
                  </w:r>
                </w:p>
                <w:p>
                  <w:pPr>
                    <w:spacing w:before="30" w:line="183" w:lineRule="auto"/>
                    <w:ind w:left="20"/>
                    <w:rPr>
                      <w:rFonts w:ascii="Microsoft YaHei" w:eastAsia="Microsoft YaHei" w:hAnsi="Microsoft YaHei" w:cs="Microsoft YaHei"/>
                      <w:sz w:val="15"/>
                      <w:szCs w:val="15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00338D"/>
                      <w:spacing w:val="18"/>
                      <w:sz w:val="15"/>
                      <w:szCs w:val="15"/>
                    </w:rPr>
                    <w:t>金融“脱实向虚”</w:t>
                  </w:r>
                </w:p>
              </w:txbxContent>
            </v:textbox>
          </v:shape>
        </w:pict>
      </w:r>
      <w:r>
        <w:pict>
          <v:rect id="_x0000_s1032" style="width:1.5pt;height:269.4pt;margin-top:184.08pt;margin-left:388.05pt;mso-position-horizontal-relative:page;mso-position-vertical-relative:page;position:absolute;z-index:251680768" o:allowincell="f" filled="t" fillcolor="white" stroked="f"/>
        </w:pict>
      </w:r>
      <w:r>
        <w:pict>
          <v:shape id="_x0000_s1033" type="#_x0000_t202" style="width:43.95pt;height:15.5pt;margin-top:186.13pt;margin-left:498.92pt;mso-position-horizontal-relative:page;mso-position-vertical-relative:page;position:absolute;z-index:251726848" o:allowincell="f" filled="f" stroked="f">
            <o:lock v:ext="edit" aspectratio="f"/>
            <v:textbox inset="0,0,0,0">
              <w:txbxContent>
                <w:p>
                  <w:pPr>
                    <w:spacing w:before="20" w:line="179" w:lineRule="auto"/>
                    <w:ind w:left="20"/>
                    <w:rPr>
                      <w:rFonts w:ascii="Microsoft YaHei" w:eastAsia="Microsoft YaHei" w:hAnsi="Microsoft YaHei" w:cs="Microsoft YaHei"/>
                      <w:sz w:val="21"/>
                      <w:szCs w:val="21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00338D"/>
                      <w:spacing w:val="-1"/>
                      <w:sz w:val="21"/>
                      <w:szCs w:val="21"/>
                    </w:rPr>
                    <w:t>技术风险</w:t>
                  </w:r>
                </w:p>
              </w:txbxContent>
            </v:textbox>
          </v:shape>
        </w:pict>
      </w:r>
      <w:r>
        <w:pict>
          <v:shape id="_x0000_s1034" type="#_x0000_t202" style="width:33.25pt;height:11.6pt;margin-top:187.92pt;margin-left:343.63pt;mso-position-horizontal-relative:page;mso-position-vertical-relative:page;position:absolute;z-index:251725824" o:allowincell="f" filled="f" stroked="f">
            <o:lock v:ext="edit" aspectratio="f"/>
            <v:textbox inset="0,0,0,0">
              <w:txbxContent>
                <w:p>
                  <w:pPr>
                    <w:spacing w:before="19" w:line="179" w:lineRule="auto"/>
                    <w:ind w:left="20"/>
                    <w:rPr>
                      <w:rFonts w:ascii="Microsoft YaHei" w:eastAsia="Microsoft YaHei" w:hAnsi="Microsoft YaHei" w:cs="Microsoft YaHei"/>
                      <w:sz w:val="15"/>
                      <w:szCs w:val="15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00338D"/>
                      <w:spacing w:val="6"/>
                      <w:sz w:val="15"/>
                      <w:szCs w:val="15"/>
                    </w:rPr>
                    <w:t>反洗钱与</w:t>
                  </w:r>
                </w:p>
              </w:txbxContent>
            </v:textbox>
          </v:shape>
        </w:pict>
      </w:r>
      <w:r>
        <w:pict>
          <v:shape id="_x0000_s1035" type="#_x0000_t202" style="width:73.05pt;height:21.5pt;margin-top:199.45pt;margin-left:411.88pt;mso-position-horizontal-relative:page;mso-position-vertical-relative:page;position:absolute;z-index:251722752" o:allowincell="f" filled="f" stroked="f">
            <o:lock v:ext="edit" aspectratio="f"/>
            <v:textbox inset="0,0,0,0">
              <w:txbxContent>
                <w:p>
                  <w:pPr>
                    <w:spacing w:before="20" w:line="181" w:lineRule="auto"/>
                    <w:ind w:left="20" w:right="20"/>
                    <w:rPr>
                      <w:rFonts w:ascii="Microsoft YaHei" w:eastAsia="Microsoft YaHei" w:hAnsi="Microsoft YaHei" w:cs="Microsoft YaHei"/>
                      <w:sz w:val="15"/>
                      <w:szCs w:val="15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00338D"/>
                      <w:spacing w:val="7"/>
                      <w:sz w:val="15"/>
                      <w:szCs w:val="15"/>
                    </w:rPr>
                    <w:t>信息技术基础设施与</w:t>
                  </w:r>
                  <w:r>
                    <w:rPr>
                      <w:rFonts w:ascii="Microsoft YaHei" w:eastAsia="Microsoft YaHei" w:hAnsi="Microsoft YaHei" w:cs="Microsoft YaHei"/>
                      <w:color w:val="00338D"/>
                      <w:spacing w:val="5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color w:val="00338D"/>
                      <w:spacing w:val="7"/>
                      <w:sz w:val="15"/>
                      <w:szCs w:val="15"/>
                    </w:rPr>
                    <w:t>金融科技应用</w:t>
                  </w:r>
                </w:p>
              </w:txbxContent>
            </v:textbox>
          </v:shape>
        </w:pict>
      </w:r>
      <w:r>
        <w:pict>
          <v:shape id="_x0000_s1036" type="#_x0000_t202" style="width:77.5pt;height:32.7pt;margin-top:215.8pt;margin-left:304.4pt;mso-position-horizontal-relative:page;mso-position-vertical-relative:page;position:absolute;z-index:251724800" o:allowincell="f" filled="f" stroked="f">
            <o:lock v:ext="edit" aspectratio="f"/>
            <v:textbox inset="0,0,0,0">
              <w:txbxContent>
                <w:p>
                  <w:pPr>
                    <w:spacing w:before="20" w:line="416" w:lineRule="exact"/>
                    <w:ind w:left="108"/>
                    <w:rPr>
                      <w:rFonts w:ascii="Microsoft YaHei" w:eastAsia="Microsoft YaHei" w:hAnsi="Microsoft YaHei" w:cs="Microsoft YaHei"/>
                      <w:sz w:val="15"/>
                      <w:szCs w:val="15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00338D"/>
                      <w:spacing w:val="7"/>
                      <w:position w:val="21"/>
                      <w:sz w:val="15"/>
                      <w:szCs w:val="15"/>
                    </w:rPr>
                    <w:t>金融消费者权益保护</w:t>
                  </w:r>
                </w:p>
                <w:p>
                  <w:pPr>
                    <w:spacing w:line="183" w:lineRule="auto"/>
                    <w:ind w:left="20"/>
                    <w:rPr>
                      <w:rFonts w:ascii="Microsoft YaHei" w:eastAsia="Microsoft YaHei" w:hAnsi="Microsoft YaHei" w:cs="Microsoft YaHei"/>
                      <w:sz w:val="15"/>
                      <w:szCs w:val="15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00338D"/>
                      <w:spacing w:val="7"/>
                      <w:sz w:val="15"/>
                      <w:szCs w:val="15"/>
                    </w:rPr>
                    <w:t>会计政策变更与应用</w:t>
                  </w:r>
                </w:p>
              </w:txbxContent>
            </v:textbox>
          </v:shape>
        </w:pict>
      </w:r>
      <w:r>
        <w:pict>
          <v:shape id="_x0000_s1037" type="#_x0000_t202" style="width:33.35pt;height:11.85pt;margin-top:230.25pt;margin-left:513.9pt;mso-position-horizontal-relative:page;mso-position-vertical-relative:page;position:absolute;z-index:251723776" o:allowincell="f" filled="f" stroked="f">
            <o:lock v:ext="edit" aspectratio="f"/>
            <v:textbox inset="0,0,0,0">
              <w:txbxContent>
                <w:p>
                  <w:pPr>
                    <w:spacing w:before="19" w:line="184" w:lineRule="auto"/>
                    <w:ind w:left="20"/>
                    <w:rPr>
                      <w:rFonts w:ascii="Microsoft YaHei" w:eastAsia="Microsoft YaHei" w:hAnsi="Microsoft YaHei" w:cs="Microsoft YaHei"/>
                      <w:sz w:val="15"/>
                      <w:szCs w:val="15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00338D"/>
                      <w:spacing w:val="6"/>
                      <w:sz w:val="15"/>
                      <w:szCs w:val="15"/>
                    </w:rPr>
                    <w:t>外包风险</w:t>
                  </w:r>
                </w:p>
              </w:txbxContent>
            </v:textbox>
          </v:shape>
        </w:pict>
      </w:r>
      <w:r>
        <w:pict>
          <v:shape id="_x0000_s1038" type="#_x0000_t202" style="width:49.2pt;height:11.85pt;margin-top:382.08pt;margin-left:597.78pt;mso-position-horizontal-relative:page;mso-position-vertical-relative:page;position:absolute;z-index:251729920" o:allowincell="f" filled="f" stroked="f">
            <o:lock v:ext="edit" aspectratio="f"/>
            <v:textbox inset="0,0,0,0">
              <w:txbxContent>
                <w:p>
                  <w:pPr>
                    <w:spacing w:before="19" w:line="184" w:lineRule="auto"/>
                    <w:ind w:left="20"/>
                    <w:rPr>
                      <w:rFonts w:ascii="Microsoft YaHei" w:eastAsia="Microsoft YaHei" w:hAnsi="Microsoft YaHei" w:cs="Microsoft YaHei"/>
                      <w:sz w:val="15"/>
                      <w:szCs w:val="15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00338D"/>
                      <w:spacing w:val="7"/>
                      <w:sz w:val="15"/>
                      <w:szCs w:val="15"/>
                    </w:rPr>
                    <w:t>价格波动风险</w:t>
                  </w:r>
                </w:p>
              </w:txbxContent>
            </v:textbox>
          </v:shape>
        </w:pict>
      </w:r>
      <w:r>
        <w:pict>
          <v:shape id="_x0000_s1039" style="width:20.2pt;height:3.9pt;margin-top:421.42pt;margin-left:379.56pt;mso-position-horizontal-relative:page;mso-position-vertical-relative:page;position:absolute;z-index:251714560" coordorigin="0,0" coordsize="404,78" o:allowincell="f" path="m,69l14,69m,36l403,36m384,69l403,69m192,7l206,7e" filled="f" strokecolor="#e5e5e5" strokeweight="0.75pt"/>
        </w:pict>
      </w:r>
      <w:r>
        <w:pict>
          <v:shape id="_x0000_s1040" style="width:4.6pt;height:4.6pt;margin-top:426.84pt;margin-left:377.64pt;mso-position-horizontal-relative:page;mso-position-vertical-relative:page;position:absolute;z-index:251716608" coordorigin="0,0" coordsize="91,91" o:allowincell="f" path="m91,l,l,91l91,91l91,xe" filled="t" fillcolor="white" stroked="f"/>
        </w:pict>
      </w:r>
      <w:r>
        <w:pict>
          <v:shape id="_x0000_s1041" style="width:4.6pt;height:4.6pt;margin-top:426.84pt;margin-left:387.24pt;mso-position-horizontal-relative:page;mso-position-vertical-relative:page;position:absolute;z-index:251715584" coordorigin="0,0" coordsize="91,91" o:allowincell="f" path="m91,l,l,91l91,91l91,xe" filled="t" fillcolor="white" stroked="f"/>
        </w:pict>
      </w:r>
      <w:r>
        <w:pict>
          <v:shape id="_x0000_s1042" style="width:7.25pt;height:9.2pt;margin-top:432.46pt;margin-left:376.3pt;mso-position-horizontal-relative:page;mso-position-vertical-relative:page;position:absolute;z-index:251718656" coordorigin="0,0" coordsize="145,183" o:allowincell="f" path="m7,175l137,175l137,89l7,89l7,175xm7,74l26,74m7,55l137,55m117,74l137,74m7,26l137,26m65,7l79,7e" filled="f" strokecolor="#e5e5e5" strokeweight="0.75pt"/>
        </w:pict>
      </w:r>
      <w:r>
        <w:pict>
          <v:shape id="_x0000_s1043" style="width:7.25pt;height:9.2pt;margin-top:432.46pt;margin-left:395.5pt;mso-position-horizontal-relative:page;mso-position-vertical-relative:page;position:absolute;z-index:251719680" coordorigin="0,0" coordsize="145,183" o:allowincell="f" path="m7,175l137,175l137,89l7,89l7,175xm7,74l26,74m7,55l137,55m117,74l137,74m7,26l137,26m65,7l84,7e" filled="f" strokecolor="#e5e5e5" strokeweight="0.75pt"/>
        </w:pict>
      </w:r>
      <w:r>
        <w:pict>
          <v:shape id="_x0000_s1044" style="width:7.25pt;height:9.2pt;margin-top:432.46pt;margin-left:385.9pt;mso-position-horizontal-relative:page;mso-position-vertical-relative:page;position:absolute;z-index:251720704" coordorigin="0,0" coordsize="145,183" o:allowincell="f" path="m7,175l137,175l137,89l7,89l7,175xm7,74l26,74m7,55l137,55m117,74l137,74m7,26l137,26m65,7l79,7e" filled="f" strokecolor="#e5e5e5" strokeweight="0.75pt"/>
        </w:pict>
      </w:r>
      <w:r>
        <w:pict>
          <v:group id="_x0000_s1045" style="width:25.7pt;height:14.8pt;margin-top:426.46pt;margin-left:376.68pt;mso-position-horizontal-relative:page;mso-position-vertical-relative:page;position:absolute;z-index:251717632" coordorigin="0,0" coordsize="514,296" o:allowincell="f" filled="f" stroked="f">
            <v:shape id="_x0000_s1046" style="width:106;height:106;left:11;position:absolute" coordorigin="0,0" coordsize="106,106" path="m98,7l7,7l7,98l98,98l98,7xe" filled="f" strokecolor="#e5e5e5" strokeweight="0.75pt"/>
            <v:shape id="_x0000_s1047" style="width:106;height:106;left:395;position:absolute" coordorigin="0,0" coordsize="106,106" path="m7,98l98,98l98,7l7,7l7,98xe" filled="t" fillcolor="white" strokecolor="#e5e5e5" strokeweight="0.75pt"/>
            <v:shape id="_x0000_s1048" style="width:106;height:106;left:203;position:absolute" coordorigin="0,0" coordsize="106,106" path="m98,7l7,7l7,98l98,98l98,7xe" filled="f" strokecolor="#e5e5e5" strokeweight="0.75pt"/>
            <v:shape id="_x0000_s1049" style="width:514;height:86;position:absolute;top:209" coordorigin="0,0" coordsize="514,86" path="m,86l129,86l129,l,l,86xem383,86l513,86l513,l383,l383,86xem192,86l321,86l321,l192,l192,86xe" filled="t" fillcolor="white" stroked="f"/>
          </v:group>
        </w:pict>
      </w:r>
      <w:r>
        <w:pict>
          <v:group id="_x0000_s1050" style="width:565.7pt;height:268.1pt;margin-top:177.84pt;margin-left:106.56pt;mso-position-horizontal-relative:page;mso-position-vertical-relative:page;position:absolute;z-index:251713536" coordorigin="0,0" coordsize="11314,5362" o:allowincell="f" filled="f" stroked="f">
            <v:shape id="_x0000_s1051" type="#_x0000_t202" style="width:11354;height:5450;left:-20;position:absolute;top:-20" filled="f" stroked="f">
              <o:lock v:ext="edit" aspectratio="f"/>
              <v:textbox inset="0,0,0,0">
                <w:txbxContent>
                  <w:p>
                    <w:pPr>
                      <w:pStyle w:val="BodyText"/>
                      <w:spacing w:line="244" w:lineRule="auto"/>
                    </w:pPr>
                  </w:p>
                  <w:p>
                    <w:pPr>
                      <w:pStyle w:val="BodyText"/>
                      <w:spacing w:line="244" w:lineRule="auto"/>
                    </w:pPr>
                  </w:p>
                  <w:p>
                    <w:pPr>
                      <w:pStyle w:val="BodyText"/>
                      <w:spacing w:line="244" w:lineRule="auto"/>
                    </w:pPr>
                  </w:p>
                  <w:p>
                    <w:pPr>
                      <w:pStyle w:val="BodyText"/>
                      <w:spacing w:line="244" w:lineRule="auto"/>
                    </w:pPr>
                  </w:p>
                  <w:p>
                    <w:pPr>
                      <w:pStyle w:val="BodyText"/>
                      <w:spacing w:line="244" w:lineRule="auto"/>
                    </w:pPr>
                  </w:p>
                  <w:p>
                    <w:pPr>
                      <w:pStyle w:val="BodyText"/>
                      <w:spacing w:line="244" w:lineRule="auto"/>
                    </w:pPr>
                  </w:p>
                  <w:p>
                    <w:pPr>
                      <w:pStyle w:val="BodyText"/>
                      <w:spacing w:line="244" w:lineRule="auto"/>
                    </w:pPr>
                  </w:p>
                  <w:p>
                    <w:pPr>
                      <w:pStyle w:val="BodyText"/>
                      <w:spacing w:line="244" w:lineRule="auto"/>
                    </w:pPr>
                  </w:p>
                  <w:p>
                    <w:pPr>
                      <w:pStyle w:val="BodyText"/>
                      <w:spacing w:line="244" w:lineRule="auto"/>
                    </w:pPr>
                  </w:p>
                  <w:p>
                    <w:pPr>
                      <w:pStyle w:val="BodyText"/>
                      <w:spacing w:line="244" w:lineRule="auto"/>
                    </w:pPr>
                  </w:p>
                  <w:p>
                    <w:pPr>
                      <w:pStyle w:val="BodyText"/>
                      <w:spacing w:line="245" w:lineRule="auto"/>
                    </w:pPr>
                  </w:p>
                  <w:p>
                    <w:pPr>
                      <w:spacing w:before="65" w:line="183" w:lineRule="auto"/>
                      <w:ind w:left="1111"/>
                      <w:rPr>
                        <w:rFonts w:ascii="Microsoft YaHei" w:eastAsia="Microsoft YaHei" w:hAnsi="Microsoft YaHei" w:cs="Microsoft YaHei"/>
                        <w:sz w:val="15"/>
                        <w:szCs w:val="15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color w:val="00338D"/>
                        <w:spacing w:val="7"/>
                        <w:sz w:val="15"/>
                        <w:szCs w:val="15"/>
                      </w:rPr>
                      <w:t>地缘政治风险</w:t>
                    </w:r>
                  </w:p>
                </w:txbxContent>
              </v:textbox>
            </v:shape>
          </v:group>
        </w:pict>
      </w:r>
      <w:r>
        <w:pict>
          <v:group id="_x0000_s1052" style="width:565.7pt;height:268.1pt;margin-top:177.84pt;margin-left:106.56pt;mso-position-horizontal-relative:page;mso-position-vertical-relative:page;position:absolute;z-index:251711488" coordorigin="0,0" coordsize="11314,5362" o:allowincell="f" filled="f" stroked="f">
            <v:shape id="_x0000_s1053" type="#_x0000_t202" style="width:11354;height:5450;left:-20;position:absolute;top:-20" filled="f" stroked="f">
              <o:lock v:ext="edit" aspectratio="f"/>
              <v:textbox inset="0,0,0,0">
                <w:txbxContent>
                  <w:p>
                    <w:pPr>
                      <w:pStyle w:val="BodyText"/>
                      <w:spacing w:line="244" w:lineRule="auto"/>
                    </w:pPr>
                  </w:p>
                  <w:p>
                    <w:pPr>
                      <w:pStyle w:val="BodyText"/>
                      <w:spacing w:line="244" w:lineRule="auto"/>
                    </w:pPr>
                  </w:p>
                  <w:p>
                    <w:pPr>
                      <w:pStyle w:val="BodyText"/>
                      <w:spacing w:line="244" w:lineRule="auto"/>
                    </w:pPr>
                  </w:p>
                  <w:p>
                    <w:pPr>
                      <w:pStyle w:val="BodyText"/>
                      <w:spacing w:line="244" w:lineRule="auto"/>
                    </w:pPr>
                  </w:p>
                  <w:p>
                    <w:pPr>
                      <w:pStyle w:val="BodyText"/>
                      <w:spacing w:line="245" w:lineRule="auto"/>
                    </w:pPr>
                  </w:p>
                  <w:p>
                    <w:pPr>
                      <w:pStyle w:val="BodyText"/>
                      <w:spacing w:line="245" w:lineRule="auto"/>
                    </w:pPr>
                  </w:p>
                  <w:p>
                    <w:pPr>
                      <w:pStyle w:val="BodyText"/>
                      <w:spacing w:line="245" w:lineRule="auto"/>
                    </w:pPr>
                  </w:p>
                  <w:p>
                    <w:pPr>
                      <w:pStyle w:val="BodyText"/>
                      <w:spacing w:line="245" w:lineRule="auto"/>
                    </w:pPr>
                  </w:p>
                  <w:p>
                    <w:pPr>
                      <w:pStyle w:val="BodyText"/>
                      <w:spacing w:line="245" w:lineRule="auto"/>
                    </w:pPr>
                  </w:p>
                  <w:p>
                    <w:pPr>
                      <w:spacing w:before="65" w:line="179" w:lineRule="auto"/>
                      <w:ind w:left="1462"/>
                      <w:rPr>
                        <w:rFonts w:ascii="Microsoft YaHei" w:eastAsia="Microsoft YaHei" w:hAnsi="Microsoft YaHei" w:cs="Microsoft YaHei"/>
                        <w:sz w:val="15"/>
                        <w:szCs w:val="15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color w:val="00338D"/>
                        <w:spacing w:val="7"/>
                        <w:sz w:val="15"/>
                        <w:szCs w:val="15"/>
                      </w:rPr>
                      <w:t>宏观经济环境</w:t>
                    </w:r>
                  </w:p>
                  <w:p>
                    <w:pPr>
                      <w:spacing w:line="183" w:lineRule="auto"/>
                      <w:ind w:left="1463"/>
                      <w:rPr>
                        <w:rFonts w:ascii="Microsoft YaHei" w:eastAsia="Microsoft YaHei" w:hAnsi="Microsoft YaHei" w:cs="Microsoft YaHei"/>
                        <w:sz w:val="15"/>
                        <w:szCs w:val="15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color w:val="00338D"/>
                        <w:spacing w:val="6"/>
                        <w:sz w:val="15"/>
                        <w:szCs w:val="15"/>
                      </w:rPr>
                      <w:t>不确定性</w:t>
                    </w:r>
                  </w:p>
                </w:txbxContent>
              </v:textbox>
            </v:shape>
          </v:group>
        </w:pict>
      </w:r>
      <w:r>
        <w:pict>
          <v:group id="_x0000_s1054" style="width:565.7pt;height:268.1pt;margin-top:177.84pt;margin-left:106.56pt;mso-position-horizontal-relative:page;mso-position-vertical-relative:page;position:absolute;z-index:251712512" coordorigin="0,0" coordsize="11314,5362" o:allowincell="f" filled="f" stroked="f">
            <v:shape id="_x0000_s1055" type="#_x0000_t202" style="width:11354;height:5450;left:-20;position:absolute;top:-20" filled="f" stroked="f">
              <o:lock v:ext="edit" aspectratio="f"/>
              <v:textbox inset="0,0,0,0">
                <w:txbxContent>
                  <w:p>
                    <w:pPr>
                      <w:pStyle w:val="BodyText"/>
                    </w:pPr>
                  </w:p>
                  <w:p>
                    <w:pPr>
                      <w:pStyle w:val="BodyText"/>
                      <w:spacing w:line="241" w:lineRule="auto"/>
                    </w:pPr>
                  </w:p>
                  <w:p>
                    <w:pPr>
                      <w:pStyle w:val="BodyText"/>
                      <w:spacing w:line="241" w:lineRule="auto"/>
                    </w:pPr>
                  </w:p>
                  <w:p>
                    <w:pPr>
                      <w:pStyle w:val="BodyText"/>
                      <w:spacing w:line="241" w:lineRule="auto"/>
                    </w:pPr>
                  </w:p>
                  <w:p>
                    <w:pPr>
                      <w:pStyle w:val="BodyText"/>
                      <w:spacing w:line="241" w:lineRule="auto"/>
                    </w:pPr>
                  </w:p>
                  <w:p>
                    <w:pPr>
                      <w:pStyle w:val="BodyText"/>
                      <w:spacing w:line="241" w:lineRule="auto"/>
                    </w:pPr>
                  </w:p>
                  <w:p>
                    <w:pPr>
                      <w:pStyle w:val="BodyText"/>
                      <w:spacing w:line="241" w:lineRule="auto"/>
                    </w:pPr>
                  </w:p>
                  <w:p>
                    <w:pPr>
                      <w:pStyle w:val="BodyText"/>
                      <w:spacing w:line="241" w:lineRule="auto"/>
                    </w:pPr>
                  </w:p>
                  <w:p>
                    <w:pPr>
                      <w:pStyle w:val="BodyText"/>
                      <w:spacing w:line="241" w:lineRule="auto"/>
                    </w:pPr>
                  </w:p>
                  <w:p>
                    <w:pPr>
                      <w:pStyle w:val="BodyText"/>
                      <w:spacing w:line="241" w:lineRule="auto"/>
                    </w:pPr>
                  </w:p>
                  <w:p>
                    <w:pPr>
                      <w:pStyle w:val="BodyText"/>
                      <w:spacing w:line="241" w:lineRule="auto"/>
                    </w:pPr>
                  </w:p>
                  <w:p>
                    <w:pPr>
                      <w:pStyle w:val="BodyText"/>
                      <w:spacing w:line="241" w:lineRule="auto"/>
                    </w:pPr>
                  </w:p>
                  <w:p>
                    <w:pPr>
                      <w:pStyle w:val="BodyText"/>
                      <w:spacing w:line="241" w:lineRule="auto"/>
                    </w:pPr>
                  </w:p>
                  <w:p>
                    <w:pPr>
                      <w:spacing w:before="65" w:line="183" w:lineRule="auto"/>
                      <w:ind w:left="895"/>
                      <w:rPr>
                        <w:rFonts w:ascii="Microsoft YaHei" w:eastAsia="Microsoft YaHei" w:hAnsi="Microsoft YaHei" w:cs="Microsoft YaHei"/>
                        <w:sz w:val="15"/>
                        <w:szCs w:val="15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color w:val="00338D"/>
                        <w:spacing w:val="10"/>
                        <w:sz w:val="15"/>
                        <w:szCs w:val="15"/>
                      </w:rPr>
                      <w:t>气候及</w:t>
                    </w:r>
                    <w:r>
                      <w:rPr>
                        <w:rFonts w:ascii="Microsoft YaHei" w:eastAsia="Microsoft YaHei" w:hAnsi="Microsoft YaHei" w:cs="Microsoft YaHei"/>
                        <w:color w:val="00338D"/>
                        <w:sz w:val="15"/>
                        <w:szCs w:val="15"/>
                      </w:rPr>
                      <w:t>ESG</w:t>
                    </w:r>
                    <w:r>
                      <w:rPr>
                        <w:rFonts w:ascii="Microsoft YaHei" w:eastAsia="Microsoft YaHei" w:hAnsi="Microsoft YaHei" w:cs="Microsoft YaHei"/>
                        <w:color w:val="00338D"/>
                        <w:spacing w:val="10"/>
                        <w:sz w:val="15"/>
                        <w:szCs w:val="15"/>
                      </w:rPr>
                      <w:t>相关风险</w:t>
                    </w:r>
                  </w:p>
                </w:txbxContent>
              </v:textbox>
            </v:shape>
          </v:group>
        </w:pict>
      </w:r>
      <w:r>
        <w:pict>
          <v:group id="_x0000_s1056" style="width:374.25pt;height:204.6pt;margin-top:249.57pt;margin-left:202.01pt;mso-position-horizontal-relative:page;mso-position-vertical-relative:page;position:absolute;z-index:251681792" coordorigin="0,0" coordsize="7485,4092" o:allowincell="f" filled="f" stroked="f">
            <v:shape id="_x0000_s1057" style="width:7485;height:4092;position:absolute" coordorigin="0,0" coordsize="7485,4092" path="m7473,10l3740,4074m11,43l3748,4081e" filled="f" strokecolor="white" strokeweight="1.5pt">
              <v:stroke joinstyle="miter"/>
            </v:shape>
            <v:shape id="_x0000_s1058" type="#_x0000_t202" style="width:4495;height:3601;left:715;position:absolute;top:126" filled="f" stroked="f">
              <o:lock v:ext="edit" aspectratio="f"/>
              <v:textbox inset="0,0,0,0">
                <w:txbxContent>
                  <w:p>
                    <w:pPr>
                      <w:spacing w:before="19" w:line="183" w:lineRule="auto"/>
                      <w:ind w:left="1711"/>
                      <w:rPr>
                        <w:rFonts w:ascii="Microsoft YaHei" w:eastAsia="Microsoft YaHei" w:hAnsi="Microsoft YaHei" w:cs="Microsoft YaHei"/>
                        <w:sz w:val="15"/>
                        <w:szCs w:val="15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color w:val="00338D"/>
                        <w:spacing w:val="7"/>
                        <w:sz w:val="15"/>
                        <w:szCs w:val="15"/>
                      </w:rPr>
                      <w:t>资本管理办法</w:t>
                    </w:r>
                  </w:p>
                  <w:p>
                    <w:pPr>
                      <w:spacing w:before="224" w:line="146" w:lineRule="exact"/>
                      <w:ind w:left="415"/>
                      <w:rPr>
                        <w:rFonts w:ascii="Microsoft YaHei" w:eastAsia="Microsoft YaHei" w:hAnsi="Microsoft YaHei" w:cs="Microsoft YaHei"/>
                        <w:sz w:val="15"/>
                        <w:szCs w:val="15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color w:val="00338D"/>
                        <w:spacing w:val="6"/>
                        <w:position w:val="-1"/>
                        <w:sz w:val="15"/>
                        <w:szCs w:val="15"/>
                      </w:rPr>
                      <w:t>合规经营</w:t>
                    </w:r>
                  </w:p>
                  <w:p>
                    <w:pPr>
                      <w:spacing w:line="167" w:lineRule="auto"/>
                      <w:ind w:left="3426"/>
                      <w:rPr>
                        <w:rFonts w:ascii="Microsoft YaHei" w:eastAsia="Microsoft YaHei" w:hAnsi="Microsoft YaHei" w:cs="Microsoft YaHei"/>
                        <w:sz w:val="21"/>
                        <w:szCs w:val="21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00338D"/>
                        <w:spacing w:val="-1"/>
                        <w:sz w:val="21"/>
                        <w:szCs w:val="21"/>
                      </w:rPr>
                      <w:t>流动性和</w:t>
                    </w:r>
                  </w:p>
                  <w:p>
                    <w:pPr>
                      <w:spacing w:line="179" w:lineRule="auto"/>
                      <w:ind w:right="20"/>
                      <w:jc w:val="right"/>
                      <w:rPr>
                        <w:rFonts w:ascii="Microsoft YaHei" w:eastAsia="Microsoft YaHei" w:hAnsi="Microsoft YaHei" w:cs="Microsoft YaHei"/>
                        <w:sz w:val="21"/>
                        <w:szCs w:val="21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00338D"/>
                        <w:sz w:val="21"/>
                        <w:szCs w:val="21"/>
                      </w:rPr>
                      <w:t>集中度风险</w:t>
                    </w:r>
                  </w:p>
                  <w:p>
                    <w:pPr>
                      <w:spacing w:before="157" w:line="183" w:lineRule="auto"/>
                      <w:ind w:left="3359"/>
                      <w:rPr>
                        <w:rFonts w:ascii="Microsoft YaHei" w:eastAsia="Microsoft YaHei" w:hAnsi="Microsoft YaHei" w:cs="Microsoft YaHei"/>
                        <w:sz w:val="15"/>
                        <w:szCs w:val="15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color w:val="FFFFFF"/>
                        <w:spacing w:val="7"/>
                        <w:sz w:val="15"/>
                        <w:szCs w:val="15"/>
                      </w:rPr>
                      <w:t>流动性风险</w:t>
                    </w:r>
                  </w:p>
                  <w:p>
                    <w:pPr>
                      <w:spacing w:before="223" w:line="160" w:lineRule="auto"/>
                      <w:ind w:left="3356"/>
                      <w:rPr>
                        <w:rFonts w:ascii="Microsoft YaHei" w:eastAsia="Microsoft YaHei" w:hAnsi="Microsoft YaHei" w:cs="Microsoft YaHei"/>
                        <w:sz w:val="15"/>
                        <w:szCs w:val="15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color w:val="FFFFFF"/>
                        <w:spacing w:val="7"/>
                        <w:sz w:val="15"/>
                        <w:szCs w:val="15"/>
                      </w:rPr>
                      <w:t>行业集中度</w:t>
                    </w:r>
                  </w:p>
                  <w:p>
                    <w:pPr>
                      <w:spacing w:before="1" w:line="167" w:lineRule="auto"/>
                      <w:ind w:left="64"/>
                      <w:rPr>
                        <w:rFonts w:ascii="Microsoft YaHei" w:eastAsia="Microsoft YaHei" w:hAnsi="Microsoft YaHei" w:cs="Microsoft YaHei"/>
                        <w:sz w:val="21"/>
                        <w:szCs w:val="21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00338D"/>
                        <w:spacing w:val="-1"/>
                        <w:sz w:val="21"/>
                        <w:szCs w:val="21"/>
                      </w:rPr>
                      <w:t>信用风险</w:t>
                    </w:r>
                  </w:p>
                  <w:p>
                    <w:pPr>
                      <w:spacing w:line="140" w:lineRule="exact"/>
                      <w:ind w:left="3368"/>
                      <w:rPr>
                        <w:rFonts w:ascii="Microsoft YaHei" w:eastAsia="Microsoft YaHei" w:hAnsi="Microsoft YaHei" w:cs="Microsoft YaHei"/>
                        <w:sz w:val="15"/>
                        <w:szCs w:val="15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color w:val="FFFFFF"/>
                        <w:spacing w:val="5"/>
                        <w:position w:val="-1"/>
                        <w:sz w:val="15"/>
                        <w:szCs w:val="15"/>
                      </w:rPr>
                      <w:t>区域集中度</w:t>
                    </w:r>
                  </w:p>
                  <w:p>
                    <w:pPr>
                      <w:spacing w:line="145" w:lineRule="exact"/>
                      <w:ind w:left="2054"/>
                      <w:rPr>
                        <w:rFonts w:ascii="Microsoft YaHei" w:eastAsia="Microsoft YaHei" w:hAnsi="Microsoft YaHei" w:cs="Microsoft YaHei"/>
                        <w:sz w:val="15"/>
                        <w:szCs w:val="15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color w:val="FFFFFF"/>
                        <w:spacing w:val="7"/>
                        <w:position w:val="-1"/>
                        <w:sz w:val="15"/>
                        <w:szCs w:val="15"/>
                      </w:rPr>
                      <w:t>金融欺诈</w:t>
                    </w:r>
                  </w:p>
                  <w:p>
                    <w:pPr>
                      <w:spacing w:line="128" w:lineRule="exact"/>
                      <w:ind w:left="149"/>
                      <w:rPr>
                        <w:rFonts w:ascii="Microsoft YaHei" w:eastAsia="Microsoft YaHei" w:hAnsi="Microsoft YaHei" w:cs="Microsoft YaHei"/>
                        <w:sz w:val="15"/>
                        <w:szCs w:val="15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color w:val="FFFFFF"/>
                        <w:spacing w:val="7"/>
                        <w:position w:val="-1"/>
                        <w:sz w:val="15"/>
                        <w:szCs w:val="15"/>
                      </w:rPr>
                      <w:t>预期信用损失模型</w:t>
                    </w:r>
                  </w:p>
                  <w:p>
                    <w:pPr>
                      <w:spacing w:line="159" w:lineRule="exact"/>
                      <w:ind w:left="3358"/>
                      <w:rPr>
                        <w:rFonts w:ascii="Microsoft YaHei" w:eastAsia="Microsoft YaHei" w:hAnsi="Microsoft YaHei" w:cs="Microsoft YaHei"/>
                        <w:sz w:val="15"/>
                        <w:szCs w:val="15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color w:val="FFFFFF"/>
                        <w:spacing w:val="7"/>
                        <w:position w:val="-1"/>
                        <w:sz w:val="15"/>
                        <w:szCs w:val="15"/>
                      </w:rPr>
                      <w:t>客户集中度</w:t>
                    </w:r>
                  </w:p>
                  <w:p>
                    <w:pPr>
                      <w:spacing w:before="1" w:line="182" w:lineRule="auto"/>
                      <w:ind w:left="2343"/>
                      <w:rPr>
                        <w:rFonts w:ascii="Microsoft YaHei" w:eastAsia="Microsoft YaHei" w:hAnsi="Microsoft YaHei" w:cs="Microsoft YaHei"/>
                        <w:sz w:val="15"/>
                        <w:szCs w:val="15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color w:val="FFFFFF"/>
                        <w:spacing w:val="6"/>
                        <w:sz w:val="15"/>
                        <w:szCs w:val="15"/>
                      </w:rPr>
                      <w:t>运营韧性</w:t>
                    </w:r>
                  </w:p>
                  <w:p>
                    <w:pPr>
                      <w:spacing w:before="33" w:line="182" w:lineRule="auto"/>
                      <w:ind w:left="20"/>
                      <w:rPr>
                        <w:rFonts w:ascii="Microsoft YaHei" w:eastAsia="Microsoft YaHei" w:hAnsi="Microsoft YaHei" w:cs="Microsoft YaHei"/>
                        <w:sz w:val="15"/>
                        <w:szCs w:val="15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color w:val="FFFFFF"/>
                        <w:spacing w:val="6"/>
                        <w:sz w:val="15"/>
                        <w:szCs w:val="15"/>
                      </w:rPr>
                      <w:t>信贷结构</w:t>
                    </w:r>
                  </w:p>
                  <w:p>
                    <w:pPr>
                      <w:spacing w:before="90" w:line="178" w:lineRule="auto"/>
                      <w:ind w:left="1520"/>
                      <w:rPr>
                        <w:rFonts w:ascii="Microsoft YaHei" w:eastAsia="Microsoft YaHei" w:hAnsi="Microsoft YaHei" w:cs="Microsoft YaHei"/>
                        <w:sz w:val="15"/>
                        <w:szCs w:val="15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color w:val="FFFFFF"/>
                        <w:spacing w:val="5"/>
                        <w:sz w:val="15"/>
                        <w:szCs w:val="15"/>
                      </w:rPr>
                      <w:t>多头融资</w:t>
                    </w:r>
                  </w:p>
                  <w:p>
                    <w:pPr>
                      <w:spacing w:before="1" w:line="182" w:lineRule="auto"/>
                      <w:ind w:left="1514"/>
                      <w:rPr>
                        <w:rFonts w:ascii="Microsoft YaHei" w:eastAsia="Microsoft YaHei" w:hAnsi="Microsoft YaHei" w:cs="Microsoft YaHei"/>
                        <w:sz w:val="15"/>
                        <w:szCs w:val="15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color w:val="FFFFFF"/>
                        <w:spacing w:val="6"/>
                        <w:sz w:val="15"/>
                        <w:szCs w:val="15"/>
                      </w:rPr>
                      <w:t>过度融资</w:t>
                    </w:r>
                  </w:p>
                </w:txbxContent>
              </v:textbox>
            </v:shape>
            <v:shape id="_x0000_s1059" type="#_x0000_t202" style="width:1775;height:1276;left:5406;position:absolute;top:1904" filled="f" stroked="f">
              <o:lock v:ext="edit" aspectratio="f"/>
              <v:textbox inset="0,0,0,0">
                <w:txbxContent>
                  <w:p>
                    <w:pPr>
                      <w:spacing w:before="20" w:line="179" w:lineRule="auto"/>
                      <w:ind w:left="500"/>
                      <w:rPr>
                        <w:rFonts w:ascii="Microsoft YaHei" w:eastAsia="Microsoft YaHei" w:hAnsi="Microsoft YaHei" w:cs="Microsoft YaHei"/>
                        <w:sz w:val="21"/>
                        <w:szCs w:val="21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00338D"/>
                        <w:spacing w:val="-3"/>
                        <w:sz w:val="21"/>
                        <w:szCs w:val="21"/>
                      </w:rPr>
                      <w:t>战略风险</w:t>
                    </w:r>
                  </w:p>
                  <w:p>
                    <w:pPr>
                      <w:spacing w:before="174" w:line="183" w:lineRule="auto"/>
                      <w:ind w:left="422"/>
                      <w:rPr>
                        <w:rFonts w:ascii="Microsoft YaHei" w:eastAsia="Microsoft YaHei" w:hAnsi="Microsoft YaHei" w:cs="Microsoft YaHei"/>
                        <w:sz w:val="15"/>
                        <w:szCs w:val="15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color w:val="FFFFFF"/>
                        <w:spacing w:val="6"/>
                        <w:sz w:val="15"/>
                        <w:szCs w:val="15"/>
                      </w:rPr>
                      <w:t>公司治理</w:t>
                    </w:r>
                  </w:p>
                  <w:p>
                    <w:pPr>
                      <w:spacing w:before="208" w:line="181" w:lineRule="auto"/>
                      <w:ind w:left="20" w:right="20" w:firstLine="1"/>
                      <w:rPr>
                        <w:rFonts w:ascii="Microsoft YaHei" w:eastAsia="Microsoft YaHei" w:hAnsi="Microsoft YaHei" w:cs="Microsoft YaHei"/>
                        <w:sz w:val="15"/>
                        <w:szCs w:val="15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color w:val="FFFFFF"/>
                        <w:spacing w:val="7"/>
                        <w:sz w:val="15"/>
                        <w:szCs w:val="15"/>
                      </w:rPr>
                      <w:t>并表管理及综合化子公司</w:t>
                    </w:r>
                    <w:r>
                      <w:rPr>
                        <w:rFonts w:ascii="Microsoft YaHei" w:eastAsia="Microsoft YaHei" w:hAnsi="Microsoft YaHei" w:cs="Microsoft YaHei"/>
                        <w:color w:val="FFFFFF"/>
                        <w:spacing w:val="5"/>
                        <w:sz w:val="15"/>
                        <w:szCs w:val="15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color w:val="FFFFFF"/>
                        <w:spacing w:val="4"/>
                        <w:sz w:val="15"/>
                        <w:szCs w:val="15"/>
                      </w:rPr>
                      <w:t>管理</w:t>
                    </w:r>
                  </w:p>
                </w:txbxContent>
              </v:textbox>
            </v:shape>
            <v:shape id="_x0000_s1060" type="#_x0000_t202" style="width:1199;height:617;left:4800;position:absolute;top:3196" filled="f" stroked="f">
              <o:lock v:ext="edit" aspectratio="f"/>
              <v:textbox inset="0,0,0,0">
                <w:txbxContent>
                  <w:p>
                    <w:pPr>
                      <w:spacing w:before="20" w:line="182" w:lineRule="auto"/>
                      <w:ind w:right="20"/>
                      <w:jc w:val="right"/>
                      <w:rPr>
                        <w:rFonts w:ascii="Microsoft YaHei" w:eastAsia="Microsoft YaHei" w:hAnsi="Microsoft YaHei" w:cs="Microsoft YaHei"/>
                        <w:sz w:val="15"/>
                        <w:szCs w:val="15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color w:val="FFFFFF"/>
                        <w:spacing w:val="7"/>
                        <w:sz w:val="15"/>
                        <w:szCs w:val="15"/>
                      </w:rPr>
                      <w:t>数字化转型</w:t>
                    </w:r>
                  </w:p>
                  <w:p>
                    <w:pPr>
                      <w:spacing w:before="186" w:line="182" w:lineRule="auto"/>
                      <w:ind w:left="20"/>
                      <w:rPr>
                        <w:rFonts w:ascii="Microsoft YaHei" w:eastAsia="Microsoft YaHei" w:hAnsi="Microsoft YaHei" w:cs="Microsoft YaHei"/>
                        <w:sz w:val="15"/>
                        <w:szCs w:val="15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color w:val="FFFFFF"/>
                        <w:spacing w:val="7"/>
                        <w:sz w:val="15"/>
                        <w:szCs w:val="15"/>
                      </w:rPr>
                      <w:t>发展与可持续性</w:t>
                    </w:r>
                  </w:p>
                </w:txbxContent>
              </v:textbox>
            </v:shape>
            <v:shape id="_x0000_s1061" type="#_x0000_t202" style="width:2690;height:236;left:4198;position:absolute;top:112" filled="f" stroked="f">
              <o:lock v:ext="edit" aspectratio="f"/>
              <v:textbox inset="0,0,0,0">
                <w:txbxContent>
                  <w:p>
                    <w:pPr>
                      <w:spacing w:before="20" w:line="182" w:lineRule="auto"/>
                      <w:ind w:left="20"/>
                      <w:rPr>
                        <w:rFonts w:ascii="Microsoft YaHei" w:eastAsia="Microsoft YaHei" w:hAnsi="Microsoft YaHei" w:cs="Microsoft YaHei"/>
                        <w:sz w:val="15"/>
                        <w:szCs w:val="15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color w:val="00338D"/>
                        <w:spacing w:val="7"/>
                        <w:sz w:val="15"/>
                        <w:szCs w:val="15"/>
                      </w:rPr>
                      <w:t>数据治理</w:t>
                    </w:r>
                    <w:r>
                      <w:rPr>
                        <w:rFonts w:ascii="Microsoft YaHei" w:eastAsia="Microsoft YaHei" w:hAnsi="Microsoft YaHei" w:cs="Microsoft YaHei"/>
                        <w:color w:val="00338D"/>
                        <w:spacing w:val="1"/>
                        <w:sz w:val="15"/>
                        <w:szCs w:val="15"/>
                      </w:rPr>
                      <w:t xml:space="preserve">                    </w:t>
                    </w:r>
                    <w:r>
                      <w:rPr>
                        <w:rFonts w:ascii="Microsoft YaHei" w:eastAsia="Microsoft YaHei" w:hAnsi="Microsoft YaHei" w:cs="Microsoft YaHei"/>
                        <w:color w:val="00338D"/>
                        <w:spacing w:val="7"/>
                        <w:sz w:val="15"/>
                        <w:szCs w:val="15"/>
                      </w:rPr>
                      <w:t>模型与技术风险</w:t>
                    </w:r>
                  </w:p>
                </w:txbxContent>
              </v:textbox>
            </v:shape>
            <v:shape id="_x0000_s1062" type="#_x0000_t202" style="width:1143;height:430;left:2446;position:absolute;top:1735" filled="f" stroked="f">
              <o:lock v:ext="edit" aspectratio="f"/>
              <v:textbox inset="0,0,0,0">
                <w:txbxContent>
                  <w:p>
                    <w:pPr>
                      <w:spacing w:before="20" w:line="181" w:lineRule="auto"/>
                      <w:ind w:left="20" w:right="20"/>
                      <w:rPr>
                        <w:rFonts w:ascii="Microsoft YaHei" w:eastAsia="Microsoft YaHei" w:hAnsi="Microsoft YaHei" w:cs="Microsoft YaHei"/>
                        <w:sz w:val="15"/>
                        <w:szCs w:val="15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color w:val="FFFFFF"/>
                        <w:spacing w:val="7"/>
                        <w:sz w:val="15"/>
                        <w:szCs w:val="15"/>
                      </w:rPr>
                      <w:t>案件风险与行为</w:t>
                    </w:r>
                    <w:r>
                      <w:rPr>
                        <w:rFonts w:ascii="Microsoft YaHei" w:eastAsia="Microsoft YaHei" w:hAnsi="Microsoft YaHei" w:cs="Microsoft YaHei"/>
                        <w:color w:val="FFFFFF"/>
                        <w:spacing w:val="2"/>
                        <w:sz w:val="15"/>
                        <w:szCs w:val="15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color w:val="FFFFFF"/>
                        <w:spacing w:val="4"/>
                        <w:sz w:val="15"/>
                        <w:szCs w:val="15"/>
                      </w:rPr>
                      <w:t>风险</w:t>
                    </w:r>
                  </w:p>
                </w:txbxContent>
              </v:textbox>
            </v:shape>
            <v:shape id="_x0000_s1063" type="#_x0000_t202" style="width:880;height:310;left:2358;position:absolute;top:792" filled="f" stroked="f">
              <o:lock v:ext="edit" aspectratio="f"/>
              <v:textbox inset="0,0,0,0">
                <w:txbxContent>
                  <w:p>
                    <w:pPr>
                      <w:spacing w:before="20" w:line="179" w:lineRule="auto"/>
                      <w:ind w:left="20"/>
                      <w:rPr>
                        <w:rFonts w:ascii="Microsoft YaHei" w:eastAsia="Microsoft YaHei" w:hAnsi="Microsoft YaHei" w:cs="Microsoft YaHei"/>
                        <w:sz w:val="21"/>
                        <w:szCs w:val="21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00338D"/>
                        <w:spacing w:val="-1"/>
                        <w:sz w:val="21"/>
                        <w:szCs w:val="21"/>
                      </w:rPr>
                      <w:t>操作风险</w:t>
                    </w:r>
                  </w:p>
                </w:txbxContent>
              </v:textbox>
            </v:shape>
            <v:shape id="_x0000_s1064" type="#_x0000_t202" style="width:985;height:237;left:879;position:absolute;top:125" filled="f" stroked="f">
              <o:lock v:ext="edit" aspectratio="f"/>
              <v:textbox inset="0,0,0,0">
                <w:txbxContent>
                  <w:p>
                    <w:pPr>
                      <w:spacing w:before="20" w:line="184" w:lineRule="auto"/>
                      <w:ind w:left="20"/>
                      <w:rPr>
                        <w:rFonts w:ascii="Microsoft YaHei" w:eastAsia="Microsoft YaHei" w:hAnsi="Microsoft YaHei" w:cs="Microsoft YaHei"/>
                        <w:sz w:val="15"/>
                        <w:szCs w:val="15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color w:val="00338D"/>
                        <w:spacing w:val="7"/>
                        <w:sz w:val="15"/>
                        <w:szCs w:val="15"/>
                      </w:rPr>
                      <w:t>个人信息保护</w:t>
                    </w:r>
                  </w:p>
                </w:txbxContent>
              </v:textbox>
            </v:shape>
            <v:shape id="_x0000_s1065" type="#_x0000_t202" style="width:821;height:235;left:2048;position:absolute;top:1371" filled="f" stroked="f">
              <o:lock v:ext="edit" aspectratio="f"/>
              <v:textbox inset="0,0,0,0">
                <w:txbxContent>
                  <w:p>
                    <w:pPr>
                      <w:spacing w:before="19" w:line="182" w:lineRule="auto"/>
                      <w:ind w:left="20"/>
                      <w:rPr>
                        <w:rFonts w:ascii="Microsoft YaHei" w:eastAsia="Microsoft YaHei" w:hAnsi="Microsoft YaHei" w:cs="Microsoft YaHei"/>
                        <w:sz w:val="15"/>
                        <w:szCs w:val="15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color w:val="FFFFFF"/>
                        <w:spacing w:val="6"/>
                        <w:sz w:val="15"/>
                        <w:szCs w:val="15"/>
                      </w:rPr>
                      <w:t>业务连续性</w:t>
                    </w:r>
                  </w:p>
                </w:txbxContent>
              </v:textbox>
            </v:shape>
            <v:shape id="_x0000_s1066" type="#_x0000_t202" style="width:666;height:236;left:6060;position:absolute;top:633" filled="f" stroked="f">
              <o:lock v:ext="edit" aspectratio="f"/>
              <v:textbox inset="0,0,0,0">
                <w:txbxContent>
                  <w:p>
                    <w:pPr>
                      <w:spacing w:before="20" w:line="182" w:lineRule="auto"/>
                      <w:ind w:left="20"/>
                      <w:rPr>
                        <w:rFonts w:ascii="Microsoft YaHei" w:eastAsia="Microsoft YaHei" w:hAnsi="Microsoft YaHei" w:cs="Microsoft YaHei"/>
                        <w:sz w:val="15"/>
                        <w:szCs w:val="15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color w:val="00338D"/>
                        <w:spacing w:val="6"/>
                        <w:sz w:val="15"/>
                        <w:szCs w:val="15"/>
                      </w:rPr>
                      <w:t>数字货币</w:t>
                    </w:r>
                  </w:p>
                </w:txbxContent>
              </v:textbox>
            </v:shape>
            <v:shape id="_x0000_s1067" type="#_x0000_t202" style="width:665;height:237;left:612;position:absolute;top:3494" filled="f" stroked="f">
              <o:lock v:ext="edit" aspectratio="f"/>
              <v:textbox inset="0,0,0,0">
                <w:txbxContent>
                  <w:p>
                    <w:pPr>
                      <w:spacing w:before="19" w:line="183" w:lineRule="auto"/>
                      <w:ind w:left="20"/>
                      <w:rPr>
                        <w:rFonts w:ascii="Microsoft YaHei" w:eastAsia="Microsoft YaHei" w:hAnsi="Microsoft YaHei" w:cs="Microsoft YaHei"/>
                        <w:sz w:val="15"/>
                        <w:szCs w:val="15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color w:val="FFFFFF"/>
                        <w:spacing w:val="6"/>
                        <w:sz w:val="15"/>
                        <w:szCs w:val="15"/>
                      </w:rPr>
                      <w:t>资产质量</w:t>
                    </w:r>
                  </w:p>
                </w:txbxContent>
              </v:textbox>
            </v:shape>
            <v:shape id="_x0000_s1068" type="#_x0000_t202" style="width:665;height:236;left:6569;position:absolute;top:3578" filled="f" stroked="f">
              <o:lock v:ext="edit" aspectratio="f"/>
              <v:textbox inset="0,0,0,0">
                <w:txbxContent>
                  <w:p>
                    <w:pPr>
                      <w:spacing w:before="20" w:line="182" w:lineRule="auto"/>
                      <w:ind w:left="20"/>
                      <w:rPr>
                        <w:rFonts w:ascii="Microsoft YaHei" w:eastAsia="Microsoft YaHei" w:hAnsi="Microsoft YaHei" w:cs="Microsoft YaHei"/>
                        <w:sz w:val="15"/>
                        <w:szCs w:val="15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color w:val="FFFFFF"/>
                        <w:spacing w:val="6"/>
                        <w:sz w:val="15"/>
                        <w:szCs w:val="15"/>
                      </w:rPr>
                      <w:t>资本管理</w:t>
                    </w:r>
                  </w:p>
                </w:txbxContent>
              </v:textbox>
            </v:shape>
          </v:group>
        </w:pict>
      </w:r>
      <w:r>
        <w:pict>
          <v:shape id="_x0000_s1069" type="#_x0000_t202" style="width:75.65pt;height:28.2pt;margin-top:288.47pt;margin-left:633.97pt;mso-position-horizontal-relative:page;mso-position-vertical-relative:page;position:absolute;z-index:251727872" o:allowincell="f" filled="f" stroked="f">
            <o:lock v:ext="edit" aspectratio="f"/>
            <v:textbox inset="0,0,0,0">
              <w:txbxContent>
                <w:p>
                  <w:pPr>
                    <w:spacing w:before="18" w:line="175" w:lineRule="auto"/>
                    <w:ind w:left="20" w:right="20" w:firstLine="3"/>
                    <w:rPr>
                      <w:rFonts w:ascii="Microsoft YaHei" w:eastAsia="Microsoft YaHei" w:hAnsi="Microsoft YaHei" w:cs="Microsoft YaHei"/>
                      <w:sz w:val="21"/>
                      <w:szCs w:val="21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00338D"/>
                      <w:spacing w:val="-1"/>
                      <w:sz w:val="21"/>
                      <w:szCs w:val="21"/>
                    </w:rPr>
                    <w:t>市场风险和银行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00338D"/>
                      <w:spacing w:val="4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00338D"/>
                      <w:sz w:val="21"/>
                      <w:szCs w:val="21"/>
                    </w:rPr>
                    <w:t>账簿利率风险</w:t>
                  </w:r>
                </w:p>
              </w:txbxContent>
            </v:textbox>
          </v:shape>
        </w:pict>
      </w:r>
      <w:r>
        <w:pict>
          <v:shape id="_x0000_s1070" type="#_x0000_t202" style="width:54.5pt;height:28.2pt;margin-top:288.5pt;margin-left:84.55pt;mso-position-horizontal-relative:page;mso-position-vertical-relative:page;position:absolute;z-index:251728896" o:allowincell="f" filled="f" stroked="f">
            <o:lock v:ext="edit" aspectratio="f"/>
            <v:textbox inset="0,0,0,0">
              <w:txbxContent>
                <w:p>
                  <w:pPr>
                    <w:spacing w:before="20" w:line="174" w:lineRule="auto"/>
                    <w:ind w:left="22" w:right="20" w:hanging="2"/>
                    <w:rPr>
                      <w:rFonts w:ascii="Microsoft YaHei" w:eastAsia="Microsoft YaHei" w:hAnsi="Microsoft YaHei" w:cs="Microsoft YaHei"/>
                      <w:sz w:val="21"/>
                      <w:szCs w:val="21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00338D"/>
                      <w:spacing w:val="-1"/>
                      <w:sz w:val="21"/>
                      <w:szCs w:val="21"/>
                    </w:rPr>
                    <w:t>宏观环境与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00338D"/>
                      <w:spacing w:val="3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00338D"/>
                      <w:spacing w:val="-1"/>
                      <w:sz w:val="21"/>
                      <w:szCs w:val="21"/>
                    </w:rPr>
                    <w:t>监管风险</w:t>
                  </w:r>
                </w:p>
              </w:txbxContent>
            </v:textbox>
          </v:shape>
        </w:pict>
      </w:r>
      <w:r>
        <w:pict>
          <v:group id="_x0000_s1071" style="width:8.45pt;height:8.45pt;margin-top:230.86pt;margin-left:399.58pt;mso-position-horizontal-relative:page;mso-position-vertical-relative:page;position:absolute;z-index:251679744" coordorigin="0,0" coordsize="168,168" o:allowincell="f" filled="f" stroked="f">
            <v:shape id="_x0000_s1072" style="width:148;height:148;left:10;position:absolute;top:10" coordorigin="0,0" coordsize="148,148" path="m,74l74,l148,74l111,74l111,148l37,148l37,74l,74xe" filled="t" fillcolor="#1e49e2" stroked="f"/>
            <v:shape id="_x0000_s1073" style="width:168;height:168;position:absolute" coordorigin="0,0" coordsize="168,168" path="m10,84l84,10l158,84l121,84l121,158l47,158l47,84l10,84xe" filled="f" strokecolor="#1e49e2" strokeweight="1pt">
              <v:stroke joinstyle="miter"/>
            </v:shape>
          </v:group>
        </w:pict>
      </w:r>
      <w:r>
        <w:pict>
          <v:group id="_x0000_s1074" style="width:8.45pt;height:8.45pt;margin-top:409.42pt;margin-left:446.14pt;mso-position-horizontal-relative:page;mso-position-vertical-relative:page;position:absolute;z-index:251706368" coordorigin="0,0" coordsize="168,168" o:allowincell="f" filled="f" stroked="f">
            <v:shape id="_x0000_s1075" style="width:148;height:148;left:10;position:absolute;top:10" coordorigin="0,0" coordsize="148,148" path="m,74l74,l148,74l111,74l111,148l37,148l37,74l,74xe" filled="t" fillcolor="#1e49e2" stroked="f"/>
            <v:shape id="_x0000_s1076" style="width:168;height:168;position:absolute" coordorigin="0,0" coordsize="168,168" path="m10,84l84,10l158,84l121,84l121,158l47,158l47,84l10,84xe" filled="f" strokecolor="#1e49e2" strokeweight="1pt">
              <v:stroke joinstyle="miter"/>
            </v:shape>
          </v:group>
        </w:pict>
      </w:r>
      <w:r>
        <w:pict>
          <v:group id="_x0000_s1077" style="width:8.45pt;height:8.25pt;margin-top:255.58pt;margin-left:399.58pt;mso-position-horizontal-relative:page;mso-position-vertical-relative:page;position:absolute;z-index:251697152" coordorigin="0,0" coordsize="168,165" o:allowincell="f" filled="f" stroked="f">
            <v:shape id="_x0000_s1078" style="width:148;height:145;left:10;position:absolute;top:10" coordorigin="0,0" coordsize="148,145" path="m,72l74,l148,72l111,72l111,144l37,144l37,72l,72xe" filled="t" fillcolor="#1e49e2" stroked="f"/>
            <v:shape id="_x0000_s1079" style="width:168;height:165;position:absolute" coordorigin="0,0" coordsize="168,165" path="m10,82l84,10l158,82l121,82l121,154l47,154l47,82l10,82xe" filled="f" strokecolor="#1e49e2" strokeweight="1pt">
              <v:stroke joinstyle="miter"/>
            </v:shape>
          </v:group>
        </w:pict>
      </w:r>
      <w:r>
        <w:pict>
          <v:group id="_x0000_s1080" style="width:8.7pt;height:8.25pt;margin-top:336.7pt;margin-left:137.74pt;mso-position-horizontal-relative:page;mso-position-vertical-relative:page;position:absolute;z-index:251673600" coordorigin="0,0" coordsize="173,165" o:allowincell="f" filled="f" stroked="f">
            <v:shape id="_x0000_s1081" style="width:153;height:145;left:10;position:absolute;top:10" coordorigin="0,0" coordsize="153,145" path="m,72l76,l153,72l115,72l115,144l38,144l38,72l,72xe" filled="t" fillcolor="#1e49e2" stroked="f"/>
            <v:shape id="_x0000_s1082" style="width:173;height:165;position:absolute" coordorigin="0,0" coordsize="173,165" path="m10,82l86,10l163,82l125,82l125,154l48,154l48,82l10,82xe" filled="f" strokecolor="#1e49e2" strokeweight="1pt">
              <v:stroke joinstyle="miter"/>
            </v:shape>
          </v:group>
        </w:pict>
      </w:r>
      <w:r>
        <w:pict>
          <v:group id="_x0000_s1083" style="width:8.7pt;height:8.45pt;margin-top:256.3pt;margin-left:309.82pt;mso-position-horizontal-relative:page;mso-position-vertical-relative:page;position:absolute;z-index:251693056" coordorigin="0,0" coordsize="173,168" o:allowincell="f" filled="f" stroked="f">
            <v:shape id="_x0000_s1084" style="width:153;height:148;left:10;position:absolute;top:10" coordorigin="0,0" coordsize="153,148" path="m,74l76,l153,74l115,74l115,148l38,148l38,74l,74xe" filled="t" fillcolor="#1e49e2" stroked="f"/>
            <v:shape id="_x0000_s1085" style="width:173;height:168;position:absolute" coordorigin="0,0" coordsize="173,168" path="m10,84l86,10l163,84l125,84l125,158l48,158l48,84l10,84xe" filled="f" strokecolor="#1e49e2" strokeweight="1pt">
              <v:stroke joinstyle="miter"/>
            </v:shape>
          </v:group>
        </w:pict>
      </w:r>
      <w:r>
        <w:pict>
          <v:group id="_x0000_s1086" style="width:8.45pt;height:8.45pt;margin-top:281.02pt;margin-left:493.9pt;mso-position-horizontal-relative:page;mso-position-vertical-relative:page;position:absolute;z-index:251694080" coordorigin="0,0" coordsize="168,168" o:allowincell="f" filled="f" stroked="f">
            <v:shape id="_x0000_s1087" style="width:148;height:148;left:10;position:absolute;top:10" coordorigin="0,0" coordsize="148,148" path="m,74l74,148l148,74l74,l,74xe" filled="t" fillcolor="#7213ea" stroked="f"/>
            <v:shape id="_x0000_s1088" style="width:168;height:168;position:absolute" coordorigin="0,0" coordsize="168,168" path="m10,84l84,158l158,84l84,10l10,84xe" filled="f" strokecolor="#7213ea" strokeweight="1pt">
              <v:stroke joinstyle="miter"/>
            </v:shape>
          </v:group>
        </w:pict>
      </w:r>
      <w:r>
        <w:pict>
          <v:group id="_x0000_s1089" style="width:8.7pt;height:8.25pt;margin-top:360.7pt;margin-left:394.78pt;mso-position-horizontal-relative:page;mso-position-vertical-relative:page;position:absolute;z-index:251699200" coordorigin="0,0" coordsize="173,165" o:allowincell="f" filled="f" stroked="f">
            <v:shape id="_x0000_s1090" style="width:153;height:145;left:10;position:absolute;top:10" coordorigin="0,0" coordsize="153,145" path="m,72l76,144l153,72l76,l,72xe" filled="t" fillcolor="#7213ea" stroked="f"/>
            <v:shape id="_x0000_s1091" style="width:173;height:165;position:absolute" coordorigin="0,0" coordsize="173,165" path="m10,82l86,154l163,82l86,10l10,82xe" filled="f" strokecolor="#7213ea" strokeweight="1pt">
              <v:stroke joinstyle="miter"/>
            </v:shape>
          </v:group>
        </w:pict>
      </w:r>
      <w:r>
        <w:pict>
          <v:group id="_x0000_s1092" style="width:8.7pt;height:8.45pt;margin-top:380.38pt;margin-left:394.78pt;mso-position-horizontal-relative:page;mso-position-vertical-relative:page;position:absolute;z-index:251692032" coordorigin="0,0" coordsize="173,168" o:allowincell="f" filled="f" stroked="f">
            <v:shape id="_x0000_s1093" style="width:153;height:148;left:10;position:absolute;top:10" coordorigin="0,0" coordsize="153,148" path="m,74l76,148l153,74l76,l,74xe" filled="t" fillcolor="#7213ea" stroked="f"/>
            <v:shape id="_x0000_s1094" style="width:173;height:168;position:absolute" coordorigin="0,0" coordsize="173,168" path="m10,84l86,158l163,84l86,10l10,84xe" filled="f" strokecolor="#7213ea" strokeweight="1pt">
              <v:stroke joinstyle="miter"/>
            </v:shape>
          </v:group>
        </w:pict>
      </w:r>
      <w:r>
        <w:pict>
          <v:group id="_x0000_s1095" style="width:8.7pt;height:8.45pt;margin-top:318.46pt;margin-left:290.38pt;mso-position-horizontal-relative:page;mso-position-vertical-relative:page;position:absolute;z-index:251698176" coordorigin="0,0" coordsize="173,168" o:allowincell="f" filled="f" stroked="f">
            <v:shape id="_x0000_s1096" style="width:153;height:148;left:10;position:absolute;top:10" coordorigin="0,0" coordsize="153,148" path="m,74l76,148l153,74l76,l,74xe" filled="t" fillcolor="#7213ea" stroked="f"/>
            <v:shape id="_x0000_s1097" style="width:173;height:168;position:absolute" coordorigin="0,0" coordsize="173,168" path="m10,84l86,158l163,84l86,10l10,84xe" filled="f" strokecolor="#7213ea" strokeweight="1pt">
              <v:stroke joinstyle="miter"/>
            </v:shape>
          </v:group>
        </w:pict>
      </w:r>
      <w:r>
        <w:pict>
          <v:group id="_x0000_s1098" style="width:8.45pt;height:8.45pt;margin-top:277.42pt;margin-left:245.02pt;mso-position-horizontal-relative:page;mso-position-vertical-relative:page;position:absolute;z-index:251705344" coordorigin="0,0" coordsize="168,168" o:allowincell="f" filled="f" stroked="f">
            <v:shape id="_x0000_s1099" style="width:148;height:148;left:10;position:absolute;top:10" coordorigin="0,0" coordsize="148,148" path="m,74l74,l148,74l111,74l111,148l37,148l37,74l,74xe" filled="t" fillcolor="#1e49e2" stroked="f"/>
            <v:shape id="_x0000_s1100" style="width:168;height:168;position:absolute" coordorigin="0,0" coordsize="168,168" path="m10,84l84,10l158,84l121,84l121,158l47,158l47,84l10,84xe" filled="f" strokecolor="#1e49e2" strokeweight="1pt">
              <v:stroke joinstyle="miter"/>
            </v:shape>
          </v:group>
        </w:pict>
      </w:r>
      <w:r>
        <w:pict>
          <v:group id="_x0000_s1101" style="width:8.45pt;height:8.45pt;margin-top:368.38pt;margin-left:327.58pt;mso-position-horizontal-relative:page;mso-position-vertical-relative:page;position:absolute;z-index:251702272" coordorigin="0,0" coordsize="168,168" o:allowincell="f" filled="f" stroked="f">
            <v:shape id="_x0000_s1102" style="width:148;height:148;left:10;position:absolute;top:10" coordorigin="0,0" coordsize="148,148" path="m,74l74,148l148,74l74,l,74xe" filled="t" fillcolor="#7213ea" stroked="f"/>
            <v:shape id="_x0000_s1103" style="width:168;height:168;position:absolute" coordorigin="0,0" coordsize="168,168" path="m10,84l84,158l158,84l84,10l10,84xe" filled="f" strokecolor="#7213ea" strokeweight="1pt">
              <v:stroke joinstyle="miter"/>
            </v:shape>
          </v:group>
        </w:pict>
      </w:r>
      <w:r>
        <w:pict>
          <v:group id="_x0000_s1104" style="width:8.7pt;height:8.25pt;margin-top:346.54pt;margin-left:573.58pt;mso-position-horizontal-relative:page;mso-position-vertical-relative:page;position:absolute;z-index:251704320" coordorigin="0,0" coordsize="173,165" o:allowincell="f" filled="f" stroked="f">
            <v:shape id="_x0000_s1105" style="width:153;height:145;left:10;position:absolute;top:10" coordorigin="0,0" coordsize="153,145" path="m,72l76,l153,72l115,72l115,144l38,144l38,72l,72xe" filled="t" fillcolor="#1e49e2" stroked="f"/>
            <v:shape id="_x0000_s1106" style="width:173;height:165;position:absolute" coordorigin="0,0" coordsize="173,165" path="m10,82l86,10l163,82l125,82l125,154l48,154l48,82l10,82xe" filled="f" strokecolor="#1e49e2" strokeweight="1pt">
              <v:stroke joinstyle="miter"/>
            </v:shape>
          </v:group>
        </w:pict>
      </w:r>
      <w:r>
        <w:pict>
          <v:group id="_x0000_s1107" style="width:8.7pt;height:8.25pt;margin-top:383.02pt;margin-left:586.06pt;mso-position-horizontal-relative:page;mso-position-vertical-relative:page;position:absolute;z-index:251678720" coordorigin="0,0" coordsize="173,165" o:allowincell="f" filled="f" stroked="f">
            <v:shape id="_x0000_s1108" style="width:153;height:145;left:10;position:absolute;top:10" coordorigin="0,0" coordsize="153,145" path="m,72l76,l153,72l115,72l115,144l38,144l38,72l,72xe" filled="t" fillcolor="#1e49e2" stroked="f"/>
            <v:shape id="_x0000_s1109" style="width:173;height:165;position:absolute" coordorigin="0,0" coordsize="173,165" path="m10,82l86,10l163,82l125,82l125,154l48,154l48,82l10,82xe" filled="f" strokecolor="#1e49e2" strokeweight="1pt">
              <v:stroke joinstyle="miter"/>
            </v:shape>
          </v:group>
        </w:pict>
      </w:r>
      <w:r>
        <w:pict>
          <v:group id="_x0000_s1110" style="width:8.45pt;height:8.45pt;margin-top:377.02pt;margin-left:232.78pt;mso-position-horizontal-relative:page;mso-position-vertical-relative:page;position:absolute;z-index:251703296" coordorigin="0,0" coordsize="168,168" o:allowincell="f" filled="f" stroked="f">
            <v:shape id="_x0000_s1111" style="width:148;height:148;left:10;position:absolute;top:10" coordorigin="0,0" coordsize="148,148" path="m,74l74,148l148,74l74,l,74xe" filled="t" fillcolor="#7213ea" stroked="f"/>
            <v:shape id="_x0000_s1112" style="width:168;height:168;position:absolute" coordorigin="0,0" coordsize="168,168" path="m10,84l84,158l158,84l84,10l10,84xe" filled="f" strokecolor="#7213ea" strokeweight="1pt">
              <v:stroke joinstyle="miter"/>
            </v:shape>
          </v:group>
        </w:pict>
      </w:r>
      <w:r>
        <w:pict>
          <v:group id="_x0000_s1113" style="width:8.7pt;height:8.45pt;margin-top:357.58pt;margin-left:130.54pt;mso-position-horizontal-relative:page;mso-position-vertical-relative:page;position:absolute;z-index:251671552" coordorigin="0,0" coordsize="173,168" o:allowincell="f" filled="f" stroked="f">
            <v:shape id="_x0000_s1114" style="width:153;height:148;left:10;position:absolute;top:10" coordorigin="0,0" coordsize="153,148" path="m,74l76,l153,74l115,74l115,148l38,148l38,74l,74xe" filled="t" fillcolor="#1e49e2" stroked="f"/>
            <v:shape id="_x0000_s1115" style="width:173;height:168;position:absolute" coordorigin="0,0" coordsize="173,168" path="m10,84l86,10l163,84l125,84l125,158l48,158l48,84l10,84xe" filled="f" strokecolor="#1e49e2" strokeweight="1pt">
              <v:stroke joinstyle="miter"/>
            </v:shape>
          </v:group>
        </w:pict>
      </w:r>
      <w:r>
        <w:pict>
          <v:group id="_x0000_s1116" style="width:8.45pt;height:8.25pt;margin-top:340.3pt;margin-left:311.98pt;mso-position-horizontal-relative:page;mso-position-vertical-relative:page;position:absolute;z-index:251708416" coordorigin="0,0" coordsize="168,165" o:allowincell="f" filled="f" stroked="f">
            <v:shape id="_x0000_s1117" style="width:148;height:145;left:10;position:absolute;top:10" coordorigin="0,0" coordsize="148,145" path="m,72l74,l148,72l111,72l111,144l37,144l37,72l,72xe" filled="t" fillcolor="#1e49e2" stroked="f"/>
            <v:shape id="_x0000_s1118" style="width:168;height:165;position:absolute" coordorigin="0,0" coordsize="168,165" path="m10,82l84,10l158,82l121,82l121,154l47,154l47,82l10,82xe" filled="f" strokecolor="#1e49e2" strokeweight="1pt">
              <v:stroke joinstyle="miter"/>
            </v:shape>
          </v:group>
        </w:pict>
      </w:r>
      <w:r>
        <w:pict>
          <v:group id="_x0000_s1119" style="width:8.45pt;height:8.2pt;margin-top:429.1pt;margin-left:516.94pt;mso-position-horizontal-relative:page;mso-position-vertical-relative:page;position:absolute;z-index:251709440" coordorigin="0,0" coordsize="168,163" o:allowincell="f" filled="f" stroked="f">
            <v:shape id="_x0000_s1120" style="width:148;height:143;left:10;position:absolute;top:10" coordorigin="0,0" coordsize="148,143" path="m,71l74,l148,71l111,71l111,143l37,143l37,71l,71xe" filled="t" fillcolor="#1e49e2" stroked="f"/>
            <v:shape id="_x0000_s1121" style="width:168;height:163;position:absolute" coordorigin="0,0" coordsize="168,163" path="m10,81l84,10l158,81l121,81l121,153l47,153l47,81l10,81xe" filled="f" strokecolor="#1e49e2" strokeweight="1pt">
              <v:stroke joinstyle="miter"/>
            </v:shape>
          </v:group>
        </w:pict>
      </w:r>
      <w:r>
        <w:pict>
          <v:group id="_x0000_s1122" style="width:8.45pt;height:8.45pt;margin-top:424.78pt;margin-left:219.82pt;mso-position-horizontal-relative:page;mso-position-vertical-relative:page;position:absolute;z-index:251696128" coordorigin="0,0" coordsize="168,168" o:allowincell="f" filled="f" stroked="f">
            <v:shape id="_x0000_s1123" style="width:148;height:148;left:10;position:absolute;top:10" coordorigin="0,0" coordsize="148,148" path="m,74l74,l148,74l111,74l111,148l37,148l37,74l,74xe" filled="t" fillcolor="#1e49e2" stroked="f"/>
            <v:shape id="_x0000_s1124" style="width:168;height:168;position:absolute" coordorigin="0,0" coordsize="168,168" path="m10,84l84,10l158,84l121,84l121,158l47,158l47,84l10,84xe" filled="f" strokecolor="#1e49e2" strokeweight="1pt">
              <v:stroke joinstyle="miter"/>
            </v:shape>
          </v:group>
        </w:pict>
      </w:r>
      <w:r>
        <w:pict>
          <v:group id="_x0000_s1125" style="width:8.45pt;height:8.45pt;margin-top:216.7pt;margin-left:242.14pt;mso-position-horizontal-relative:page;mso-position-vertical-relative:page;position:absolute;z-index:251676672" coordorigin="0,0" coordsize="168,168" o:allowincell="f" filled="f" stroked="f">
            <v:shape id="_x0000_s1126" style="width:148;height:148;left:10;position:absolute;top:10" coordorigin="0,0" coordsize="148,148" path="m,74l74,148l148,74l74,l,74xe" filled="t" fillcolor="#7213ea" stroked="f"/>
            <v:shape id="_x0000_s1127" style="width:168;height:168;position:absolute" coordorigin="0,0" coordsize="168,168" path="m10,84l84,158l158,84l84,10l10,84xe" filled="f" strokecolor="#7213ea" strokeweight="1pt">
              <v:stroke joinstyle="miter"/>
            </v:shape>
          </v:group>
        </w:pict>
      </w:r>
      <w:r>
        <w:pict>
          <v:group id="_x0000_s1128" style="width:8.7pt;height:8.45pt;margin-top:367.42pt;margin-left:479.5pt;mso-position-horizontal-relative:page;mso-position-vertical-relative:page;position:absolute;z-index:251695104" coordorigin="0,0" coordsize="173,168" o:allowincell="f" filled="f" stroked="f">
            <v:shape id="_x0000_s1129" style="width:153;height:148;left:10;position:absolute;top:10" coordorigin="0,0" coordsize="153,148" path="m,74l76,148l153,74l76,l,74xe" filled="t" fillcolor="#7213ea" stroked="f"/>
            <v:shape id="_x0000_s1130" style="width:173;height:168;position:absolute" coordorigin="0,0" coordsize="173,168" path="m10,84l86,158l163,84l86,10l10,84xe" filled="f" strokecolor="#7213ea" strokeweight="1pt">
              <v:stroke joinstyle="miter"/>
            </v:shape>
          </v:group>
        </w:pict>
      </w:r>
      <w:r>
        <w:pict>
          <v:group id="_x0000_s1131" style="width:8.7pt;height:8.45pt;margin-top:318.46pt;margin-left:394.78pt;mso-position-horizontal-relative:page;mso-position-vertical-relative:page;position:absolute;z-index:251701248" coordorigin="0,0" coordsize="173,168" o:allowincell="f" filled="f" stroked="f">
            <v:shape id="_x0000_s1132" style="width:153;height:148;left:10;position:absolute;top:10" coordorigin="0,0" coordsize="153,148" path="m,74l76,148l153,74l76,l,74xe" filled="t" fillcolor="#7213ea" stroked="f"/>
            <v:shape id="_x0000_s1133" style="width:173;height:168;position:absolute" coordorigin="0,0" coordsize="173,168" path="m10,84l86,158l163,84l86,10l10,84xe" filled="f" strokecolor="#7213ea" strokeweight="1pt">
              <v:stroke joinstyle="miter"/>
            </v:shape>
          </v:group>
        </w:pict>
      </w:r>
      <w:r>
        <w:pict>
          <v:group id="_x0000_s1134" style="width:8.45pt;height:8.45pt;margin-top:314.38pt;margin-left:150.46pt;mso-position-horizontal-relative:page;mso-position-vertical-relative:page;position:absolute;z-index:251670528" coordorigin="0,0" coordsize="168,168" o:allowincell="f" filled="f" stroked="f">
            <v:shape id="_x0000_s1135" style="width:148;height:148;left:10;position:absolute;top:10" coordorigin="0,0" coordsize="148,148" path="m,74l74,l148,74l111,74l111,148l37,148l37,74l,74xe" filled="t" fillcolor="#1e49e2" stroked="f"/>
            <v:shape id="_x0000_s1136" style="width:168;height:168;position:absolute" coordorigin="0,0" coordsize="168,168" path="m10,84l84,10l158,84l121,84l121,158l47,158l47,84l10,84xe" filled="f" strokecolor="#1e49e2" strokeweight="1pt">
              <v:stroke joinstyle="miter"/>
            </v:shape>
          </v:group>
        </w:pict>
      </w:r>
      <w:r>
        <w:pict>
          <v:group id="_x0000_s1137" style="width:8.45pt;height:8.45pt;margin-top:203.26pt;margin-left:399.58pt;mso-position-horizontal-relative:page;mso-position-vertical-relative:page;position:absolute;z-index:251677696" coordorigin="0,0" coordsize="168,168" o:allowincell="f" filled="f" stroked="f">
            <v:shape id="_x0000_s1138" style="width:148;height:148;left:10;position:absolute;top:10" coordorigin="0,0" coordsize="148,148" path="m,74l74,148l148,74l74,l,74xe" filled="t" fillcolor="#7213ea" stroked="f"/>
            <v:shape id="_x0000_s1139" style="width:168;height:168;position:absolute" coordorigin="0,0" coordsize="168,168" path="m10,84l84,158l158,84l84,10l10,84xe" filled="f" strokecolor="#7213ea" strokeweight="1pt">
              <v:stroke joinstyle="miter"/>
            </v:shape>
          </v:group>
        </w:pict>
      </w:r>
      <w:r>
        <w:pict>
          <v:group id="_x0000_s1140" style="width:8.45pt;height:8.45pt;margin-top:387.34pt;margin-left:461.5pt;mso-position-horizontal-relative:page;mso-position-vertical-relative:page;position:absolute;z-index:251691008" coordorigin="0,0" coordsize="168,168" o:allowincell="f" filled="f" stroked="f">
            <v:shape id="_x0000_s1141" style="width:148;height:148;left:10;position:absolute;top:10" coordorigin="0,0" coordsize="148,148" path="m,74l74,l148,74l111,74l111,148l37,148l37,74l,74xe" filled="t" fillcolor="#1e49e2" stroked="f"/>
            <v:shape id="_x0000_s1142" style="width:168;height:168;position:absolute" coordorigin="0,0" coordsize="168,168" path="m10,84l84,10l158,84l121,84l121,158l47,158l47,84l10,84xe" filled="f" strokecolor="#1e49e2" strokeweight="1pt">
              <v:stroke joinstyle="miter"/>
            </v:shape>
          </v:group>
        </w:pict>
      </w:r>
      <w:r>
        <w:pict>
          <v:group id="_x0000_s1143" style="width:8.7pt;height:8.25pt;margin-top:389.26pt;margin-left:341.98pt;mso-position-horizontal-relative:page;mso-position-vertical-relative:page;position:absolute;z-index:251707392" coordorigin="0,0" coordsize="173,165" o:allowincell="f" filled="f" stroked="f">
            <v:shape id="_x0000_s1144" style="width:153;height:145;left:10;position:absolute;top:10" coordorigin="0,0" coordsize="153,145" path="m,72l76,l153,72l115,72l115,144l38,144l38,72l,72xe" filled="t" fillcolor="#1e49e2" stroked="f"/>
            <v:shape id="_x0000_s1145" style="width:173;height:165;position:absolute" coordorigin="0,0" coordsize="173,165" path="m10,82l86,10l163,82l125,82l125,154l48,154l48,82l10,82xe" filled="f" strokecolor="#1e49e2" strokeweight="1pt">
              <v:stroke joinstyle="miter"/>
            </v:shape>
          </v:group>
        </w:pict>
      </w:r>
      <w:r>
        <w:pict>
          <v:group id="_x0000_s1146" style="width:8.45pt;height:8.2pt;margin-top:429.1pt;margin-left:428.86pt;mso-position-horizontal-relative:page;mso-position-vertical-relative:page;position:absolute;z-index:251700224" coordorigin="0,0" coordsize="168,163" o:allowincell="f" filled="f" stroked="f">
            <v:shape id="_x0000_s1147" style="width:148;height:143;left:10;position:absolute;top:10" coordorigin="0,0" coordsize="148,143" path="m,71l74,l148,71l111,71l111,143l37,143l37,71l,71xe" filled="t" fillcolor="#1e49e2" stroked="f"/>
            <v:shape id="_x0000_s1148" style="width:168;height:163;position:absolute" coordorigin="0,0" coordsize="168,163" path="m10,81l84,10l158,81l121,81l121,153l47,153l47,81l10,81xe" filled="f" strokecolor="#1e49e2" strokeweight="1pt">
              <v:stroke joinstyle="miter"/>
            </v:shape>
          </v:group>
        </w:pict>
      </w:r>
      <w:r>
        <w:pict>
          <v:group id="_x0000_s1149" style="width:8.7pt;height:8.25pt;margin-top:404.38pt;margin-left:119.26pt;mso-position-horizontal-relative:page;mso-position-vertical-relative:page;position:absolute;z-index:251675648" coordorigin="0,0" coordsize="173,165" o:allowincell="f" filled="f" stroked="f">
            <v:shape id="_x0000_s1150" style="width:153;height:145;left:10;position:absolute;top:10" coordorigin="0,0" coordsize="153,145" path="m,72l76,l153,72l115,72l115,144l38,144l38,72l,72xe" filled="t" fillcolor="#1e49e2" stroked="f"/>
            <v:shape id="_x0000_s1151" style="width:173;height:165;position:absolute" coordorigin="0,0" coordsize="173,165" path="m10,82l86,10l163,82l125,82l125,154l48,154l48,82l10,82xe" filled="f" strokecolor="#1e49e2" strokeweight="1pt">
              <v:stroke joinstyle="miter"/>
            </v:shape>
          </v:group>
        </w:pict>
      </w:r>
      <w:r>
        <w:pict>
          <v:group id="_x0000_s1152" style="width:8.45pt;height:8.2pt;margin-top:429.34pt;margin-left:116.86pt;mso-position-horizontal-relative:page;mso-position-vertical-relative:page;position:absolute;z-index:251674624" coordorigin="0,0" coordsize="168,163" o:allowincell="f" filled="f" stroked="f">
            <v:shape id="_x0000_s1153" style="width:148;height:143;left:10;position:absolute;top:10" coordorigin="0,0" coordsize="148,143" path="m,71l74,l148,71l111,71l111,143l37,143l37,71l,71xe" filled="t" fillcolor="#1e49e2" stroked="f"/>
            <v:shape id="_x0000_s1154" style="width:168;height:163;position:absolute" coordorigin="0,0" coordsize="168,163" path="m10,81l84,10l158,81l121,81l121,153l47,153l47,81l10,81xe" filled="f" strokecolor="#1e49e2" strokeweight="1pt">
              <v:stroke joinstyle="miter"/>
            </v:shape>
          </v:group>
        </w:pict>
      </w:r>
      <w:r>
        <w:pict>
          <v:group id="_x0000_s1155" style="width:8.45pt;height:8.45pt;margin-top:236.38pt;margin-left:221.74pt;mso-position-horizontal-relative:page;mso-position-vertical-relative:page;position:absolute;z-index:251672576" coordorigin="0,0" coordsize="168,168" o:allowincell="f" filled="f" stroked="f">
            <v:shape id="_x0000_s1156" style="width:148;height:148;left:10;position:absolute;top:10" coordorigin="0,0" coordsize="148,148" path="m,74l74,l148,74l111,74l111,148l37,148l37,74l,74xe" filled="t" fillcolor="#1e49e2" stroked="f"/>
            <v:shape id="_x0000_s1157" style="width:168;height:168;position:absolute" coordorigin="0,0" coordsize="168,168" path="m10,84l84,10l158,84l121,84l121,158l47,158l47,84l10,84xe" filled="f" strokecolor="#1e49e2" strokeweight="1pt">
              <v:stroke joinstyle="miter"/>
            </v:shape>
          </v:group>
        </w:pict>
      </w:r>
      <w:r>
        <w:pict>
          <v:group id="_x0000_s1158" style="width:8.45pt;height:8.45pt;margin-top:256.3pt;margin-left:233.98pt;mso-position-horizontal-relative:page;mso-position-vertical-relative:page;position:absolute;z-index:251686912" coordorigin="0,0" coordsize="168,168" o:allowincell="f" filled="f" stroked="f">
            <v:shape id="_x0000_s1159" style="width:148;height:148;left:10;position:absolute;top:10" coordorigin="0,0" coordsize="148,148" path="m,74l74,l148,74l111,74l111,148l37,148l37,74l,74xe" filled="t" fillcolor="#1e49e2" stroked="f"/>
            <v:shape id="_x0000_s1160" style="width:168;height:168;position:absolute" coordorigin="0,0" coordsize="168,168" path="m10,84l84,10l158,84l121,84l121,158l47,158l47,84l10,84xe" filled="f" strokecolor="#1e49e2" strokeweight="1pt">
              <v:stroke joinstyle="miter"/>
            </v:shape>
          </v:group>
        </w:pict>
      </w:r>
      <w:r>
        <w:pict>
          <v:group id="_x0000_s1161" style="width:8.45pt;height:8.25pt;margin-top:255.58pt;margin-left:477.1pt;mso-position-horizontal-relative:page;mso-position-vertical-relative:page;position:absolute;z-index:251685888" coordorigin="0,0" coordsize="168,165" o:allowincell="f" filled="f" stroked="f">
            <v:shape id="_x0000_s1162" style="width:148;height:145;left:10;position:absolute;top:10" coordorigin="0,0" coordsize="148,145" path="m,72l74,l148,72l111,72l111,144l37,144l37,72l,72xe" filled="t" fillcolor="#1e49e2" stroked="f"/>
            <v:shape id="_x0000_s1163" style="width:168;height:165;position:absolute" coordorigin="0,0" coordsize="168,165" path="m10,82l84,10l158,82l121,82l121,154l47,154l47,82l10,82xe" filled="f" strokecolor="#1e49e2" strokeweight="1pt">
              <v:stroke joinstyle="miter"/>
            </v:shape>
          </v:group>
        </w:pict>
      </w:r>
      <w:r>
        <w:pict>
          <v:group id="_x0000_s1164" style="width:8.45pt;height:8.25pt;margin-top:312.22pt;margin-left:546.22pt;mso-position-horizontal-relative:page;mso-position-vertical-relative:page;position:absolute;z-index:251684864" coordorigin="0,0" coordsize="168,165" o:allowincell="f" filled="f" stroked="f">
            <v:shape id="_x0000_s1165" style="width:148;height:145;left:10;position:absolute;top:10" coordorigin="0,0" coordsize="148,145" path="m,72l74,l148,72l111,72l111,144l37,144l37,72l,72xe" filled="t" fillcolor="#1e49e2" stroked="f"/>
            <v:shape id="_x0000_s1166" style="width:168;height:165;position:absolute" coordorigin="0,0" coordsize="168,165" path="m10,82l84,10l158,82l121,82l121,154l47,154l47,82l10,82xe" filled="f" strokecolor="#1e49e2" strokeweight="1pt">
              <v:stroke joinstyle="miter"/>
            </v:shape>
          </v:group>
        </w:pict>
      </w:r>
      <w:r>
        <w:pict>
          <v:group id="_x0000_s1167" style="width:8.45pt;height:8.45pt;margin-top:419.5pt;margin-left:299.02pt;mso-position-horizontal-relative:page;mso-position-vertical-relative:page;position:absolute;z-index:251687936" coordorigin="0,0" coordsize="168,168" o:allowincell="f" filled="f" stroked="f">
            <v:shape id="_x0000_s1168" style="width:148;height:148;left:10;position:absolute;top:10" coordorigin="0,0" coordsize="148,148" path="m,74l74,148l148,74l74,l,74xe" filled="t" fillcolor="#7213ea" stroked="f"/>
            <v:shape id="_x0000_s1169" style="width:168;height:168;position:absolute" coordorigin="0,0" coordsize="168,168" path="m10,84l84,158l158,84l84,10l10,84xe" filled="f" strokecolor="#7213ea" strokeweight="1pt">
              <v:stroke joinstyle="miter"/>
            </v:shape>
          </v:group>
        </w:pict>
      </w:r>
      <w:r>
        <w:pict>
          <v:group id="_x0000_s1170" style="width:8.7pt;height:8.45pt;margin-top:339.1pt;margin-left:394.78pt;mso-position-horizontal-relative:page;mso-position-vertical-relative:page;position:absolute;z-index:251683840" coordorigin="0,0" coordsize="173,168" o:allowincell="f" filled="f" stroked="f">
            <v:shape id="_x0000_s1171" style="width:153;height:148;left:10;position:absolute;top:10" coordorigin="0,0" coordsize="153,148" path="m,74l76,l153,74l115,74l115,148l38,148l38,74l,74xe" filled="t" fillcolor="#1e49e2" stroked="f"/>
            <v:shape id="_x0000_s1172" style="width:173;height:168;position:absolute" coordorigin="0,0" coordsize="173,168" path="m10,84l86,10l163,84l125,84l125,158l48,158l48,84l10,84xe" filled="f" strokecolor="#1e49e2" strokeweight="1pt">
              <v:stroke joinstyle="miter"/>
            </v:shape>
          </v:group>
        </w:pict>
      </w:r>
      <w:r>
        <w:pict>
          <v:group id="_x0000_s1173" style="width:8.45pt;height:8.25pt;margin-top:400.06pt;margin-left:225.34pt;mso-position-horizontal-relative:page;mso-position-vertical-relative:page;position:absolute;z-index:251682816" coordorigin="0,0" coordsize="168,165" o:allowincell="f" filled="f" stroked="f">
            <v:shape id="_x0000_s1174" style="width:148;height:145;left:10;position:absolute;top:10" coordorigin="0,0" coordsize="148,145" path="m,72l74,l148,72l111,72l111,144l37,144l37,72l,72xe" filled="t" fillcolor="#1e49e2" stroked="f"/>
            <v:shape id="_x0000_s1175" style="width:168;height:165;position:absolute" coordorigin="0,0" coordsize="168,165" path="m10,82l84,10l158,82l121,82l121,154l47,154l47,82l10,82xe" filled="f" strokecolor="#1e49e2" strokeweight="1pt">
              <v:stroke joinstyle="miter"/>
            </v:shape>
          </v:group>
        </w:pict>
      </w:r>
      <w:r>
        <w:pict>
          <v:group id="_x0000_s1176" style="width:8.45pt;height:8.45pt;margin-top:380.38pt;margin-left:124.06pt;mso-position-horizontal-relative:page;mso-position-vertical-relative:page;position:absolute;z-index:251664384" coordorigin="0,0" coordsize="168,168" o:allowincell="f" filled="f" stroked="f">
            <v:shape id="_x0000_s1177" style="width:148;height:148;left:10;position:absolute;top:10" coordorigin="0,0" coordsize="148,148" path="m,74l74,l148,74l111,74l111,148l37,148l37,74l,74xe" filled="t" fillcolor="#1e49e2" stroked="f"/>
            <v:shape id="_x0000_s1178" style="width:168;height:168;position:absolute" coordorigin="0,0" coordsize="168,168" path="m10,84l84,10l158,84l121,84l121,158l47,158l47,84l10,84xe" filled="f" strokecolor="#1e49e2" strokeweight="1pt">
              <v:stroke joinstyle="miter"/>
            </v:shape>
          </v:group>
        </w:pict>
      </w:r>
      <w:r>
        <w:pict>
          <v:group id="_x0000_s1179" style="width:8.45pt;height:8.45pt;margin-top:419.02pt;margin-left:601.42pt;mso-position-horizontal-relative:page;mso-position-vertical-relative:page;position:absolute;z-index:251663360" coordorigin="0,0" coordsize="168,168" o:allowincell="f" filled="f" stroked="f">
            <v:shape id="_x0000_s1180" style="width:148;height:148;left:10;position:absolute;top:10" coordorigin="0,0" coordsize="148,148" path="m,74l74,l148,74l111,74l111,148l37,148l37,74l,74xe" filled="t" fillcolor="#1e49e2" stroked="f"/>
            <v:shape id="_x0000_s1181" style="width:168;height:168;position:absolute" coordorigin="0,0" coordsize="168,168" path="m10,84l84,10l158,84l121,84l121,158l47,158l47,84l10,84xe" filled="f" strokecolor="#1e49e2" strokeweight="1pt">
              <v:stroke joinstyle="miter"/>
            </v:shape>
          </v:group>
        </w:pict>
      </w:r>
      <w:r>
        <w:pict>
          <v:group id="_x0000_s1182" style="width:8.45pt;height:8.45pt;margin-top:215.98pt;margin-left:297.1pt;mso-position-horizontal-relative:page;mso-position-vertical-relative:page;position:absolute;z-index:251669504" coordorigin="0,0" coordsize="168,168" o:allowincell="f" filled="f" stroked="f">
            <v:shape id="_x0000_s1183" style="width:148;height:148;left:10;position:absolute;top:10" coordorigin="0,0" coordsize="148,148" path="m,74l74,l148,74l111,74l111,148l37,148l37,74l,74xe" filled="t" fillcolor="#1e49e2" stroked="f"/>
            <v:shape id="_x0000_s1184" style="width:168;height:168;position:absolute" coordorigin="0,0" coordsize="168,168" path="m10,84l84,10l158,84l121,84l121,158l47,158l47,84l10,84xe" filled="f" strokecolor="#1e49e2" strokeweight="1pt">
              <v:stroke joinstyle="miter"/>
            </v:shape>
          </v:group>
        </w:pict>
      </w:r>
      <w:r>
        <w:pict>
          <v:group id="_x0000_s1185" style="width:8.45pt;height:8.45pt;margin-top:236.38pt;margin-left:293.5pt;mso-position-horizontal-relative:page;mso-position-vertical-relative:page;position:absolute;z-index:251667456" coordorigin="0,0" coordsize="168,168" o:allowincell="f" filled="f" stroked="f">
            <v:shape id="_x0000_s1186" style="width:148;height:148;left:10;position:absolute;top:10" coordorigin="0,0" coordsize="148,148" path="m,74l74,148l148,74l74,l,74xe" filled="t" fillcolor="#7213ea" stroked="f"/>
            <v:shape id="_x0000_s1187" style="width:168;height:168;position:absolute" coordorigin="0,0" coordsize="168,168" path="m10,84l84,158l158,84l84,10l10,84xe" filled="f" strokecolor="#7213ea" strokeweight="1pt">
              <v:stroke joinstyle="miter"/>
            </v:shape>
          </v:group>
        </w:pict>
      </w:r>
      <w:r>
        <w:pict>
          <v:group id="_x0000_s1188" style="width:8.45pt;height:8.45pt;margin-top:192.46pt;margin-left:333.1pt;mso-position-horizontal-relative:page;mso-position-vertical-relative:page;position:absolute;z-index:251666432" coordorigin="0,0" coordsize="168,168" o:allowincell="f" filled="f" stroked="f">
            <v:shape id="_x0000_s1189" style="width:148;height:148;left:10;position:absolute;top:10" coordorigin="0,0" coordsize="148,148" path="m,74l74,148l148,74l74,l,74xe" filled="t" fillcolor="#7213ea" stroked="f"/>
            <v:shape id="_x0000_s1190" style="width:168;height:168;position:absolute" coordorigin="0,0" coordsize="168,168" path="m10,84l84,158l158,84l84,10l10,84xe" filled="f" strokecolor="#7213ea" strokeweight="1pt">
              <v:stroke joinstyle="miter"/>
            </v:shape>
          </v:group>
        </w:pict>
      </w:r>
      <w:r>
        <w:pict>
          <v:group id="_x0000_s1191" style="width:8.45pt;height:8.45pt;margin-top:230.38pt;margin-left:501.58pt;mso-position-horizontal-relative:page;mso-position-vertical-relative:page;position:absolute;z-index:251668480" coordorigin="0,0" coordsize="168,168" o:allowincell="f" filled="f" stroked="f">
            <v:shape id="_x0000_s1192" style="width:148;height:148;left:10;position:absolute;top:10" coordorigin="0,0" coordsize="148,148" path="m,74l74,148l148,74l74,l,74xe" filled="t" fillcolor="#7213ea" stroked="f"/>
            <v:shape id="_x0000_s1193" style="width:168;height:168;position:absolute" coordorigin="0,0" coordsize="168,168" path="m10,84l84,158l158,84l84,10l10,84xe" filled="f" strokecolor="#7213ea" strokeweight="1pt">
              <v:stroke joinstyle="miter"/>
            </v:shape>
          </v:group>
        </w:pict>
      </w:r>
      <w:r>
        <w:pict>
          <v:group id="_x0000_s1194" style="width:8.7pt;height:8.25pt;margin-top:292.06pt;margin-left:165.58pt;mso-position-horizontal-relative:page;mso-position-vertical-relative:page;position:absolute;z-index:251665408" coordorigin="0,0" coordsize="173,165" o:allowincell="f" filled="f" stroked="f">
            <v:shape id="_x0000_s1195" style="width:153;height:145;left:10;position:absolute;top:10" coordorigin="0,0" coordsize="153,145" path="m,72l76,144l153,72l76,l,72xe" filled="t" fillcolor="#7213ea" stroked="f"/>
            <v:shape id="_x0000_s1196" style="width:173;height:165;position:absolute" coordorigin="0,0" coordsize="173,165" path="m10,82l86,154l163,82l86,10l10,82xe" filled="f" strokecolor="#7213ea" strokeweight="1pt">
              <v:stroke joinstyle="miter"/>
            </v:shape>
          </v:group>
        </w:pict>
      </w:r>
      <w:r>
        <w:pict>
          <v:group id="_x0000_s1197" style="width:104.4pt;height:65.05pt;margin-top:404.18pt;margin-left:335.52pt;mso-position-horizontal-relative:page;mso-position-vertical-relative:page;position:absolute;z-index:251688960" coordorigin="0,0" coordsize="2088,1301" o:allowincell="f" filled="f" stroked="f">
            <v:shape id="_x0000_s1198" style="width:1153;height:1151;left:504;position:absolute;top:52" coordorigin="0,0" coordsize="1153,1151" path="m,575c,257,257,,575,c894,,1152,257,1152,575c1152,894,894,1151,575,1151c257,1151,,894,,575e" filled="t" fillcolor="#00338d" stroked="f"/>
            <v:shape id="_x0000_s1199" style="width:1258;height:1256;left:451;position:absolute" coordorigin="0,0" coordsize="1258,1256" path="m52,628c52,310,310,52,628,52c946,52,1204,310,1204,628c1204,946,946,1204,628,1204c310,1204,52,946,52,628e" filled="f" strokecolor="white" strokeweight="5.25pt">
              <v:stroke joinstyle="miter" opacity="44461f"/>
            </v:shape>
            <v:shape id="_x0000_s1200" style="width:2088;height:475;position:absolute;top:825" coordorigin="0,0" coordsize="2088,475" path="m,l2087,l2087,475l,475l,xe" filled="t" fillcolor="#f2f2f2" stroked="f"/>
          </v:group>
        </w:pict>
      </w:r>
      <w:r>
        <w:pict>
          <v:shape id="_x0000_s1201" style="width:10.15pt;height:5.35pt;margin-top:415.9pt;margin-left:384.46pt;mso-position-horizontal-relative:page;mso-position-vertical-relative:page;position:absolute;z-index:251689984" coordorigin="0,0" coordsize="202,106" o:allowincell="f" path="m194,7l7,7l7,98l194,98l194,7xe" filled="t" fillcolor="white" strokecolor="#e5e5e5" strokeweight="0.75pt"/>
        </w:pict>
      </w:r>
      <w:r>
        <w:pict>
          <v:group id="_x0000_s1202" style="width:565.7pt;height:268.1pt;margin-top:177.84pt;margin-left:106.56pt;mso-position-horizontal-relative:page;mso-position-vertical-relative:page;position:absolute;z-index:251710464" coordorigin="0,0" coordsize="11314,5362" o:allowincell="f" filled="f" stroked="f">
            <v:shape id="_x0000_s1203" type="#_x0000_t202" style="width:11354;height:5450;left:-20;position:absolute;top:-20" filled="f" stroked="f">
              <o:lock v:ext="edit" aspectratio="f"/>
              <v:textbox inset="0,0,0,0">
                <w:txbxContent>
                  <w:p>
                    <w:pPr>
                      <w:pStyle w:val="BodyText"/>
                      <w:spacing w:line="241" w:lineRule="auto"/>
                    </w:pPr>
                  </w:p>
                  <w:p>
                    <w:pPr>
                      <w:pStyle w:val="BodyText"/>
                      <w:spacing w:line="241" w:lineRule="auto"/>
                    </w:pPr>
                  </w:p>
                  <w:p>
                    <w:pPr>
                      <w:pStyle w:val="BodyText"/>
                      <w:spacing w:line="241" w:lineRule="auto"/>
                    </w:pPr>
                  </w:p>
                  <w:p>
                    <w:pPr>
                      <w:pStyle w:val="BodyText"/>
                      <w:spacing w:line="241" w:lineRule="auto"/>
                    </w:pPr>
                  </w:p>
                  <w:p>
                    <w:pPr>
                      <w:pStyle w:val="BodyText"/>
                      <w:spacing w:line="241" w:lineRule="auto"/>
                    </w:pPr>
                  </w:p>
                  <w:p>
                    <w:pPr>
                      <w:pStyle w:val="BodyText"/>
                      <w:spacing w:line="241" w:lineRule="auto"/>
                    </w:pPr>
                  </w:p>
                  <w:p>
                    <w:pPr>
                      <w:pStyle w:val="BodyText"/>
                      <w:spacing w:line="241" w:lineRule="auto"/>
                    </w:pPr>
                  </w:p>
                  <w:p>
                    <w:pPr>
                      <w:pStyle w:val="BodyText"/>
                      <w:spacing w:line="241" w:lineRule="auto"/>
                    </w:pPr>
                  </w:p>
                  <w:p>
                    <w:pPr>
                      <w:pStyle w:val="BodyText"/>
                      <w:spacing w:line="241" w:lineRule="auto"/>
                    </w:pPr>
                  </w:p>
                  <w:p>
                    <w:pPr>
                      <w:pStyle w:val="BodyText"/>
                      <w:spacing w:line="242" w:lineRule="auto"/>
                    </w:pPr>
                  </w:p>
                  <w:p>
                    <w:pPr>
                      <w:pStyle w:val="BodyText"/>
                      <w:spacing w:line="242" w:lineRule="auto"/>
                    </w:pPr>
                  </w:p>
                  <w:p>
                    <w:pPr>
                      <w:spacing w:before="65" w:line="184" w:lineRule="auto"/>
                      <w:ind w:left="9097"/>
                      <w:rPr>
                        <w:rFonts w:ascii="Microsoft YaHei" w:eastAsia="Microsoft YaHei" w:hAnsi="Microsoft YaHei" w:cs="Microsoft YaHei"/>
                        <w:sz w:val="15"/>
                        <w:szCs w:val="15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color w:val="00338D"/>
                        <w:spacing w:val="6"/>
                        <w:sz w:val="15"/>
                        <w:szCs w:val="15"/>
                      </w:rPr>
                      <w:t>利率风险</w:t>
                    </w:r>
                  </w:p>
                </w:txbxContent>
              </v:textbox>
            </v:shape>
          </v:group>
        </w:pict>
      </w:r>
      <w:r>
        <w:rPr>
          <w:position w:val="-31"/>
        </w:rPr>
        <w:pict>
          <v:group id="_x0000_i1204" style="width:780pt;height:77.55pt;mso-position-horizontal-relative:char;mso-position-vertical-relative:line" coordorigin="0,0" coordsize="15600,1551" filled="f" stroked="f">
            <v:shape id="_x0000_s1205" type="#_x0000_t75" style="width:15600;height:1551;position:absolute" filled="f" stroked="f">
              <v:imagedata r:id="rId17" o:title=""/>
            </v:shape>
            <v:shape id="_x0000_s1206" type="#_x0000_t202" style="width:15640;height:1591;left:-20;position:absolute;top:-20" filled="f" stroked="f">
              <o:lock v:ext="edit" aspectratio="f"/>
              <v:textbox inset="0,0,0,0">
                <w:txbxContent>
                  <w:p>
                    <w:pPr>
                      <w:spacing w:line="257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257" w:line="179" w:lineRule="auto"/>
                      <w:ind w:left="1619"/>
                      <w:outlineLvl w:val="0"/>
                      <w:rPr>
                        <w:rFonts w:ascii="Microsoft YaHei" w:eastAsia="Microsoft YaHei" w:hAnsi="Microsoft YaHei" w:cs="Microsoft YaHei"/>
                        <w:sz w:val="60"/>
                        <w:szCs w:val="60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FFFFFF"/>
                        <w:spacing w:val="-5"/>
                        <w:sz w:val="60"/>
                        <w:szCs w:val="60"/>
                      </w:rPr>
                      <w:t>中国银行业风险雷达图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line="398" w:lineRule="auto"/>
      </w:pPr>
    </w:p>
    <w:p>
      <w:pPr>
        <w:spacing w:before="64" w:line="408" w:lineRule="exact"/>
        <w:ind w:left="1564"/>
        <w:rPr>
          <w:rFonts w:ascii="Microsoft YaHei" w:eastAsia="Microsoft YaHei" w:hAnsi="Microsoft YaHei" w:cs="Microsoft YaHei"/>
          <w:sz w:val="15"/>
          <w:szCs w:val="15"/>
        </w:rPr>
      </w:pPr>
      <w:r>
        <w:rPr>
          <w:rFonts w:ascii="Microsoft YaHei" w:eastAsia="Microsoft YaHei" w:hAnsi="Microsoft YaHei" w:cs="Microsoft YaHei"/>
          <w:color w:val="00338D"/>
          <w:position w:val="16"/>
          <w:sz w:val="15"/>
          <w:szCs w:val="15"/>
        </w:rPr>
        <w:drawing>
          <wp:inline distT="0" distB="0" distL="0" distR="0">
            <wp:extent cx="107188" cy="104140"/>
            <wp:effectExtent l="0" t="0" r="0" b="0"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07188" cy="104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color w:val="00338D"/>
          <w:spacing w:val="5"/>
          <w:position w:val="16"/>
          <w:sz w:val="15"/>
          <w:szCs w:val="15"/>
        </w:rPr>
        <w:t xml:space="preserve">  </w:t>
      </w:r>
      <w:r>
        <w:rPr>
          <w:rFonts w:ascii="Microsoft YaHei" w:eastAsia="Microsoft YaHei" w:hAnsi="Microsoft YaHei" w:cs="Microsoft YaHei"/>
          <w:color w:val="00338D"/>
          <w:spacing w:val="6"/>
          <w:position w:val="16"/>
          <w:sz w:val="15"/>
          <w:szCs w:val="15"/>
        </w:rPr>
        <w:t>风险上升</w:t>
      </w:r>
    </w:p>
    <w:p>
      <w:pPr>
        <w:spacing w:line="268" w:lineRule="exact"/>
        <w:ind w:left="1559"/>
        <w:rPr>
          <w:rFonts w:ascii="Microsoft YaHei" w:eastAsia="Microsoft YaHei" w:hAnsi="Microsoft YaHei" w:cs="Microsoft YaHei"/>
          <w:sz w:val="15"/>
          <w:szCs w:val="15"/>
        </w:rPr>
      </w:pPr>
      <w:r>
        <w:rPr>
          <w:rFonts w:ascii="Microsoft YaHei" w:eastAsia="Microsoft YaHei" w:hAnsi="Microsoft YaHei" w:cs="Microsoft YaHei"/>
          <w:color w:val="7213EA"/>
          <w:spacing w:val="5"/>
          <w:position w:val="1"/>
          <w:sz w:val="28"/>
          <w:szCs w:val="28"/>
        </w:rPr>
        <w:t>◆</w:t>
      </w:r>
      <w:r>
        <w:rPr>
          <w:rFonts w:ascii="Microsoft YaHei" w:eastAsia="Microsoft YaHei" w:hAnsi="Microsoft YaHei" w:cs="Microsoft YaHei"/>
          <w:color w:val="7213EA"/>
          <w:spacing w:val="20"/>
          <w:w w:val="101"/>
          <w:position w:val="1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color w:val="00338D"/>
          <w:spacing w:val="5"/>
          <w:sz w:val="15"/>
          <w:szCs w:val="15"/>
        </w:rPr>
        <w:t>风险不变</w:t>
      </w:r>
    </w:p>
    <w:p>
      <w:pPr>
        <w:spacing w:before="120" w:line="213" w:lineRule="auto"/>
        <w:ind w:left="1559"/>
        <w:rPr>
          <w:rFonts w:ascii="Microsoft YaHei" w:eastAsia="Microsoft YaHei" w:hAnsi="Microsoft YaHei" w:cs="Microsoft YaHei"/>
          <w:sz w:val="15"/>
          <w:szCs w:val="15"/>
        </w:rPr>
      </w:pPr>
      <w:r>
        <w:rPr>
          <w:rFonts w:ascii="Microsoft YaHei" w:eastAsia="Microsoft YaHei" w:hAnsi="Microsoft YaHei" w:cs="Microsoft YaHei"/>
          <w:color w:val="00338D"/>
          <w:sz w:val="15"/>
          <w:szCs w:val="15"/>
        </w:rPr>
        <w:drawing>
          <wp:inline distT="0" distB="0" distL="0" distR="0">
            <wp:extent cx="107188" cy="104140"/>
            <wp:effectExtent l="0" t="0" r="0" b="0"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07188" cy="104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color w:val="00338D"/>
          <w:spacing w:val="5"/>
          <w:sz w:val="15"/>
          <w:szCs w:val="15"/>
        </w:rPr>
        <w:t xml:space="preserve">  </w:t>
      </w:r>
      <w:r>
        <w:rPr>
          <w:rFonts w:ascii="Microsoft YaHei" w:eastAsia="Microsoft YaHei" w:hAnsi="Microsoft YaHei" w:cs="Microsoft YaHei"/>
          <w:color w:val="00338D"/>
          <w:spacing w:val="6"/>
          <w:sz w:val="15"/>
          <w:szCs w:val="15"/>
        </w:rPr>
        <w:t>风险下降</w:t>
      </w: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0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https://d.book118.com/655103012204011111</w:t>
        </w:r>
      </w:hyperlink>
    </w:p>
    <w:p>
      <w:pPr>
        <w:pStyle w:val="BodyText"/>
        <w:spacing w:line="249" w:lineRule="auto"/>
      </w:pPr>
    </w:p>
    <w:sectPr>
      <w:headerReference w:type="default" r:id="rId21"/>
      <w:pgSz w:w="15600" w:h="10800"/>
      <w:pgMar w:top="278" w:right="0" w:bottom="0" w:left="0" w:header="0" w:footer="0" w:gutter="0"/>
      <w:pgNumType w:start="6"/>
      <w:cols w:num="1" w:space="708" w:equalWidth="0">
        <w:col w:w="1560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658240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6124055" cy="6858000"/>
          <wp:effectExtent l="0" t="0" r="0" b="0"/>
          <wp:wrapNone/>
          <wp:docPr id="2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6124055" cy="6858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6.55pt;height:11.4pt;margin-top:496.92pt;margin-left:697.44pt;mso-position-horizontal-relative:page;mso-position-vertical-relative:page;position:absolute;z-index:-251657216" o:allowincell="f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195" w:lineRule="auto"/>
                  <w:jc w:val="right"/>
                  <w:rPr>
                    <w:sz w:val="20"/>
                    <w:szCs w:val="20"/>
                  </w:rPr>
                </w:pPr>
                <w:r>
                  <w:rPr>
                    <w:color w:val="00338D"/>
                    <w:spacing w:val="-22"/>
                    <w:sz w:val="20"/>
                    <w:szCs w:val="20"/>
                  </w:rPr>
                  <w:t>1</w:t>
                </w:r>
              </w:p>
            </w:txbxContent>
          </v:textbox>
        </v:shape>
      </w:pict>
    </w:r>
    <w:r>
      <w:pict>
        <v:shape id="_x0000_s2050" type="#_x0000_t202" style="width:534.8pt;height:18.2pt;margin-top:492.72pt;margin-left:126.59pt;mso-position-horizontal-relative:page;mso-position-vertical-relative:page;position:absolute;z-index:-251656192" o:allowincell="f" filled="f" stroked="f">
          <o:lock v:ext="edit" aspectratio="f"/>
          <v:textbox inset="0,0,0,0">
            <w:txbxContent>
              <w:p>
                <w:pPr>
                  <w:spacing w:before="20" w:line="188" w:lineRule="auto"/>
                  <w:ind w:left="20" w:right="20" w:firstLine="9"/>
                  <w:rPr>
                    <w:rFonts w:ascii="Microsoft YaHei" w:eastAsia="Microsoft YaHei" w:hAnsi="Microsoft YaHei" w:cs="Microsoft YaHei"/>
                    <w:sz w:val="12"/>
                    <w:szCs w:val="12"/>
                  </w:rPr>
                </w:pPr>
                <w:r>
                  <w:rPr>
                    <w:rFonts w:ascii="Microsoft YaHei" w:eastAsia="Microsoft YaHei" w:hAnsi="Microsoft YaHei" w:cs="Microsoft YaHei"/>
                    <w:color w:val="A6A6A6"/>
                    <w:sz w:val="12"/>
                    <w:szCs w:val="12"/>
                  </w:rPr>
                  <w:t>© 2023 毕马威华振会计师事务所(特殊普通合伙) — 中国合伙制会计师事务所，毕马威企业咨询</w:t>
                </w:r>
                <w:r>
                  <w:rPr>
                    <w:rFonts w:ascii="Microsoft YaHei" w:eastAsia="Microsoft YaHei" w:hAnsi="Microsoft YaHei" w:cs="Microsoft YaHei"/>
                    <w:color w:val="A6A6A6"/>
                    <w:spacing w:val="12"/>
                    <w:sz w:val="12"/>
                    <w:szCs w:val="12"/>
                  </w:rPr>
                  <w:t xml:space="preserve"> </w:t>
                </w:r>
                <w:r>
                  <w:rPr>
                    <w:rFonts w:ascii="Microsoft YaHei" w:eastAsia="Microsoft YaHei" w:hAnsi="Microsoft YaHei" w:cs="Microsoft YaHei"/>
                    <w:color w:val="A6A6A6"/>
                    <w:sz w:val="12"/>
                    <w:szCs w:val="12"/>
                  </w:rPr>
                  <w:t>(中国) 有限公司 — 中国有限责任公司，毕马</w:t>
                </w:r>
                <w:r>
                  <w:rPr>
                    <w:rFonts w:ascii="Microsoft YaHei" w:eastAsia="Microsoft YaHei" w:hAnsi="Microsoft YaHei" w:cs="Microsoft YaHei"/>
                    <w:color w:val="A6A6A6"/>
                    <w:spacing w:val="-1"/>
                    <w:sz w:val="12"/>
                    <w:szCs w:val="12"/>
                  </w:rPr>
                  <w:t>威会计师事务所 — 澳门特别行政区合伙制事务所，及毕马威</w:t>
                </w:r>
                <w:r>
                  <w:rPr>
                    <w:rFonts w:ascii="Microsoft YaHei" w:eastAsia="Microsoft YaHei" w:hAnsi="Microsoft YaHei" w:cs="Microsoft YaHei"/>
                    <w:color w:val="A6A6A6"/>
                    <w:sz w:val="12"/>
                    <w:szCs w:val="12"/>
                  </w:rPr>
                  <w:t xml:space="preserve"> </w:t>
                </w:r>
                <w:r>
                  <w:rPr>
                    <w:rFonts w:ascii="Microsoft YaHei" w:eastAsia="Microsoft YaHei" w:hAnsi="Microsoft YaHei" w:cs="Microsoft YaHei"/>
                    <w:color w:val="A6A6A6"/>
                    <w:sz w:val="12"/>
                    <w:szCs w:val="12"/>
                  </w:rPr>
                  <w:t>会计师事务所 — 香港特别行政区合伙制事务所，均是与英国私营担保有限公司 — 毕马威国际有限公司相关联的独立成</w:t>
                </w:r>
                <w:r>
                  <w:rPr>
                    <w:rFonts w:ascii="Microsoft YaHei" w:eastAsia="Microsoft YaHei" w:hAnsi="Microsoft YaHei" w:cs="Microsoft YaHei"/>
                    <w:color w:val="A6A6A6"/>
                    <w:spacing w:val="-1"/>
                    <w:sz w:val="12"/>
                    <w:szCs w:val="12"/>
                  </w:rPr>
                  <w:t>员所全球性组织中的成员。版权所有，不得转载。在中国印刷。</w:t>
                </w:r>
              </w:p>
            </w:txbxContent>
          </v:textbox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661312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6124055" cy="6858000"/>
          <wp:effectExtent l="0" t="0" r="0" b="0"/>
          <wp:wrapNone/>
          <wp:docPr id="473772882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73772882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6124055" cy="6858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6.55pt;height:11.4pt;margin-top:496.92pt;margin-left:697.44pt;mso-position-horizontal-relative:page;mso-position-vertical-relative:page;position:absolute;z-index:-251654144" o:allowincell="f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195" w:lineRule="auto"/>
                  <w:jc w:val="right"/>
                  <w:rPr>
                    <w:sz w:val="20"/>
                    <w:szCs w:val="20"/>
                  </w:rPr>
                </w:pPr>
                <w:r>
                  <w:rPr>
                    <w:color w:val="00338D"/>
                    <w:spacing w:val="-22"/>
                    <w:sz w:val="20"/>
                    <w:szCs w:val="20"/>
                  </w:rPr>
                  <w:t>1</w:t>
                </w:r>
              </w:p>
            </w:txbxContent>
          </v:textbox>
        </v:shape>
      </w:pict>
    </w:r>
    <w:r>
      <w:pict>
        <v:shape id="_x0000_s2052" type="#_x0000_t202" style="width:534.8pt;height:18.2pt;margin-top:492.72pt;margin-left:126.59pt;mso-position-horizontal-relative:page;mso-position-vertical-relative:page;position:absolute;z-index:-251653120" o:allowincell="f" filled="f" stroked="f">
          <o:lock v:ext="edit" aspectratio="f"/>
          <v:textbox inset="0,0,0,0">
            <w:txbxContent>
              <w:p>
                <w:pPr>
                  <w:spacing w:before="20" w:line="188" w:lineRule="auto"/>
                  <w:ind w:left="20" w:right="20" w:firstLine="9"/>
                  <w:rPr>
                    <w:rFonts w:ascii="Microsoft YaHei" w:eastAsia="Microsoft YaHei" w:hAnsi="Microsoft YaHei" w:cs="Microsoft YaHei"/>
                    <w:sz w:val="12"/>
                    <w:szCs w:val="12"/>
                  </w:rPr>
                </w:pPr>
                <w:r>
                  <w:rPr>
                    <w:rFonts w:ascii="Microsoft YaHei" w:eastAsia="Microsoft YaHei" w:hAnsi="Microsoft YaHei" w:cs="Microsoft YaHei"/>
                    <w:color w:val="A6A6A6"/>
                    <w:sz w:val="12"/>
                    <w:szCs w:val="12"/>
                  </w:rPr>
                  <w:t>© 2023 毕马威华振会计师事务所(特殊普通合伙) — 中国合伙制会计师事务所，毕马威企业咨询</w:t>
                </w:r>
                <w:r>
                  <w:rPr>
                    <w:rFonts w:ascii="Microsoft YaHei" w:eastAsia="Microsoft YaHei" w:hAnsi="Microsoft YaHei" w:cs="Microsoft YaHei"/>
                    <w:color w:val="A6A6A6"/>
                    <w:spacing w:val="12"/>
                    <w:sz w:val="12"/>
                    <w:szCs w:val="12"/>
                  </w:rPr>
                  <w:t xml:space="preserve"> </w:t>
                </w:r>
                <w:r>
                  <w:rPr>
                    <w:rFonts w:ascii="Microsoft YaHei" w:eastAsia="Microsoft YaHei" w:hAnsi="Microsoft YaHei" w:cs="Microsoft YaHei"/>
                    <w:color w:val="A6A6A6"/>
                    <w:sz w:val="12"/>
                    <w:szCs w:val="12"/>
                  </w:rPr>
                  <w:t>(中国) 有限公司 — 中国有限责任公司，毕马</w:t>
                </w:r>
                <w:r>
                  <w:rPr>
                    <w:rFonts w:ascii="Microsoft YaHei" w:eastAsia="Microsoft YaHei" w:hAnsi="Microsoft YaHei" w:cs="Microsoft YaHei"/>
                    <w:color w:val="A6A6A6"/>
                    <w:spacing w:val="-1"/>
                    <w:sz w:val="12"/>
                    <w:szCs w:val="12"/>
                  </w:rPr>
                  <w:t>威会计师事务所 — 澳门特别行政区合伙制事务所，及毕马威</w:t>
                </w:r>
                <w:r>
                  <w:rPr>
                    <w:rFonts w:ascii="Microsoft YaHei" w:eastAsia="Microsoft YaHei" w:hAnsi="Microsoft YaHei" w:cs="Microsoft YaHei"/>
                    <w:color w:val="A6A6A6"/>
                    <w:sz w:val="12"/>
                    <w:szCs w:val="12"/>
                  </w:rPr>
                  <w:t xml:space="preserve"> </w:t>
                </w:r>
                <w:r>
                  <w:rPr>
                    <w:rFonts w:ascii="Microsoft YaHei" w:eastAsia="Microsoft YaHei" w:hAnsi="Microsoft YaHei" w:cs="Microsoft YaHei"/>
                    <w:color w:val="A6A6A6"/>
                    <w:sz w:val="12"/>
                    <w:szCs w:val="12"/>
                  </w:rPr>
                  <w:t>会计师事务所 — 香港特别行政区合伙制事务所，均是与英国私营担保有限公司 — 毕马威国际有限公司相关联的独立成</w:t>
                </w:r>
                <w:r>
                  <w:rPr>
                    <w:rFonts w:ascii="Microsoft YaHei" w:eastAsia="Microsoft YaHei" w:hAnsi="Microsoft YaHei" w:cs="Microsoft YaHei"/>
                    <w:color w:val="A6A6A6"/>
                    <w:spacing w:val="-1"/>
                    <w:sz w:val="12"/>
                    <w:szCs w:val="12"/>
                  </w:rPr>
                  <w:t>员所全球性组织中的成员。版权所有，不得转载。在中国印刷。</w:t>
                </w:r>
              </w:p>
            </w:txbxContent>
          </v:textbox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664384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1386840</wp:posOffset>
          </wp:positionV>
          <wp:extent cx="9906000" cy="4657344"/>
          <wp:effectExtent l="0" t="0" r="0" b="0"/>
          <wp:wrapNone/>
          <wp:docPr id="10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IM 1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906000" cy="46573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665408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1386840</wp:posOffset>
          </wp:positionV>
          <wp:extent cx="9906000" cy="4657344"/>
          <wp:effectExtent l="0" t="0" r="0" b="0"/>
          <wp:wrapNone/>
          <wp:docPr id="839975849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9975849" name="IM 1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906000" cy="46573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666432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1386840</wp:posOffset>
          </wp:positionV>
          <wp:extent cx="9906000" cy="4657344"/>
          <wp:effectExtent l="0" t="0" r="0" b="0"/>
          <wp:wrapNone/>
          <wp:docPr id="1631927169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31927169" name="IM 1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906000" cy="46573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Microsoft YaHei" w:eastAsia="Microsoft YaHei" w:hAnsi="Microsoft YaHei" w:cs="Microsoft YaHei"/>
      <w:sz w:val="15"/>
      <w:szCs w:val="15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3.xml" /><Relationship Id="rId11" Type="http://schemas.openxmlformats.org/officeDocument/2006/relationships/header" Target="header4.xml" /><Relationship Id="rId12" Type="http://schemas.openxmlformats.org/officeDocument/2006/relationships/image" Target="media/image7.png" /><Relationship Id="rId13" Type="http://schemas.openxmlformats.org/officeDocument/2006/relationships/image" Target="media/image8.png" /><Relationship Id="rId14" Type="http://schemas.openxmlformats.org/officeDocument/2006/relationships/header" Target="header5.xml" /><Relationship Id="rId15" Type="http://schemas.openxmlformats.org/officeDocument/2006/relationships/image" Target="media/image9.jpeg" /><Relationship Id="rId16" Type="http://schemas.openxmlformats.org/officeDocument/2006/relationships/image" Target="media/image10.png" /><Relationship Id="rId17" Type="http://schemas.openxmlformats.org/officeDocument/2006/relationships/image" Target="media/image11.png" /><Relationship Id="rId18" Type="http://schemas.openxmlformats.org/officeDocument/2006/relationships/image" Target="media/image12.png" /><Relationship Id="rId19" Type="http://schemas.openxmlformats.org/officeDocument/2006/relationships/image" Target="media/image13.png" /><Relationship Id="rId2" Type="http://schemas.openxmlformats.org/officeDocument/2006/relationships/webSettings" Target="webSettings.xml" /><Relationship Id="rId20" Type="http://schemas.openxmlformats.org/officeDocument/2006/relationships/hyperlink" Target="https://d.book118.com/655103012204011111" TargetMode="External" /><Relationship Id="rId21" Type="http://schemas.openxmlformats.org/officeDocument/2006/relationships/header" Target="header6.xml" /><Relationship Id="rId22" Type="http://schemas.openxmlformats.org/officeDocument/2006/relationships/theme" Target="theme/theme1.xml" /><Relationship Id="rId23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header" Target="header1.xml" /><Relationship Id="rId8" Type="http://schemas.openxmlformats.org/officeDocument/2006/relationships/header" Target="header2.xml" /><Relationship Id="rId9" Type="http://schemas.openxmlformats.org/officeDocument/2006/relationships/image" Target="media/image5.png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2024年银行业风险雷达图</dc:title>
  <dc:subject>2024年中国银行业重点风险雷达图及中国银行业重点风险清单</dc:subject>
  <dc:creator>毕马威中国(kpmg.com/cn)</dc:creator>
  <cp:keywords>金融服务; 金融业; 银行业; 银行业风险雷达</cp:keywords>
  <cp:revision>0</cp:revision>
  <dcterms:created xsi:type="dcterms:W3CDTF">2024-02-22T17:35:57Z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2024-02-22T17:43:28Z</vt:filetime>
  </property>
  <property fmtid="{D5CDD505-2E9C-101B-9397-08002B2CF9AE}" pid="3" name="CRO">
    <vt:lpwstr>wqlLaW5nc29mdCBQREYgdG8gV1BTIDkw</vt:lpwstr>
  </property>
</Properties>
</file>