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花草种相关行业公司成立方案及可行性研究报告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_Toc12881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_Toc31899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(七)、花草种项目建设必要性分析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(一)、花草种项目选址原则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(五)、花草种项目选址综合评价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_Toc23361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_Toc7412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五、花草种筹建公司基本信息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(一)、花草种项目进度安排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(二)、花草种项目实施保障措施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(一)、花草种项目背景分析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0" w:history="1">
        <w:r>
          <w:rPr>
            <w:rFonts w:ascii="仿宋" w:eastAsia="仿宋" w:hAnsi="仿宋" w:cs="仿宋" w:hint="eastAsia"/>
            <w:lang w:eastAsia="zh-CN"/>
          </w:rPr>
          <w:t>(二)、花草种项目建设必要性分析</w:t>
        </w:r>
        <w:r>
          <w:tab/>
        </w:r>
        <w:r>
          <w:fldChar w:fldCharType="begin"/>
        </w:r>
        <w:r>
          <w:instrText xml:space="preserve"> PAGEREF _Toc23040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_Toc31271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4" w:history="1">
        <w:r>
          <w:rPr>
            <w:rFonts w:ascii="仿宋" w:eastAsia="仿宋" w:hAnsi="仿宋" w:cs="仿宋" w:hint="eastAsia"/>
            <w:lang w:eastAsia="zh-CN"/>
          </w:rPr>
          <w:t>十、花草种项目风险分析</w:t>
        </w:r>
        <w:r>
          <w:tab/>
        </w:r>
        <w:r>
          <w:fldChar w:fldCharType="begin"/>
        </w:r>
        <w:r>
          <w:instrText xml:space="preserve"> PAGEREF _Toc24994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(一)、花草种项目风险分析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(二)、花草种项目风险对策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_Toc6954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_Toc6927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4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8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8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https://d.book118.com/655232221323011110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523222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2024-02-03T10:26:00Z</dcterms:created>
  <dcterms:modified xsi:type="dcterms:W3CDTF">2024-02-03T10:26:48Z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D4E019142E2B46948610C924E1F813BE_11</vt:lpwstr>
  </property>
  <property fmtid="{D5CDD505-2E9C-101B-9397-08002B2CF9AE}" pid="3" name="KSOProductBuildVer">
    <vt:lpwstr>2052-12.1.0.16250</vt:lpwstr>
  </property>
</Properties>
</file>