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高档生物显微镜行业相关公司设立可行性研究报告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1" w:history="1">
        <w:r>
          <w:rPr>
            <w:rFonts w:ascii="仿宋" w:eastAsia="仿宋" w:hAnsi="仿宋" w:cs="仿宋" w:hint="eastAsia"/>
            <w:lang w:eastAsia="zh-CN"/>
          </w:rPr>
          <w:t>一、高档生物显微镜筹建公司基本信息</w:t>
        </w:r>
        <w:r>
          <w:tab/>
        </w:r>
        <w:r>
          <w:fldChar w:fldCharType="begin"/>
        </w:r>
        <w:r>
          <w:instrText xml:space="preserve"> PAGEREF _Toc14121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(七)、高档生物显微镜项目建设必要性分析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(一)、高档生物显微镜项目选址原则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(五)、高档生物显微镜项目选址综合评价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五、高档生物显微镜项目概况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(二)、高档生物显微镜项目提出的理由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(三)、高档生物显微镜项目选址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(六)、高档生物显微镜项目投资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(七)、高档生物显微镜项目进度规划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_Toc17419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(九)、高档生物显微镜项目综合评价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(一)、高档生物显微镜项目背景分析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(二)、高档生物显微镜项目建设必要性分析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(一)、高档生物显微镜项目进度安排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(二)、高档生物显微镜项目实施保障措施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八、高档生物显微镜项目经济效益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(三)、高档生物显微镜项目盈利能力分析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九、高档生物显微镜项目风险分析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(一)、高档生物显微镜项目风险分析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(二)、高档生物显微镜项目风险对策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_Toc5881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_Toc7785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十二、高档生物显微镜项目总结分析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121"/>
      <w:r>
        <w:rPr>
          <w:rFonts w:ascii="仿宋" w:eastAsia="仿宋" w:hAnsi="仿宋" w:cs="仿宋" w:hint="eastAsia"/>
          <w:sz w:val="28"/>
          <w:lang w:eastAsia="zh-CN"/>
        </w:rPr>
        <w:t>一、高档生物显微镜筹建公司基本信息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9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2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2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73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17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经营范围：从事XXX相关业务(企业依法自主选择经营高档生物显微镜项目，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开展经营活动；依法须经批准的高档生物显微镜项目，经相关部门批准后依批准的内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容开展经营活动；不得从事本市产业政策禁止和限制类高档生物显微镜项目的经营活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64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https://d.book118.com/655320221323011110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高档生物显微镜行业相关公司设立可行性研究报告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高档生物显微镜行业相关公司设立可行性研究报告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高档生物显微镜行业相关公司设立可行性研究报告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高档生物显微镜行业相关公司设立可行性研究报告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高档生物显微镜行业相关公司设立可行性研究报告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532022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2024-02-06T11:13:00Z</dcterms:created>
  <dcterms:modified xsi:type="dcterms:W3CDTF">2024-02-06T11:13:27Z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DB730437C3E64F8DB9363303CA04976F_11</vt:lpwstr>
  </property>
  <property fmtid="{D5CDD505-2E9C-101B-9397-08002B2CF9AE}" pid="3" name="KSOProductBuildVer">
    <vt:lpwstr>2052-12.1.0.16250</vt:lpwstr>
  </property>
</Properties>
</file>