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19048EF7" w14:textId="77777777">
          <w:pPr>
            <w:pStyle w:val="NoSpacing"/>
          </w:pPr>
        </w:p>
        <w:p w:rsidR="00C018A2" w14:paraId="5EED548C" w14:textId="77777777">
          <w:pPr>
            <w:pStyle w:val="NoSpacing"/>
          </w:pPr>
        </w:p>
        <w:p w:rsidR="00C018A2" w14:paraId="51D16F40" w14:textId="77777777">
          <w:pPr>
            <w:pStyle w:val="NoSpacing"/>
          </w:pPr>
        </w:p>
        <w:p w:rsidR="00C018A2" w14:paraId="6AA5D5C5" w14:textId="77777777">
          <w:pPr>
            <w:pStyle w:val="NoSpacing"/>
          </w:pPr>
        </w:p>
        <w:p w:rsidR="00C018A2" w14:paraId="7706D981" w14:textId="77777777">
          <w:pPr>
            <w:pStyle w:val="NoSpacing"/>
          </w:pPr>
        </w:p>
        <w:p w:rsidR="00C018A2" w14:paraId="5CD31C21" w14:textId="77777777">
          <w:pPr>
            <w:pStyle w:val="NoSpacing"/>
          </w:pPr>
        </w:p>
        <w:p w:rsidR="00C018A2" w14:paraId="29EAF7FB" w14:textId="77777777">
          <w:pPr>
            <w:pStyle w:val="NoSpacing"/>
          </w:pPr>
        </w:p>
        <w:p w:rsidR="00C018A2" w14:paraId="3638116E" w14:textId="77777777">
          <w:pPr>
            <w:pStyle w:val="NoSpacing"/>
          </w:pPr>
        </w:p>
        <w:p w:rsidR="00C018A2" w14:paraId="20017A1C" w14:textId="77777777">
          <w:pPr>
            <w:pStyle w:val="NoSpacing"/>
          </w:pPr>
        </w:p>
        <w:p w:rsidR="00C018A2" w14:paraId="73B65325" w14:textId="77777777">
          <w:pPr>
            <w:pStyle w:val="NoSpacing"/>
          </w:pPr>
        </w:p>
        <w:p w:rsidR="00C018A2" w14:paraId="34A09D84" w14:textId="77777777">
          <w:pPr>
            <w:pStyle w:val="NoSpacing"/>
          </w:pPr>
        </w:p>
        <w:p w:rsidR="00C018A2" w14:paraId="10C79A29" w14:textId="77777777">
          <w:pPr>
            <w:pStyle w:val="NoSpacing"/>
          </w:pPr>
        </w:p>
        <w:p w:rsidR="00C018A2" w14:paraId="5471DC21"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1E6486C1" w14:textId="77777777">
                            <w:pPr>
                              <w:pStyle w:val="NoSpacing"/>
                              <w:jc w:val="right"/>
                              <w:rPr>
                                <w:color w:val="FFFFFF" w:themeColor="background1"/>
                                <w:sz w:val="28"/>
                                <w:szCs w:val="28"/>
                              </w:rPr>
                            </w:pPr>
                            <w:sdt>
                              <w:sdtPr>
                                <w:rPr>
                                  <w:color w:val="FFFFFF" w:themeColor="background1"/>
                                  <w:sz w:val="32"/>
                                  <w:szCs w:val="32"/>
                                </w:rPr>
                                <w:alias w:val="日期"/>
                                <w:id w:val="499690518"/>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F16B189"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重组链激酶</w:t>
          </w:r>
          <w:r w:rsidRPr="007A4CF7">
            <w:rPr>
              <w:rFonts w:ascii="仿宋" w:eastAsia="仿宋" w:hAnsi="仿宋" w:hint="eastAsia"/>
              <w:b/>
              <w:bCs/>
              <w:sz w:val="52"/>
              <w:szCs w:val="52"/>
            </w:rPr>
            <w:t>项目</w:t>
          </w:r>
        </w:p>
        <w:p w:rsidR="00C018A2" w:rsidP="007A4CF7" w14:paraId="14A59C8E"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26A914C1">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95A961E" w14:textId="26A914C1">
                          <w:pPr>
                            <w:pStyle w:val="NoSpacing"/>
                            <w:rPr>
                              <w:color w:val="4472C4" w:themeColor="accent1"/>
                              <w:sz w:val="36"/>
                              <w:szCs w:val="36"/>
                            </w:rPr>
                          </w:pPr>
                          <w:sdt>
                            <w:sdtPr>
                              <w:rPr>
                                <w:color w:val="4472C4" w:themeColor="accent1"/>
                                <w:sz w:val="36"/>
                                <w:szCs w:val="36"/>
                              </w:rPr>
                              <w:alias w:val="作者"/>
                              <w:id w:val="173149929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633DC846" w14:textId="77777777">
                          <w:pPr>
                            <w:pStyle w:val="NoSpacing"/>
                            <w:rPr>
                              <w:color w:val="595959" w:themeColor="text1" w:themeTint="A6"/>
                              <w:sz w:val="24"/>
                              <w:szCs w:val="24"/>
                            </w:rPr>
                          </w:pPr>
                          <w:sdt>
                            <w:sdtPr>
                              <w:rPr>
                                <w:caps/>
                                <w:color w:val="595959" w:themeColor="text1" w:themeTint="A6"/>
                                <w:sz w:val="24"/>
                                <w:szCs w:val="24"/>
                              </w:rPr>
                              <w:alias w:val="公司"/>
                              <w:id w:val="189346179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3073A783"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5FEE21B5"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4D9003C8"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8EDE022"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重组链激酶项目商业计划书摘要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8BC2EF9"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662F041"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重组链激酶产品或服务描述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4CA7D9BC"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E58DF55"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重组链激酶目标市场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27C9826"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重组链激酶市场竞争分析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0E59C3B"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重组链激酶行业趋势与机遇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13A766A4"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81967F0"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1B52B2B"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重组链激酶产品定价策略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E45E750"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重组链激酶产品销售渠道与拓展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AC7C7F9"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D4F621C"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973D763"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1C1ADDB0"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4DB771EB"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19A1B11"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00D14B8"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70E0C3DD"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9C6DA23"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488793145"/>
        <w:docPartObj>
          <w:docPartGallery w:val="Table of Contents"/>
          <w:docPartUnique/>
        </w:docPartObj>
      </w:sdtPr>
      <w:sdtEndPr>
        <w:rPr>
          <w:b/>
          <w:bCs/>
        </w:rPr>
      </w:sdtEndPr>
      <w:sdtContent>
        <w:p w:rsidR="007A4CF7" w:rsidRPr="007A4CF7" w:rsidP="007A4CF7" w14:paraId="5CAB5D6F"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352C5ABE"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1A208B0"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033FD5D"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58B9FD2"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87F01B8"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3B71E628"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1B975F2E"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92B289A"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7C15AF6"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3FCB5FFE"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82E57D4"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4EC67F0"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1C5C28D9"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697CB5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85FF55C"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7454ABD3" w14:textId="77777777">
          <w:pPr>
            <w:spacing w:line="500" w:lineRule="exact"/>
          </w:pPr>
          <w:r w:rsidRPr="007A4CF7">
            <w:rPr>
              <w:b/>
              <w:bCs/>
              <w:sz w:val="28"/>
              <w:szCs w:val="28"/>
              <w:lang w:val="zh-CN"/>
            </w:rPr>
            <w:fldChar w:fldCharType="end"/>
          </w:r>
        </w:p>
      </w:sdtContent>
    </w:sdt>
    <w:p w:rsidR="007A4CF7" w:rsidP="00DA4121" w14:paraId="6F50C2F2"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0853C384" w14:textId="77777777">
      <w:pPr>
        <w:pStyle w:val="Heading2"/>
      </w:pPr>
      <w:r w:rsidRPr="009C12B5">
        <w:t>一、概述</w:t>
      </w:r>
      <w:bookmarkEnd w:id="0"/>
    </w:p>
    <w:p w:rsidR="009C12B5" w:rsidRPr="00DA4121" w:rsidP="00DA4121" w14:paraId="10804D56" w14:textId="77777777">
      <w:pPr>
        <w:pStyle w:val="Heading3"/>
      </w:pPr>
      <w:bookmarkStart w:id="1" w:name="_Toc157814104"/>
      <w:r w:rsidRPr="00DA4121">
        <w:t xml:space="preserve">1.1 </w:t>
      </w:r>
      <w:r w:rsidR="007A4CF7">
        <w:t>重组链激酶</w:t>
      </w:r>
      <w:r w:rsidR="007A4CF7">
        <w:rPr>
          <w:rFonts w:hint="eastAsia"/>
        </w:rPr>
        <w:t>项目</w:t>
      </w:r>
      <w:r w:rsidRPr="00DA4121">
        <w:t>商业计划书摘要</w:t>
      </w:r>
      <w:bookmarkEnd w:id="1"/>
    </w:p>
    <w:p w:rsidR="009C12B5" w:rsidRPr="009C12B5" w:rsidP="009C12B5" w14:paraId="2523A06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重组链激酶产品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重组链激酶产品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重组链激酶产品</w:t>
      </w:r>
      <w:r w:rsidRPr="009C12B5">
        <w:rPr>
          <w:rFonts w:ascii="仿宋" w:eastAsia="仿宋" w:hAnsi="仿宋"/>
          <w:sz w:val="28"/>
          <w:szCs w:val="28"/>
        </w:rPr>
        <w:t>有望成为市场上的畅销产品，并为公司带来可观的收益和市场份额。</w:t>
      </w:r>
    </w:p>
    <w:p w:rsidR="009C12B5" w:rsidRPr="009C12B5" w:rsidP="009C12B5" w14:paraId="62CE5AA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重组链激酶产品</w:t>
      </w:r>
      <w:r w:rsidRPr="009C12B5">
        <w:rPr>
          <w:rFonts w:ascii="仿宋" w:eastAsia="仿宋" w:hAnsi="仿宋"/>
          <w:sz w:val="28"/>
          <w:szCs w:val="28"/>
        </w:rPr>
        <w:t>商业计划书中，我们将详细阐述</w:t>
      </w:r>
      <w:r w:rsidR="00E75C7F">
        <w:rPr>
          <w:rFonts w:ascii="仿宋" w:eastAsia="仿宋" w:hAnsi="仿宋"/>
          <w:sz w:val="28"/>
          <w:szCs w:val="28"/>
        </w:rPr>
        <w:t>重组链激酶产品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重组链激酶产品</w:t>
      </w:r>
      <w:r w:rsidRPr="009C12B5">
        <w:rPr>
          <w:rFonts w:ascii="仿宋" w:eastAsia="仿宋" w:hAnsi="仿宋"/>
          <w:sz w:val="28"/>
          <w:szCs w:val="28"/>
        </w:rPr>
        <w:t>有一个全面而深入的了解，并认识到其巨大的商业价值和投资潜力。</w:t>
      </w:r>
    </w:p>
    <w:p w:rsidR="009C12B5" w:rsidRPr="009C12B5" w:rsidP="009C12B5" w14:paraId="217979F6"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重组链激酶产品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4C48A76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重组链激酶产品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重组链激酶产品</w:t>
      </w:r>
      <w:r w:rsidRPr="009C12B5">
        <w:rPr>
          <w:rFonts w:ascii="仿宋" w:eastAsia="仿宋" w:hAnsi="仿宋"/>
          <w:sz w:val="28"/>
          <w:szCs w:val="28"/>
        </w:rPr>
        <w:t>的美好未来。</w:t>
      </w:r>
    </w:p>
    <w:p w:rsidR="009C12B5" w:rsidRPr="009C12B5" w:rsidP="007A4CF7" w14:paraId="1A4B4735" w14:textId="77777777">
      <w:pPr>
        <w:pStyle w:val="Heading3"/>
      </w:pPr>
      <w:bookmarkStart w:id="2" w:name="_Toc157814105"/>
      <w:r w:rsidRPr="009C12B5">
        <w:t xml:space="preserve">1.2 </w:t>
      </w:r>
      <w:r w:rsidRPr="009C12B5">
        <w:t>公司简介</w:t>
      </w:r>
      <w:bookmarkEnd w:id="2"/>
    </w:p>
    <w:p w:rsidR="009C12B5" w:rsidRPr="009C12B5" w:rsidP="009C12B5" w14:paraId="54F76A7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2BCF3A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15DC615B"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28F940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92FDF8A" w14:textId="77777777">
      <w:pPr>
        <w:pStyle w:val="Heading3"/>
      </w:pPr>
      <w:bookmarkStart w:id="3" w:name="_Toc157814106"/>
      <w:r w:rsidRPr="007A4CF7">
        <w:t xml:space="preserve">1.3 </w:t>
      </w:r>
      <w:r w:rsidR="007A4CF7">
        <w:t>重组链激酶</w:t>
      </w:r>
      <w:r w:rsidRPr="007A4CF7">
        <w:t>产品或服务描述</w:t>
      </w:r>
      <w:bookmarkEnd w:id="3"/>
    </w:p>
    <w:p w:rsidR="00D76E6A" w14:paraId="5C9F6DAC" w14:textId="068C272D">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重组链激酶是一种重要的生物制剂，具有显著的临床应用价值。它是一种丝氨酸蛋白酶，能够特异性地催化纤维蛋白溶解酶原转变为纤维蛋白溶解酶，从而促进血栓的溶解，在急性心肌梗死、急性缺血性脑卒中以及深静脉血栓形成等血栓相关疾病的治疗中发挥着关键作用。</w:t>
      </w:r>
      <w:r>
        <w:rPr>
          <w:rFonts w:ascii="仿宋" w:eastAsia="仿宋" w:hAnsi="仿宋"/>
          <w:sz w:val="28"/>
        </w:rPr>
        <w:br/>
      </w:r>
      <w:r>
        <w:rPr>
          <w:rFonts w:ascii="仿宋" w:eastAsia="仿宋" w:hAnsi="仿宋"/>
          <w:sz w:val="28"/>
        </w:rPr>
        <w:t>该产品通过注射给药，能够迅速到达血栓部位，高效地溶解血栓，恢复血液循环，减少组织损伤，并改善患者的预后。同时，重组链激酶还具有良好的安全性，副作用少，且不会增加出血的风险，适合广泛应用。</w:t>
      </w:r>
      <w:r>
        <w:rPr>
          <w:rFonts w:ascii="仿宋" w:eastAsia="仿宋" w:hAnsi="仿宋"/>
          <w:sz w:val="28"/>
        </w:rPr>
        <w:br/>
      </w:r>
      <w:r>
        <w:rPr>
          <w:rFonts w:ascii="仿宋" w:eastAsia="仿宋" w:hAnsi="仿宋"/>
          <w:sz w:val="28"/>
        </w:rPr>
        <w:t>在产品开发过程中，研发团队注重工艺优化和质量控制，确保产品的稳定性和疗效。通过大规模的发酵技术和先进的纯化工艺，实现了产品的规模化生产，提高了产品的可及性和成本效益。</w:t>
      </w:r>
      <w:r>
        <w:rPr>
          <w:rFonts w:ascii="仿宋" w:eastAsia="仿宋" w:hAnsi="仿宋"/>
          <w:sz w:val="28"/>
        </w:rPr>
        <w:br/>
      </w:r>
    </w:p>
    <w:p w:rsidR="00D76E6A" w14:textId="068C272D">
      <w:pPr>
        <w:ind w:firstLine="560"/>
      </w:pPr>
      <w:r>
        <w:rPr>
          <w:rFonts w:ascii="仿宋" w:eastAsia="仿宋" w:hAnsi="仿宋"/>
          <w:sz w:val="28"/>
        </w:rPr>
        <w:t>随着医疗技术的不断进步和人们对健康需求的日益增长，重组链激酶市场潜力巨大。未来，通过进一步的临床研究和技术创新，该产品有望拓展到更多的治疗领域，为更多的患者带来福音。</w:t>
      </w:r>
    </w:p>
    <w:p w:rsidR="009C12B5" w:rsidRPr="009C12B5" w:rsidP="009C12B5" w14:paraId="6B3F56B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重组链激酶产品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重组链激酶产品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重组链激酶产品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重组链激酶产品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77EDC42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重组链激酶产品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7789FB54" w14:textId="77777777">
      <w:pPr>
        <w:pStyle w:val="Heading2"/>
      </w:pPr>
      <w:bookmarkStart w:id="4" w:name="_Toc157814107"/>
      <w:r w:rsidRPr="009C12B5">
        <w:t>二、市场分析</w:t>
      </w:r>
      <w:bookmarkEnd w:id="4"/>
    </w:p>
    <w:p w:rsidR="009C12B5" w:rsidP="007A4CF7" w14:paraId="037BC187" w14:textId="77777777">
      <w:pPr>
        <w:pStyle w:val="Heading3"/>
      </w:pPr>
      <w:bookmarkStart w:id="5" w:name="_Toc157814108"/>
      <w:r w:rsidRPr="009C12B5">
        <w:t xml:space="preserve">2.1 </w:t>
      </w:r>
      <w:r w:rsidR="007A4CF7">
        <w:t>重组链激酶</w:t>
      </w:r>
      <w:r w:rsidRPr="009C12B5">
        <w:t>目标市场</w:t>
      </w:r>
      <w:bookmarkEnd w:id="5"/>
    </w:p>
    <w:p w:rsidR="00D76E6A" w14:paraId="3DBBFCD5" w14:textId="421F07D3">
      <w:pPr>
        <w:ind w:firstLine="560"/>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Pr>
          <w:rFonts w:ascii="仿宋" w:eastAsia="仿宋" w:hAnsi="仿宋"/>
          <w:sz w:val="28"/>
        </w:rPr>
        <w:t>重组链激酶产品项目商业发展计划书中的目标市场分析应重点评估市场潜力和机会，以确定产品定位和营销策略。分析应包括以下几个方面：</w:t>
      </w:r>
      <w:r>
        <w:rPr>
          <w:rFonts w:ascii="仿宋" w:eastAsia="仿宋" w:hAnsi="仿宋"/>
          <w:sz w:val="28"/>
        </w:rPr>
        <w:br/>
        <w:t xml:space="preserve">    1.</w:t>
      </w:r>
      <w:r>
        <w:rPr>
          <w:rFonts w:ascii="仿宋" w:eastAsia="仿宋" w:hAnsi="仿宋"/>
          <w:sz w:val="28"/>
        </w:rPr>
        <w:t>市场容量评估：确定目标市场的整体规模，包括潜在患者人数、市场增长率和未来趋势。</w:t>
      </w:r>
    </w:p>
    <w:p w:rsidR="00D76E6A" w14:textId="421F07D3">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患者细分：根据疾病类型、严重程度、年龄、性别等因素，对患者进行细分，以制定针对性的营销策略。</w:t>
      </w:r>
      <w:r>
        <w:rPr>
          <w:rFonts w:ascii="仿宋" w:eastAsia="仿宋" w:hAnsi="仿宋"/>
          <w:sz w:val="28"/>
        </w:rPr>
        <w:br/>
        <w:t xml:space="preserve">    3.</w:t>
      </w:r>
      <w:r>
        <w:rPr>
          <w:rFonts w:ascii="仿宋" w:eastAsia="仿宋" w:hAnsi="仿宋"/>
          <w:sz w:val="28"/>
        </w:rPr>
        <w:t>竞争分析：评估现有和潜在竞争对手的产品、价格、渠道和促销策略，确定本产品的竞争优势。</w:t>
      </w:r>
      <w:r>
        <w:rPr>
          <w:rFonts w:ascii="仿宋" w:eastAsia="仿宋" w:hAnsi="仿宋"/>
          <w:sz w:val="28"/>
        </w:rPr>
        <w:br/>
        <w:t xml:space="preserve">    4.</w:t>
      </w:r>
      <w:r>
        <w:rPr>
          <w:rFonts w:ascii="仿宋" w:eastAsia="仿宋" w:hAnsi="仿宋"/>
          <w:sz w:val="28"/>
        </w:rPr>
        <w:t>市场准入门槛：分析监管环境、专利状况和市场进入的难易程度，制定相应的市场准入策略。</w:t>
      </w:r>
      <w:r>
        <w:rPr>
          <w:rFonts w:ascii="仿宋" w:eastAsia="仿宋" w:hAnsi="仿宋"/>
          <w:sz w:val="28"/>
        </w:rPr>
        <w:br/>
        <w:t xml:space="preserve">    5.</w:t>
      </w:r>
      <w:r>
        <w:rPr>
          <w:rFonts w:ascii="仿宋" w:eastAsia="仿宋" w:hAnsi="仿宋"/>
          <w:sz w:val="28"/>
        </w:rPr>
        <w:t>定价策略：根据成本分析、市场定位和竞争情况，确定产品的价格策略，包括定价方式和价格区间。</w:t>
      </w:r>
      <w:r>
        <w:rPr>
          <w:rFonts w:ascii="仿宋" w:eastAsia="仿宋" w:hAnsi="仿宋"/>
          <w:sz w:val="28"/>
        </w:rPr>
        <w:br/>
        <w:t xml:space="preserve">    6.</w:t>
      </w:r>
      <w:r>
        <w:rPr>
          <w:rFonts w:ascii="仿宋" w:eastAsia="仿宋" w:hAnsi="仿宋"/>
          <w:sz w:val="28"/>
        </w:rPr>
        <w:t>分销渠道：选择合适的分销渠道，包括直接销售、代理商、批发商和零售商，以确保产品能够有效地到达目标消费者。</w:t>
      </w:r>
      <w:r>
        <w:rPr>
          <w:rFonts w:ascii="仿宋" w:eastAsia="仿宋" w:hAnsi="仿宋"/>
          <w:sz w:val="28"/>
        </w:rPr>
        <w:br/>
        <w:t xml:space="preserve">    7.</w:t>
      </w:r>
      <w:r>
        <w:rPr>
          <w:rFonts w:ascii="仿宋" w:eastAsia="仿宋" w:hAnsi="仿宋"/>
          <w:sz w:val="28"/>
        </w:rPr>
        <w:t>促销策略：制定推广计划，包括广告、公关、推广活动和销售促进等，以提高品牌知名度和产品销量。</w:t>
      </w:r>
      <w:r>
        <w:rPr>
          <w:rFonts w:ascii="仿宋" w:eastAsia="仿宋" w:hAnsi="仿宋"/>
          <w:sz w:val="28"/>
        </w:rPr>
        <w:br/>
        <w:t xml:space="preserve">    8.</w:t>
      </w:r>
      <w:r>
        <w:rPr>
          <w:rFonts w:ascii="仿宋" w:eastAsia="仿宋" w:hAnsi="仿宋"/>
          <w:sz w:val="28"/>
        </w:rPr>
        <w:t>市场反馈机制：建立市场调研和反馈机制，及时了解市场需求变化和消费者反馈，调整市场策略。</w:t>
      </w:r>
      <w:r>
        <w:rPr>
          <w:rFonts w:ascii="仿宋" w:eastAsia="仿宋" w:hAnsi="仿宋"/>
          <w:sz w:val="28"/>
        </w:rPr>
        <w:br/>
      </w:r>
      <w:r>
        <w:rPr>
          <w:rFonts w:ascii="仿宋" w:eastAsia="仿宋" w:hAnsi="仿宋"/>
          <w:sz w:val="28"/>
        </w:rPr>
        <w:t>通过上述分析，可以明确重组链激酶产品在目标市场中的定位，为产品的成功推广和商业发展提供战略指导。</w:t>
      </w:r>
    </w:p>
    <w:p w:rsidR="009C12B5" w:rsidRPr="009C12B5" w:rsidP="009C12B5" w14:paraId="6FDF5855"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64CB6B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重组链激酶产品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重组链激酶产品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重组链激酶产品</w:t>
      </w:r>
      <w:r w:rsidRPr="009C12B5">
        <w:rPr>
          <w:rFonts w:ascii="仿宋" w:eastAsia="仿宋" w:hAnsi="仿宋"/>
          <w:sz w:val="28"/>
          <w:szCs w:val="28"/>
        </w:rPr>
        <w:t>始终与市场需求保持同步。</w:t>
      </w:r>
    </w:p>
    <w:p w:rsidR="009C12B5" w:rsidP="007A4CF7" w14:paraId="280AF588" w14:textId="77777777">
      <w:pPr>
        <w:pStyle w:val="Heading3"/>
      </w:pPr>
      <w:bookmarkStart w:id="6" w:name="_Toc157814109"/>
      <w:r w:rsidRPr="009C12B5">
        <w:t xml:space="preserve">2.2 </w:t>
      </w:r>
      <w:r w:rsidR="007A4CF7">
        <w:t>重组链激酶</w:t>
      </w:r>
      <w:r w:rsidR="007A4CF7">
        <w:rPr>
          <w:rFonts w:hint="eastAsia"/>
        </w:rPr>
        <w:t>市场</w:t>
      </w:r>
      <w:r w:rsidRPr="009C12B5">
        <w:t>竞争分析</w:t>
      </w:r>
      <w:bookmarkEnd w:id="6"/>
    </w:p>
    <w:p w:rsidR="00D76E6A" w14:paraId="477A34D4" w14:textId="07344AEC">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重组链激酶（</w:t>
      </w:r>
      <w:r>
        <w:rPr>
          <w:rFonts w:ascii="仿宋" w:eastAsia="仿宋" w:hAnsi="仿宋"/>
          <w:sz w:val="28"/>
        </w:rPr>
        <w:t>Recombinant Staphylokinase, r-Staphylokinase</w:t>
      </w:r>
      <w:r>
        <w:rPr>
          <w:rFonts w:ascii="仿宋" w:eastAsia="仿宋" w:hAnsi="仿宋"/>
          <w:sz w:val="28"/>
        </w:rPr>
        <w:t>）是一种具有广阔市场潜力的生物制剂，尤其在急性心肌梗死（</w:t>
      </w:r>
      <w:r>
        <w:rPr>
          <w:rFonts w:ascii="仿宋" w:eastAsia="仿宋" w:hAnsi="仿宋"/>
          <w:sz w:val="28"/>
        </w:rPr>
        <w:t>AMI</w:t>
      </w:r>
      <w:r>
        <w:rPr>
          <w:rFonts w:ascii="仿宋" w:eastAsia="仿宋" w:hAnsi="仿宋"/>
          <w:sz w:val="28"/>
        </w:rPr>
        <w:t>）的治疗中显示出巨大的应用前景。目前，市场上的溶栓药物主要包括尿激酶、链激酶和重组链激酶等。其中，重组链激酶因其更高的安全性、更强的溶栓活性和更低的副作用而备受关注。</w:t>
      </w:r>
      <w:r>
        <w:rPr>
          <w:rFonts w:ascii="仿宋" w:eastAsia="仿宋" w:hAnsi="仿宋"/>
          <w:sz w:val="28"/>
        </w:rPr>
        <w:br/>
      </w:r>
      <w:r>
        <w:rPr>
          <w:rFonts w:ascii="仿宋" w:eastAsia="仿宋" w:hAnsi="仿宋"/>
          <w:sz w:val="28"/>
        </w:rPr>
        <w:t>在市场竞争分析中，我们首先需要评估现有市场上的溶栓药物，尤其是链激酶和尿激酶的市场份额和用户反馈。尽管这些药物在临床上已经得到广泛应用，但它们存在一些局限性，如副作用较大、特异性较低等。相比之下，重组链激酶具有更高的特异性，能够减少不必要的纤维蛋白溶解，从而降低出血风险。此外，重组链激酶还具有更好的耐受性和更短的半衰期，这些优势都有助于其在市场上脱颖而出。</w:t>
      </w:r>
      <w:r>
        <w:rPr>
          <w:rFonts w:ascii="仿宋" w:eastAsia="仿宋" w:hAnsi="仿宋"/>
          <w:sz w:val="28"/>
        </w:rPr>
        <w:br/>
      </w:r>
    </w:p>
    <w:p w:rsidR="00D76E6A" w14:textId="07344AEC">
      <w:pPr>
        <w:ind w:firstLine="560"/>
      </w:pPr>
      <w:r>
        <w:rPr>
          <w:rFonts w:ascii="仿宋" w:eastAsia="仿宋" w:hAnsi="仿宋"/>
          <w:sz w:val="28"/>
        </w:rPr>
        <w:t>其次，我们需要关注竞争对手的研发动态和产品管线。尽管目前市场上已经存在一些溶栓药物，但各大制药公司仍在不断投入研发资源，以期推出更安全、更有效的溶栓产品。因此，我们需要分析竞争对手的产品特点、临床数据和市场策略，以确定我们的重组链激酶产品如何在这些方面取得竞争优势。</w:t>
      </w:r>
      <w:r>
        <w:rPr>
          <w:rFonts w:ascii="仿宋" w:eastAsia="仿宋" w:hAnsi="仿宋"/>
          <w:sz w:val="28"/>
        </w:rPr>
        <w:br/>
      </w:r>
      <w:r>
        <w:rPr>
          <w:rFonts w:ascii="仿宋" w:eastAsia="仿宋" w:hAnsi="仿宋"/>
          <w:sz w:val="28"/>
        </w:rPr>
        <w:t>再者，我们还需要分析目标市场的需求趋势。随着人口老龄化和心血管疾病发病率的上升，溶栓治疗的市场需求日益增长。尤其是在发展中国家，由于医疗水平的提高和人们对高质量医疗服务的追求，对新型溶栓药物的需求尤为迫切。因此，我们的重组链激酶产品有望在这些地区找到广阔的市场空间。</w:t>
      </w:r>
      <w:r>
        <w:rPr>
          <w:rFonts w:ascii="仿宋" w:eastAsia="仿宋" w:hAnsi="仿宋"/>
          <w:sz w:val="28"/>
        </w:rPr>
        <w:br/>
      </w:r>
      <w:r>
        <w:rPr>
          <w:rFonts w:ascii="仿宋" w:eastAsia="仿宋" w:hAnsi="仿宋"/>
          <w:sz w:val="28"/>
        </w:rPr>
        <w:t>最后，我们应制定相应的市场推广策略，包括定价策略、销售渠道建设和品牌建设等。通过合理的定价和市场定位，我们可以吸引不同层次的消费者，并利用现代化的营销手段提高产品的知名度和市场占有率。</w:t>
      </w:r>
      <w:r>
        <w:rPr>
          <w:rFonts w:ascii="仿宋" w:eastAsia="仿宋" w:hAnsi="仿宋"/>
          <w:sz w:val="28"/>
        </w:rPr>
        <w:br/>
      </w:r>
      <w:r>
        <w:rPr>
          <w:rFonts w:ascii="仿宋" w:eastAsia="仿宋" w:hAnsi="仿宋"/>
          <w:sz w:val="28"/>
        </w:rPr>
        <w:t>综上所述，重组链激酶产品在市场竞争中具有良好的发展前景。通过充分利用产品的优势，密切关注市场需求变化，并采取有效的市场推广策略，我们可以确保该产品在市场上取得成功。</w:t>
      </w:r>
    </w:p>
    <w:p w:rsidR="009C12B5" w:rsidRPr="009C12B5" w:rsidP="009C12B5" w14:paraId="36497B5D"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重组链激酶产品</w:t>
      </w:r>
      <w:r w:rsidRPr="009C12B5">
        <w:rPr>
          <w:rFonts w:ascii="仿宋" w:eastAsia="仿宋" w:hAnsi="仿宋"/>
          <w:sz w:val="28"/>
          <w:szCs w:val="28"/>
        </w:rPr>
        <w:t>的竞争优势和差异化策略。我们认为，</w:t>
      </w:r>
      <w:r w:rsidR="00E75C7F">
        <w:rPr>
          <w:rFonts w:ascii="仿宋" w:eastAsia="仿宋" w:hAnsi="仿宋"/>
          <w:sz w:val="28"/>
          <w:szCs w:val="28"/>
        </w:rPr>
        <w:t>重组链激酶产品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C0E6A2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重组链激酶产品</w:t>
      </w:r>
      <w:r w:rsidRPr="009C12B5">
        <w:rPr>
          <w:rFonts w:ascii="仿宋" w:eastAsia="仿宋" w:hAnsi="仿宋"/>
          <w:sz w:val="28"/>
          <w:szCs w:val="28"/>
        </w:rPr>
        <w:t>将在竞争激烈的市场中脱颖而出。</w:t>
      </w:r>
    </w:p>
    <w:p w:rsidR="009C12B5" w:rsidP="007A4CF7" w14:paraId="100B9CC3" w14:textId="77777777">
      <w:pPr>
        <w:pStyle w:val="Heading3"/>
      </w:pPr>
      <w:bookmarkStart w:id="7" w:name="_Toc157814110"/>
      <w:r w:rsidRPr="009C12B5">
        <w:t xml:space="preserve">2.3 </w:t>
      </w:r>
      <w:r w:rsidR="007A4CF7">
        <w:t>重组链激酶</w:t>
      </w:r>
      <w:r w:rsidRPr="009C12B5">
        <w:t>行业趋势与机遇</w:t>
      </w:r>
      <w:bookmarkEnd w:id="7"/>
    </w:p>
    <w:p w:rsidR="00D76E6A" w14:paraId="28898D9A" w14:textId="5348191D">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随着全球人口老龄化趋势的加剧和人们对健康需求的不断增长，医药市场对创新治疗方案的需求日益迫切。重组链激酶作为一种重要的生物制剂，在血栓栓塞性疾病的治疗中发挥着关键作用。以下将从多个维度分析重组链激酶产品行业的发展趋势与机遇：</w:t>
      </w:r>
      <w:r>
        <w:rPr>
          <w:rFonts w:ascii="仿宋" w:eastAsia="仿宋" w:hAnsi="仿宋"/>
          <w:sz w:val="28"/>
        </w:rPr>
        <w:br/>
        <w:t xml:space="preserve">    1.</w:t>
      </w:r>
      <w:r>
        <w:rPr>
          <w:rFonts w:ascii="仿宋" w:eastAsia="仿宋" w:hAnsi="仿宋"/>
          <w:sz w:val="28"/>
        </w:rPr>
        <w:t>技术创新：生物技术的发展为重组链激酶的研发和生产提供了新的可能性。基因工程技术的进步使得生产高纯度、高活性的重组链激酶成为现实，同时，新型给药途径和剂型的开发也将进一步拓展其应用范围。</w:t>
      </w:r>
      <w:r>
        <w:rPr>
          <w:rFonts w:ascii="仿宋" w:eastAsia="仿宋" w:hAnsi="仿宋"/>
          <w:sz w:val="28"/>
        </w:rPr>
        <w:br/>
        <w:t xml:space="preserve">    2.</w:t>
      </w:r>
      <w:r>
        <w:rPr>
          <w:rFonts w:ascii="仿宋" w:eastAsia="仿宋" w:hAnsi="仿宋"/>
          <w:sz w:val="28"/>
        </w:rPr>
        <w:t>市场需求：心血管疾病是全球范围内导致死亡的主要原因之一，而血栓栓塞是心血管疾病的重要并发症。因此，重组链激酶作为血栓栓塞治疗的常用药物，其市场需求持续增长，尤其是在新兴市场国家，随着医疗水平的提高和健康意识的增强，需求增长尤为显著。</w:t>
      </w:r>
      <w:r>
        <w:rPr>
          <w:rFonts w:ascii="仿宋" w:eastAsia="仿宋" w:hAnsi="仿宋"/>
          <w:sz w:val="28"/>
        </w:rPr>
        <w:br/>
        <w:t xml:space="preserve">    3.</w:t>
      </w:r>
      <w:r>
        <w:rPr>
          <w:rFonts w:ascii="仿宋" w:eastAsia="仿宋" w:hAnsi="仿宋"/>
          <w:sz w:val="28"/>
        </w:rPr>
        <w:t>政策支持：许多国家和地区都出台了支持生物医药产业发展的政策，包括税收优惠、研发补贴等，这些政策为重组链激酶产品的研发和商业化提供了良好的政策环境。</w:t>
      </w:r>
    </w:p>
    <w:p w:rsidR="00D76E6A" w14:textId="5348191D">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合作与联盟：为了加快产品研发和市场渗透，企业之间可能形成战略联盟或合作关系，共同开发新型重组链激酶产品，分享资源，降低风险。</w:t>
      </w:r>
      <w:r>
        <w:rPr>
          <w:rFonts w:ascii="仿宋" w:eastAsia="仿宋" w:hAnsi="仿宋"/>
          <w:sz w:val="28"/>
        </w:rPr>
        <w:br/>
        <w:t xml:space="preserve">    5.</w:t>
      </w:r>
      <w:r>
        <w:rPr>
          <w:rFonts w:ascii="仿宋" w:eastAsia="仿宋" w:hAnsi="仿宋"/>
          <w:sz w:val="28"/>
        </w:rPr>
        <w:t>个性化医疗：随着精准医疗概念的提出，未来重组链激酶产品可能会朝着个性化治疗的方向发展，通过基因检测等手段，为患者提供更加精准的治疗方案。</w:t>
      </w:r>
      <w:r>
        <w:rPr>
          <w:rFonts w:ascii="仿宋" w:eastAsia="仿宋" w:hAnsi="仿宋"/>
          <w:sz w:val="28"/>
        </w:rPr>
        <w:br/>
        <w:t xml:space="preserve">    6.</w:t>
      </w:r>
      <w:r>
        <w:rPr>
          <w:rFonts w:ascii="仿宋" w:eastAsia="仿宋" w:hAnsi="仿宋"/>
          <w:sz w:val="28"/>
        </w:rPr>
        <w:t>新兴市场：发展中国家和地区的医药市场正在迅速扩张，为重组链激酶产品提供了巨大的增长潜力。这些市场对价格敏感，因此，开发成本效益高的产品将有助于在这些市场占据优势。</w:t>
      </w:r>
      <w:r>
        <w:rPr>
          <w:rFonts w:ascii="仿宋" w:eastAsia="仿宋" w:hAnsi="仿宋"/>
          <w:sz w:val="28"/>
        </w:rPr>
        <w:br/>
        <w:t xml:space="preserve">    7.</w:t>
      </w:r>
      <w:r>
        <w:rPr>
          <w:rFonts w:ascii="仿宋" w:eastAsia="仿宋" w:hAnsi="仿宋"/>
          <w:sz w:val="28"/>
        </w:rPr>
        <w:t>监管环境：监管机构对生物类似药和新型生物制剂的审批流程逐渐完善，为重组链激酶产品的创新和市场准入提供了更加明确的指导和规范。</w:t>
      </w:r>
      <w:r>
        <w:rPr>
          <w:rFonts w:ascii="仿宋" w:eastAsia="仿宋" w:hAnsi="仿宋"/>
          <w:sz w:val="28"/>
        </w:rPr>
        <w:br/>
      </w:r>
      <w:r>
        <w:rPr>
          <w:rFonts w:ascii="仿宋" w:eastAsia="仿宋" w:hAnsi="仿宋"/>
          <w:sz w:val="28"/>
        </w:rPr>
        <w:t>综上所述，重组链激酶产品行业正处于一个充满机遇和挑战的时代。通过持续的技术创新、市场拓展和政策合作，企业可以在这个快速增长的行业中获得长期竞争优势。</w:t>
      </w:r>
    </w:p>
    <w:p w:rsidR="009C12B5" w:rsidRPr="009C12B5" w:rsidP="009C12B5" w14:paraId="400A1F97"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重组链激酶产品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重组链激酶产品</w:t>
      </w:r>
      <w:r w:rsidRPr="009C12B5">
        <w:rPr>
          <w:rFonts w:ascii="仿宋" w:eastAsia="仿宋" w:hAnsi="仿宋"/>
          <w:sz w:val="28"/>
          <w:szCs w:val="28"/>
        </w:rPr>
        <w:t>始终走在行业的前沿并抓住每一个市场机遇。</w:t>
      </w:r>
    </w:p>
    <w:p w:rsidR="009C12B5" w:rsidRPr="009C12B5" w:rsidP="007A4CF7" w14:paraId="5F6ACB1B" w14:textId="77777777">
      <w:pPr>
        <w:pStyle w:val="Heading2"/>
      </w:pPr>
      <w:bookmarkStart w:id="8" w:name="_Toc157814111"/>
      <w:r w:rsidRPr="009C12B5">
        <w:t>三、营销策略</w:t>
      </w:r>
      <w:bookmarkEnd w:id="8"/>
    </w:p>
    <w:p w:rsidR="009C12B5" w:rsidRPr="009C12B5" w:rsidP="007A4CF7" w14:paraId="1EFEB030" w14:textId="77777777">
      <w:pPr>
        <w:pStyle w:val="Heading3"/>
      </w:pPr>
      <w:bookmarkStart w:id="9" w:name="_Toc157814112"/>
      <w:r w:rsidRPr="009C12B5">
        <w:t xml:space="preserve">3.1 </w:t>
      </w:r>
      <w:r w:rsidRPr="009C12B5">
        <w:t>品牌定位与传播</w:t>
      </w:r>
      <w:bookmarkEnd w:id="9"/>
    </w:p>
    <w:p w:rsidR="009C12B5" w:rsidRPr="009C12B5" w:rsidP="007A4CF7" w14:paraId="2BB9F210"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重组链激酶产品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178814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重组链激酶产品</w:t>
      </w:r>
      <w:r w:rsidRPr="009C12B5">
        <w:rPr>
          <w:rFonts w:ascii="仿宋" w:eastAsia="仿宋" w:hAnsi="仿宋"/>
          <w:sz w:val="28"/>
          <w:szCs w:val="28"/>
        </w:rPr>
        <w:t>的专业评测和推荐文章，以扩大品牌影响力。</w:t>
      </w:r>
    </w:p>
    <w:p w:rsidR="009C12B5" w:rsidRPr="009C12B5" w:rsidP="009C12B5" w14:paraId="5A826211"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重组链激酶产品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56F9130C" w14:textId="77777777">
      <w:pPr>
        <w:pStyle w:val="Heading3"/>
      </w:pPr>
      <w:bookmarkStart w:id="10" w:name="_Toc157814113"/>
      <w:r w:rsidRPr="009C12B5">
        <w:t xml:space="preserve">3.2 </w:t>
      </w:r>
      <w:r w:rsidR="007A4CF7">
        <w:t>重组链激酶</w:t>
      </w:r>
      <w:r w:rsidRPr="009C12B5">
        <w:t>产品定价策略</w:t>
      </w:r>
      <w:bookmarkEnd w:id="10"/>
    </w:p>
    <w:p w:rsidR="009C12B5" w:rsidRPr="009C12B5" w:rsidP="00CA39FB" w14:paraId="2C5C8A4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重组链激酶产品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531943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0A10EF2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重组链激酶产品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6B49DD7" w14:textId="77777777">
      <w:pPr>
        <w:pStyle w:val="Heading3"/>
      </w:pPr>
      <w:bookmarkStart w:id="11" w:name="_Toc157814114"/>
      <w:r w:rsidRPr="009C12B5">
        <w:t xml:space="preserve">3.3 </w:t>
      </w:r>
      <w:r w:rsidR="007A4CF7">
        <w:t>重组链激酶</w:t>
      </w:r>
      <w:r w:rsidR="007A4CF7">
        <w:rPr>
          <w:rFonts w:hint="eastAsia"/>
        </w:rPr>
        <w:t>产品</w:t>
      </w:r>
      <w:r w:rsidRPr="009C12B5">
        <w:t>销售渠道与拓展</w:t>
      </w:r>
      <w:bookmarkEnd w:id="11"/>
    </w:p>
    <w:p w:rsidR="009C12B5" w:rsidRPr="009C12B5" w:rsidP="009C12B5" w14:paraId="1A180AB0"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重组链激酶产品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75EC3A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重组链激酶产品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9849C9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重组链激酶产品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6F78D65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09C31D4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https://d.book118.com/656013114043010044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4220C90" w14:textId="77777777">
    <w:pPr>
      <w:pStyle w:val="Footer"/>
      <w:jc w:val="center"/>
    </w:pPr>
  </w:p>
  <w:p w:rsidR="00FE7E16" w14:paraId="5948D7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9653878" w14:textId="77777777">
    <w:pPr>
      <w:pStyle w:val="Footer"/>
      <w:jc w:val="center"/>
    </w:pPr>
  </w:p>
  <w:p w:rsidR="007A4CF7" w14:paraId="2B3415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4E047BC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1D0CDB2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C2CB750"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0A8178F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3979866"/>
      <w:docPartObj>
        <w:docPartGallery w:val="Page Numbers (Bottom of Page)"/>
        <w:docPartUnique/>
      </w:docPartObj>
    </w:sdtPr>
    <w:sdtContent>
      <w:sdt>
        <w:sdtPr>
          <w:id w:val="108078113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2379491"/>
      <w:docPartObj>
        <w:docPartGallery w:val="Page Numbers (Bottom of Page)"/>
        <w:docPartUnique/>
      </w:docPartObj>
    </w:sdtPr>
    <w:sdtContent>
      <w:sdt>
        <w:sdtPr>
          <w:id w:val="128191001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5278718"/>
      <w:docPartObj>
        <w:docPartGallery w:val="Page Numbers (Bottom of Page)"/>
        <w:docPartUnique/>
      </w:docPartObj>
    </w:sdtPr>
    <w:sdtContent>
      <w:sdt>
        <w:sdtPr>
          <w:id w:val="156106215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5349993"/>
      <w:docPartObj>
        <w:docPartGallery w:val="Page Numbers (Bottom of Page)"/>
        <w:docPartUnique/>
      </w:docPartObj>
    </w:sdtPr>
    <w:sdtContent>
      <w:sdt>
        <w:sdtPr>
          <w:id w:val="7521226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026274"/>
      <w:docPartObj>
        <w:docPartGallery w:val="Page Numbers (Bottom of Page)"/>
        <w:docPartUnique/>
      </w:docPartObj>
    </w:sdtPr>
    <w:sdtContent>
      <w:sdt>
        <w:sdtPr>
          <w:id w:val="98779222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5121863"/>
      <w:docPartObj>
        <w:docPartGallery w:val="Page Numbers (Bottom of Page)"/>
        <w:docPartUnique/>
      </w:docPartObj>
    </w:sdtPr>
    <w:sdtContent>
      <w:sdt>
        <w:sdtPr>
          <w:id w:val="98523653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8187698"/>
      <w:docPartObj>
        <w:docPartGallery w:val="Page Numbers (Bottom of Page)"/>
        <w:docPartUnique/>
      </w:docPartObj>
    </w:sdtPr>
    <w:sdtContent>
      <w:sdt>
        <w:sdtPr>
          <w:id w:val="11198446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9224205"/>
      <w:docPartObj>
        <w:docPartGallery w:val="Page Numbers (Bottom of Page)"/>
        <w:docPartUnique/>
      </w:docPartObj>
    </w:sdtPr>
    <w:sdtContent>
      <w:sdt>
        <w:sdtPr>
          <w:id w:val="131599794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6344734"/>
      <w:docPartObj>
        <w:docPartGallery w:val="Page Numbers (Bottom of Page)"/>
        <w:docPartUnique/>
      </w:docPartObj>
    </w:sdtPr>
    <w:sdtContent>
      <w:sdt>
        <w:sdtPr>
          <w:id w:val="208168334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0818294"/>
      <w:docPartObj>
        <w:docPartGallery w:val="Page Numbers (Bottom of Page)"/>
        <w:docPartUnique/>
      </w:docPartObj>
    </w:sdtPr>
    <w:sdtContent>
      <w:sdt>
        <w:sdtPr>
          <w:id w:val="188634127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6528620"/>
      <w:docPartObj>
        <w:docPartGallery w:val="Page Numbers (Bottom of Page)"/>
        <w:docPartUnique/>
      </w:docPartObj>
    </w:sdtPr>
    <w:sdtContent>
      <w:sdt>
        <w:sdtPr>
          <w:id w:val="119187128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8656623"/>
      <w:docPartObj>
        <w:docPartGallery w:val="Page Numbers (Bottom of Page)"/>
        <w:docPartUnique/>
      </w:docPartObj>
    </w:sdtPr>
    <w:sdtContent>
      <w:sdt>
        <w:sdtPr>
          <w:id w:val="198556297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8606157"/>
      <w:docPartObj>
        <w:docPartGallery w:val="Page Numbers (Bottom of Page)"/>
        <w:docPartUnique/>
      </w:docPartObj>
    </w:sdtPr>
    <w:sdtContent>
      <w:sdt>
        <w:sdtPr>
          <w:id w:val="42274054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3226438"/>
      <w:docPartObj>
        <w:docPartGallery w:val="Page Numbers (Bottom of Page)"/>
        <w:docPartUnique/>
      </w:docPartObj>
    </w:sdtPr>
    <w:sdtContent>
      <w:sdt>
        <w:sdtPr>
          <w:id w:val="135357619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0039238"/>
      <w:docPartObj>
        <w:docPartGallery w:val="Page Numbers (Bottom of Page)"/>
        <w:docPartUnique/>
      </w:docPartObj>
    </w:sdtPr>
    <w:sdtContent>
      <w:sdt>
        <w:sdtPr>
          <w:id w:val="125295950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2042315"/>
      <w:docPartObj>
        <w:docPartGallery w:val="Page Numbers (Bottom of Page)"/>
        <w:docPartUnique/>
      </w:docPartObj>
    </w:sdtPr>
    <w:sdtContent>
      <w:sdt>
        <w:sdtPr>
          <w:id w:val="3632036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5411050"/>
      <w:docPartObj>
        <w:docPartGallery w:val="Page Numbers (Bottom of Page)"/>
        <w:docPartUnique/>
      </w:docPartObj>
    </w:sdtPr>
    <w:sdtContent>
      <w:sdt>
        <w:sdtPr>
          <w:id w:val="7769903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9302440"/>
      <w:docPartObj>
        <w:docPartGallery w:val="Page Numbers (Bottom of Page)"/>
        <w:docPartUnique/>
      </w:docPartObj>
    </w:sdtPr>
    <w:sdtContent>
      <w:sdt>
        <w:sdtPr>
          <w:id w:val="191023423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4475447"/>
      <w:docPartObj>
        <w:docPartGallery w:val="Page Numbers (Bottom of Page)"/>
        <w:docPartUnique/>
      </w:docPartObj>
    </w:sdtPr>
    <w:sdtContent>
      <w:sdt>
        <w:sdtPr>
          <w:id w:val="32987865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1657022"/>
      <w:docPartObj>
        <w:docPartGallery w:val="Page Numbers (Bottom of Page)"/>
        <w:docPartUnique/>
      </w:docPartObj>
    </w:sdtPr>
    <w:sdtContent>
      <w:sdt>
        <w:sdtPr>
          <w:id w:val="25235113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7871064"/>
      <w:docPartObj>
        <w:docPartGallery w:val="Page Numbers (Bottom of Page)"/>
        <w:docPartUnique/>
      </w:docPartObj>
    </w:sdtPr>
    <w:sdtContent>
      <w:sdt>
        <w:sdtPr>
          <w:id w:val="134551069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0169143"/>
      <w:docPartObj>
        <w:docPartGallery w:val="Page Numbers (Bottom of Page)"/>
        <w:docPartUnique/>
      </w:docPartObj>
    </w:sdtPr>
    <w:sdtContent>
      <w:sdt>
        <w:sdtPr>
          <w:id w:val="20128187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6BB75470"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70A2774"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AC7CE7"/>
    <w:rsid w:val="00B0001C"/>
    <w:rsid w:val="00B27B00"/>
    <w:rsid w:val="00B45771"/>
    <w:rsid w:val="00B57466"/>
    <w:rsid w:val="00C018A2"/>
    <w:rsid w:val="00C85194"/>
    <w:rsid w:val="00CA39FB"/>
    <w:rsid w:val="00CF37E0"/>
    <w:rsid w:val="00D76E6A"/>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144BC8"/>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65601311404301004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2761</Words>
  <Characters>15741</Characters>
  <Application>Microsoft Office Word</Application>
  <DocSecurity>0</DocSecurity>
  <Lines>131</Lines>
  <Paragraphs>36</Paragraphs>
  <ScaleCrop>false</ScaleCrop>
  <Company/>
  <LinksUpToDate>false</LinksUpToDate>
  <CharactersWithSpaces>18466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2024-02-05T06:34:00Z</dcterms:modified>
</cp:coreProperties>
</file>