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C10FB" w:rsidP="007C10FB">
      <w:pPr>
        <w:spacing w:before="48" w:beforeLines="20" w:after="360" w:afterLines="150" w:line="360" w:lineRule="auto"/>
        <w:jc w:val="center"/>
        <w:rPr>
          <w:rFonts w:ascii="华文中宋" w:eastAsia="华文中宋" w:hAnsi="华文中宋"/>
          <w:b/>
          <w:sz w:val="30"/>
        </w:rPr>
      </w:pPr>
      <w:r w:rsidRPr="007C10FB">
        <w:rPr>
          <w:rFonts w:ascii="华文中宋" w:eastAsia="华文中宋" w:hAnsi="华文中宋"/>
          <w:b/>
          <w:sz w:val="30"/>
        </w:rPr>
        <w:t>2023</w:t>
      </w:r>
      <w:r w:rsidRPr="007C10FB">
        <w:rPr>
          <w:rFonts w:ascii="华文中宋" w:eastAsia="华文中宋" w:hAnsi="华文中宋"/>
          <w:b/>
          <w:sz w:val="30"/>
        </w:rPr>
        <w:t>年吉林省高速公里集团有限公司人员招聘考试试题及答案解析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元朝继承了唐宋对外开放的政策，在政治上加强与海外诸国的联系，在经济上积极开展海外贸易，与元朝有联系的国家和地区在</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个以上，其中相当一部分是前代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没有记载的。明朝初年的《大明混一图》</w:t>
      </w:r>
      <w:r w:rsidRPr="003F588C">
        <w:rPr>
          <w:rFonts w:ascii="Times New Roman" w:eastAsia="微软雅黑" w:hAnsi="微软雅黑" w:cs="宋体" w:hint="eastAsia"/>
          <w:szCs w:val="18"/>
        </w:rPr>
        <w:t>(1389</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和朝鲜的《混一疆理历代国都之图》</w:t>
      </w:r>
      <w:r w:rsidRPr="003F588C">
        <w:rPr>
          <w:rFonts w:ascii="Times New Roman" w:eastAsia="微软雅黑" w:hAnsi="微软雅黑" w:cs="宋体" w:hint="eastAsia"/>
          <w:szCs w:val="18"/>
        </w:rPr>
        <w:t>(1402</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，都出现了非洲南部的大三角，两图类似。朝鲜地图的作者明确说是据元人两种地图合绘而成。可见，元人对非洲地理形势已有所了解，海外地理知识的扩展反映了海外交通的进步。可以认为，元代的海外活动为</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世纪郑和航海奠定了基础。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下列说法与原文相符的是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、与元朝交往的海外诸国大大多于前朝</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、元朝西征曾到达非洲并据此绘出地图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、元朝是我国海上交通最为发达的时期</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、历史上我国海外贸易最繁荣的是元朝</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项对应原文第二句“与元朝有联系的国家和地区……相当一部分是前代没有记载的”，言下之意就是有很多新的国家和地区。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项是该句的同义替换，符合文意。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项对应文中表述“朝鲜地图的作者明确说是据元人两种地图合绘而成”，但并未提到元朝曾西征到达非洲，并据此绘出地图之事，属于无中生有，排除。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项中“海上交通最为发达”和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项中“海外贸易最繁荣”都在文中没有提及，属于无中生有，均排除。故选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作为领导者，光靠聪明是远远不够的。人是有感情的社会动物，对领导者的评价，往往带有较强的主观色彩。高智商的领导者倾向于抽象的表达方式，难以与下属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们建</w:t>
      </w:r>
      <w:r w:rsidRPr="00E0697D">
        <w:rPr>
          <w:rFonts w:ascii="Times New Roman" w:eastAsia="微软雅黑" w:hAnsi="微软雅黑" w:cs="宋体" w:hint="eastAsia"/>
          <w:szCs w:val="18"/>
        </w:rPr>
        <w:t>立共识。而那些有个人魅力，会讲故事的领导者，却可以得到超出他们实际表现的评价。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、领导者的智商与情商同样重要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、高智商的领导者难以与下属们建立共识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、领导者的情商更重要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、情商高的领导能得到超出他们实际表现的评价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作为领导者光靠聪明是远远不够的，后文对此进行解释说明，指出人是感情动物，高智商的领导者难以与下属建立共识。紧着通过“而”转折指出“有个人魅力，会讲故事的领导者，却可以得到超出他们实际表现的评价”，即强调领导者高情商的重要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没有互联网的时候，商家跟消费者之间的交易以信息不对称为基础，</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地讲，就是“买的不如卖的精”。但有了互联网，消费者掌握的信息越来越多，于是变得越来越精明，越来越具有</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。如果你的产品或服务做得好，好得越出他们的预期，即使一分钱广告不投，消费者也愿意在网上分享，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为你树口碑。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、简单</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知情权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、通俗</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话语权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免费</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https://d.book118.com/656033205102010033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10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7C10F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C10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10F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C10F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10F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C10F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0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7C10FB"/>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2D5DF5"/>
  <w15:docId w15:val="{36C86ABC-5D4D-472F-AD55-849F96705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unhideWhenUsed/>
    <w:rsid w:val="007C10F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C10FB"/>
    <w:rPr>
      <w:sz w:val="18"/>
      <w:szCs w:val="18"/>
    </w:rPr>
  </w:style>
  <w:style w:type="paragraph" w:styleId="Footer">
    <w:name w:val="footer"/>
    <w:basedOn w:val="Normal"/>
    <w:link w:val="a0"/>
    <w:unhideWhenUsed/>
    <w:rsid w:val="007C10FB"/>
    <w:pPr>
      <w:tabs>
        <w:tab w:val="center" w:pos="4153"/>
        <w:tab w:val="right" w:pos="8306"/>
      </w:tabs>
      <w:snapToGrid w:val="0"/>
    </w:pPr>
    <w:rPr>
      <w:sz w:val="18"/>
      <w:szCs w:val="18"/>
    </w:rPr>
  </w:style>
  <w:style w:type="character" w:customStyle="1" w:styleId="a0">
    <w:name w:val="页脚 字符"/>
    <w:basedOn w:val="DefaultParagraphFont"/>
    <w:link w:val="Footer"/>
    <w:rsid w:val="007C10FB"/>
    <w:rPr>
      <w:sz w:val="18"/>
      <w:szCs w:val="18"/>
    </w:rPr>
  </w:style>
  <w:style w:type="character" w:styleId="PageNumber">
    <w:name w:val="page number"/>
    <w:basedOn w:val="DefaultParagraphFont"/>
    <w:semiHidden/>
    <w:unhideWhenUsed/>
    <w:rsid w:val="007C10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56033205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4364</Words>
  <Characters>24877</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2024-01-11T10:34:00Z</dcterms:created>
  <dcterms:modified xsi:type="dcterms:W3CDTF">2024-01-11T10:34:00Z</dcterms:modified>
</cp:coreProperties>
</file>