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0" w:after="0" w:line="440" w:lineRule="exact"/>
        <w:ind w:firstLine="0" w:firstLineChars="0"/>
        <w:jc w:val="center"/>
        <w:textAlignment w:val="auto"/>
        <w:rPr>
          <w:rFonts w:ascii="黑体" w:eastAsia="黑体" w:hAnsi="黑体" w:cs="黑体" w:hint="eastAsia"/>
          <w:sz w:val="28"/>
          <w:szCs w:val="28"/>
        </w:rPr>
      </w:pPr>
      <w:bookmarkStart w:id="0" w:name="_GoBack"/>
      <w:r>
        <w:rPr>
          <w:rFonts w:ascii="黑体" w:eastAsia="黑体" w:hAnsi="黑体" w:cs="黑体" w:hint="eastAsia"/>
          <w:sz w:val="28"/>
          <w:szCs w:val="28"/>
          <w:lang w:val="en-US" w:eastAsia="zh-CN"/>
        </w:rPr>
        <w:t>基于灰色——马尔科夫模型的城镇养老保险基金结余量预测</w:t>
      </w:r>
    </w:p>
    <w:p>
      <w:pPr>
        <w:keepNext w:val="0"/>
        <w:keepLines w:val="0"/>
        <w:pageBreakBefore w:val="0"/>
        <w:widowControl w:val="0"/>
        <w:kinsoku/>
        <w:wordWrap/>
        <w:overflowPunct/>
        <w:topLinePunct w:val="0"/>
        <w:autoSpaceDE/>
        <w:autoSpaceDN/>
        <w:bidi w:val="0"/>
        <w:adjustRightInd/>
        <w:snapToGrid/>
        <w:spacing w:before="0" w:after="0" w:line="440" w:lineRule="exact"/>
        <w:ind w:firstLine="0" w:firstLineChars="0"/>
        <w:jc w:val="center"/>
        <w:textAlignment w:val="auto"/>
        <w:rPr>
          <w:rFonts w:ascii="黑体" w:eastAsia="黑体" w:hAnsi="黑体" w:cs="黑体" w:hint="eastAsia"/>
          <w:sz w:val="28"/>
          <w:szCs w:val="28"/>
        </w:rPr>
      </w:pPr>
      <w:r>
        <w:rPr>
          <w:rFonts w:ascii="黑体" w:eastAsia="黑体" w:hAnsi="黑体" w:cs="黑体" w:hint="eastAsia"/>
          <w:sz w:val="28"/>
          <w:szCs w:val="28"/>
          <w:lang w:val="en-US" w:eastAsia="zh-CN"/>
        </w:rPr>
        <w:t>——以福建省为例</w:t>
      </w:r>
    </w:p>
    <w:bookmarkEnd w:id="0"/>
    <w:p>
      <w:pPr>
        <w:pageBreakBefore w:val="0"/>
        <w:kinsoku/>
        <w:wordWrap/>
        <w:overflowPunct/>
        <w:topLinePunct w:val="0"/>
        <w:autoSpaceDN/>
        <w:bidi w:val="0"/>
        <w:adjustRightInd/>
        <w:snapToGrid/>
        <w:spacing w:line="440" w:lineRule="exact"/>
        <w:ind w:firstLine="480" w:firstLineChars="200"/>
        <w:rPr>
          <w:rFonts w:asciiTheme="minorEastAsia" w:eastAsiaTheme="minorEastAsia" w:hAnsiTheme="minorEastAsia" w:cstheme="minorEastAsia" w:hint="eastAsia"/>
          <w:sz w:val="24"/>
          <w:szCs w:val="24"/>
        </w:rPr>
      </w:pPr>
    </w:p>
    <w:p>
      <w:pPr>
        <w:pageBreakBefore w:val="0"/>
        <w:kinsoku/>
        <w:wordWrap/>
        <w:overflowPunct/>
        <w:topLinePunct w:val="0"/>
        <w:autoSpaceDN/>
        <w:bidi w:val="0"/>
        <w:adjustRightInd/>
        <w:snapToGrid/>
        <w:spacing w:line="440" w:lineRule="exact"/>
        <w:ind w:firstLine="480" w:firstLineChars="200"/>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 </w:t>
      </w:r>
      <w:r>
        <w:rPr>
          <w:rFonts w:ascii="黑体" w:eastAsia="黑体" w:hAnsi="黑体" w:cs="黑体" w:hint="eastAsia"/>
          <w:sz w:val="24"/>
          <w:szCs w:val="24"/>
          <w:lang w:eastAsia="zh-CN"/>
        </w:rPr>
        <w:t>摘要：</w:t>
      </w:r>
      <w:r>
        <w:rPr>
          <w:rFonts w:ascii="宋体" w:eastAsia="宋体" w:hAnsi="宋体" w:cs="宋体" w:hint="eastAsia"/>
          <w:sz w:val="21"/>
          <w:szCs w:val="21"/>
          <w:lang w:val="en-US" w:eastAsia="zh-CN"/>
        </w:rPr>
        <w:t>近几年人口老龄化愈发严重，导致我国部分城镇养老保险基金出现入不敷出的情况，本文立足于福建省的经济发展状况和相关政策，从理论和实证两方面对福建省基金结余量进行预测。本文选取与养老保险基金结余量（不累加）的相关因数，通过灰色关联分析，分析影响因数与其关联程度，并且根据影响因数及福建省城镇职工基金结余量建立灰色——马尔科夫的城镇养老保险基金结余量预测模型。通过模型对福建省养老保险基金结余量进行预测及精度计算，结果表明灰色GM（1，N）模型的拟合误差为5.296％&lt;14.936％（GM(1,1）模型） ，发现利用马尔科夫修正的灰色模型预测精度显著提高，其次福建省现阶段是不会出现缺口迹象，但是每年基金结余量下降趋势表明福建省也被人口老龄化所影响。最后本文通过预测结果及影响因数的关联程度对政府改变制度提供一定的参考建议。</w:t>
      </w:r>
    </w:p>
    <w:p>
      <w:pPr>
        <w:pageBreakBefore w:val="0"/>
        <w:kinsoku/>
        <w:wordWrap/>
        <w:overflowPunct/>
        <w:topLinePunct w:val="0"/>
        <w:autoSpaceDN/>
        <w:bidi w:val="0"/>
        <w:adjustRightInd/>
        <w:snapToGrid/>
        <w:spacing w:line="440" w:lineRule="exact"/>
        <w:rPr>
          <w:rFonts w:ascii="宋体" w:hAnsi="宋体" w:cs="宋体" w:hint="eastAsia"/>
          <w:szCs w:val="21"/>
        </w:rPr>
        <w:sectPr>
          <w:headerReference w:type="even" r:id="rId7"/>
          <w:headerReference w:type="default" r:id="rId8"/>
          <w:footerReference w:type="default" r:id="rId9"/>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FullWidth"/>
          <w:cols w:num="1" w:space="425"/>
          <w:docGrid w:type="lines" w:linePitch="312" w:charSpace="0"/>
        </w:sectPr>
      </w:pPr>
      <w:r>
        <w:rPr>
          <w:rFonts w:ascii="黑体" w:eastAsia="黑体" w:hAnsi="黑体" w:cs="黑体" w:hint="eastAsia"/>
          <w:sz w:val="24"/>
          <w:szCs w:val="24"/>
          <w:lang w:eastAsia="zh-CN"/>
        </w:rPr>
        <w:t>关键词：</w:t>
      </w:r>
      <w:r>
        <w:rPr>
          <w:rFonts w:ascii="宋体" w:eastAsia="宋体" w:hAnsi="宋体" w:cs="宋体" w:hint="eastAsia"/>
          <w:szCs w:val="21"/>
          <w:lang w:val="en-US" w:eastAsia="zh-CN"/>
        </w:rPr>
        <w:t>灰色关联度；灰色GM（1，N）模型；马尔科夫模型；养老保险基金结余量</w:t>
      </w:r>
    </w:p>
    <w:sdt>
      <w:sdtPr>
        <w:rPr>
          <w:rFonts w:ascii="宋体" w:eastAsia="宋体" w:hAnsi="宋体" w:cs="Times New Roman"/>
          <w:kern w:val="2"/>
          <w:sz w:val="21"/>
          <w:szCs w:val="20"/>
          <w:lang w:val="en-US" w:eastAsia="zh-CN" w:bidi="ar-SA"/>
        </w:rPr>
        <w:id w:val="147477634"/>
        <w:docPartObj>
          <w:docPartGallery w:val="Table of Contents"/>
          <w:docPartUnique/>
        </w:docPartObj>
        <w15:color w:val="DBDBDB"/>
      </w:sdtPr>
      <w:sdtEndPr>
        <w:rPr>
          <w:rFonts w:ascii="宋体" w:eastAsia="宋体" w:hAnsi="宋体" w:cs="宋体" w:hint="eastAsia"/>
          <w:kern w:val="2"/>
          <w:sz w:val="21"/>
          <w:szCs w:val="21"/>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right="0" w:firstLine="0" w:leftChars="0" w:rightChars="0" w:firstLineChars="0"/>
            <w:jc w:val="center"/>
            <w:textAlignment w:val="auto"/>
            <w:rPr>
              <w:rFonts w:ascii="宋体" w:hAnsi="宋体" w:cs="宋体" w:hint="eastAsia"/>
              <w:sz w:val="24"/>
              <w:szCs w:val="24"/>
            </w:rPr>
          </w:pPr>
          <w:r>
            <w:rPr>
              <w:rFonts w:ascii="宋体" w:eastAsia="宋体" w:hAnsi="宋体" w:cs="宋体" w:hint="eastAsia"/>
              <w:sz w:val="24"/>
              <w:szCs w:val="24"/>
            </w:rPr>
            <w:t>目录</w:t>
          </w:r>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TOC \o "1-3" \h \u </w:instrText>
          </w:r>
          <w:r>
            <w:rPr>
              <w:rFonts w:ascii="宋体" w:eastAsia="宋体" w:hAnsi="宋体" w:cs="宋体" w:hint="eastAsia"/>
              <w:sz w:val="24"/>
              <w:szCs w:val="24"/>
              <w:lang w:val="en-US" w:eastAsia="zh-CN"/>
            </w:rPr>
            <w:fldChar w:fldCharType="separate"/>
          </w:r>
          <w:hyperlink w:anchor="_Toc31471" w:history="1">
            <w:r>
              <w:rPr>
                <w:rFonts w:ascii="宋体" w:eastAsia="宋体" w:hAnsi="宋体" w:cs="宋体" w:hint="eastAsia"/>
                <w:sz w:val="24"/>
                <w:szCs w:val="24"/>
                <w:lang w:val="en-US" w:eastAsia="zh-CN"/>
              </w:rPr>
              <w:t>第一章绪论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_Toc31471 </w:instrText>
            </w:r>
            <w:r>
              <w:rPr>
                <w:rFonts w:ascii="宋体" w:eastAsia="宋体" w:hAnsi="宋体" w:cs="宋体" w:hint="eastAsia"/>
                <w:sz w:val="24"/>
                <w:szCs w:val="24"/>
              </w:rPr>
              <w:fldChar w:fldCharType="separate"/>
            </w:r>
            <w:r>
              <w:rPr>
                <w:rFonts w:ascii="宋体" w:eastAsia="宋体" w:hAnsi="宋体" w:cs="宋体" w:hint="eastAsia"/>
                <w:sz w:val="24"/>
                <w:szCs w:val="24"/>
              </w:rPr>
              <w:t>１</w:t>
            </w:r>
            <w:r>
              <w:rPr>
                <w:rFonts w:ascii="宋体" w:eastAsia="宋体" w:hAnsi="宋体" w:cs="宋体" w:hint="eastAsia"/>
                <w:sz w:val="24"/>
                <w:szCs w:val="24"/>
              </w:rPr>
              <w:fldChar w:fldCharType="end"/>
            </w:r>
          </w:hyperlink>
          <w:r>
            <w:rPr>
              <w:rFonts w:ascii="宋体" w:eastAsia="宋体" w:hAnsi="宋体" w:cs="宋体" w:hint="eastAsia"/>
              <w:sz w:val="24"/>
              <w:szCs w:val="24"/>
              <w:lang w:val="en-US" w:eastAsia="zh-CN"/>
            </w:rPr>
            <w:fldChar w:fldCharType="end"/>
          </w:r>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0948" w:history="1">
            <w:r>
              <w:rPr>
                <w:rFonts w:ascii="宋体" w:eastAsia="宋体" w:hAnsi="宋体" w:cs="宋体" w:hint="eastAsia"/>
                <w:sz w:val="24"/>
                <w:szCs w:val="24"/>
                <w:lang w:val="en-US" w:eastAsia="zh-CN"/>
              </w:rPr>
              <w:t>1.1研究背景及意义</w:t>
            </w:r>
            <w:r>
              <w:rPr>
                <w:rFonts w:ascii="宋体" w:eastAsia="宋体" w:hAnsi="宋体" w:cs="宋体" w:hint="eastAsia"/>
                <w:sz w:val="24"/>
                <w:szCs w:val="24"/>
              </w:rPr>
              <w:tab/>
            </w:r>
            <w:r>
              <w:rPr>
                <w:rFonts w:ascii="宋体" w:hAnsi="宋体" w:cs="宋体" w:hint="eastAsia"/>
                <w:sz w:val="24"/>
                <w:szCs w:val="24"/>
                <w:lang w:val="en-US" w:eastAsia="zh-CN"/>
              </w:rPr>
              <w:t>1</w:t>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7589" w:history="1">
            <w:r>
              <w:rPr>
                <w:rFonts w:ascii="宋体" w:eastAsia="宋体" w:hAnsi="宋体" w:cs="宋体" w:hint="eastAsia"/>
                <w:sz w:val="24"/>
                <w:szCs w:val="24"/>
                <w:lang w:val="en-US" w:eastAsia="zh-CN"/>
              </w:rPr>
              <w:t>1.1.1 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_Toc17589 </w:instrText>
            </w:r>
            <w:r>
              <w:rPr>
                <w:rFonts w:ascii="宋体" w:eastAsia="宋体" w:hAnsi="宋体" w:cs="宋体" w:hint="eastAsia"/>
                <w:sz w:val="24"/>
                <w:szCs w:val="24"/>
              </w:rPr>
              <w:fldChar w:fldCharType="separate"/>
            </w:r>
            <w:r>
              <w:rPr>
                <w:rFonts w:ascii="宋体" w:eastAsia="宋体" w:hAnsi="宋体" w:cs="宋体" w:hint="eastAsia"/>
                <w:sz w:val="24"/>
                <w:szCs w:val="24"/>
              </w:rPr>
              <w:t>１</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9047" w:history="1">
            <w:r>
              <w:rPr>
                <w:rFonts w:ascii="宋体" w:eastAsia="宋体" w:hAnsi="宋体" w:cs="宋体" w:hint="eastAsia"/>
                <w:sz w:val="24"/>
                <w:szCs w:val="24"/>
                <w:lang w:val="en-US" w:eastAsia="zh-CN"/>
              </w:rPr>
              <w:t>1.1.2研究意义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_Toc9047 </w:instrText>
            </w:r>
            <w:r>
              <w:rPr>
                <w:rFonts w:ascii="宋体" w:eastAsia="宋体" w:hAnsi="宋体" w:cs="宋体" w:hint="eastAsia"/>
                <w:sz w:val="24"/>
                <w:szCs w:val="24"/>
              </w:rPr>
              <w:fldChar w:fldCharType="separate"/>
            </w:r>
            <w:r>
              <w:rPr>
                <w:rFonts w:ascii="宋体" w:eastAsia="宋体" w:hAnsi="宋体" w:cs="宋体" w:hint="eastAsia"/>
                <w:sz w:val="24"/>
                <w:szCs w:val="24"/>
              </w:rPr>
              <w:t>１</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8389" w:history="1">
            <w:r>
              <w:rPr>
                <w:rFonts w:ascii="宋体" w:eastAsia="宋体" w:hAnsi="宋体" w:cs="宋体" w:hint="eastAsia"/>
                <w:sz w:val="24"/>
                <w:szCs w:val="24"/>
                <w:lang w:val="en-US" w:eastAsia="zh-CN"/>
              </w:rPr>
              <w:t>1.2国内外研究动态</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_Toc18389 </w:instrText>
            </w:r>
            <w:r>
              <w:rPr>
                <w:rFonts w:ascii="宋体" w:eastAsia="宋体" w:hAnsi="宋体" w:cs="宋体" w:hint="eastAsia"/>
                <w:sz w:val="24"/>
                <w:szCs w:val="24"/>
              </w:rPr>
              <w:fldChar w:fldCharType="separate"/>
            </w:r>
            <w:r>
              <w:rPr>
                <w:rFonts w:ascii="宋体" w:eastAsia="宋体" w:hAnsi="宋体" w:cs="宋体" w:hint="eastAsia"/>
                <w:sz w:val="24"/>
                <w:szCs w:val="24"/>
              </w:rPr>
              <w:t>２</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9885" w:history="1">
            <w:r>
              <w:rPr>
                <w:rFonts w:ascii="宋体" w:eastAsia="宋体" w:hAnsi="宋体" w:cs="宋体" w:hint="eastAsia"/>
                <w:sz w:val="24"/>
                <w:szCs w:val="24"/>
                <w:lang w:val="en-US" w:eastAsia="zh-CN"/>
              </w:rPr>
              <w:t>1.2.1国外研究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_Toc9885 </w:instrText>
            </w:r>
            <w:r>
              <w:rPr>
                <w:rFonts w:ascii="宋体" w:eastAsia="宋体" w:hAnsi="宋体" w:cs="宋体" w:hint="eastAsia"/>
                <w:sz w:val="24"/>
                <w:szCs w:val="24"/>
              </w:rPr>
              <w:fldChar w:fldCharType="separate"/>
            </w:r>
            <w:r>
              <w:rPr>
                <w:rFonts w:ascii="宋体" w:eastAsia="宋体" w:hAnsi="宋体" w:cs="宋体" w:hint="eastAsia"/>
                <w:sz w:val="24"/>
                <w:szCs w:val="24"/>
              </w:rPr>
              <w:t>２</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5662" w:history="1">
            <w:r>
              <w:rPr>
                <w:rFonts w:ascii="宋体" w:eastAsia="宋体" w:hAnsi="宋体" w:cs="宋体" w:hint="eastAsia"/>
                <w:sz w:val="24"/>
                <w:szCs w:val="24"/>
                <w:lang w:val="en-US" w:eastAsia="zh-CN"/>
              </w:rPr>
              <w:t>1.2.2国内研究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_Toc15662 </w:instrText>
            </w:r>
            <w:r>
              <w:rPr>
                <w:rFonts w:ascii="宋体" w:eastAsia="宋体" w:hAnsi="宋体" w:cs="宋体" w:hint="eastAsia"/>
                <w:sz w:val="24"/>
                <w:szCs w:val="24"/>
              </w:rPr>
              <w:fldChar w:fldCharType="separate"/>
            </w:r>
            <w:r>
              <w:rPr>
                <w:rFonts w:ascii="宋体" w:eastAsia="宋体" w:hAnsi="宋体" w:cs="宋体" w:hint="eastAsia"/>
                <w:sz w:val="24"/>
                <w:szCs w:val="24"/>
              </w:rPr>
              <w:t>２</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2960" w:history="1">
            <w:r>
              <w:rPr>
                <w:rFonts w:ascii="宋体" w:eastAsia="宋体" w:hAnsi="宋体" w:cs="宋体" w:hint="eastAsia"/>
                <w:sz w:val="24"/>
                <w:szCs w:val="24"/>
                <w:lang w:val="en-US" w:eastAsia="zh-CN"/>
              </w:rPr>
              <w:t>1.3特色与创新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_Toc22960 </w:instrText>
            </w:r>
            <w:r>
              <w:rPr>
                <w:rFonts w:ascii="宋体" w:eastAsia="宋体" w:hAnsi="宋体" w:cs="宋体" w:hint="eastAsia"/>
                <w:sz w:val="24"/>
                <w:szCs w:val="24"/>
              </w:rPr>
              <w:fldChar w:fldCharType="separate"/>
            </w:r>
            <w:r>
              <w:rPr>
                <w:rFonts w:ascii="宋体" w:eastAsia="宋体" w:hAnsi="宋体" w:cs="宋体" w:hint="eastAsia"/>
                <w:sz w:val="24"/>
                <w:szCs w:val="24"/>
              </w:rPr>
              <w:t>４</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4527" w:history="1">
            <w:r>
              <w:rPr>
                <w:rFonts w:ascii="宋体" w:eastAsia="宋体" w:hAnsi="宋体" w:cs="宋体" w:hint="eastAsia"/>
                <w:sz w:val="24"/>
                <w:szCs w:val="24"/>
                <w:lang w:val="en-US" w:eastAsia="zh-CN"/>
              </w:rPr>
              <w:t>第二章理论基础</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_Toc14527 </w:instrText>
            </w:r>
            <w:r>
              <w:rPr>
                <w:rFonts w:ascii="宋体" w:eastAsia="宋体" w:hAnsi="宋体" w:cs="宋体" w:hint="eastAsia"/>
                <w:sz w:val="24"/>
                <w:szCs w:val="24"/>
              </w:rPr>
              <w:fldChar w:fldCharType="separate"/>
            </w:r>
            <w:r>
              <w:rPr>
                <w:rFonts w:ascii="宋体" w:eastAsia="宋体" w:hAnsi="宋体" w:cs="宋体" w:hint="eastAsia"/>
                <w:sz w:val="24"/>
                <w:szCs w:val="24"/>
              </w:rPr>
              <w:t>４</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5937" w:history="1">
            <w:r>
              <w:rPr>
                <w:rFonts w:ascii="宋体" w:eastAsia="宋体" w:hAnsi="宋体" w:cs="宋体" w:hint="eastAsia"/>
                <w:sz w:val="24"/>
                <w:szCs w:val="24"/>
                <w:lang w:val="en-US" w:eastAsia="zh-CN"/>
              </w:rPr>
              <w:t>2.1基金结余量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_Toc15937 </w:instrText>
            </w:r>
            <w:r>
              <w:rPr>
                <w:rFonts w:ascii="宋体" w:eastAsia="宋体" w:hAnsi="宋体" w:cs="宋体" w:hint="eastAsia"/>
                <w:sz w:val="24"/>
                <w:szCs w:val="24"/>
              </w:rPr>
              <w:fldChar w:fldCharType="separate"/>
            </w:r>
            <w:r>
              <w:rPr>
                <w:rFonts w:ascii="宋体" w:eastAsia="宋体" w:hAnsi="宋体" w:cs="宋体" w:hint="eastAsia"/>
                <w:sz w:val="24"/>
                <w:szCs w:val="24"/>
              </w:rPr>
              <w:t>４</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7498" w:history="1">
            <w:r>
              <w:rPr>
                <w:rFonts w:ascii="宋体" w:eastAsia="宋体" w:hAnsi="宋体" w:cs="宋体" w:hint="eastAsia"/>
                <w:sz w:val="24"/>
                <w:szCs w:val="24"/>
                <w:lang w:val="en-US" w:eastAsia="zh-CN"/>
              </w:rPr>
              <w:t>2.2灰色关联分析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_Toc17498 </w:instrText>
            </w:r>
            <w:r>
              <w:rPr>
                <w:rFonts w:ascii="宋体" w:eastAsia="宋体" w:hAnsi="宋体" w:cs="宋体" w:hint="eastAsia"/>
                <w:sz w:val="24"/>
                <w:szCs w:val="24"/>
              </w:rPr>
              <w:fldChar w:fldCharType="separate"/>
            </w:r>
            <w:r>
              <w:rPr>
                <w:rFonts w:ascii="宋体" w:eastAsia="宋体" w:hAnsi="宋体" w:cs="宋体" w:hint="eastAsia"/>
                <w:sz w:val="24"/>
                <w:szCs w:val="24"/>
              </w:rPr>
              <w:t>５</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2830" w:history="1">
            <w:r>
              <w:rPr>
                <w:rFonts w:ascii="宋体" w:eastAsia="宋体" w:hAnsi="宋体" w:cs="宋体" w:hint="eastAsia"/>
                <w:sz w:val="24"/>
                <w:szCs w:val="24"/>
                <w:lang w:val="en-US" w:eastAsia="zh-CN"/>
              </w:rPr>
              <w:t>2.3灰色模型（GM（1，N））</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_Toc12830 </w:instrText>
            </w:r>
            <w:r>
              <w:rPr>
                <w:rFonts w:ascii="宋体" w:eastAsia="宋体" w:hAnsi="宋体" w:cs="宋体" w:hint="eastAsia"/>
                <w:sz w:val="24"/>
                <w:szCs w:val="24"/>
              </w:rPr>
              <w:fldChar w:fldCharType="separate"/>
            </w:r>
            <w:r>
              <w:rPr>
                <w:rFonts w:ascii="宋体" w:eastAsia="宋体" w:hAnsi="宋体" w:cs="宋体" w:hint="eastAsia"/>
                <w:sz w:val="24"/>
                <w:szCs w:val="24"/>
              </w:rPr>
              <w:t>６</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3766" w:history="1">
            <w:r>
              <w:rPr>
                <w:rFonts w:ascii="宋体" w:eastAsia="宋体" w:hAnsi="宋体" w:cs="宋体" w:hint="eastAsia"/>
                <w:sz w:val="24"/>
                <w:szCs w:val="24"/>
                <w:lang w:val="en-US" w:eastAsia="zh-CN"/>
              </w:rPr>
              <w:t>2.4 马尔科夫模型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_Toc23766 </w:instrText>
            </w:r>
            <w:r>
              <w:rPr>
                <w:rFonts w:ascii="宋体" w:eastAsia="宋体" w:hAnsi="宋体" w:cs="宋体" w:hint="eastAsia"/>
                <w:sz w:val="24"/>
                <w:szCs w:val="24"/>
              </w:rPr>
              <w:fldChar w:fldCharType="separate"/>
            </w:r>
            <w:r>
              <w:rPr>
                <w:rFonts w:ascii="宋体" w:eastAsia="宋体" w:hAnsi="宋体" w:cs="宋体" w:hint="eastAsia"/>
                <w:sz w:val="24"/>
                <w:szCs w:val="24"/>
              </w:rPr>
              <w:t>７</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5624" w:history="1">
            <w:r>
              <w:rPr>
                <w:rFonts w:ascii="宋体" w:eastAsia="宋体" w:hAnsi="宋体" w:cs="宋体" w:hint="eastAsia"/>
                <w:sz w:val="24"/>
                <w:szCs w:val="24"/>
                <w:lang w:val="en-US" w:eastAsia="zh-CN"/>
              </w:rPr>
              <w:t>第三章 构建灰色——马尔科夫模型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_Toc25624 </w:instrText>
            </w:r>
            <w:r>
              <w:rPr>
                <w:rFonts w:ascii="宋体" w:eastAsia="宋体" w:hAnsi="宋体" w:cs="宋体" w:hint="eastAsia"/>
                <w:sz w:val="24"/>
                <w:szCs w:val="24"/>
              </w:rPr>
              <w:fldChar w:fldCharType="separate"/>
            </w:r>
            <w:r>
              <w:rPr>
                <w:rFonts w:ascii="宋体" w:eastAsia="宋体" w:hAnsi="宋体" w:cs="宋体" w:hint="eastAsia"/>
                <w:sz w:val="24"/>
                <w:szCs w:val="24"/>
              </w:rPr>
              <w:t>９</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9907" w:history="1">
            <w:r>
              <w:rPr>
                <w:rFonts w:ascii="宋体" w:eastAsia="宋体" w:hAnsi="宋体" w:cs="宋体" w:hint="eastAsia"/>
                <w:sz w:val="24"/>
                <w:szCs w:val="24"/>
                <w:lang w:val="en-US" w:eastAsia="zh-CN"/>
              </w:rPr>
              <w:t>3.1  基金结余量影响因数的筛选及分析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_Toc19907 </w:instrText>
            </w:r>
            <w:r>
              <w:rPr>
                <w:rFonts w:ascii="宋体" w:eastAsia="宋体" w:hAnsi="宋体" w:cs="宋体" w:hint="eastAsia"/>
                <w:sz w:val="24"/>
                <w:szCs w:val="24"/>
              </w:rPr>
              <w:fldChar w:fldCharType="separate"/>
            </w:r>
            <w:r>
              <w:rPr>
                <w:rFonts w:ascii="宋体" w:eastAsia="宋体" w:hAnsi="宋体" w:cs="宋体" w:hint="eastAsia"/>
                <w:sz w:val="24"/>
                <w:szCs w:val="24"/>
              </w:rPr>
              <w:t>９</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4443" w:history="1">
            <w:r>
              <w:rPr>
                <w:rFonts w:ascii="宋体" w:eastAsia="宋体" w:hAnsi="宋体" w:cs="宋体" w:hint="eastAsia"/>
                <w:sz w:val="24"/>
                <w:szCs w:val="24"/>
                <w:lang w:val="en-US" w:eastAsia="zh-CN"/>
              </w:rPr>
              <w:t>3.1.1 筛选基金结余量影响因数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_Toc4443 </w:instrText>
            </w:r>
            <w:r>
              <w:rPr>
                <w:rFonts w:ascii="宋体" w:eastAsia="宋体" w:hAnsi="宋体" w:cs="宋体" w:hint="eastAsia"/>
                <w:sz w:val="24"/>
                <w:szCs w:val="24"/>
              </w:rPr>
              <w:fldChar w:fldCharType="separate"/>
            </w:r>
            <w:r>
              <w:rPr>
                <w:rFonts w:ascii="宋体" w:eastAsia="宋体" w:hAnsi="宋体" w:cs="宋体" w:hint="eastAsia"/>
                <w:sz w:val="24"/>
                <w:szCs w:val="24"/>
              </w:rPr>
              <w:t>９</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045" w:history="1">
            <w:r>
              <w:rPr>
                <w:rFonts w:ascii="宋体" w:eastAsia="宋体" w:hAnsi="宋体" w:cs="宋体" w:hint="eastAsia"/>
                <w:sz w:val="24"/>
                <w:szCs w:val="24"/>
                <w:lang w:val="en-US" w:eastAsia="zh-CN"/>
              </w:rPr>
              <w:t>3.1.2基于灰色关联分析基金结余量与其影响因数关联程度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_Toc2045 </w:instrText>
            </w:r>
            <w:r>
              <w:rPr>
                <w:rFonts w:ascii="宋体" w:eastAsia="宋体" w:hAnsi="宋体" w:cs="宋体" w:hint="eastAsia"/>
                <w:sz w:val="24"/>
                <w:szCs w:val="24"/>
              </w:rPr>
              <w:fldChar w:fldCharType="separate"/>
            </w:r>
            <w:r>
              <w:rPr>
                <w:rFonts w:ascii="宋体" w:eastAsia="宋体" w:hAnsi="宋体" w:cs="宋体" w:hint="eastAsia"/>
                <w:sz w:val="24"/>
                <w:szCs w:val="24"/>
              </w:rPr>
              <w:t>１０</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22086" w:history="1">
            <w:r>
              <w:rPr>
                <w:rFonts w:ascii="宋体" w:eastAsia="宋体" w:hAnsi="宋体" w:cs="宋体" w:hint="eastAsia"/>
                <w:sz w:val="24"/>
                <w:szCs w:val="24"/>
                <w:lang w:val="en-US" w:eastAsia="zh-CN"/>
              </w:rPr>
              <w:t>3.2  构建基于GM（1，N）预测基金结余量模型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_Toc22086 </w:instrText>
            </w:r>
            <w:r>
              <w:rPr>
                <w:rFonts w:ascii="宋体" w:eastAsia="宋体" w:hAnsi="宋体" w:cs="宋体" w:hint="eastAsia"/>
                <w:sz w:val="24"/>
                <w:szCs w:val="24"/>
              </w:rPr>
              <w:fldChar w:fldCharType="separate"/>
            </w:r>
            <w:r>
              <w:rPr>
                <w:rFonts w:ascii="宋体" w:eastAsia="宋体" w:hAnsi="宋体" w:cs="宋体" w:hint="eastAsia"/>
                <w:sz w:val="24"/>
                <w:szCs w:val="24"/>
              </w:rPr>
              <w:t>１０</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hyperlink w:anchor="_Toc12684" w:history="1">
            <w:r>
              <w:rPr>
                <w:rFonts w:ascii="宋体" w:eastAsia="宋体" w:hAnsi="宋体" w:cs="宋体" w:hint="eastAsia"/>
                <w:sz w:val="24"/>
                <w:szCs w:val="24"/>
                <w:lang w:val="en-US" w:eastAsia="zh-CN"/>
              </w:rPr>
              <w:t>3.2.1预处理基金结余量及其影响因数数据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_Toc12684 </w:instrText>
            </w:r>
            <w:r>
              <w:rPr>
                <w:rFonts w:ascii="宋体" w:eastAsia="宋体" w:hAnsi="宋体" w:cs="宋体" w:hint="eastAsia"/>
                <w:sz w:val="24"/>
                <w:szCs w:val="24"/>
              </w:rPr>
              <w:fldChar w:fldCharType="separate"/>
            </w:r>
            <w:r>
              <w:rPr>
                <w:rFonts w:ascii="宋体" w:eastAsia="宋体" w:hAnsi="宋体" w:cs="宋体" w:hint="eastAsia"/>
                <w:sz w:val="24"/>
                <w:szCs w:val="24"/>
              </w:rPr>
              <w:t>１０</w:t>
            </w:r>
            <w:r>
              <w:rPr>
                <w:rFonts w:ascii="宋体" w:eastAsia="宋体" w:hAnsi="宋体" w:cs="宋体" w:hint="eastAsia"/>
                <w:sz w:val="24"/>
                <w:szCs w:val="24"/>
              </w:rPr>
              <w:fldChar w:fldCharType="end"/>
            </w:r>
          </w:hyperlink>
          <w:r>
            <w:rPr>
              <w:rFonts w:ascii="宋体" w:eastAsia="宋体" w:hAnsi="宋体" w:cs="宋体" w:hint="eastAsia"/>
              <w:sz w:val="24"/>
              <w:szCs w:val="24"/>
            </w:rPr>
            <w:br/>
          </w:r>
          <w:r>
            <w:rPr>
              <w:rFonts w:ascii="宋体" w:eastAsia="宋体" w:hAnsi="宋体" w:cs="宋体" w:hint="eastAsia"/>
              <w:sz w:val="24"/>
              <w:szCs w:val="24"/>
            </w:rPr>
            <w:br/>
          </w:r>
        </w:p>
        <w:p>
          <w:pPr>
            <w:widowControl/>
            <w:spacing w:before="0"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https://d.book118.com/656050150141010043</w:t>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ascii="宋体" w:eastAsia="宋体" w:hAnsi="宋体" w:cs="宋体" w:hint="eastAsia"/>
              <w:sz w:val="24"/>
              <w:szCs w:val="24"/>
            </w:rPr>
          </w:pPr>
        </w:p>
      </w:sdtContent>
    </w:sdt>
    <w:sectPr>
      <w:headerReference w:type="even" r:id="rId11"/>
      <w:headerReference w:type="default" r:id="rId12"/>
      <w:footerReference w:type="default" r:id="rId13"/>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FullWidth" w:start="2"/>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514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51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912"/>
        <w:tab w:val="center" w:pos="5968"/>
      </w:tabs>
      <w:ind w:left="0" w:firstLine="0" w:leftChars="0" w:firstLineChars="0"/>
      <w:jc w:val="left"/>
      <w:rPr>
        <w:rFonts w:eastAsia="宋体" w:hint="eastAsia"/>
        <w:sz w:val="15"/>
        <w:szCs w:val="15"/>
        <w:lang w:eastAsia="zh-CN"/>
      </w:rPr>
    </w:pPr>
    <w:r>
      <w:rPr>
        <w:rFonts w:hint="eastAsia"/>
        <w:lang w:eastAsia="zh-CN"/>
      </w:rPr>
      <w:tab/>
    </w:r>
    <w:r>
      <w:rPr>
        <w:rFonts w:hint="eastAsia"/>
        <w:lang w:eastAsia="zh-CN"/>
      </w:rPr>
      <w:tab/>
    </w:r>
    <w:r>
      <w:rPr>
        <w:rFonts w:hint="eastAsia"/>
        <w:lang w:eastAsia="zh-CN"/>
      </w:rPr>
      <w:t xml:space="preserve">吴莉玲：基于灰色马尔科夫模型的城镇养老保险基金结余量预测——以福建省为例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912"/>
        <w:tab w:val="center" w:pos="5968"/>
      </w:tabs>
      <w:ind w:left="0" w:firstLine="0" w:leftChars="0" w:firstLineChars="0"/>
      <w:jc w:val="left"/>
      <w:rPr>
        <w:rFonts w:eastAsia="宋体" w:hint="eastAsia"/>
        <w:sz w:val="15"/>
        <w:szCs w:val="15"/>
        <w:lang w:eastAsia="zh-CN"/>
      </w:rPr>
    </w:pPr>
    <w:r>
      <w:rPr>
        <w:rFonts w:hint="eastAsia"/>
        <w:lang w:eastAsia="zh-CN"/>
      </w:rPr>
      <w:tab/>
    </w:r>
    <w:r>
      <w:rPr>
        <w:rFonts w:hint="eastAsia"/>
        <w:lang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4C1D6A"/>
    <w:multiLevelType w:val="singleLevel"/>
    <w:tmpl w:val="8B4C1D6A"/>
    <w:lvl w:ilvl="0">
      <w:start w:val="3"/>
      <w:numFmt w:val="chineseCounting"/>
      <w:suff w:val="space"/>
      <w:lvlText w:val="第%1章"/>
      <w:lvlJc w:val="left"/>
      <w:rPr>
        <w:rFonts w:hint="eastAsia"/>
      </w:rPr>
    </w:lvl>
  </w:abstractNum>
  <w:abstractNum w:abstractNumId="1">
    <w:nsid w:val="F6BBA6C8"/>
    <w:multiLevelType w:val="singleLevel"/>
    <w:tmpl w:val="F6BBA6C8"/>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evenAndOddHeaders/>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AA2FA8"/>
    <w:rsid w:val="025A2990"/>
    <w:rsid w:val="08F842D6"/>
    <w:rsid w:val="0A6B0118"/>
    <w:rsid w:val="0C271893"/>
    <w:rsid w:val="0EAC713E"/>
    <w:rsid w:val="0EEA0531"/>
    <w:rsid w:val="0F1C3F23"/>
    <w:rsid w:val="106109B7"/>
    <w:rsid w:val="108A2281"/>
    <w:rsid w:val="10ED2F19"/>
    <w:rsid w:val="13FD605B"/>
    <w:rsid w:val="180613E8"/>
    <w:rsid w:val="18214A18"/>
    <w:rsid w:val="182F775F"/>
    <w:rsid w:val="187A4197"/>
    <w:rsid w:val="1F0E7BF3"/>
    <w:rsid w:val="1FE17E78"/>
    <w:rsid w:val="23013782"/>
    <w:rsid w:val="290D07A3"/>
    <w:rsid w:val="29CC385E"/>
    <w:rsid w:val="2B7A1356"/>
    <w:rsid w:val="2D3F7849"/>
    <w:rsid w:val="2D665250"/>
    <w:rsid w:val="34406126"/>
    <w:rsid w:val="353F1EC6"/>
    <w:rsid w:val="35496F80"/>
    <w:rsid w:val="36237D77"/>
    <w:rsid w:val="36686272"/>
    <w:rsid w:val="3EFB32FD"/>
    <w:rsid w:val="3F793C1C"/>
    <w:rsid w:val="402C395F"/>
    <w:rsid w:val="43182CCC"/>
    <w:rsid w:val="44A31C4F"/>
    <w:rsid w:val="46DB4579"/>
    <w:rsid w:val="47B53406"/>
    <w:rsid w:val="494D6F7A"/>
    <w:rsid w:val="497856C8"/>
    <w:rsid w:val="4F89239A"/>
    <w:rsid w:val="553E5E61"/>
    <w:rsid w:val="56710F2D"/>
    <w:rsid w:val="57224DD9"/>
    <w:rsid w:val="5A144526"/>
    <w:rsid w:val="5A351C6F"/>
    <w:rsid w:val="6093389B"/>
    <w:rsid w:val="648F42BA"/>
    <w:rsid w:val="664E1308"/>
    <w:rsid w:val="6AD04BC3"/>
    <w:rsid w:val="6E094F3F"/>
    <w:rsid w:val="70D14FE5"/>
    <w:rsid w:val="714B5949"/>
    <w:rsid w:val="74C17D6A"/>
    <w:rsid w:val="74F475A5"/>
    <w:rsid w:val="75E46CA9"/>
    <w:rsid w:val="778506C1"/>
    <w:rsid w:val="77FF0592"/>
    <w:rsid w:val="78FF37D2"/>
    <w:rsid w:val="7C7F4CA1"/>
    <w:rsid w:val="7FE34001"/>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before="260" w:after="260" w:line="440" w:lineRule="exact"/>
      <w:ind w:firstLine="562" w:firstLineChars="200"/>
      <w:jc w:val="both"/>
    </w:pPr>
    <w:rPr>
      <w:rFonts w:ascii="Times New Roman" w:eastAsia="宋体" w:hAnsi="Times New Roman" w:cs="Times New Roman"/>
      <w:kern w:val="2"/>
      <w:sz w:val="21"/>
      <w:szCs w:val="20"/>
      <w:lang w:val="en-US" w:eastAsia="zh-CN" w:bidi="ar-SA"/>
    </w:rPr>
  </w:style>
  <w:style w:type="paragraph" w:styleId="Heading1">
    <w:name w:val="heading 1"/>
    <w:basedOn w:val="Normal"/>
    <w:next w:val="Normal"/>
    <w:link w:val="1Char"/>
    <w:autoRedefine/>
    <w:uiPriority w:val="9"/>
    <w:qFormat/>
    <w:pPr>
      <w:keepNext/>
      <w:keepLines/>
      <w:spacing w:before="100" w:beforeLines="100" w:beforeAutospacing="0" w:after="100" w:afterLines="100" w:afterAutospacing="0" w:line="240" w:lineRule="auto"/>
      <w:jc w:val="center"/>
      <w:outlineLvl w:val="0"/>
    </w:pPr>
    <w:rPr>
      <w:rFonts w:ascii="Times New Roman" w:eastAsia="黑体" w:hAnsi="Times New Roman"/>
      <w:b/>
      <w:kern w:val="44"/>
      <w:sz w:val="28"/>
    </w:rPr>
  </w:style>
  <w:style w:type="paragraph" w:styleId="Heading2">
    <w:name w:val="heading 2"/>
    <w:basedOn w:val="Normal"/>
    <w:next w:val="Normal"/>
    <w:link w:val="2Char"/>
    <w:uiPriority w:val="9"/>
    <w:unhideWhenUsed/>
    <w:qFormat/>
    <w:pPr>
      <w:keepNext/>
      <w:keepLines/>
      <w:spacing w:before="100" w:beforeLines="100" w:beforeAutospacing="0" w:after="100" w:afterLines="100" w:afterAutospacing="0" w:line="360" w:lineRule="auto"/>
      <w:ind w:firstLine="0" w:firstLineChars="0"/>
      <w:jc w:val="left"/>
      <w:outlineLvl w:val="1"/>
    </w:pPr>
    <w:rPr>
      <w:rFonts w:ascii="Arial" w:eastAsia="黑体" w:hAnsi="Arial"/>
      <w:sz w:val="24"/>
    </w:rPr>
  </w:style>
  <w:style w:type="paragraph" w:styleId="Heading3">
    <w:name w:val="heading 3"/>
    <w:basedOn w:val="Normal"/>
    <w:next w:val="Normal"/>
    <w:link w:val="3Char"/>
    <w:autoRedefine/>
    <w:uiPriority w:val="9"/>
    <w:unhideWhenUsed/>
    <w:qFormat/>
    <w:pPr>
      <w:keepNext/>
      <w:keepLines/>
      <w:spacing w:before="150" w:beforeLines="150" w:beforeAutospacing="0" w:after="100" w:afterLines="100" w:afterAutospacing="0" w:line="240" w:lineRule="auto"/>
      <w:ind w:firstLine="480" w:firstLineChars="200"/>
      <w:outlineLvl w:val="2"/>
    </w:pPr>
    <w:rPr>
      <w:rFonts w:eastAsia="黑体"/>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aption">
    <w:name w:val="caption"/>
    <w:basedOn w:val="Normal"/>
    <w:next w:val="Normal"/>
    <w:unhideWhenUsed/>
    <w:qFormat/>
    <w:pPr>
      <w:jc w:val="center"/>
    </w:pPr>
    <w:rPr>
      <w:rFonts w:ascii="Arial" w:eastAsia="黑体" w:hAnsi="Arial"/>
      <w:sz w:val="20"/>
    </w:rPr>
  </w:style>
  <w:style w:type="paragraph" w:styleId="TOC3">
    <w:name w:val="toc 3"/>
    <w:basedOn w:val="Normal"/>
    <w:next w:val="Normal"/>
    <w:autoRedefine/>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autoRedefine/>
    <w:qFormat/>
    <w:pPr>
      <w:widowControl/>
      <w:spacing w:before="100" w:beforeLines="0" w:beforeAutospacing="1" w:after="100" w:afterLines="0" w:afterAutospacing="1"/>
      <w:jc w:val="left"/>
    </w:pPr>
    <w:rPr>
      <w:rFonts w:ascii="宋体" w:hAnsi="宋体" w:cs="宋体"/>
      <w:kern w:val="0"/>
      <w:sz w:val="24"/>
      <w:szCs w:val="24"/>
    </w:rPr>
  </w:style>
  <w:style w:type="table" w:styleId="TableGrid">
    <w:name w:val="Table Grid"/>
    <w:basedOn w:val="TableNormal"/>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Normal"/>
    <w:autoRedefine/>
    <w:qFormat/>
    <w:rPr>
      <w:rFonts w:ascii="Times New Roman" w:eastAsia="仿宋" w:hAnsi="Times New Roman"/>
      <w:sz w:val="24"/>
    </w:rPr>
  </w:style>
  <w:style w:type="paragraph" w:customStyle="1" w:styleId="ZW111">
    <w:name w:val="ZW111"/>
    <w:basedOn w:val="Normal"/>
    <w:autoRedefine/>
    <w:qFormat/>
    <w:pPr>
      <w:ind w:leftChars="0"/>
      <w:jc w:val="center"/>
    </w:pPr>
    <w:rPr>
      <w:rFonts w:ascii="Times New Roman" w:hAnsi="Times New Roman"/>
    </w:rPr>
  </w:style>
  <w:style w:type="character" w:customStyle="1" w:styleId="3Char">
    <w:name w:val="标题 3 Char"/>
    <w:link w:val="Heading3"/>
    <w:autoRedefine/>
    <w:uiPriority w:val="9"/>
    <w:qFormat/>
    <w:rPr>
      <w:rFonts w:ascii="Times New Roman" w:eastAsia="黑体" w:hAnsi="Times New Roman"/>
      <w:sz w:val="21"/>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 w:type="character" w:customStyle="1" w:styleId="2Char">
    <w:name w:val="标题 2 Char"/>
    <w:link w:val="Heading2"/>
    <w:autoRedefine/>
    <w:uiPriority w:val="9"/>
    <w:qFormat/>
    <w:rPr>
      <w:rFonts w:ascii="Arial" w:eastAsia="黑体" w:hAnsi="Arial"/>
      <w:sz w:val="24"/>
    </w:rPr>
  </w:style>
  <w:style w:type="character" w:customStyle="1" w:styleId="1Char">
    <w:name w:val="标题 1 Char"/>
    <w:link w:val="Heading1"/>
    <w:autoRedefine/>
    <w:uiPriority w:val="9"/>
    <w:qFormat/>
    <w:rPr>
      <w:rFonts w:ascii="Times New Roman" w:eastAsia="黑体" w:hAnsi="Times New Roman"/>
      <w:b/>
      <w:kern w:val="44"/>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656050150141010043"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2.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91"/>
    <customShpInfo spid="_x0000_s1092"/>
    <customShpInfo spid="_x0000_s1094"/>
    <customShpInfo spid="_x0000_s1095"/>
    <customShpInfo spid="_x0000_s109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zhang</cp:lastModifiedBy>
  <cp:revision>1</cp:revision>
  <dcterms:created xsi:type="dcterms:W3CDTF">2019-07-01T08:53:00Z</dcterms:created>
  <dcterms:modified xsi:type="dcterms:W3CDTF">2024-01-23T14:23:58Z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7B8FA849D2764642B1E6E631B3A8A4EE_12</vt:lpwstr>
  </property>
  <property fmtid="{D5CDD505-2E9C-101B-9397-08002B2CF9AE}" pid="3" name="KSOProductBuildVer">
    <vt:lpwstr>2052-12.1.0.16120</vt:lpwstr>
  </property>
</Properties>
</file>