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tabs>
          <w:tab w:val="clear" w:pos="0"/>
        </w:tabs>
        <w:bidi w:val="0"/>
        <w:ind w:left="0" w:firstLine="0" w:leftChars="0" w:firstLineChars="0"/>
        <w:rPr>
          <w:rFonts w:hint="eastAsia"/>
          <w:lang w:val="en-US" w:eastAsia="zh-CN"/>
        </w:rPr>
      </w:pPr>
      <w:bookmarkStart w:id="0" w:name="_Toc9193"/>
      <w:r>
        <w:rPr>
          <w:rFonts w:hint="eastAsia"/>
          <w:lang w:val="en-US" w:eastAsia="zh-CN"/>
        </w:rPr>
        <w:t>密码应用安全性评估方案</w:t>
      </w:r>
      <w:bookmarkEnd w:id="0"/>
    </w:p>
    <w:p>
      <w:pPr>
        <w:pStyle w:val="Heading2"/>
        <w:bidi w:val="0"/>
        <w:ind w:left="0" w:firstLine="0" w:leftChars="0" w:firstLineChars="0"/>
        <w:rPr>
          <w:rFonts w:hint="eastAsia"/>
          <w:lang w:val="en-US" w:eastAsia="zh-CN"/>
        </w:rPr>
      </w:pPr>
      <w:bookmarkStart w:id="1" w:name="_Toc9054"/>
      <w:bookmarkStart w:id="2" w:name="_Toc26676"/>
      <w:bookmarkStart w:id="3" w:name="_Toc28595"/>
      <w:bookmarkStart w:id="4" w:name="_Toc16334"/>
      <w:bookmarkStart w:id="5" w:name="_Toc26619"/>
      <w:bookmarkStart w:id="6" w:name="_Toc1081037414"/>
      <w:bookmarkStart w:id="7" w:name="_Toc6899"/>
      <w:bookmarkStart w:id="8" w:name="_Toc20014"/>
      <w:bookmarkStart w:id="9" w:name="_Toc21300"/>
      <w:bookmarkStart w:id="10" w:name="_Toc16988"/>
      <w:r>
        <w:rPr>
          <w:rFonts w:hint="eastAsia"/>
          <w:lang w:val="en-US" w:eastAsia="zh-CN"/>
        </w:rPr>
        <w:t>背景</w:t>
      </w:r>
      <w:bookmarkEnd w:id="1"/>
      <w:bookmarkEnd w:id="2"/>
      <w:bookmarkEnd w:id="3"/>
      <w:bookmarkEnd w:id="4"/>
      <w:bookmarkEnd w:id="5"/>
      <w:bookmarkEnd w:id="6"/>
      <w:bookmarkEnd w:id="7"/>
      <w:bookmarkEnd w:id="8"/>
      <w:bookmarkEnd w:id="9"/>
      <w:bookmarkEnd w:id="10"/>
    </w:p>
    <w:p>
      <w:pPr>
        <w:bidi w:val="0"/>
        <w:rPr>
          <w:rFonts w:hint="eastAsia"/>
        </w:rPr>
      </w:pPr>
      <w:r>
        <w:rPr>
          <w:rFonts w:hint="eastAsia"/>
        </w:rPr>
        <w:t>随着网络与信息技术的高速发展，尤其是互联网的广泛普及和应用，网络正深刻影响并改变着人类的生活和工作方式，我们已经身处信息时代，“计算机和网络”已经成为组织重要的生产工具，“信息”成为主要的生产资料和产品，组织的业务越来越依赖计算机、网络和信息，它们共同成为组织赖以生存的重要信息资产。我国信息化建设在不断深入，信息化的水平也在不断提升，同时导致了对信息系统的依赖程度也越来越高。越来越多的政府机构、企事业单位建立了依赖于网络的业务信息系统，比如门户WEB应用、电子政务、电子商务、网上银行、网络办公等；同时也利用互联网提供给用户各类Web应用服务，如提供信息发布、信息搜索、电子政务、电子商务等业务，便利了工作，也极大丰富了人们的生活。</w:t>
      </w:r>
    </w:p>
    <w:p>
      <w:pPr>
        <w:bidi w:val="0"/>
        <w:rPr>
          <w:rFonts w:hint="eastAsia"/>
        </w:rPr>
        <w:sectPr>
          <w:pgSz w:w="11906" w:h="16838"/>
          <w:pgMar w:top="1440" w:right="1800" w:bottom="1440" w:left="1800" w:header="851" w:footer="992" w:gutter="0"/>
          <w:cols w:num="1" w:space="425"/>
          <w:docGrid w:type="lines" w:linePitch="312" w:charSpace="0"/>
        </w:sectPr>
      </w:pPr>
      <w:r>
        <w:rPr>
          <w:rFonts w:hint="eastAsia"/>
        </w:rPr>
        <w:t>网络技术对社会各行各业产生了巨大深远影响的同时，随之而来的网络安全问题亦凸现出来。计算机、网络、信息等系统资产在服务于各部门业务的同时，也受到越来越多的安全威胁，如病毒破坏、黑客攻击、信息系统瘫痪、网络欺诈等利用计算机网络实施的各种犯罪行为。密码技术作为网络安全的基础性核心技术，保障信息资产和网络信任体系，保障网络空间安全的关键技术。密码保障系统有效抵御网络攻击，有效保护数据和系统安全，体现了密码使用的合规性、正确性、有效性，涉及典型的密码技术包括密码算法、密钥管理、密码协议。安全测评通过静态评估、现场测试、综合评估等相关环节和阶段，从物理和环境安全、网络和通信安全、设备和计算安全、应用和数据安全、密钥管理、安全管理等六个方面，对信息系统进行综合测评。</w:t>
      </w:r>
    </w:p>
    <w:p>
      <w:pPr>
        <w:bidi w:val="0"/>
        <w:rPr>
          <w:rFonts w:hint="eastAsia"/>
        </w:rPr>
      </w:pPr>
      <w:r>
        <w:rPr>
          <w:rFonts w:hint="eastAsia"/>
        </w:rPr>
        <w:t>为全面贯彻总体国家安全观和网络强国战略，深入贯彻落实习近平总书记关于核心技术自主可控重要批示精神和工作安排，落实中共中央办公厅、国务院办公厅推进重要领域密码应用与创新发展的相关要求，在重要信息系统密码应用情况普查工作基础上，对重点行业重要信息系统开展密码应用安全性评估。通过密码应用安全性评估深入查找密码应用的薄弱环节和安全隐患，分析面临的风险，为提升我国信息系统密码安全奠定基础。</w:t>
      </w:r>
    </w:p>
    <w:p>
      <w:pPr>
        <w:pStyle w:val="Heading2"/>
        <w:bidi w:val="0"/>
        <w:ind w:left="0" w:firstLine="0" w:leftChars="0" w:firstLineChars="0"/>
        <w:rPr>
          <w:rFonts w:hint="eastAsia"/>
          <w:lang w:val="en-US" w:eastAsia="zh-CN"/>
        </w:rPr>
      </w:pPr>
      <w:bookmarkStart w:id="11" w:name="_Toc532206733"/>
      <w:bookmarkStart w:id="12" w:name="_Toc11864"/>
      <w:bookmarkStart w:id="13" w:name="_Toc23026"/>
      <w:bookmarkStart w:id="14" w:name="_Toc13466"/>
      <w:bookmarkStart w:id="15" w:name="_Toc697"/>
      <w:bookmarkStart w:id="16" w:name="_Toc25950"/>
      <w:bookmarkStart w:id="17" w:name="_Toc22114"/>
      <w:bookmarkStart w:id="18" w:name="_Toc9998"/>
      <w:bookmarkStart w:id="19" w:name="_Toc4297"/>
      <w:r>
        <w:rPr>
          <w:rFonts w:hint="eastAsia"/>
          <w:lang w:val="en-US" w:eastAsia="zh-CN"/>
        </w:rPr>
        <w:t>相关法规政策</w:t>
      </w:r>
      <w:bookmarkEnd w:id="11"/>
      <w:bookmarkEnd w:id="12"/>
      <w:bookmarkEnd w:id="13"/>
      <w:bookmarkEnd w:id="14"/>
      <w:bookmarkEnd w:id="15"/>
      <w:bookmarkEnd w:id="16"/>
      <w:bookmarkEnd w:id="17"/>
      <w:bookmarkEnd w:id="18"/>
      <w:bookmarkEnd w:id="19"/>
    </w:p>
    <w:p>
      <w:pPr>
        <w:bidi w:val="0"/>
        <w:rPr>
          <w:rFonts w:hint="eastAsia"/>
        </w:rPr>
      </w:pPr>
      <w:r>
        <w:rPr>
          <w:rFonts w:hint="eastAsia"/>
        </w:rPr>
        <w:t>《中华人民共和国密码法》要求“国家对关键信息基础设施的密码应用安全性进行分类分级评估，按照国家安全审查的要求对影响或者可能影响国家安全的密码产品、密码相关服务和密码保障系统进行安全审查”。《信息安全等级保护商用密码管理办法》规定：“国家密码管理局和省、自治区、直辖市密码管理机构对第三级及以上信息系统使用商用密码的情况进行检查”。在国家密码管理局印发的《信息安全等级保护商用密码管理办法实施意见》中规定“第三级及以上信息系统的商用密码应用系统，应当通过国家密码管理部门指定测评机构的密码测评后方可投入运行”。这些制度明确了信息安全等级保护第三级及以上信息系统的商用密码应用和测评要求。此外，在《网络安全等级保护条例》明确要求在规划、建设、运行阶段开展密码应用安全性评估。</w:t>
      </w:r>
    </w:p>
    <w:p>
      <w:pPr>
        <w:bidi w:val="0"/>
        <w:rPr>
          <w:rFonts w:hint="eastAsia"/>
        </w:rPr>
        <w:sectPr>
          <w:type w:val="nextPage"/>
          <w:pgSz w:w="11906" w:h="16838"/>
          <w:pgMar w:top="1440" w:right="1800" w:bottom="1440" w:left="1800" w:header="851" w:footer="992" w:gutter="0"/>
          <w:pgNumType w:start="2"/>
          <w:cols w:num="1" w:space="425"/>
          <w:titlePg w:val="0"/>
          <w:docGrid w:type="lines" w:linePitch="312" w:charSpace="0"/>
        </w:sectPr>
      </w:pPr>
    </w:p>
    <w:p>
      <w:pPr>
        <w:bidi w:val="0"/>
        <w:rPr>
          <w:rFonts w:hint="eastAsia"/>
        </w:rPr>
      </w:pPr>
      <w:r>
        <w:rPr>
          <w:rFonts w:hint="eastAsia"/>
        </w:rPr>
        <w:t>为规范商用密码应用安全性评估工作，国家密码管理局制定了《商用密码应用安全性评估管理办法》、《商用密码应用安全性测评机构管理办法》等有关规定，对测评机构、网络运营者、管理部分等三类对象提出了要求，对评估程序、评估方法、监督管理等进行了明确。同时，制定了《信息系统密码应用基本要求》、《信息系统密码测评要求》等标准，及《商用密码应用安全性评估测评过程指南（试行）》、《商用密码应用安全性评估测评作业指导书（试行）》等指导性文件，指导测评机构规范有序开展评估工作。其中，《信息系统密码应用基本要求》从物理和环境安全、网络和通信安全、设备和计算安全、应用和数据安全、密钥管理以及安全管理六个方面提出密码应用安全性评估指标。</w:t>
      </w:r>
    </w:p>
    <w:p>
      <w:pPr>
        <w:pStyle w:val="Heading2"/>
        <w:bidi w:val="0"/>
        <w:ind w:left="0" w:firstLine="0" w:leftChars="0" w:firstLineChars="0"/>
        <w:rPr>
          <w:rFonts w:hint="eastAsia"/>
          <w:lang w:val="en-US" w:eastAsia="zh-CN"/>
        </w:rPr>
      </w:pPr>
      <w:r>
        <w:rPr>
          <w:rFonts w:hint="eastAsia"/>
          <w:lang w:val="en-US" w:eastAsia="zh-CN"/>
        </w:rPr>
        <w:t xml:space="preserve"> </w:t>
      </w:r>
      <w:bookmarkStart w:id="20" w:name="_Toc26602"/>
      <w:bookmarkStart w:id="21" w:name="_Toc4121"/>
      <w:bookmarkStart w:id="22" w:name="_Toc14432"/>
      <w:bookmarkStart w:id="23" w:name="_Toc9683"/>
      <w:bookmarkStart w:id="24" w:name="_Toc1675"/>
      <w:bookmarkStart w:id="25" w:name="_Toc31238"/>
      <w:bookmarkStart w:id="26" w:name="_Toc29185"/>
      <w:bookmarkStart w:id="27" w:name="_Toc9809"/>
      <w:bookmarkStart w:id="28" w:name="_Toc3344927"/>
      <w:bookmarkStart w:id="29" w:name="_Toc21852"/>
      <w:r>
        <w:rPr>
          <w:rFonts w:hint="eastAsia"/>
          <w:lang w:val="en-US" w:eastAsia="zh-CN"/>
        </w:rPr>
        <w:t>密码测评的意义</w:t>
      </w:r>
      <w:bookmarkEnd w:id="20"/>
      <w:bookmarkEnd w:id="21"/>
      <w:bookmarkEnd w:id="22"/>
      <w:bookmarkEnd w:id="23"/>
      <w:bookmarkEnd w:id="24"/>
      <w:bookmarkEnd w:id="25"/>
      <w:bookmarkEnd w:id="26"/>
      <w:bookmarkEnd w:id="27"/>
      <w:bookmarkEnd w:id="28"/>
      <w:bookmarkEnd w:id="29"/>
    </w:p>
    <w:p>
      <w:pPr>
        <w:bidi w:val="0"/>
        <w:rPr>
          <w:rFonts w:hint="eastAsia"/>
        </w:rPr>
      </w:pPr>
      <w:r>
        <w:rPr>
          <w:rFonts w:hint="eastAsia"/>
        </w:rPr>
        <w:t>开展商用密码应用安全性评估工作，是国家网络安全和密码相关法律法规提出的明确要求，是法定责任和义务。商用密码应用安全性评估工作，不仅对规范密码应用具有重大意义，同时对维护网络和信息系统密码安全，切实保障网络安全，有效应对各类网络安全风险，也具有不可替代的重要作用。商用密码应用安全性评估工作是密码检测认证体系的重要组成部分，也是《中华人民共和国密码法》和中央有关文件的明确要求，是落实总体国家安全观和网络强国战略的具体行动，是深入推进重要领域密码应用的必然要求。</w:t>
      </w:r>
    </w:p>
    <w:p>
      <w:pPr>
        <w:pStyle w:val="Heading2"/>
        <w:bidi w:val="0"/>
        <w:ind w:left="0" w:firstLine="0" w:leftChars="0" w:firstLineChars="0"/>
        <w:rPr>
          <w:rFonts w:hint="eastAsia"/>
          <w:lang w:val="en-US" w:eastAsia="zh-CN"/>
        </w:rPr>
      </w:pPr>
      <w:bookmarkStart w:id="30" w:name="_Toc3940"/>
      <w:bookmarkStart w:id="31" w:name="_Toc1592"/>
      <w:bookmarkStart w:id="32" w:name="_Toc24988"/>
      <w:bookmarkStart w:id="33" w:name="_Toc347"/>
      <w:bookmarkStart w:id="34" w:name="_Toc129986634"/>
      <w:bookmarkStart w:id="35" w:name="_Toc29773"/>
      <w:bookmarkStart w:id="36" w:name="_Toc20110"/>
      <w:bookmarkStart w:id="37" w:name="_Toc19821"/>
      <w:bookmarkStart w:id="38" w:name="_Toc19702"/>
      <w:r>
        <w:rPr>
          <w:rFonts w:hint="eastAsia"/>
          <w:lang w:val="en-US" w:eastAsia="zh-CN"/>
        </w:rPr>
        <w:t>测评依据</w:t>
      </w:r>
      <w:bookmarkEnd w:id="30"/>
      <w:bookmarkEnd w:id="31"/>
      <w:bookmarkEnd w:id="32"/>
      <w:bookmarkEnd w:id="33"/>
      <w:bookmarkEnd w:id="34"/>
      <w:bookmarkEnd w:id="35"/>
      <w:bookmarkEnd w:id="36"/>
      <w:bookmarkEnd w:id="37"/>
      <w:bookmarkEnd w:id="38"/>
    </w:p>
    <w:p>
      <w:pPr>
        <w:pStyle w:val="Heading3"/>
        <w:bidi w:val="0"/>
        <w:ind w:left="0" w:firstLine="0" w:leftChars="0" w:firstLineChars="0"/>
        <w:rPr>
          <w:rFonts w:hint="eastAsia"/>
          <w:lang w:val="en-US" w:eastAsia="zh-CN"/>
        </w:rPr>
      </w:pPr>
      <w:r>
        <w:rPr>
          <w:rFonts w:hint="eastAsia"/>
          <w:lang w:val="en-US" w:eastAsia="zh-CN"/>
        </w:rPr>
        <w:t xml:space="preserve"> </w:t>
      </w:r>
      <w:bookmarkStart w:id="39" w:name="_Toc6536"/>
      <w:bookmarkStart w:id="40" w:name="_Toc21349"/>
      <w:r>
        <w:rPr>
          <w:rFonts w:hint="eastAsia"/>
          <w:lang w:val="en-US" w:eastAsia="zh-CN"/>
        </w:rPr>
        <w:t>主要依据标准</w:t>
      </w:r>
      <w:bookmarkEnd w:id="39"/>
      <w:bookmarkEnd w:id="40"/>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GB 17859-1999 《计算机信息系统 安全保护等级划分准则》</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lang w:eastAsia="zh-CN"/>
        </w:rPr>
        <w:t>GB/T39786-2021</w:t>
      </w:r>
      <w:r>
        <w:rPr>
          <w:rFonts w:hint="eastAsia"/>
        </w:rPr>
        <w:t xml:space="preserve"> 信息系统密码应用基本要求（以下简称“基本要求”）</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信息系统密码测评要求（试行）</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w:t>
      </w:r>
      <w:hyperlink r:id="rId6" w:tgtFrame="_blank" w:history="1">
        <w:r>
          <w:rPr>
            <w:rFonts w:hint="eastAsia"/>
          </w:rPr>
          <w:t>信息系统密码应用高风险判定指引</w:t>
        </w:r>
      </w:hyperlink>
      <w:r>
        <w:rPr>
          <w:rFonts w:hint="eastAsia"/>
        </w:rPr>
        <w:t>》</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w:t>
      </w:r>
      <w:hyperlink r:id="rId7" w:tgtFrame="_blank" w:history="1">
        <w:r>
          <w:rPr>
            <w:rFonts w:hint="eastAsia"/>
          </w:rPr>
          <w:t>商用密码应用安全性评估量化评估规则</w:t>
        </w:r>
      </w:hyperlink>
      <w:r>
        <w:rPr>
          <w:rFonts w:hint="eastAsia"/>
        </w:rPr>
        <w:t>》</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hint="eastAsia"/>
        </w:rPr>
        <w:t>《商用密码应用安全性评估测评作业指导书（试行）》</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《政务信息系统密码应用与安全性评估工作指南》</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商用密码管理条例（1999年国务院令第273号）</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《信息系统密码应用测评过程指南》</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lang w:eastAsia="zh-CN"/>
        </w:rPr>
        <w:t>GB/T39786-2021</w:t>
      </w:r>
      <w:r>
        <w:rPr>
          <w:rFonts w:hint="eastAsia"/>
        </w:rPr>
        <w:t>《信息安全技术 信息系统密码应用基本要求》</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GB/T 20984-2007 《信息安全技术 信息安全风险评估模型》</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GM/T 0006 《密码应用标识规范》</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GM/T 0015 《基于SM2密码算法的数字证书格式规范》</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信息安全等级保护商用密码管理办法（密局发［2007］11号）</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《中华人民共和国密码法》</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《关键信息基础设施安全保护条例》</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《网络安全等级保护条例》</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《中华人民共和国</w:t>
      </w:r>
      <w:r>
        <w:rPr>
          <w:rFonts w:hint="eastAsia"/>
          <w:lang w:val="en-US" w:eastAsia="zh-CN"/>
        </w:rPr>
        <w:t>网络安全法</w:t>
      </w:r>
      <w:r>
        <w:rPr>
          <w:rFonts w:hint="eastAsia"/>
        </w:rPr>
        <w:t>》</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《随机性检测规范》GM/T 0005-2012</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《密码模块安全技术要求》GM/T 0028-2014</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《服务器密码机技术规范》GM/T 0030-2014</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《数字证书认证系统密码协议规范》GM/T 0014-2012</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《IPSec VPN 技术规范》GM/T 0022-2014</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《SSL VPN 技术规范》GM/T 0024-2014</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《动态口令密码应用技术规范》GM/T 0021-2012</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《智能密码要是技术规范》GM/T 0027-2014</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《签名验签服务器技术规范》GM/T 0029-2014</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sectPr>
          <w:type w:val="nextPage"/>
          <w:pgSz w:w="11906" w:h="16838"/>
          <w:pgMar w:top="1440" w:right="1800" w:bottom="1440" w:left="1800" w:header="851" w:footer="992" w:gutter="0"/>
          <w:pgNumType w:start="4"/>
          <w:cols w:num="1" w:space="425"/>
          <w:titlePg w:val="0"/>
          <w:docGrid w:type="lines" w:linePitch="312" w:charSpace="0"/>
        </w:sectPr>
      </w:pPr>
      <w:r>
        <w:rPr>
          <w:rFonts w:hint="eastAsia"/>
        </w:rPr>
        <w:t>《安全电子签章密码技术规范》GM/T 0031-2014</w:t>
      </w:r>
      <w:r>
        <w:rPr>
          <w:rFonts w:hint="eastAsia"/>
        </w:rPr>
        <w:tab/>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lang w:eastAsia="zh-CN"/>
        </w:rPr>
        <w:t>《</w:t>
      </w:r>
      <w:r>
        <w:rPr>
          <w:rFonts w:hint="eastAsia"/>
        </w:rPr>
        <w:t>商用密码管理条例</w:t>
      </w:r>
      <w:r>
        <w:rPr>
          <w:rFonts w:hint="eastAsia"/>
          <w:lang w:eastAsia="zh-CN"/>
        </w:rPr>
        <w:t>》</w:t>
      </w:r>
      <w:r>
        <w:rPr>
          <w:rFonts w:hint="eastAsia"/>
        </w:rPr>
        <w:t>（1999年国务院令第273号）</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《信息安全技术 信息安全风险评估模型》GB/T 20984-2007</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《密码应用标识规范》GM/T</w:t>
      </w:r>
      <w:r>
        <w:rPr>
          <w:rFonts w:hint="eastAsia"/>
          <w:lang w:val="en-US" w:eastAsia="zh-CN"/>
        </w:rPr>
        <w:t xml:space="preserve"> </w:t>
      </w:r>
      <w:r>
        <w:rPr>
          <w:rFonts w:hint="eastAsia"/>
        </w:rPr>
        <w:t>0006</w:t>
      </w:r>
      <w:r>
        <w:rPr>
          <w:rFonts w:hint="eastAsia"/>
          <w:lang w:val="en-US" w:eastAsia="zh-CN"/>
        </w:rPr>
        <w:t>-2012</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 xml:space="preserve">《基于SM2密码算法的数字证书格式规范》GM/T 0015 </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lang w:eastAsia="zh-CN"/>
        </w:rPr>
        <w:t>《</w:t>
      </w:r>
      <w:r>
        <w:rPr>
          <w:rFonts w:hint="eastAsia"/>
        </w:rPr>
        <w:t>信息安全等级保护商用密码管理办法</w:t>
      </w:r>
      <w:r>
        <w:rPr>
          <w:rFonts w:hint="eastAsia"/>
          <w:lang w:eastAsia="zh-CN"/>
        </w:rPr>
        <w:t>》</w:t>
      </w:r>
      <w:r>
        <w:rPr>
          <w:rFonts w:hint="eastAsia"/>
        </w:rPr>
        <w:t>（密局发［2007］11号）</w:t>
      </w:r>
    </w:p>
    <w:p>
      <w:pPr>
        <w:keepNext w:val="0"/>
        <w:keepLines w:val="0"/>
        <w:pageBreakBefore w:val="0"/>
        <w:widowControl w:val="0"/>
        <w:numPr>
          <w:ilvl w:val="0"/>
          <w:numId w:val="2"/>
        </w:numPr>
        <w:kinsoku/>
        <w:wordWrap/>
        <w:overflowPunct/>
        <w:topLinePunct w:val="0"/>
        <w:autoSpaceDE/>
        <w:autoSpaceDN/>
        <w:bidi w:val="0"/>
        <w:adjustRightInd w:val="0"/>
        <w:snapToGrid w:val="0"/>
        <w:ind w:left="0"/>
        <w:textAlignment w:val="auto"/>
        <w:rPr>
          <w:rFonts w:hint="eastAsia"/>
        </w:rPr>
      </w:pPr>
      <w:r>
        <w:rPr>
          <w:rFonts w:hint="eastAsia"/>
        </w:rPr>
        <w:t xml:space="preserve">《计算机信息系统 安全保护等级划分准则》GB 17859-1999 </w:t>
      </w:r>
    </w:p>
    <w:p>
      <w:pPr>
        <w:pStyle w:val="Heading3"/>
        <w:bidi w:val="0"/>
        <w:ind w:left="0" w:firstLine="0" w:leftChars="0" w:firstLineChars="0"/>
        <w:rPr>
          <w:rFonts w:hint="eastAsia"/>
          <w:lang w:val="en-US" w:eastAsia="zh-CN"/>
        </w:rPr>
      </w:pPr>
      <w:r>
        <w:rPr>
          <w:rFonts w:hint="eastAsia"/>
          <w:lang w:val="en-US" w:eastAsia="zh-CN"/>
        </w:rPr>
        <w:t xml:space="preserve"> </w:t>
      </w:r>
      <w:bookmarkStart w:id="41" w:name="_Toc2793"/>
      <w:bookmarkStart w:id="42" w:name="_Toc16628"/>
      <w:bookmarkStart w:id="43" w:name="_Toc25953"/>
      <w:r>
        <w:rPr>
          <w:rFonts w:hint="eastAsia"/>
          <w:lang w:val="en-US" w:eastAsia="zh-CN"/>
        </w:rPr>
        <w:t>测评参考标准</w:t>
      </w:r>
      <w:bookmarkEnd w:id="41"/>
      <w:bookmarkEnd w:id="42"/>
      <w:bookmarkEnd w:id="43"/>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《GB/T 22239-2019 信息安全技术网络安全等级保护基本要求》</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《GB/T 28448-2019 信息安全技术网络安全等级保护测评要求》</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《GBT 25070-2019信息安全技术网络安全等级保护安全设计技术要求》</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《GB/T 22240-2008 信息安全技术信息系统安全等级保护定级指南》</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《GB/T 25058-2010 信息安全技术信息系统安全等级保护实施指南》</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《GB/T 28449-2012 信息安全技术信息系统安全等级保护测评过程指南》</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《信息系统安全等级保护定级报告》</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0005-2012随机性检测规范》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sectPr>
          <w:type w:val="nextPage"/>
          <w:pgSz w:w="11906" w:h="16838"/>
          <w:pgMar w:top="1440" w:right="1800" w:bottom="1440" w:left="1800" w:header="851" w:footer="992" w:gutter="0"/>
          <w:pgNumType w:start="5"/>
          <w:cols w:num="1" w:space="425"/>
          <w:titlePg w:val="0"/>
          <w:docGrid w:type="lines" w:linePitch="312" w:charSpace="0"/>
        </w:sectPr>
      </w:pPr>
      <w:r>
        <w:rPr>
          <w:rFonts w:hint="eastAsia"/>
        </w:rPr>
        <w:t>《GM/T 0028-2014密码模块安全技术要求》</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0030-2014服务器密码机技术规范》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0045-2016 金融数据密码机技术规范》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0014-2012数字证书认证系统密码协议规范》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0022-2014IPSec VPN 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0024-2014 SSL VPN 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0021-2012动态口令密码应用技术规范》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0027-2014智能密码要是技术规范》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0029-2014签名验签服务器技术规范》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0034-2014基于SM2密码算法的证书认证系统密码及其相关安全技术规范》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0031-2014</w:t>
      </w:r>
      <w:r>
        <w:rPr>
          <w:rFonts w:hint="eastAsia"/>
        </w:rPr>
        <w:tab/>
      </w:r>
      <w:r>
        <w:rPr>
          <w:rFonts w:hint="eastAsia"/>
        </w:rPr>
        <w:t>安全电子签章密码技术规范》</w:t>
      </w:r>
    </w:p>
    <w:p>
      <w:pPr>
        <w:keepNext w:val="0"/>
        <w:keepLines w:val="0"/>
        <w:pageBreakBefore w:val="0"/>
        <w:widowControl w:val="0"/>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《GM/T 0033-2014</w:t>
      </w:r>
      <w:r>
        <w:rPr>
          <w:rFonts w:hint="eastAsia"/>
        </w:rPr>
        <w:tab/>
      </w:r>
      <w:r>
        <w:rPr>
          <w:rFonts w:hint="eastAsia"/>
        </w:rPr>
        <w:t>时间戳接口规范》</w:t>
      </w:r>
    </w:p>
    <w:p>
      <w:pPr>
        <w:pStyle w:val="Heading2"/>
        <w:bidi w:val="0"/>
        <w:ind w:left="0" w:firstLine="0" w:leftChars="0" w:firstLineChars="0"/>
        <w:rPr>
          <w:rFonts w:hint="eastAsia"/>
          <w:lang w:val="en-US" w:eastAsia="zh-CN"/>
        </w:rPr>
      </w:pPr>
      <w:bookmarkStart w:id="44" w:name="_Toc30620"/>
      <w:bookmarkStart w:id="45" w:name="_Toc12092"/>
      <w:bookmarkStart w:id="46" w:name="_Toc60143369"/>
      <w:bookmarkStart w:id="47" w:name="_Toc280271907"/>
      <w:bookmarkStart w:id="48" w:name="_Toc13640"/>
      <w:r>
        <w:rPr>
          <w:rFonts w:hint="eastAsia"/>
          <w:lang w:val="en-US" w:eastAsia="zh-CN"/>
        </w:rPr>
        <w:t>密码应用测评工作思路</w:t>
      </w:r>
      <w:bookmarkEnd w:id="44"/>
      <w:bookmarkEnd w:id="45"/>
      <w:bookmarkEnd w:id="46"/>
      <w:bookmarkEnd w:id="47"/>
      <w:bookmarkEnd w:id="48"/>
    </w:p>
    <w:p>
      <w:pPr>
        <w:bidi w:val="0"/>
        <w:rPr>
          <w:rFonts w:hint="eastAsia"/>
        </w:rPr>
        <w:sectPr>
          <w:type w:val="nextPage"/>
          <w:pgSz w:w="11906" w:h="16838"/>
          <w:pgMar w:top="1440" w:right="1800" w:bottom="1440" w:left="1800" w:header="851" w:footer="992" w:gutter="0"/>
          <w:pgNumType w:start="6"/>
          <w:cols w:num="1" w:space="425"/>
          <w:titlePg w:val="0"/>
          <w:docGrid w:type="lines" w:linePitch="312" w:charSpace="0"/>
        </w:sectPr>
      </w:pPr>
      <w:r>
        <w:rPr>
          <w:rFonts w:hint="eastAsia"/>
          <w:lang w:val="en-US" w:eastAsia="zh-CN"/>
        </w:rPr>
        <w:t>参考中国密码学会密评联委会制定的《信息系统密码应用测评过程指南》，结合</w:t>
      </w:r>
      <w:r>
        <w:rPr>
          <w:rFonts w:hint="eastAsia"/>
        </w:rPr>
        <w:t>《信息安全技术 信息系统密码应用基本要求》</w:t>
      </w:r>
      <w:r>
        <w:rPr>
          <w:rFonts w:hint="eastAsia"/>
          <w:lang w:val="en-US" w:eastAsia="zh-CN"/>
        </w:rPr>
        <w:t>的具体内容和要求，考虑到被测单位的具体情况，我们的商用密码应用安全性评估工作遵循以下的工作思路。</w:t>
      </w:r>
    </w:p>
    <w:p>
      <w:pPr>
        <w:pStyle w:val="PlainText"/>
        <w:bidi w:val="0"/>
        <w:jc w:val="center"/>
        <w:rPr>
          <w:rFonts w:ascii="仿宋" w:eastAsia="仿宋" w:hAnsi="仿宋" w:cs="仿宋" w:hint="eastAsia"/>
          <w:sz w:val="24"/>
          <w:szCs w:val="24"/>
        </w:rPr>
      </w:pPr>
      <w:r>
        <w:rPr>
          <w:rFonts w:ascii="仿宋" w:eastAsia="仿宋" w:hAnsi="仿宋" w:cs="仿宋" w:hint="eastAsia"/>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8.35pt;height:434.55pt" o:ole="" coordsize="21600,21600" o:preferrelative="t" filled="f" stroked="f">
            <v:imagedata r:id="rId8" o:title=""/>
            <o:lock v:ext="edit" aspectratio="f"/>
            <w10:anchorlock/>
          </v:shape>
          <o:OLEObject Type="Embed" ProgID="Visio.Drawing.15" ShapeID="_x0000_i1025" DrawAspect="Content" ObjectID="_1468075725" r:id="rId9"/>
        </w:object>
      </w:r>
    </w:p>
    <w:p>
      <w:pPr>
        <w:bidi w:val="0"/>
        <w:rPr>
          <w:rFonts w:hint="eastAsia"/>
        </w:rPr>
      </w:pPr>
      <w:r>
        <w:rPr>
          <w:rFonts w:hint="eastAsia"/>
        </w:rPr>
        <w:t>为保证测评的科学规范，保证项目实</w:t>
      </w:r>
      <w:r>
        <w:rPr>
          <w:rFonts w:hint="eastAsia"/>
          <w:lang w:eastAsia="zh-CN"/>
        </w:rPr>
        <w:t>服务</w:t>
      </w:r>
      <w:r>
        <w:rPr>
          <w:rFonts w:hint="eastAsia"/>
        </w:rPr>
        <w:t>期和质量，需要着重把握信息收集、测评对象确定、测评指标确定、测评作业指导书开发、测评方案制定、测评授权书、结果判断方法等关键因素，其中每个要素都直接影响到项目后面的实施。测评范围和测评指标的选取，将直接关系到项目的成本、工时和能否通过上级审查，所以必须在考虑客观事实的基础上，在项目初期便与项目涉及的各方进行多次的沟通确认。</w:t>
      </w:r>
    </w:p>
    <w:p>
      <w:pPr>
        <w:bidi w:val="0"/>
        <w:rPr>
          <w:rFonts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lang w:val="en-US" w:eastAsia="zh-CN"/>
        </w:rPr>
        <w:t>商用密码应用安全性评估每个活动阶段都</w:t>
      </w:r>
      <w:r>
        <w:rPr>
          <w:rFonts w:hint="eastAsia"/>
        </w:rPr>
        <w:t>是开展</w:t>
      </w:r>
      <w:r>
        <w:rPr>
          <w:rFonts w:hint="eastAsia"/>
          <w:lang w:val="en-US" w:eastAsia="zh-CN"/>
        </w:rPr>
        <w:t>下一项活动</w:t>
      </w:r>
      <w:r>
        <w:rPr>
          <w:rFonts w:hint="eastAsia"/>
        </w:rPr>
        <w:t>工作的前提和基础，是整个</w:t>
      </w:r>
      <w:r>
        <w:rPr>
          <w:rFonts w:hint="eastAsia"/>
          <w:lang w:val="en-US" w:eastAsia="zh-CN"/>
        </w:rPr>
        <w:t>商用密码应用安全性评估</w:t>
      </w:r>
      <w:r>
        <w:rPr>
          <w:rFonts w:hint="eastAsia"/>
        </w:rPr>
        <w:t>过程有效性的保证。</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425" w:firstLine="560" w:leftChars="0" w:firstLineChars="200"/>
        <w:textAlignment w:val="auto"/>
        <w:rPr>
          <w:rFonts w:hint="eastAsia"/>
          <w:b/>
          <w:bCs/>
          <w:szCs w:val="28"/>
        </w:rPr>
      </w:pPr>
      <w:r>
        <w:rPr>
          <w:rFonts w:ascii="仿宋" w:eastAsia="仿宋" w:hAnsi="仿宋" w:cs="仿宋" w:hint="eastAsia"/>
          <w:b/>
          <w:bCs/>
          <w:sz w:val="28"/>
          <w:szCs w:val="28"/>
          <w:lang w:val="en-US" w:eastAsia="zh-CN"/>
        </w:rPr>
        <w:t>项目准备活动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rPr>
      </w:pPr>
      <w:r>
        <w:rPr>
          <w:rFonts w:hint="eastAsia"/>
          <w:lang w:val="en-US" w:eastAsia="zh-CN"/>
        </w:rPr>
        <w:t xml:space="preserve">本活动是开展测评工作的前提和基础，主要任务是掌握被测信息系统的详细情况，准备测评工具，为编制密评方案做好准备。 </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425" w:firstLine="560" w:leftChars="0" w:firstLineChars="200"/>
        <w:textAlignment w:val="auto"/>
        <w:rPr>
          <w:rFonts w:hint="eastAsia"/>
          <w:b/>
          <w:bCs/>
          <w:szCs w:val="28"/>
        </w:rPr>
      </w:pPr>
      <w:r>
        <w:rPr>
          <w:rFonts w:ascii="仿宋" w:eastAsia="仿宋" w:hAnsi="仿宋" w:cs="仿宋" w:hint="eastAsia"/>
          <w:b/>
          <w:bCs/>
          <w:sz w:val="28"/>
          <w:szCs w:val="28"/>
          <w:lang w:val="en-US" w:eastAsia="zh-CN"/>
        </w:rPr>
        <w:t>方案编制活动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rPr>
      </w:pPr>
      <w:r>
        <w:rPr>
          <w:rFonts w:hint="eastAsia"/>
          <w:lang w:val="en-US" w:eastAsia="zh-CN"/>
        </w:rPr>
        <w:t xml:space="preserve">本活动是开展测评工作的关键活动，主要任务是确定与被测信息系统相适应的测评对象、测评指标、测评检查点及测评内容等，形成密评方案，为实施现场测评提供依据。 </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425" w:firstLine="560" w:leftChars="0" w:firstLineChars="200"/>
        <w:textAlignment w:val="auto"/>
        <w:rPr>
          <w:rFonts w:hint="eastAsia"/>
          <w:b/>
          <w:bCs/>
          <w:szCs w:val="28"/>
        </w:rPr>
      </w:pPr>
      <w:r>
        <w:rPr>
          <w:rFonts w:ascii="仿宋" w:eastAsia="仿宋" w:hAnsi="仿宋" w:cs="仿宋" w:hint="eastAsia"/>
          <w:b/>
          <w:bCs/>
          <w:sz w:val="28"/>
          <w:szCs w:val="28"/>
          <w:lang w:val="en-US" w:eastAsia="zh-CN"/>
        </w:rPr>
        <w:t>现场预评估活动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Cs w:val="22"/>
        </w:rPr>
      </w:pPr>
      <w:r>
        <w:rPr>
          <w:rFonts w:ascii="仿宋" w:eastAsia="仿宋" w:hAnsi="仿宋" w:cs="仿宋" w:hint="eastAsia"/>
          <w:sz w:val="28"/>
          <w:szCs w:val="22"/>
        </w:rPr>
        <w:t>本活动的主要任务是按照测评方案的总体要求，严格执行测评实施</w:t>
      </w:r>
      <w:r>
        <w:rPr>
          <w:rFonts w:ascii="仿宋" w:eastAsia="仿宋" w:hAnsi="仿宋" w:cs="仿宋" w:hint="eastAsia"/>
          <w:sz w:val="28"/>
          <w:szCs w:val="22"/>
          <w:lang w:val="en-US" w:eastAsia="zh-CN"/>
        </w:rPr>
        <w:t>方案</w:t>
      </w:r>
      <w:r>
        <w:rPr>
          <w:rFonts w:ascii="仿宋" w:eastAsia="仿宋" w:hAnsi="仿宋" w:cs="仿宋" w:hint="eastAsia"/>
          <w:sz w:val="28"/>
          <w:szCs w:val="22"/>
        </w:rPr>
        <w:t>，分步实施所有单项测评</w:t>
      </w:r>
      <w:r>
        <w:rPr>
          <w:rFonts w:ascii="仿宋" w:eastAsia="仿宋" w:hAnsi="仿宋" w:cs="仿宋" w:hint="eastAsia"/>
          <w:sz w:val="28"/>
          <w:szCs w:val="22"/>
          <w:lang w:val="en-US" w:eastAsia="zh-CN"/>
        </w:rPr>
        <w:t>单元和测评单向的内容</w:t>
      </w:r>
      <w:r>
        <w:rPr>
          <w:rFonts w:ascii="仿宋" w:eastAsia="仿宋" w:hAnsi="仿宋" w:cs="仿宋" w:hint="eastAsia"/>
          <w:sz w:val="28"/>
          <w:szCs w:val="22"/>
        </w:rPr>
        <w:t>，</w:t>
      </w:r>
      <w:r>
        <w:rPr>
          <w:rFonts w:ascii="仿宋" w:eastAsia="仿宋" w:hAnsi="仿宋" w:cs="仿宋" w:hint="eastAsia"/>
          <w:sz w:val="28"/>
          <w:szCs w:val="22"/>
          <w:lang w:val="en-US" w:eastAsia="zh-CN"/>
        </w:rPr>
        <w:t>客观真实的记录测评过程获取的数据和分析的结果，</w:t>
      </w:r>
      <w:r>
        <w:rPr>
          <w:rFonts w:ascii="仿宋" w:eastAsia="仿宋" w:hAnsi="仿宋" w:cs="仿宋" w:hint="eastAsia"/>
          <w:sz w:val="28"/>
          <w:szCs w:val="22"/>
        </w:rPr>
        <w:t>以了解系统的真实保护情况，</w:t>
      </w:r>
      <w:r>
        <w:rPr>
          <w:rFonts w:ascii="仿宋" w:eastAsia="仿宋" w:hAnsi="仿宋" w:cs="仿宋" w:hint="eastAsia"/>
          <w:sz w:val="28"/>
          <w:szCs w:val="22"/>
          <w:lang w:val="en-US" w:eastAsia="zh-CN"/>
        </w:rPr>
        <w:t xml:space="preserve">获取足够的证据，发现其存在的密码应用安全性问题。 </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425" w:firstLine="560" w:leftChars="0" w:firstLineChars="200"/>
        <w:textAlignment w:val="auto"/>
        <w:rPr>
          <w:rFonts w:hint="eastAsia"/>
          <w:b/>
          <w:bCs/>
          <w:szCs w:val="28"/>
        </w:rPr>
      </w:pPr>
      <w:r>
        <w:rPr>
          <w:rFonts w:ascii="仿宋" w:eastAsia="仿宋" w:hAnsi="仿宋" w:cs="仿宋" w:hint="eastAsia"/>
          <w:b/>
          <w:bCs/>
          <w:sz w:val="28"/>
          <w:szCs w:val="28"/>
          <w:lang w:val="zh-CN" w:eastAsia="zh-CN"/>
        </w:rPr>
        <w:t>系统密码测评整改建议报告编制活动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rPr>
      </w:pPr>
      <w:r>
        <w:rPr>
          <w:rFonts w:hint="eastAsia"/>
        </w:rPr>
        <w:t>本活动的主要任务</w:t>
      </w:r>
      <w:r>
        <w:rPr>
          <w:rFonts w:hint="eastAsia"/>
          <w:lang w:val="en-US" w:eastAsia="zh-CN"/>
        </w:rPr>
        <w:t>是对现场预评估活动阶段的测评数据进行分析和整理，</w:t>
      </w:r>
      <w:r>
        <w:rPr>
          <w:rFonts w:hint="eastAsia"/>
        </w:rPr>
        <w:t>分析系统当前情况与</w:t>
      </w:r>
      <w:r>
        <w:rPr>
          <w:rFonts w:hint="eastAsia"/>
          <w:lang w:val="en-US" w:eastAsia="zh-CN"/>
        </w:rPr>
        <w:t>信息系统对应等级</w:t>
      </w:r>
      <w:r>
        <w:rPr>
          <w:rFonts w:hint="eastAsia"/>
        </w:rPr>
        <w:t>安全指标的差距，</w:t>
      </w:r>
      <w:r>
        <w:rPr>
          <w:rFonts w:hint="eastAsia"/>
          <w:lang w:val="en-US" w:eastAsia="zh-CN"/>
        </w:rPr>
        <w:t>形成《信息系统密码测评整改建议报告》，为被测单位开展密码改造和加固提供依据。</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425" w:firstLine="560" w:leftChars="0" w:firstLineChars="200"/>
        <w:textAlignment w:val="auto"/>
        <w:rPr>
          <w:rFonts w:hint="eastAsia"/>
          <w:b/>
          <w:bCs/>
          <w:szCs w:val="28"/>
        </w:rPr>
      </w:pPr>
      <w:r>
        <w:rPr>
          <w:rFonts w:ascii="仿宋" w:eastAsia="仿宋" w:hAnsi="仿宋" w:cs="仿宋" w:hint="eastAsia"/>
          <w:b/>
          <w:bCs/>
          <w:sz w:val="28"/>
          <w:szCs w:val="28"/>
          <w:lang w:val="en-US" w:eastAsia="zh-CN"/>
        </w:rPr>
        <w:t>商用密码安全加固或整改活动</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rPr>
      </w:pPr>
      <w:r>
        <w:rPr>
          <w:rFonts w:hint="eastAsia"/>
          <w:lang w:val="en-US" w:eastAsia="zh-CN"/>
        </w:rPr>
        <w:t>本活动涉及商用密码安全加固或整改，本着测评公平、公正、客观的原则，安全加固和整改由实施方负责，测评机构可根据商用密码安全测评和建设的相关标准，从合规、正确和有效的角度协助整改实施方完成整改工作，帮助被测单位严把整改实施关。</w:t>
      </w:r>
    </w:p>
    <w:p>
      <w:pPr>
        <w:keepNext w:val="0"/>
        <w:keepLines w:val="0"/>
        <w:pageBreakBefore w:val="0"/>
        <w:widowControl w:val="0"/>
        <w:numPr>
          <w:ilvl w:val="0"/>
          <w:numId w:val="4"/>
        </w:numPr>
        <w:kinsoku/>
        <w:wordWrap/>
        <w:overflowPunct/>
        <w:topLinePunct w:val="0"/>
        <w:autoSpaceDE/>
        <w:autoSpaceDN/>
        <w:bidi w:val="0"/>
        <w:adjustRightInd w:val="0"/>
        <w:snapToGrid w:val="0"/>
        <w:spacing w:line="360" w:lineRule="auto"/>
        <w:ind w:left="425" w:firstLine="560" w:leftChars="0" w:firstLineChars="200"/>
        <w:textAlignment w:val="auto"/>
        <w:rPr>
          <w:rFonts w:hint="eastAsia"/>
          <w:b/>
          <w:bCs/>
          <w:szCs w:val="28"/>
        </w:rPr>
      </w:pPr>
      <w:r>
        <w:rPr>
          <w:rFonts w:ascii="仿宋" w:eastAsia="仿宋" w:hAnsi="仿宋" w:cs="仿宋" w:hint="eastAsia"/>
          <w:b/>
          <w:bCs/>
          <w:sz w:val="28"/>
          <w:szCs w:val="28"/>
          <w:lang w:val="zh-CN" w:eastAsia="zh-CN"/>
        </w:rPr>
        <w:t>复测及报告编制阶段</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rPr>
        <w:t>本活动</w:t>
      </w:r>
      <w:r>
        <w:rPr>
          <w:rFonts w:hint="eastAsia"/>
          <w:lang w:val="en-US" w:eastAsia="zh-CN"/>
        </w:rPr>
        <w:t>共两项重要工作任务，一方面是针对现场预评估中发现的问题进行复测，核验是否进行了整改，另一方面</w:t>
      </w:r>
      <w:r>
        <w:rPr>
          <w:rFonts w:hint="eastAsia"/>
        </w:rPr>
        <w:t>是</w:t>
      </w:r>
    </w:p>
    <w:p>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rPr>
      </w:pPr>
      <w:r>
        <w:rPr>
          <w:rFonts w:hint="eastAsia"/>
          <w:lang w:val="en-US" w:eastAsia="zh-CN"/>
        </w:rPr>
        <w:t>出具商用密码应用安全性评估报告</w:t>
      </w:r>
      <w:r>
        <w:rPr>
          <w:rFonts w:hint="eastAsia"/>
        </w:rPr>
        <w:t>结果，总结被测系统整体安全保护能力的综合评价活动</w:t>
      </w:r>
      <w:r>
        <w:rPr>
          <w:rFonts w:hint="eastAsia"/>
          <w:lang w:eastAsia="zh-CN"/>
        </w:rPr>
        <w:t>，</w:t>
      </w:r>
      <w:r>
        <w:rPr>
          <w:rFonts w:hint="eastAsia"/>
        </w:rPr>
        <w:t>主要任务是根据现场最终测评结果和测评标准的有关要求，通过单项测评结果判定和系统整体测评分析等方法，分析整个系统的安全保护现状与相应等级的保护要求之间的差距，综合评价被测信息系统保护状况，并形成测评报告文本。</w:t>
      </w:r>
    </w:p>
    <w:p>
      <w:pPr>
        <w:pStyle w:val="Heading3"/>
        <w:bidi w:val="0"/>
        <w:ind w:left="0" w:firstLine="0" w:leftChars="0" w:firstLineChars="0"/>
        <w:rPr>
          <w:rFonts w:hint="eastAsia"/>
          <w:lang w:val="en-US" w:eastAsia="zh-CN"/>
        </w:rPr>
      </w:pPr>
      <w:bookmarkStart w:id="49" w:name="_Toc23312"/>
      <w:r>
        <w:rPr>
          <w:rFonts w:hint="eastAsia"/>
          <w:lang w:val="en-US" w:eastAsia="zh-CN"/>
        </w:rPr>
        <w:t>工作内容</w:t>
      </w:r>
      <w:bookmarkEnd w:id="49"/>
    </w:p>
    <w:p>
      <w:pPr>
        <w:pStyle w:val="Heading4"/>
        <w:bidi w:val="0"/>
        <w:ind w:left="0" w:firstLine="0" w:leftChars="0" w:firstLineChars="0"/>
        <w:rPr>
          <w:rFonts w:hint="eastAsia"/>
          <w:lang w:val="en-US" w:eastAsia="zh-CN"/>
        </w:rPr>
      </w:pPr>
      <w:r>
        <w:rPr>
          <w:rFonts w:hint="eastAsia"/>
          <w:lang w:val="en-US" w:eastAsia="zh-CN"/>
        </w:rPr>
        <w:t>项目准备活动</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测评准备活动的目标是顺利启动测评项目，准备测评所需的相关资料，为编制密评方案提供条件。测评准备活动包括项目启动、信息收集和分析、工具和表单准备三项主要任务。 </w:t>
      </w:r>
    </w:p>
    <w:p>
      <w:pPr>
        <w:pStyle w:val="Heading5"/>
        <w:bidi w:val="0"/>
        <w:ind w:left="0" w:firstLine="0" w:leftChars="0" w:firstLineChars="0"/>
        <w:rPr>
          <w:rFonts w:hint="eastAsia"/>
          <w:lang w:val="en-US" w:eastAsia="zh-CN"/>
        </w:rPr>
      </w:pPr>
      <w:r>
        <w:rPr>
          <w:rFonts w:hint="eastAsia"/>
          <w:lang w:val="en-US" w:eastAsia="zh-CN"/>
        </w:rPr>
        <w:t>测评准备活动的主要任务</w:t>
      </w:r>
    </w:p>
    <w:p>
      <w:pPr>
        <w:bidi w:val="0"/>
        <w:adjustRightInd/>
        <w:snapToGrid/>
        <w:spacing w:line="240" w:lineRule="auto"/>
        <w:ind w:firstLine="0" w:firstLineChars="0"/>
        <w:rPr>
          <w:rFonts w:hint="eastAsia"/>
          <w:b/>
          <w:bCs/>
          <w:sz w:val="24"/>
          <w:szCs w:val="24"/>
        </w:rPr>
      </w:pPr>
      <w:r>
        <w:rPr>
          <w:rFonts w:ascii="仿宋" w:eastAsia="仿宋" w:hAnsi="仿宋" w:cs="仿宋" w:hint="eastAsia"/>
          <w:b/>
          <w:bCs/>
          <w:sz w:val="24"/>
          <w:szCs w:val="24"/>
          <w:lang w:val="en-US" w:eastAsia="zh-CN"/>
        </w:rPr>
        <w:t xml:space="preserve">项目启动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在项目启动任务中，测评方组建测评项目组，获取被测单位及被测信息系统的基本情况，从基本资料、人员、计划安排等方面为整个测评项目的实施做准备。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——输入：委托测评协议书、保密协议等。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a) 根据测评双方签订的委托测评协议书和被测信息系统规模，测评方组建测评项目组，做好人员安排，并编制项目计划书。项目计划书应包含项目概述、工作依据、技术思路、工作内容和项目组织等内容。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szCs w:val="22"/>
          <w:lang w:val="en-US" w:eastAsia="zh-CN"/>
        </w:rPr>
        <w:t xml:space="preserve">b) 测评方要求被测单位提供基本资料，为全面初步了解被测信息系统做好资料准备。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——输出：项目计划书。 </w:t>
      </w:r>
    </w:p>
    <w:p>
      <w:pPr>
        <w:bidi w:val="0"/>
        <w:adjustRightInd/>
        <w:snapToGrid/>
        <w:spacing w:line="240" w:lineRule="auto"/>
        <w:ind w:firstLine="0" w:firstLineChars="0"/>
        <w:rPr>
          <w:rFonts w:hint="eastAsia"/>
          <w:b/>
          <w:bCs/>
          <w:sz w:val="24"/>
          <w:szCs w:val="24"/>
        </w:rPr>
      </w:pPr>
      <w:r>
        <w:rPr>
          <w:rFonts w:ascii="仿宋" w:eastAsia="仿宋" w:hAnsi="仿宋" w:cs="仿宋" w:hint="eastAsia"/>
          <w:b/>
          <w:bCs/>
          <w:sz w:val="24"/>
          <w:szCs w:val="24"/>
          <w:lang w:val="en-US" w:eastAsia="zh-CN"/>
        </w:rPr>
        <w:t xml:space="preserve">信息收集和分析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测评方使用调查表格、查阅被测信息系统资料等方式，了解被测信息系统的构成和密码应用情况，为编写密评方案和开展现场测评工作奠定基础。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——输入：调查表格。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a) 测评方收集测评所需资料，包括被测信息系统总体描述文件、被测信息系统密码应用总体描述文件、网络安全等级保护定级报告、安全需求分析报告、安全总体方案、安全详细设计方案、密码应用方案、相关密码产品的用户操作指南、各种密码应用安全规章制度，以及相关过程管理记录和配置管理文档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b) 测评方将被测信息系统基本情况调查表格提交给被测单位，协助并督促被测信息系统相关人员准确填写调查表格。</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c) 测评方收回填写完成的调查表格，并分析调查结果，了解和熟悉被测信息系统的实际情况。分析的内容包括被测信息系统的基本信息、行业特征、密码管理策略、网络及设备部署、软硬件重要性及部署情况、范围及边界、业务种类及重要性、业务流程、业务数据及重要性、被测信息系统网络安全保护等级、用户范围、用户类型、被测信息系统所处的运行环境及面临的威胁等。以上信息可以采信自查结果、上次商用密码应用安全性评估报告中的可信结果。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szCs w:val="22"/>
          <w:lang w:val="en-US" w:eastAsia="zh-CN"/>
        </w:rPr>
        <w:t>d)</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 如果调查表格中有填写不准确、不完善或存在相互矛盾的情况，密评人员应与填表人进行沟通和确认。必要时，测评方应安排现场调查，现场与被测信息系统相关人员进行沟通和确认，以确保调查信息的正确性和完整性。</w:t>
      </w:r>
      <w:r>
        <w:rPr>
          <w:rFonts w:ascii="仿宋" w:eastAsia="仿宋" w:hAnsi="仿宋" w:cs="仿宋" w:hint="eastAsia"/>
          <w:sz w:val="28"/>
          <w:szCs w:val="22"/>
          <w:lang w:val="en-US" w:eastAsia="zh-CN"/>
        </w:rPr>
        <w:t xml:space="preserve">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——输出：完成的调查表格，各种与被测信息系统相关的技术资料。 </w:t>
      </w:r>
    </w:p>
    <w:p>
      <w:pPr>
        <w:bidi w:val="0"/>
        <w:adjustRightInd/>
        <w:snapToGrid/>
        <w:spacing w:line="240" w:lineRule="auto"/>
        <w:ind w:firstLine="0" w:firstLineChars="0"/>
        <w:rPr>
          <w:rFonts w:hint="eastAsia"/>
          <w:b/>
          <w:bCs/>
          <w:sz w:val="24"/>
          <w:szCs w:val="24"/>
        </w:rPr>
      </w:pPr>
      <w:r>
        <w:rPr>
          <w:rFonts w:ascii="仿宋" w:eastAsia="仿宋" w:hAnsi="仿宋" w:cs="仿宋" w:hint="eastAsia"/>
          <w:b/>
          <w:bCs/>
          <w:sz w:val="24"/>
          <w:szCs w:val="24"/>
          <w:lang w:val="en-US" w:eastAsia="zh-CN"/>
        </w:rPr>
        <w:t xml:space="preserve">工具和表单准备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 xml:space="preserve">测评项目组成员在进行现场测评之前，应熟悉与被测信息系统相关的各种组件、调试测评工具、准备各种表单等。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 xml:space="preserve">——输入：完成的调查表格，各种与被测信息系统相关的技术资料。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 xml:space="preserve">任务描述：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 xml:space="preserve">a) 调试本次测评过程中将用到的测评工具。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 xml:space="preserve">b) 如果具备条件，建议密评人员模拟被测信息系统搭建测评环境，进行前期准备和验证，为方案编制活动、现场测评活动提供必要的条件。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 xml:space="preserve">c) 准备并打印表单，主要包括：现场测评授权书、风险告知书、文档交接单、会议记录表单、会议签到表单等。 </w:t>
      </w:r>
    </w:p>
    <w:p>
      <w:pPr>
        <w:adjustRightInd/>
        <w:snapToGrid/>
        <w:spacing w:line="360" w:lineRule="auto"/>
        <w:ind w:firstLine="560" w:firstLineChars="200"/>
        <w:rPr>
          <w:rFonts w:hint="eastAsia"/>
          <w:szCs w:val="28"/>
        </w:rPr>
      </w:pPr>
      <w:r>
        <w:rPr>
          <w:rFonts w:ascii="仿宋" w:eastAsia="仿宋" w:hAnsi="仿宋" w:cs="仿宋" w:hint="eastAsia"/>
          <w:sz w:val="28"/>
          <w:szCs w:val="28"/>
          <w:lang w:val="en-US" w:eastAsia="zh-CN"/>
        </w:rPr>
        <w:t>——输出：选用的测评工具清单，打印的各类表单，如现场测评授权书、风险告知书、文档交接单、会议记录表单、会议签到表单等。</w:t>
      </w:r>
      <w:r>
        <w:rPr>
          <w:rFonts w:ascii="仿宋" w:eastAsia="仿宋" w:hAnsi="仿宋" w:cs="仿宋" w:hint="eastAsia"/>
          <w:color w:val="000000"/>
          <w:kern w:val="0"/>
          <w:sz w:val="28"/>
          <w:szCs w:val="28"/>
          <w:lang w:val="en-US" w:eastAsia="zh-CN" w:bidi="ar"/>
        </w:rPr>
        <w:t xml:space="preserve"> </w:t>
      </w:r>
    </w:p>
    <w:p>
      <w:pPr>
        <w:pStyle w:val="Heading5"/>
        <w:bidi w:val="0"/>
        <w:ind w:left="0" w:firstLine="0" w:leftChars="0" w:firstLineChars="0"/>
        <w:rPr>
          <w:rFonts w:hint="eastAsia"/>
          <w:lang w:val="en-US" w:eastAsia="zh-CN"/>
        </w:rPr>
      </w:pPr>
      <w:r>
        <w:rPr>
          <w:rFonts w:hint="eastAsia"/>
          <w:lang w:val="en-US" w:eastAsia="zh-CN"/>
        </w:rPr>
        <w:t xml:space="preserve">测评准备活动的输出文档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测评准备活动的输出文档及其内容如表2-1所示： </w:t>
      </w:r>
    </w:p>
    <w:p>
      <w:pPr>
        <w:widowControl w:val="0"/>
        <w:snapToGrid w:val="0"/>
        <w:spacing w:line="360" w:lineRule="auto"/>
        <w:jc w:val="center"/>
        <w:rPr>
          <w:rFonts w:hint="eastAsia"/>
          <w:szCs w:val="22"/>
        </w:rPr>
      </w:pPr>
      <w:r>
        <w:rPr>
          <w:rFonts w:ascii="仿宋" w:eastAsia="仿宋" w:hAnsi="仿宋" w:cs="仿宋" w:hint="eastAsia"/>
          <w:kern w:val="2"/>
          <w:sz w:val="28"/>
          <w:szCs w:val="22"/>
          <w:lang w:val="en-US" w:eastAsia="zh-CN" w:bidi="ar-SA"/>
        </w:rPr>
        <w:t>表2-1 测评准备活动的输出文档及其内容</w:t>
      </w:r>
    </w:p>
    <w:tbl>
      <w:tblPr>
        <w:tblStyle w:val="TableGrid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13"/>
        <w:gridCol w:w="2832"/>
        <w:gridCol w:w="3277"/>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81"/>
          <w:tblHeader/>
        </w:trPr>
        <w:tc>
          <w:tcPr>
            <w:tcW w:w="1415" w:type="pct"/>
            <w:shd w:val="clear" w:color="auto" w:fill="BFBFBF"/>
            <w:vAlign w:val="center"/>
          </w:tcPr>
          <w:p>
            <w:pPr>
              <w:pStyle w:val="PlainText"/>
              <w:bidi w:val="0"/>
              <w:jc w:val="center"/>
              <w:rPr>
                <w:rFonts w:hint="eastAsia"/>
                <w:sz w:val="24"/>
                <w:szCs w:val="20"/>
                <w:lang w:val="en-US" w:eastAsia="zh-CN"/>
              </w:rPr>
            </w:pPr>
            <w:r>
              <w:rPr>
                <w:rFonts w:hint="eastAsia"/>
                <w:sz w:val="24"/>
                <w:szCs w:val="20"/>
                <w:lang w:val="en-US" w:eastAsia="zh-CN"/>
              </w:rPr>
              <w:t>任务</w:t>
            </w:r>
          </w:p>
        </w:tc>
        <w:tc>
          <w:tcPr>
            <w:tcW w:w="1661" w:type="pct"/>
            <w:shd w:val="clear" w:color="auto" w:fill="BFBFBF"/>
            <w:vAlign w:val="center"/>
          </w:tcPr>
          <w:p>
            <w:pPr>
              <w:pStyle w:val="PlainText"/>
              <w:bidi w:val="0"/>
              <w:jc w:val="center"/>
              <w:rPr>
                <w:rFonts w:hint="eastAsia"/>
                <w:sz w:val="24"/>
                <w:szCs w:val="20"/>
                <w:lang w:val="en-US" w:eastAsia="zh-CN"/>
              </w:rPr>
            </w:pPr>
            <w:r>
              <w:rPr>
                <w:rFonts w:hint="eastAsia"/>
                <w:sz w:val="24"/>
                <w:szCs w:val="20"/>
                <w:lang w:val="en-US" w:eastAsia="zh-CN"/>
              </w:rPr>
              <w:t>输出文档</w:t>
            </w:r>
          </w:p>
        </w:tc>
        <w:tc>
          <w:tcPr>
            <w:tcW w:w="1922" w:type="pct"/>
            <w:shd w:val="clear" w:color="auto" w:fill="BFBFBF"/>
            <w:vAlign w:val="center"/>
          </w:tcPr>
          <w:p>
            <w:pPr>
              <w:pStyle w:val="PlainText"/>
              <w:bidi w:val="0"/>
              <w:jc w:val="center"/>
              <w:rPr>
                <w:rFonts w:hint="eastAsia"/>
                <w:sz w:val="24"/>
                <w:szCs w:val="20"/>
                <w:lang w:val="en-US" w:eastAsia="zh-CN"/>
              </w:rPr>
            </w:pPr>
            <w:r>
              <w:rPr>
                <w:rFonts w:hint="eastAsia"/>
                <w:sz w:val="24"/>
                <w:szCs w:val="20"/>
                <w:lang w:val="en-US" w:eastAsia="zh-CN"/>
              </w:rPr>
              <w:t>文档内容</w:t>
            </w:r>
          </w:p>
        </w:tc>
      </w:tr>
      <w:tr>
        <w:tblPrEx>
          <w:tblW w:w="5000" w:type="pct"/>
          <w:tblInd w:w="0" w:type="dxa"/>
          <w:tblCellMar>
            <w:top w:w="0" w:type="dxa"/>
            <w:left w:w="108" w:type="dxa"/>
            <w:bottom w:w="0" w:type="dxa"/>
            <w:right w:w="108" w:type="dxa"/>
          </w:tblCellMar>
        </w:tblPrEx>
        <w:tc>
          <w:tcPr>
            <w:tcW w:w="1415" w:type="pct"/>
            <w:vAlign w:val="center"/>
          </w:tcPr>
          <w:p>
            <w:pPr>
              <w:pStyle w:val="PlainText"/>
              <w:bidi w:val="0"/>
              <w:jc w:val="center"/>
              <w:rPr>
                <w:rFonts w:hint="eastAsia"/>
                <w:sz w:val="24"/>
                <w:szCs w:val="20"/>
                <w:lang w:val="en-US" w:eastAsia="zh-CN"/>
              </w:rPr>
            </w:pPr>
            <w:r>
              <w:rPr>
                <w:rFonts w:hint="eastAsia"/>
                <w:sz w:val="24"/>
                <w:szCs w:val="20"/>
                <w:lang w:val="en-US" w:eastAsia="zh-CN"/>
              </w:rPr>
              <w:t>项目启动</w:t>
            </w:r>
          </w:p>
        </w:tc>
        <w:tc>
          <w:tcPr>
            <w:tcW w:w="1661" w:type="pct"/>
            <w:vAlign w:val="center"/>
          </w:tcPr>
          <w:p>
            <w:pPr>
              <w:pStyle w:val="PlainText"/>
              <w:bidi w:val="0"/>
              <w:jc w:val="center"/>
              <w:rPr>
                <w:rFonts w:hint="eastAsia"/>
                <w:sz w:val="24"/>
                <w:szCs w:val="20"/>
                <w:lang w:val="en-US" w:eastAsia="zh-CN"/>
              </w:rPr>
            </w:pPr>
            <w:r>
              <w:rPr>
                <w:rFonts w:hint="eastAsia"/>
                <w:sz w:val="24"/>
                <w:szCs w:val="20"/>
                <w:lang w:val="en-US" w:eastAsia="zh-CN"/>
              </w:rPr>
              <w:t>项目计划书</w:t>
            </w:r>
          </w:p>
        </w:tc>
        <w:tc>
          <w:tcPr>
            <w:tcW w:w="1922" w:type="pct"/>
            <w:vAlign w:val="center"/>
          </w:tcPr>
          <w:p>
            <w:pPr>
              <w:pStyle w:val="PlainText"/>
              <w:bidi w:val="0"/>
              <w:spacing w:after="0"/>
              <w:jc w:val="center"/>
              <w:rPr>
                <w:rFonts w:hint="eastAsia"/>
                <w:sz w:val="24"/>
                <w:szCs w:val="20"/>
                <w:lang w:val="en-US" w:eastAsia="zh-CN"/>
              </w:rPr>
            </w:pPr>
          </w:p>
        </w:tc>
      </w:tr>
    </w:tbl>
    <w:p>
      <w:pPr>
        <w:sectPr>
          <w:type w:val="nextPage"/>
          <w:pgSz w:w="11906" w:h="16838"/>
          <w:pgMar w:top="1440" w:right="1800" w:bottom="1440" w:left="1800" w:header="851" w:footer="992" w:gutter="0"/>
          <w:pgNumType w:start="11"/>
          <w:cols w:num="1" w:space="425"/>
          <w:titlePg w:val="0"/>
          <w:docGrid w:type="lines" w:linePitch="312" w:charSpace="0"/>
        </w:sectPr>
      </w:pPr>
    </w:p>
    <w:tbl>
      <w:tblPr>
        <w:tblStyle w:val="TableGrid1"/>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13"/>
        <w:gridCol w:w="2832"/>
        <w:gridCol w:w="3277"/>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415" w:type="pct"/>
            <w:vAlign w:val="center"/>
          </w:tcPr>
          <w:p/>
        </w:tc>
        <w:tc>
          <w:tcPr>
            <w:tcW w:w="1661" w:type="pct"/>
            <w:vAlign w:val="center"/>
          </w:tcPr>
          <w:p/>
        </w:tc>
        <w:tc>
          <w:tcPr>
            <w:tcW w:w="1922" w:type="pct"/>
            <w:vAlign w:val="center"/>
          </w:tcPr>
          <w:p>
            <w:pPr>
              <w:pStyle w:val="PlainText"/>
              <w:bidi w:val="0"/>
              <w:spacing w:before="0"/>
              <w:jc w:val="center"/>
              <w:rPr>
                <w:rFonts w:hint="eastAsia"/>
                <w:sz w:val="24"/>
                <w:szCs w:val="20"/>
                <w:lang w:val="en-US" w:eastAsia="zh-CN"/>
              </w:rPr>
            </w:pPr>
            <w:r>
              <w:rPr>
                <w:rFonts w:hint="eastAsia"/>
                <w:sz w:val="24"/>
                <w:szCs w:val="20"/>
                <w:lang w:val="en-US" w:eastAsia="zh-CN"/>
              </w:rPr>
              <w:t>项目概述、工作依据、技术思路、工作内容和项目组织等。</w:t>
            </w:r>
          </w:p>
        </w:tc>
      </w:tr>
      <w:tr>
        <w:tblPrEx>
          <w:tblW w:w="5000" w:type="pct"/>
          <w:tblInd w:w="0" w:type="dxa"/>
          <w:tblCellMar>
            <w:top w:w="0" w:type="dxa"/>
            <w:left w:w="108" w:type="dxa"/>
            <w:bottom w:w="0" w:type="dxa"/>
            <w:right w:w="108" w:type="dxa"/>
          </w:tblCellMar>
        </w:tblPrEx>
        <w:tc>
          <w:tcPr>
            <w:tcW w:w="1415" w:type="pct"/>
            <w:vAlign w:val="center"/>
          </w:tcPr>
          <w:p>
            <w:pPr>
              <w:pStyle w:val="PlainText"/>
              <w:bidi w:val="0"/>
              <w:jc w:val="center"/>
              <w:rPr>
                <w:rFonts w:hint="eastAsia"/>
                <w:sz w:val="24"/>
                <w:szCs w:val="20"/>
                <w:lang w:val="en-US" w:eastAsia="zh-CN"/>
              </w:rPr>
            </w:pPr>
            <w:r>
              <w:rPr>
                <w:rFonts w:hint="eastAsia"/>
                <w:sz w:val="24"/>
                <w:szCs w:val="20"/>
                <w:lang w:val="en-US" w:eastAsia="zh-CN"/>
              </w:rPr>
              <w:t>信息收集和分析</w:t>
            </w:r>
          </w:p>
        </w:tc>
        <w:tc>
          <w:tcPr>
            <w:tcW w:w="1661" w:type="pct"/>
            <w:vAlign w:val="center"/>
          </w:tcPr>
          <w:p>
            <w:pPr>
              <w:pStyle w:val="PlainText"/>
              <w:bidi w:val="0"/>
              <w:jc w:val="center"/>
              <w:rPr>
                <w:rFonts w:hint="eastAsia"/>
                <w:sz w:val="24"/>
                <w:szCs w:val="20"/>
                <w:lang w:val="en-US" w:eastAsia="zh-CN"/>
              </w:rPr>
            </w:pPr>
            <w:r>
              <w:rPr>
                <w:rFonts w:hint="eastAsia"/>
                <w:sz w:val="24"/>
                <w:szCs w:val="20"/>
                <w:lang w:val="en-US" w:eastAsia="zh-CN"/>
              </w:rPr>
              <w:t>完成的调查表格，各种与被测信息系统相关的技 术资料</w:t>
            </w:r>
          </w:p>
        </w:tc>
        <w:tc>
          <w:tcPr>
            <w:tcW w:w="1922" w:type="pct"/>
            <w:vAlign w:val="center"/>
          </w:tcPr>
          <w:p>
            <w:pPr>
              <w:pStyle w:val="PlainText"/>
              <w:bidi w:val="0"/>
              <w:jc w:val="center"/>
              <w:rPr>
                <w:rFonts w:hint="eastAsia"/>
                <w:sz w:val="24"/>
                <w:szCs w:val="20"/>
                <w:lang w:val="en-US" w:eastAsia="zh-CN"/>
              </w:rPr>
            </w:pPr>
            <w:r>
              <w:rPr>
                <w:rFonts w:hint="eastAsia"/>
                <w:sz w:val="24"/>
                <w:szCs w:val="20"/>
                <w:lang w:val="en-US" w:eastAsia="zh-CN"/>
              </w:rPr>
              <w:t>被测信息系统的网络安全保护等级、业务情况、软硬件情况、密码应用情况、密码管理情况和相关部门及角色等。</w:t>
            </w:r>
          </w:p>
        </w:tc>
      </w:tr>
      <w:tr>
        <w:tblPrEx>
          <w:tblW w:w="5000" w:type="pct"/>
          <w:tblInd w:w="0" w:type="dxa"/>
          <w:tblCellMar>
            <w:top w:w="0" w:type="dxa"/>
            <w:left w:w="108" w:type="dxa"/>
            <w:bottom w:w="0" w:type="dxa"/>
            <w:right w:w="108" w:type="dxa"/>
          </w:tblCellMar>
        </w:tblPrEx>
        <w:tc>
          <w:tcPr>
            <w:tcW w:w="1415" w:type="pct"/>
            <w:vAlign w:val="center"/>
          </w:tcPr>
          <w:p>
            <w:pPr>
              <w:pStyle w:val="PlainText"/>
              <w:bidi w:val="0"/>
              <w:jc w:val="center"/>
              <w:rPr>
                <w:rFonts w:hint="eastAsia"/>
                <w:sz w:val="24"/>
                <w:szCs w:val="20"/>
                <w:lang w:val="en-US" w:eastAsia="zh-CN"/>
              </w:rPr>
            </w:pPr>
            <w:r>
              <w:rPr>
                <w:rFonts w:hint="eastAsia"/>
                <w:sz w:val="24"/>
                <w:szCs w:val="20"/>
                <w:lang w:val="en-US" w:eastAsia="zh-CN"/>
              </w:rPr>
              <w:t>工具和表单准备</w:t>
            </w:r>
          </w:p>
        </w:tc>
        <w:tc>
          <w:tcPr>
            <w:tcW w:w="1661" w:type="pct"/>
            <w:vAlign w:val="center"/>
          </w:tcPr>
          <w:p>
            <w:pPr>
              <w:pStyle w:val="PlainText"/>
              <w:bidi w:val="0"/>
              <w:jc w:val="center"/>
              <w:rPr>
                <w:rFonts w:hint="eastAsia"/>
                <w:sz w:val="24"/>
                <w:szCs w:val="20"/>
                <w:lang w:val="en-US" w:eastAsia="zh-CN"/>
              </w:rPr>
            </w:pPr>
            <w:r>
              <w:rPr>
                <w:rFonts w:hint="eastAsia"/>
                <w:sz w:val="24"/>
                <w:szCs w:val="20"/>
                <w:lang w:val="en-US" w:eastAsia="zh-CN"/>
              </w:rPr>
              <w:t>选用的测评工具清单，打印的各类表单，如现场测评授权书、风险告知书、文档交接单、会议记录表单、会议签到表单等</w:t>
            </w:r>
          </w:p>
        </w:tc>
        <w:tc>
          <w:tcPr>
            <w:tcW w:w="1922" w:type="pct"/>
            <w:vAlign w:val="center"/>
          </w:tcPr>
          <w:p>
            <w:pPr>
              <w:pStyle w:val="PlainText"/>
              <w:bidi w:val="0"/>
              <w:jc w:val="center"/>
              <w:rPr>
                <w:rFonts w:hint="eastAsia"/>
                <w:sz w:val="24"/>
                <w:szCs w:val="20"/>
                <w:lang w:val="en-US" w:eastAsia="zh-CN"/>
              </w:rPr>
            </w:pPr>
            <w:r>
              <w:rPr>
                <w:rFonts w:hint="eastAsia"/>
                <w:sz w:val="24"/>
                <w:szCs w:val="20"/>
                <w:lang w:val="en-US" w:eastAsia="zh-CN"/>
              </w:rPr>
              <w:t>测评工具、现场测评授权、测评可能带来的风 险、交接的文档名称、会议记录表单、会议签到表单等。</w:t>
            </w:r>
          </w:p>
        </w:tc>
      </w:tr>
    </w:tbl>
    <w:p>
      <w:pPr>
        <w:widowControl w:val="0"/>
        <w:snapToGrid w:val="0"/>
        <w:jc w:val="left"/>
        <w:rPr>
          <w:rFonts w:hint="eastAsia"/>
          <w:sz w:val="18"/>
          <w:szCs w:val="21"/>
        </w:rPr>
      </w:pPr>
    </w:p>
    <w:p>
      <w:pPr>
        <w:pStyle w:val="Heading4"/>
        <w:bidi w:val="0"/>
        <w:ind w:left="0" w:firstLine="0" w:leftChars="0" w:firstLineChars="0"/>
        <w:rPr>
          <w:rFonts w:hint="eastAsia"/>
          <w:lang w:val="en-US" w:eastAsia="zh-CN"/>
        </w:rPr>
      </w:pPr>
      <w:r>
        <w:rPr>
          <w:rFonts w:hint="eastAsia"/>
          <w:lang w:val="en-US" w:eastAsia="zh-CN"/>
        </w:rPr>
        <w:t>方案编制活动</w:t>
      </w:r>
    </w:p>
    <w:p>
      <w:pPr>
        <w:bidi w:val="0"/>
        <w:rPr>
          <w:rFonts w:hint="eastAsia"/>
        </w:rPr>
      </w:pPr>
      <w:r>
        <w:rPr>
          <w:rFonts w:hint="eastAsia"/>
          <w:lang w:val="en-US" w:eastAsia="zh-CN"/>
        </w:rPr>
        <w:t>方案编制活动的目标是整理及分析测评准备活动中获取的被测信息系统相关资料，为现场测评活动提供最基本的文档和指导方案。方案编制活动包括测评对象确定、测评指标确定、测评检查点确定、测评内容确定及密评方案编制五项主要任务。</w:t>
      </w:r>
    </w:p>
    <w:p>
      <w:pPr>
        <w:pStyle w:val="Heading5"/>
        <w:bidi w:val="0"/>
        <w:ind w:left="0" w:firstLine="0" w:leftChars="0" w:firstLineChars="0"/>
        <w:rPr>
          <w:rFonts w:hint="eastAsia"/>
          <w:lang w:val="en-US" w:eastAsia="zh-CN"/>
        </w:rPr>
      </w:pPr>
      <w:r>
        <w:rPr>
          <w:rFonts w:hint="eastAsia"/>
          <w:lang w:val="en-US" w:eastAsia="zh-CN"/>
        </w:rPr>
        <w:t xml:space="preserve">方案编制活动的主要任务 </w:t>
      </w:r>
    </w:p>
    <w:p>
      <w:pPr>
        <w:pStyle w:val="Index1"/>
        <w:tabs>
          <w:tab w:val="left" w:pos="420"/>
        </w:tabs>
        <w:bidi w:val="0"/>
        <w:ind w:left="0" w:firstLine="0" w:leftChars="0" w:firstLineChars="0"/>
        <w:rPr>
          <w:rFonts w:hint="eastAsia"/>
          <w:lang w:val="en-US" w:eastAsia="zh-CN"/>
        </w:rPr>
      </w:pPr>
      <w:r>
        <w:rPr>
          <w:rFonts w:hint="eastAsia"/>
          <w:lang w:val="en-US" w:eastAsia="zh-CN"/>
        </w:rPr>
        <w:t>测评对象确定</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根据已经了解到的被测信息系统信息，分析整个被测信息系统及其涉及的业务应用系统，以及与此相关的密码应用情况，确定本次测评的测评对象。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——输入：完成的调查表格，各种与被测信息系统相关的技术资料。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szCs w:val="22"/>
          <w:lang w:val="en-US" w:eastAsia="zh-CN"/>
        </w:rPr>
        <w:t>a)</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 识别被测信息系统的基本情况根据从调查表格获得的被测信息系统情况，识别出被测信息系统的物理环境、网络拓扑结构和外部边界连接情况、业务应用系统，以及与其相关的重要的计算机硬件设备、网络安全设备、密码产品和使用的密码服务等，并识别与上述内容相关的密码应用情况。</w:t>
      </w:r>
      <w:r>
        <w:rPr>
          <w:rFonts w:ascii="仿宋" w:eastAsia="仿宋" w:hAnsi="仿宋" w:cs="仿宋" w:hint="eastAsia"/>
          <w:sz w:val="28"/>
          <w:szCs w:val="22"/>
          <w:lang w:val="en-US" w:eastAsia="zh-CN"/>
        </w:rPr>
        <w:t xml:space="preserve">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b) 描述被测信息系统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对识别出的被测信息系统的基本情况进行整理，并对被测信息系统进行描述。描述被测信息系统时，一般以被测信息系统的网络拓扑结构为基础，采用总分式的描述方法，先说明整体结构，然后描述外部边界连接情况和边界主要设备，最后介绍被测信息系统的网络区域组成、主要业务功能及相关的设备节点，同时务必描述在这些方面所识别的密码应用情况。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c) 确定测评对象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根据被测信息系统的重要程度及其相关设备和组件等情况，明确核心资产在被测信息系统内的流转，从而确定与密码相关的测评对象。被测单位需要确定被测信息系统需要保护的核心资产，以及相应的威胁模型和安全策略。核心资产可以是业务应用、业务数据或者业务应用的某些设备、组件。核心资产及其他需要保护的配套数据（如审计信息、配置信息、访问控制列表等）、敏感安全参数（主要指密钥）的威胁模型和安全策略等均由被测单位根据密码应用方案、网络安全等级保护定级报告等确定，并由测评方进行核查和确认。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d) 资产和威胁评估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3"/>
          <w:cols w:num="1" w:space="425"/>
          <w:titlePg w:val="0"/>
          <w:docGrid w:type="lines" w:linePitch="312" w:charSpace="0"/>
        </w:sectPr>
      </w:pP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资产的价值根据资产的重要性和关键程度确定。资产价值分为高、中、低三个等级。价值越高的资产遭到威胁时将导致越高的风险。资产价值高低的界定，可由被测单位根据密码应用方案、网络安全等级保护定级报告等继承和确定，并由测评方进行核查和确认。对于各类资产和其他敏感信息，测评方与被测单位需要分析其可能面临的威胁及威胁发生的频率。</w:t>
      </w:r>
      <w:r>
        <w:rPr>
          <w:rFonts w:ascii="仿宋" w:eastAsia="仿宋" w:hAnsi="仿宋" w:cs="仿宋" w:hint="eastAsia"/>
          <w:sz w:val="28"/>
          <w:szCs w:val="22"/>
          <w:lang w:val="en-US" w:eastAsia="zh-CN"/>
        </w:rPr>
        <w:t xml:space="preserve">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威胁发生的频率分为高、中、低三个等级，威胁发生频率越高意味着资产的安全越有可能受到威胁。可能面临的威胁以及威胁发生的频率，可由被测单位根据密码应用方案、网络安全等级保护定级报告等继承和确定，并由测评方进行核查和确认。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e) 描述测评对象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测评对象包括机房、业务应用软件、主机和服务器、数据库、网络安全设备、密码产品、密码服务、系统相关人员（包括系统负责人、安全主管、密钥管理员、密码审计员、密码操作员等）及安全管理制度类文档和记录表单类文档等。在对每类测评对象进行描述时一般采用列表的方式，如对硬件设备进行描述时，应包括测评对象所属区域、设备名称、用途、设备信息等内容。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——输出：密评方案的测评对象部分。 </w:t>
      </w:r>
    </w:p>
    <w:p>
      <w:pPr>
        <w:pStyle w:val="Index1"/>
        <w:tabs>
          <w:tab w:val="left" w:pos="420"/>
        </w:tabs>
        <w:bidi w:val="0"/>
        <w:ind w:left="0" w:firstLine="0" w:leftChars="0" w:firstLineChars="0"/>
        <w:rPr>
          <w:rFonts w:hint="eastAsia"/>
          <w:lang w:val="en-US" w:eastAsia="zh-CN"/>
        </w:rPr>
      </w:pPr>
      <w:r>
        <w:rPr>
          <w:rFonts w:hint="eastAsia"/>
          <w:lang w:val="en-US" w:eastAsia="zh-CN"/>
        </w:rPr>
        <w:t xml:space="preserve">测评指标确定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根据已经了解到的被测信息系统定级结果，确定出本次测评的测评指标。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szCs w:val="22"/>
          <w:lang w:val="en-US" w:eastAsia="zh-CN"/>
        </w:rPr>
        <w:t xml:space="preserve">——输入：完成的调查表格，GB/T 39786-2021，通过评估密码应用方案，相关行业标准或规范。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a)根据被测信息系统的调查表格，获得被测信息系统的定级结果，并根据 GB/T 39786-2021 选择相应等级对应的测评指标。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b)根据被测信息系统相关的行业标准或规范，以及被测信息系统密码应用需求，确定特殊测评指标。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c)对于核心资产、物理环境及其他需要保护的数据（如密钥、鉴别数据等），应按照被测信息系统的安全策略、相关标准要求进行逐项确认。通过确认在核心资产、物理环境及其他需要保护的数据全生命周期流转过程中所涉及的密码算法、密码技术、密码产品、密码服务等，明确密钥生存周期管理相关的要求，并对照已通过评估密码应用方案逐项确认各项指标的适用性。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d)如果确无密码应用方案，则需要对所有不适用项进行逐条核查、评估，详细论证其安全需求、不适用的具体原因，以及是否采用了可满足安全要求的其他替代性风险控制措施来达到等效控制。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——输出：密评方案的测评指标部分。 </w:t>
      </w:r>
    </w:p>
    <w:p>
      <w:pPr>
        <w:pStyle w:val="Index1"/>
        <w:tabs>
          <w:tab w:val="left" w:pos="420"/>
        </w:tabs>
        <w:bidi w:val="0"/>
        <w:ind w:left="0" w:firstLine="0" w:leftChars="0" w:firstLineChars="0"/>
        <w:rPr>
          <w:rFonts w:hint="eastAsia"/>
          <w:lang w:val="en-US" w:eastAsia="zh-CN"/>
        </w:rPr>
      </w:pPr>
      <w:r>
        <w:rPr>
          <w:rFonts w:hint="eastAsia"/>
          <w:lang w:val="en-US" w:eastAsia="zh-CN"/>
        </w:rPr>
        <w:t xml:space="preserve">测评检查点确定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5"/>
          <w:cols w:num="1" w:space="425"/>
          <w:titlePg w:val="0"/>
          <w:docGrid w:type="lines" w:linePitch="312" w:charSpace="0"/>
        </w:sectPr>
      </w:pP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测评过程中，需要对一些关键安全点进行现场检查确认，以防止密码产品、密码服务虽然被正确配置，但是未接入被测信息系统之类的情况发生。可通过抓包测试、查看关键设备配置等方法，来确认密码算法、密码技术、密码产品和密码服务的合规性、正确性和有效性。这些检查点应在方案编制时确定，并且充分考虑到检查的可行性和风险，最大限度地避免对被测信息系统的影响，尤其应避免对在线运行业务系统造成影响。</w:t>
      </w:r>
      <w:r>
        <w:rPr>
          <w:rFonts w:ascii="仿宋" w:eastAsia="仿宋" w:hAnsi="仿宋" w:cs="仿宋" w:hint="eastAsia"/>
          <w:sz w:val="28"/>
          <w:szCs w:val="22"/>
          <w:lang w:val="en-US" w:eastAsia="zh-CN"/>
        </w:rPr>
        <w:t xml:space="preserve">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——输入：被测信息系统详细网络结构，选用的密码算法、密码技术、密码产品、密码服务等详细信息，GB/T 39786-2021。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a)关键设备检查是现场测评的重要环节，关键设备一般为承载核心资产流转、进行密钥管理的设备。密评人员应列出需要接受现场检查的关键设备和检查内容，包括：涉及密码的部分是否使用国家密码管理部门或行业主管部门认可的密码算法、密码技术、密码产品和密码服务等；相关配置是否与密码应用需求相符；是否满足GB/T 39786-2021中的相关条款要求等。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b)在使用工具进行测评时（测评工具包括但不限于：协议分析工具、算法合规性检测工具、随机性检测工具和数字证书格式合规性检测工具等），应在保证被测信息系统正常、安全运行的情况下，确定测试路径和工具接入点，并结合网络拓扑图，采用图示的方式描述测评工具的接入点、测试目的、测试途径和测试对象等相关内容。当从被测信息系统边界外接入时，测试工具一般接在系统边界设备（通常为交换机）上；从系统内部不同网段接入时，测试工具一般接在与被测对象不在同一网段的内部核心交换机上；从系统内部同一网段接入时，测试工具一般接在与被测对象在同一网段的交换机上。当测评工具接入被测信息系统条件不成熟时，测评方应与被测单位协商、配合，生成必要的离线数据。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szCs w:val="22"/>
          <w:lang w:val="en-US" w:eastAsia="zh-CN"/>
        </w:rPr>
        <w:t xml:space="preserve">——输出：密评方案的测评检查点部分。 </w:t>
      </w:r>
    </w:p>
    <w:p>
      <w:pPr>
        <w:pStyle w:val="Index1"/>
        <w:tabs>
          <w:tab w:val="left" w:pos="420"/>
        </w:tabs>
        <w:bidi w:val="0"/>
        <w:ind w:left="0" w:firstLine="0" w:leftChars="0" w:firstLineChars="0"/>
        <w:rPr>
          <w:rFonts w:hint="eastAsia"/>
          <w:lang w:val="en-US" w:eastAsia="zh-CN"/>
        </w:rPr>
      </w:pPr>
      <w:r>
        <w:rPr>
          <w:rFonts w:hint="eastAsia"/>
          <w:lang w:val="en-US" w:eastAsia="zh-CN"/>
        </w:rPr>
        <w:t xml:space="preserve">测评内容确定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测评实施前，需确定现场测评的具体实施内容，即单元测评内容。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——输入：完成的调查表格，密评方案的测评对象、测评指标及测评检查点部分，GB/T 39786-2021。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依据GB/T 39786-2021，首先将已经得到的测评指标与测评对象结合起来，其次将测评对象与具体的测评方法结合起来。具体做法就是将各层面上的测评指标结合到具体的测评对象上，并说明具体的测评方法，构成若干个可以具体实施测评的单元。然后，结合已选定的测评指标和测评对象，概要说明现场单元测评实施的工作内容；涉及现场测试部分时，应根据确定的测评检查点，编制相应的测试内容。在密评方案中，现场单元测评实施内容通常以表格的形式给出，表格内容包括测评指标、测评内容描述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——输出：密评方案的单元测评实施部分。 </w:t>
      </w:r>
    </w:p>
    <w:p>
      <w:pPr>
        <w:pStyle w:val="Index1"/>
        <w:tabs>
          <w:tab w:val="left" w:pos="420"/>
        </w:tabs>
        <w:bidi w:val="0"/>
        <w:ind w:left="0" w:firstLine="0" w:leftChars="0" w:firstLineChars="0"/>
        <w:rPr>
          <w:rFonts w:hint="eastAsia"/>
          <w:lang w:val="en-US" w:eastAsia="zh-CN"/>
        </w:rPr>
      </w:pPr>
      <w:r>
        <w:rPr>
          <w:rFonts w:hint="eastAsia"/>
          <w:lang w:val="en-US" w:eastAsia="zh-CN"/>
        </w:rPr>
        <w:t xml:space="preserve">密评方案编制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密评方案是测评工作实施的基础，用于指导测评工作的现场实施活动。密评方案应包括但不限于以下内容：项目概述、测评对象、测评指标、测评检查点以及单元测评实施等。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——输入：委托测评协议书，项目计划书，完成的调查表格，GB/T 39786-2021，密评方案中测评对象、测评指标、测评检查点、测评内容等部分。 </w:t>
      </w:r>
    </w:p>
    <w:p>
      <w:pPr>
        <w:adjustRightInd/>
        <w:snapToGrid/>
        <w:spacing w:line="360" w:lineRule="auto"/>
        <w:ind w:firstLine="560" w:firstLineChars="200"/>
        <w:rPr>
          <w:rFonts w:hint="eastAsia"/>
          <w:szCs w:val="22"/>
        </w:rPr>
        <w:sectPr>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a)根据委托测评协议书和完成的调查表格，提取项目来源、被测单位整体信息化建设情况及被测信息系统与其他系统之间的连接情况等。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b)结合被测信息系统的实际情况，根据GB/T 39786-2021，明确测评活动所要依据和参考的与密码算法、密码技术、密码产品和密码服务相关的标准规范。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c)依据委托测评协议书和被测信息系统的情况，估算现场测评工作量，具体可根据配置检查的节点数量、工具测试的接入点及测试内容等情况进行估算。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d)根据测评项目组成员分工，编制工作安排。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e)根据以往测评经验以及被测信息系统规模，编制具体测评实施计划，包括现场工作人员的分工和时间安排。在进行时间安排时，应尽量避开被测信息系统的业务高峰期，避免给被测信息系统的正常运行带来影响。同时，在测评计划中应将具体测评工作所需的人员、资料、场所等保障要求一并提出，以确保现场测评工作的顺利开展。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f)汇总上述内容及方案编制活动中其他任务获取的内容，形成密评方案。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g)密评方案经测评方评审通过后，提交被测单位签字确认。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——输出：经过评审和确认的密评方案文本。 </w:t>
      </w:r>
    </w:p>
    <w:p>
      <w:pPr>
        <w:pStyle w:val="Heading5"/>
        <w:bidi w:val="0"/>
        <w:ind w:left="0" w:firstLine="0" w:leftChars="0" w:firstLineChars="0"/>
        <w:rPr>
          <w:rFonts w:hint="eastAsia"/>
          <w:lang w:val="en-US" w:eastAsia="zh-CN"/>
        </w:rPr>
      </w:pPr>
      <w:r>
        <w:rPr>
          <w:rFonts w:hint="eastAsia"/>
          <w:lang w:val="en-US" w:eastAsia="zh-CN"/>
        </w:rPr>
        <w:t xml:space="preserve">方案编制活动的输出文档 </w:t>
      </w:r>
    </w:p>
    <w:p>
      <w:pPr>
        <w:widowControl w:val="0"/>
        <w:snapToGrid w:val="0"/>
        <w:spacing w:line="360" w:lineRule="auto"/>
        <w:ind w:firstLine="560" w:firstLineChars="200"/>
        <w:jc w:val="both"/>
        <w:rPr>
          <w:rFonts w:hint="eastAsia"/>
          <w:szCs w:val="22"/>
        </w:rPr>
      </w:pPr>
      <w:r>
        <w:rPr>
          <w:rFonts w:ascii="仿宋" w:eastAsia="仿宋" w:hAnsi="仿宋" w:cs="仿宋" w:hint="eastAsia"/>
          <w:kern w:val="2"/>
          <w:sz w:val="28"/>
          <w:szCs w:val="22"/>
          <w:lang w:val="en-US" w:eastAsia="zh-CN" w:bidi="ar-SA"/>
        </w:rPr>
        <w:t>方案编制活动的输出文档及其内容如表2-2所示：</w:t>
      </w:r>
    </w:p>
    <w:p>
      <w:pPr>
        <w:widowControl w:val="0"/>
        <w:snapToGrid w:val="0"/>
        <w:spacing w:line="360" w:lineRule="auto"/>
        <w:jc w:val="center"/>
        <w:rPr>
          <w:rFonts w:hint="eastAsia"/>
          <w:szCs w:val="22"/>
        </w:rPr>
        <w:sectPr>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kern w:val="2"/>
          <w:sz w:val="28"/>
          <w:szCs w:val="22"/>
          <w:lang w:val="en-US" w:eastAsia="zh-CN" w:bidi="ar-SA"/>
        </w:rPr>
        <w:t xml:space="preserve">表2-2 方案编制活动的输出文档及其内容 </w:t>
      </w:r>
    </w:p>
    <w:tbl>
      <w:tblPr>
        <w:tblStyle w:val="TableGrid2"/>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97"/>
        <w:gridCol w:w="2916"/>
        <w:gridCol w:w="3709"/>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36"/>
        </w:trPr>
        <w:tc>
          <w:tcPr>
            <w:tcW w:w="1897" w:type="dxa"/>
            <w:shd w:val="clear" w:color="auto" w:fill="D8D8D8"/>
            <w:vAlign w:val="center"/>
          </w:tcPr>
          <w:p>
            <w:pPr>
              <w:adjustRightInd/>
              <w:snapToGrid/>
              <w:spacing w:line="240" w:lineRule="auto"/>
              <w:ind w:firstLine="0" w:firstLineChars="0"/>
              <w:jc w:val="center"/>
              <w:rPr>
                <w:rFonts w:hint="eastAsia"/>
                <w:b/>
                <w:bCs/>
                <w:sz w:val="24"/>
                <w:szCs w:val="24"/>
                <w:vertAlign w:val="baseline"/>
              </w:rPr>
            </w:pPr>
            <w:r>
              <w:rPr>
                <w:rFonts w:ascii="仿宋" w:eastAsia="仿宋" w:hAnsi="仿宋" w:cs="仿宋" w:hint="eastAsia"/>
                <w:b/>
                <w:bCs/>
                <w:sz w:val="24"/>
                <w:szCs w:val="24"/>
                <w:lang w:val="en-US" w:eastAsia="zh-CN"/>
              </w:rPr>
              <w:t>任务</w:t>
            </w:r>
          </w:p>
        </w:tc>
        <w:tc>
          <w:tcPr>
            <w:tcW w:w="2916" w:type="dxa"/>
            <w:shd w:val="clear" w:color="auto" w:fill="D8D8D8"/>
            <w:vAlign w:val="center"/>
          </w:tcPr>
          <w:p>
            <w:pPr>
              <w:adjustRightInd/>
              <w:snapToGrid/>
              <w:spacing w:line="240" w:lineRule="auto"/>
              <w:ind w:firstLine="0" w:firstLineChars="0"/>
              <w:jc w:val="center"/>
              <w:rPr>
                <w:rFonts w:hint="eastAsia"/>
                <w:b/>
                <w:bCs/>
                <w:sz w:val="24"/>
                <w:szCs w:val="24"/>
                <w:vertAlign w:val="baseline"/>
              </w:rPr>
            </w:pPr>
            <w:r>
              <w:rPr>
                <w:rFonts w:ascii="仿宋" w:eastAsia="仿宋" w:hAnsi="仿宋" w:cs="仿宋" w:hint="eastAsia"/>
                <w:b/>
                <w:bCs/>
                <w:sz w:val="24"/>
                <w:szCs w:val="24"/>
                <w:lang w:val="en-US" w:eastAsia="zh-CN"/>
              </w:rPr>
              <w:t>输出文档</w:t>
            </w:r>
          </w:p>
        </w:tc>
        <w:tc>
          <w:tcPr>
            <w:tcW w:w="3709" w:type="dxa"/>
            <w:shd w:val="clear" w:color="auto" w:fill="D8D8D8"/>
            <w:vAlign w:val="center"/>
          </w:tcPr>
          <w:p>
            <w:pPr>
              <w:adjustRightInd/>
              <w:snapToGrid/>
              <w:spacing w:line="240" w:lineRule="auto"/>
              <w:ind w:firstLine="0" w:firstLineChars="0"/>
              <w:jc w:val="center"/>
              <w:rPr>
                <w:rFonts w:hint="eastAsia"/>
                <w:b/>
                <w:bCs/>
                <w:sz w:val="24"/>
                <w:szCs w:val="24"/>
                <w:vertAlign w:val="baseline"/>
              </w:rPr>
            </w:pPr>
            <w:r>
              <w:rPr>
                <w:rFonts w:ascii="仿宋" w:eastAsia="仿宋" w:hAnsi="仿宋" w:cs="仿宋" w:hint="eastAsia"/>
                <w:b/>
                <w:bCs/>
                <w:sz w:val="24"/>
                <w:szCs w:val="24"/>
                <w:lang w:val="en-US" w:eastAsia="zh-CN"/>
              </w:rPr>
              <w:t>文档内容</w:t>
            </w:r>
          </w:p>
        </w:tc>
      </w:tr>
      <w:tr>
        <w:tblPrEx>
          <w:tblW w:w="8522" w:type="dxa"/>
          <w:tblInd w:w="0" w:type="dxa"/>
          <w:tblLayout w:type="fixed"/>
          <w:tblCellMar>
            <w:top w:w="0" w:type="dxa"/>
            <w:left w:w="108" w:type="dxa"/>
            <w:bottom w:w="0" w:type="dxa"/>
            <w:right w:w="108" w:type="dxa"/>
          </w:tblCellMar>
        </w:tblPrEx>
        <w:tc>
          <w:tcPr>
            <w:tcW w:w="1897"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测评对象确定</w:t>
            </w:r>
          </w:p>
        </w:tc>
        <w:tc>
          <w:tcPr>
            <w:tcW w:w="2916"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密评方案的测评对象部分</w:t>
            </w:r>
          </w:p>
        </w:tc>
        <w:tc>
          <w:tcPr>
            <w:tcW w:w="3709"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被测信息系统的整体结构、边界、网络区域、核心资产、面临的威胁、测评对象等。</w:t>
            </w:r>
          </w:p>
        </w:tc>
      </w:tr>
      <w:tr>
        <w:tblPrEx>
          <w:tblW w:w="8522" w:type="dxa"/>
          <w:tblInd w:w="0" w:type="dxa"/>
          <w:tblLayout w:type="fixed"/>
          <w:tblCellMar>
            <w:top w:w="0" w:type="dxa"/>
            <w:left w:w="108" w:type="dxa"/>
            <w:bottom w:w="0" w:type="dxa"/>
            <w:right w:w="108" w:type="dxa"/>
          </w:tblCellMar>
        </w:tblPrEx>
        <w:tc>
          <w:tcPr>
            <w:tcW w:w="1897"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测评指标确定</w:t>
            </w:r>
          </w:p>
        </w:tc>
        <w:tc>
          <w:tcPr>
            <w:tcW w:w="2916"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密评方案的测评指标部分</w:t>
            </w:r>
          </w:p>
        </w:tc>
        <w:tc>
          <w:tcPr>
            <w:tcW w:w="3709"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被测信息系统相应等级对应的适用和不适用的测评指标。</w:t>
            </w:r>
          </w:p>
        </w:tc>
      </w:tr>
      <w:tr>
        <w:tblPrEx>
          <w:tblW w:w="8522" w:type="dxa"/>
          <w:tblInd w:w="0" w:type="dxa"/>
          <w:tblLayout w:type="fixed"/>
          <w:tblCellMar>
            <w:top w:w="0" w:type="dxa"/>
            <w:left w:w="108" w:type="dxa"/>
            <w:bottom w:w="0" w:type="dxa"/>
            <w:right w:w="108" w:type="dxa"/>
          </w:tblCellMar>
        </w:tblPrEx>
        <w:tc>
          <w:tcPr>
            <w:tcW w:w="1897"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测评检查点确定</w:t>
            </w:r>
          </w:p>
        </w:tc>
        <w:tc>
          <w:tcPr>
            <w:tcW w:w="2916"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密评方案的测评检查点部分</w:t>
            </w:r>
          </w:p>
        </w:tc>
        <w:tc>
          <w:tcPr>
            <w:tcW w:w="3709"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测评检查点、检查内容及测评方法。</w:t>
            </w:r>
          </w:p>
        </w:tc>
      </w:tr>
      <w:tr>
        <w:tblPrEx>
          <w:tblW w:w="8522" w:type="dxa"/>
          <w:tblInd w:w="0" w:type="dxa"/>
          <w:tblLayout w:type="fixed"/>
          <w:tblCellMar>
            <w:top w:w="0" w:type="dxa"/>
            <w:left w:w="108" w:type="dxa"/>
            <w:bottom w:w="0" w:type="dxa"/>
            <w:right w:w="108" w:type="dxa"/>
          </w:tblCellMar>
        </w:tblPrEx>
        <w:trPr>
          <w:trHeight w:val="446"/>
        </w:trPr>
        <w:tc>
          <w:tcPr>
            <w:tcW w:w="1897"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测评内容确定</w:t>
            </w:r>
          </w:p>
        </w:tc>
        <w:tc>
          <w:tcPr>
            <w:tcW w:w="2916"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密评方案的单元测评实施部分</w:t>
            </w:r>
          </w:p>
        </w:tc>
        <w:tc>
          <w:tcPr>
            <w:tcW w:w="3709"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单元测评实施内容</w:t>
            </w:r>
          </w:p>
        </w:tc>
      </w:tr>
      <w:tr>
        <w:tblPrEx>
          <w:tblW w:w="8522" w:type="dxa"/>
          <w:tblInd w:w="0" w:type="dxa"/>
          <w:tblLayout w:type="fixed"/>
          <w:tblCellMar>
            <w:top w:w="0" w:type="dxa"/>
            <w:left w:w="108" w:type="dxa"/>
            <w:bottom w:w="0" w:type="dxa"/>
            <w:right w:w="108" w:type="dxa"/>
          </w:tblCellMar>
        </w:tblPrEx>
        <w:tc>
          <w:tcPr>
            <w:tcW w:w="1897"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密评方案编制</w:t>
            </w:r>
          </w:p>
        </w:tc>
        <w:tc>
          <w:tcPr>
            <w:tcW w:w="2916"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经过评审和确认的密评方案文本</w:t>
            </w:r>
          </w:p>
        </w:tc>
        <w:tc>
          <w:tcPr>
            <w:tcW w:w="3709" w:type="dxa"/>
            <w:vAlign w:val="center"/>
          </w:tcPr>
          <w:p>
            <w:pPr>
              <w:adjustRightInd/>
              <w:snapToGrid/>
              <w:spacing w:line="240" w:lineRule="auto"/>
              <w:ind w:firstLine="0" w:firstLineChars="0"/>
              <w:jc w:val="center"/>
              <w:rPr>
                <w:rFonts w:hint="eastAsia"/>
                <w:sz w:val="24"/>
                <w:szCs w:val="24"/>
              </w:rPr>
            </w:pPr>
            <w:r>
              <w:rPr>
                <w:rFonts w:ascii="仿宋" w:eastAsia="仿宋" w:hAnsi="仿宋" w:cs="仿宋" w:hint="eastAsia"/>
                <w:sz w:val="24"/>
                <w:szCs w:val="24"/>
                <w:lang w:val="en-US" w:eastAsia="zh-CN"/>
              </w:rPr>
              <w:t>项目概述、测评对象、测评指标、测评检查点、单元测评实施内容、测评实施计划等。</w:t>
            </w:r>
          </w:p>
        </w:tc>
      </w:tr>
    </w:tbl>
    <w:p>
      <w:pPr>
        <w:widowControl w:val="0"/>
        <w:snapToGrid w:val="0"/>
        <w:jc w:val="left"/>
        <w:rPr>
          <w:rFonts w:hint="eastAsia"/>
          <w:sz w:val="18"/>
          <w:szCs w:val="21"/>
        </w:rPr>
      </w:pPr>
    </w:p>
    <w:p>
      <w:pPr>
        <w:pStyle w:val="Heading4"/>
        <w:bidi w:val="0"/>
        <w:ind w:left="0" w:firstLine="0" w:leftChars="0" w:firstLineChars="0"/>
        <w:rPr>
          <w:rFonts w:hint="eastAsia"/>
          <w:lang w:val="en-US" w:eastAsia="zh-CN"/>
        </w:rPr>
      </w:pPr>
      <w:r>
        <w:rPr>
          <w:rFonts w:hint="eastAsia"/>
          <w:lang w:val="en-US" w:eastAsia="zh-CN"/>
        </w:rPr>
        <w:t>现场预评估活动</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现场预评估活动的目标是通过与被测单位进行沟通和协调，依据密评方案实施现场测评工作，获取分析与报告编制活动所需且足够的证据和资料。现场测评活动包括三项主要任务：现场测评准备、现场测评和结果记录、结果确认和资料归还。 </w:t>
      </w:r>
    </w:p>
    <w:p>
      <w:pPr>
        <w:pStyle w:val="Heading5"/>
        <w:bidi w:val="0"/>
        <w:ind w:left="0" w:firstLine="0" w:leftChars="0" w:firstLineChars="0"/>
        <w:rPr>
          <w:rFonts w:hint="eastAsia"/>
          <w:lang w:val="en-US" w:eastAsia="zh-CN"/>
        </w:rPr>
      </w:pPr>
      <w:r>
        <w:rPr>
          <w:rFonts w:hint="eastAsia"/>
          <w:lang w:val="en-US" w:eastAsia="zh-CN"/>
        </w:rPr>
        <w:t xml:space="preserve">现场测评活动的主要任务 </w:t>
      </w:r>
    </w:p>
    <w:p>
      <w:pPr>
        <w:pStyle w:val="Heading6"/>
        <w:bidi w:val="0"/>
        <w:ind w:left="0" w:firstLine="0" w:leftChars="0" w:firstLineChars="0"/>
        <w:rPr>
          <w:rFonts w:hint="eastAsia"/>
          <w:lang w:val="en-US" w:eastAsia="zh-CN"/>
        </w:rPr>
      </w:pPr>
      <w:r>
        <w:rPr>
          <w:rFonts w:hint="eastAsia"/>
          <w:lang w:val="en-US" w:eastAsia="zh-CN"/>
        </w:rPr>
        <w:t xml:space="preserve">现场测评准备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本任务启动现场测评，以保证测评方能够顺利实施测评。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——输入：现场测评授权书，经过评审和确认的密评方案，风险告知书等。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任务描述： </w:t>
      </w:r>
    </w:p>
    <w:p>
      <w:pPr>
        <w:adjustRightInd/>
        <w:snapToGrid/>
        <w:spacing w:line="360" w:lineRule="auto"/>
        <w:ind w:firstLine="560" w:firstLineChars="200"/>
        <w:rPr>
          <w:rFonts w:hint="eastAsia"/>
          <w:szCs w:val="22"/>
        </w:rPr>
      </w:pPr>
      <w:r>
        <w:rPr>
          <w:rFonts w:ascii="仿宋" w:eastAsia="仿宋" w:hAnsi="仿宋" w:cs="仿宋" w:hint="eastAsia"/>
          <w:sz w:val="28"/>
          <w:szCs w:val="22"/>
          <w:lang w:val="en-US" w:eastAsia="zh-CN"/>
        </w:rPr>
        <w:t xml:space="preserve">a) 召开测评现场首次会，测评方介绍测评工作，进一步明确测评计划和方案中的内容，说明测评过程中具体实施的工作内容、测评时间安排、测评过程中可能存在的安全风险等。 </w:t>
      </w:r>
    </w:p>
    <w:p>
      <w:pPr>
        <w:adjustRightInd/>
        <w:snapToGrid/>
        <w:spacing w:line="360" w:lineRule="auto"/>
        <w:ind w:firstLine="560" w:firstLineChars="200"/>
        <w:rPr>
          <w:rFonts w:hint="eastAsia"/>
          <w:szCs w:val="22"/>
        </w:rPr>
      </w:pPr>
      <w:r>
        <w:rPr>
          <w:rFonts w:hint="eastAsia"/>
          <w:szCs w:val="22"/>
        </w:rPr>
        <w:br/>
      </w:r>
      <w:r>
        <w:rPr>
          <w:rFonts w:hint="eastAsia"/>
          <w:szCs w:val="22"/>
        </w:rPr>
        <w:br/>
      </w:r>
    </w:p>
    <w:p>
      <w:pPr>
        <w:widowControl/>
        <w:adjustRightInd/>
        <w:snapToGrid/>
        <w:spacing w:line="240" w:lineRule="auto"/>
        <w:ind w:firstLine="0" w:firstLineChars="0"/>
        <w:jc w:val="left"/>
        <w:rPr>
          <w:rFonts w:ascii="SimSun" w:eastAsia="SimSun" w:hAnsi="SimSun" w:cs="SimSun"/>
          <w:b/>
          <w:bCs/>
          <w:kern w:val="0"/>
          <w:sz w:val="30"/>
          <w:szCs w:val="30"/>
        </w:rPr>
      </w:pPr>
      <w:r>
        <w:rPr>
          <w:rFonts w:ascii="SimSun" w:eastAsia="SimSun" w:hAnsi="SimSun" w:cs="SimSun"/>
          <w:b/>
          <w:bCs/>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https://d.book118.com/656101200111010052</w:t>
        </w:r>
      </w:hyperlink>
    </w:p>
    <w:p>
      <w:pPr>
        <w:adjustRightInd/>
        <w:snapToGrid/>
        <w:spacing w:line="360" w:lineRule="auto"/>
        <w:ind w:firstLine="560" w:firstLineChars="200"/>
        <w:rPr>
          <w:rFonts w:hint="eastAsia"/>
          <w:szCs w:val="22"/>
        </w:rPr>
      </w:pPr>
    </w:p>
    <w:sectPr>
      <w:type w:val="nextPage"/>
      <w:pgSz w:w="11906" w:h="16838"/>
      <w:pgMar w:top="1440" w:right="1800" w:bottom="1440" w:left="1800" w:header="851" w:footer="992" w:gutter="0"/>
      <w:pgNumType w:start="19"/>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9535E2A"/>
    <w:multiLevelType w:val="multilevel"/>
    <w:tmpl w:val="A9535E2A"/>
    <w:lvl w:ilvl="0">
      <w:start w:val="1"/>
      <w:numFmt w:val="chineseCounting"/>
      <w:pStyle w:val="Heading1"/>
      <w:suff w:val="nothing"/>
      <w:lvlText w:val="%1、"/>
      <w:lvlJc w:val="left"/>
      <w:pPr>
        <w:ind w:left="0" w:firstLine="0" w:leftChars="0" w:firstLineChars="0"/>
      </w:pPr>
      <w:rPr>
        <w:rFonts w:ascii="仿宋" w:eastAsia="仿宋" w:hAnsi="仿宋" w:cs="仿宋" w:hint="eastAsia"/>
        <w:b/>
        <w:bCs/>
      </w:rPr>
    </w:lvl>
    <w:lvl w:ilvl="1">
      <w:start w:val="1"/>
      <w:numFmt w:val="chineseCounting"/>
      <w:pStyle w:val="Heading2"/>
      <w:suff w:val="nothing"/>
      <w:lvlText w:val="（%2）"/>
      <w:lvlJc w:val="left"/>
      <w:pPr>
        <w:tabs>
          <w:tab w:val="left" w:pos="420"/>
        </w:tabs>
        <w:ind w:left="0" w:firstLine="0" w:leftChars="0" w:firstLineChars="0"/>
      </w:pPr>
      <w:rPr>
        <w:rFonts w:ascii="Times New Roman" w:eastAsia="仿宋" w:hAnsi="Times New Roman" w:cs="仿宋" w:hint="eastAsia"/>
        <w:b/>
        <w:bCs/>
      </w:rPr>
    </w:lvl>
    <w:lvl w:ilvl="2">
      <w:start w:val="1"/>
      <w:numFmt w:val="decimal"/>
      <w:pStyle w:val="Heading3"/>
      <w:suff w:val="nothing"/>
      <w:lvlText w:val="%3."/>
      <w:lvlJc w:val="left"/>
      <w:pPr>
        <w:ind w:left="0" w:firstLine="0" w:leftChars="0" w:firstLineChars="0"/>
      </w:pPr>
      <w:rPr>
        <w:rFonts w:ascii="仿宋" w:eastAsia="仿宋" w:hAnsi="仿宋" w:cs="仿宋" w:hint="eastAsia"/>
        <w:b/>
        <w:bCs/>
      </w:rPr>
    </w:lvl>
    <w:lvl w:ilvl="3">
      <w:start w:val="1"/>
      <w:numFmt w:val="decimal"/>
      <w:pStyle w:val="Heading4"/>
      <w:suff w:val="nothing"/>
      <w:lvlText w:val="%3.%4."/>
      <w:lvlJc w:val="left"/>
      <w:pPr>
        <w:tabs>
          <w:tab w:val="left" w:pos="420"/>
        </w:tabs>
        <w:ind w:left="0" w:firstLine="0" w:leftChars="0" w:firstLineChars="0"/>
      </w:pPr>
      <w:rPr>
        <w:rFonts w:ascii="仿宋" w:eastAsia="仿宋" w:hAnsi="仿宋" w:cs="仿宋" w:hint="eastAsia"/>
        <w:b/>
        <w:bCs/>
      </w:rPr>
    </w:lvl>
    <w:lvl w:ilvl="4">
      <w:start w:val="1"/>
      <w:numFmt w:val="decimal"/>
      <w:pStyle w:val="Heading5"/>
      <w:suff w:val="nothing"/>
      <w:lvlText w:val="%3.%4.%5."/>
      <w:lvlJc w:val="left"/>
      <w:pPr>
        <w:tabs>
          <w:tab w:val="left" w:pos="420"/>
        </w:tabs>
        <w:ind w:left="0" w:firstLine="0" w:leftChars="0" w:firstLineChars="0"/>
      </w:pPr>
      <w:rPr>
        <w:rFonts w:ascii="仿宋" w:eastAsia="仿宋" w:hAnsi="仿宋" w:cs="仿宋" w:hint="eastAsia"/>
        <w:b/>
        <w:bCs/>
      </w:rPr>
    </w:lvl>
    <w:lvl w:ilvl="5">
      <w:start w:val="1"/>
      <w:numFmt w:val="decimal"/>
      <w:pStyle w:val="Heading6"/>
      <w:suff w:val="nothing"/>
      <w:lvlText w:val="%3.%4.%5.%6."/>
      <w:lvlJc w:val="left"/>
      <w:pPr>
        <w:ind w:left="0" w:firstLine="0" w:leftChars="0" w:firstLineChars="0"/>
      </w:pPr>
      <w:rPr>
        <w:rFonts w:ascii="仿宋" w:eastAsia="仿宋" w:hAnsi="仿宋" w:cs="仿宋" w:hint="eastAsia"/>
        <w:b/>
        <w:bCs/>
      </w:rPr>
    </w:lvl>
    <w:lvl w:ilvl="6">
      <w:start w:val="1"/>
      <w:numFmt w:val="decimal"/>
      <w:suff w:val="nothing"/>
      <w:lvlText w:val="%3.%4.%5.%6.%7."/>
      <w:lvlJc w:val="left"/>
      <w:pPr>
        <w:tabs>
          <w:tab w:val="left" w:pos="420"/>
        </w:tabs>
        <w:ind w:left="0" w:firstLine="0" w:leftChars="0" w:firstLineChars="0"/>
      </w:pPr>
      <w:rPr>
        <w:rFonts w:ascii="仿宋" w:eastAsia="仿宋" w:hAnsi="仿宋" w:cs="仿宋" w:hint="eastAsia"/>
        <w:b/>
        <w:bCs/>
      </w:rPr>
    </w:lvl>
    <w:lvl w:ilvl="7">
      <w:start w:val="1"/>
      <w:numFmt w:val="decimal"/>
      <w:suff w:val="nothing"/>
      <w:lvlText w:val="%3.%4.%5.%6.%7.%8."/>
      <w:lvlJc w:val="left"/>
      <w:pPr>
        <w:tabs>
          <w:tab w:val="left" w:pos="0"/>
        </w:tabs>
        <w:ind w:left="0" w:firstLine="0" w:leftChars="0" w:firstLineChars="0"/>
      </w:pPr>
      <w:rPr>
        <w:rFonts w:ascii="仿宋" w:eastAsia="仿宋" w:hAnsi="仿宋" w:cs="仿宋" w:hint="eastAsia"/>
        <w:b/>
        <w:bCs/>
      </w:rPr>
    </w:lvl>
    <w:lvl w:ilvl="8">
      <w:start w:val="1"/>
      <w:numFmt w:val="decimal"/>
      <w:suff w:val="nothing"/>
      <w:lvlText w:val="%3.%4.%5.%6.%7.%8.%9."/>
      <w:lvlJc w:val="left"/>
      <w:pPr>
        <w:tabs>
          <w:tab w:val="left" w:pos="0"/>
        </w:tabs>
        <w:ind w:left="0" w:firstLine="0" w:leftChars="0" w:firstLineChars="0"/>
      </w:pPr>
      <w:rPr>
        <w:rFonts w:ascii="宋体" w:eastAsia="宋体" w:hAnsi="宋体" w:cs="宋体" w:hint="eastAsia"/>
        <w:b/>
        <w:bCs/>
      </w:rPr>
    </w:lvl>
  </w:abstractNum>
  <w:abstractNum w:abstractNumId="1">
    <w:nsid w:val="07A447A8"/>
    <w:multiLevelType w:val="multilevel"/>
    <w:tmpl w:val="07A447A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
    <w:nsid w:val="1DD94B4B"/>
    <w:multiLevelType w:val="singleLevel"/>
    <w:tmpl w:val="1DD94B4B"/>
    <w:lvl w:ilvl="0">
      <w:start w:val="1"/>
      <w:numFmt w:val="decimal"/>
      <w:lvlText w:val="%1)"/>
      <w:lvlJc w:val="left"/>
      <w:pPr>
        <w:ind w:left="425" w:hanging="425"/>
      </w:pPr>
      <w:rPr>
        <w:rFonts w:hint="default"/>
      </w:rPr>
    </w:lvl>
  </w:abstractNum>
  <w:abstractNum w:abstractNumId="3">
    <w:nsid w:val="2E536B8A"/>
    <w:multiLevelType w:val="singleLevel"/>
    <w:tmpl w:val="2E536B8A"/>
    <w:lvl w:ilvl="0">
      <w:start w:val="1"/>
      <w:numFmt w:val="decimal"/>
      <w:lvlText w:val="%1)"/>
      <w:lvlJc w:val="left"/>
      <w:pPr>
        <w:ind w:left="425" w:hanging="425"/>
      </w:pPr>
      <w:rPr>
        <w:rFonts w:hint="default"/>
      </w:rPr>
    </w:lvl>
  </w:abstractNum>
  <w:abstractNum w:abstractNumId="4">
    <w:nsid w:val="3750D1FC"/>
    <w:multiLevelType w:val="singleLevel"/>
    <w:tmpl w:val="3750D1FC"/>
    <w:lvl w:ilvl="0">
      <w:start w:val="1"/>
      <w:numFmt w:val="decimal"/>
      <w:lvlText w:val="%1)"/>
      <w:lvlJc w:val="left"/>
      <w:pPr>
        <w:ind w:left="425" w:hanging="425"/>
      </w:pPr>
      <w:rPr>
        <w:rFonts w:hint="default"/>
      </w:rPr>
    </w:lvl>
  </w:abstractNum>
  <w:abstractNum w:abstractNumId="5">
    <w:nsid w:val="4ACD67CB"/>
    <w:multiLevelType w:val="multilevel"/>
    <w:tmpl w:val="4ACD67CB"/>
    <w:lvl w:ilvl="0">
      <w:start w:val="1"/>
      <w:numFmt w:val="bullet"/>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6">
    <w:nsid w:val="57D67599"/>
    <w:multiLevelType w:val="multilevel"/>
    <w:tmpl w:val="57D6759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nsid w:val="7B9A0888"/>
    <w:multiLevelType w:val="multilevel"/>
    <w:tmpl w:val="7B9A0888"/>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0"/>
  </w:num>
  <w:num w:numId="2">
    <w:abstractNumId w:val="3"/>
  </w:num>
  <w:num w:numId="3">
    <w:abstractNumId w:val="4"/>
  </w:num>
  <w:num w:numId="4">
    <w:abstractNumId w:val="2"/>
  </w:num>
  <w:num w:numId="5">
    <w:abstractNumId w:val="7"/>
  </w:num>
  <w:num w:numId="6">
    <w:abstractNumId w:val="1"/>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9600A00"/>
  </w:rsids>
  <w:docVars>
    <w:docVar w:name="commondata" w:val="eyJoZGlkIjoiZDJkOWE1ZDU3Zjg3NzJiM2E2NTdhMWRkMDgxYzYwNT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0" w:qFormat="1"/>
    <w:lsdException w:name="heading 8" w:uiPriority="0" w:qFormat="1"/>
    <w:lsdException w:name="heading 9" w:uiPriority="0" w:qFormat="1"/>
    <w:lsdException w:name="index 1"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nhideWhenUsed="0" w:qFormat="1"/>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qFormat/>
    <w:pPr>
      <w:widowControl w:val="0"/>
      <w:adjustRightInd w:val="0"/>
      <w:snapToGrid w:val="0"/>
      <w:spacing w:line="360" w:lineRule="auto"/>
      <w:ind w:firstLine="200" w:firstLineChars="200"/>
      <w:jc w:val="both"/>
    </w:pPr>
    <w:rPr>
      <w:rFonts w:ascii="仿宋" w:eastAsia="仿宋" w:hAnsi="仿宋" w:cs="仿宋"/>
      <w:color w:val="000000" w:themeColor="text1"/>
      <w:kern w:val="2"/>
      <w:sz w:val="28"/>
      <w:szCs w:val="32"/>
      <w:lang w:val="en-US" w:eastAsia="zh-CN" w:bidi="ar-SA"/>
      <w14:textFill>
        <w14:solidFill>
          <w14:schemeClr w14:val="tx1"/>
        </w14:solidFill>
      </w14:textFill>
    </w:rPr>
  </w:style>
  <w:style w:type="paragraph" w:styleId="Heading1">
    <w:name w:val="heading 1"/>
    <w:basedOn w:val="Normal"/>
    <w:next w:val="Normal"/>
    <w:uiPriority w:val="9"/>
    <w:qFormat/>
    <w:pPr>
      <w:keepNext/>
      <w:keepLines/>
      <w:numPr>
        <w:ilvl w:val="0"/>
        <w:numId w:val="1"/>
      </w:numPr>
      <w:tabs>
        <w:tab w:val="left" w:pos="0"/>
        <w:tab w:val="left" w:pos="420"/>
      </w:tabs>
      <w:ind w:left="0" w:firstLine="0" w:firstLineChars="0"/>
      <w:jc w:val="center"/>
      <w:outlineLvl w:val="0"/>
    </w:pPr>
    <w:rPr>
      <w:b/>
      <w:kern w:val="44"/>
      <w:sz w:val="36"/>
    </w:rPr>
  </w:style>
  <w:style w:type="paragraph" w:styleId="Heading2">
    <w:name w:val="heading 2"/>
    <w:basedOn w:val="Normal"/>
    <w:next w:val="Normal"/>
    <w:uiPriority w:val="9"/>
    <w:qFormat/>
    <w:pPr>
      <w:keepNext/>
      <w:keepLines/>
      <w:numPr>
        <w:ilvl w:val="1"/>
        <w:numId w:val="1"/>
      </w:numPr>
      <w:ind w:left="0" w:firstLine="0" w:firstLineChars="0"/>
      <w:jc w:val="center"/>
      <w:outlineLvl w:val="1"/>
    </w:pPr>
    <w:rPr>
      <w:b/>
      <w:sz w:val="32"/>
      <w:szCs w:val="30"/>
    </w:rPr>
  </w:style>
  <w:style w:type="paragraph" w:styleId="Heading3">
    <w:name w:val="heading 3"/>
    <w:basedOn w:val="Normal"/>
    <w:next w:val="Normal"/>
    <w:uiPriority w:val="9"/>
    <w:qFormat/>
    <w:pPr>
      <w:keepNext/>
      <w:keepLines/>
      <w:numPr>
        <w:ilvl w:val="2"/>
        <w:numId w:val="1"/>
      </w:numPr>
      <w:tabs>
        <w:tab w:val="left" w:pos="420"/>
      </w:tabs>
      <w:ind w:left="0" w:firstLine="0" w:firstLineChars="0"/>
      <w:outlineLvl w:val="2"/>
    </w:pPr>
    <w:rPr>
      <w:b/>
      <w:bCs/>
      <w:sz w:val="30"/>
    </w:rPr>
  </w:style>
  <w:style w:type="paragraph" w:styleId="Heading4">
    <w:name w:val="heading 4"/>
    <w:basedOn w:val="Normal"/>
    <w:next w:val="Normal"/>
    <w:uiPriority w:val="9"/>
    <w:qFormat/>
    <w:pPr>
      <w:keepNext/>
      <w:keepLines/>
      <w:numPr>
        <w:ilvl w:val="3"/>
        <w:numId w:val="1"/>
      </w:numPr>
      <w:ind w:left="0" w:firstLine="0" w:firstLineChars="0"/>
      <w:outlineLvl w:val="3"/>
    </w:pPr>
    <w:rPr>
      <w:b/>
      <w:bCs/>
      <w:szCs w:val="28"/>
    </w:rPr>
  </w:style>
  <w:style w:type="paragraph" w:styleId="Heading5">
    <w:name w:val="heading 5"/>
    <w:basedOn w:val="Normal"/>
    <w:next w:val="PlainText"/>
    <w:uiPriority w:val="9"/>
    <w:qFormat/>
    <w:pPr>
      <w:keepNext/>
      <w:keepLines/>
      <w:numPr>
        <w:ilvl w:val="4"/>
        <w:numId w:val="1"/>
      </w:numPr>
      <w:spacing w:line="377" w:lineRule="auto"/>
      <w:ind w:left="0" w:firstLine="0" w:firstLineChars="0"/>
      <w:outlineLvl w:val="4"/>
    </w:pPr>
    <w:rPr>
      <w:b/>
      <w:bCs/>
      <w:szCs w:val="28"/>
    </w:rPr>
  </w:style>
  <w:style w:type="paragraph" w:styleId="Heading6">
    <w:name w:val="heading 6"/>
    <w:basedOn w:val="Normal"/>
    <w:next w:val="Normal"/>
    <w:uiPriority w:val="9"/>
    <w:qFormat/>
    <w:pPr>
      <w:keepNext/>
      <w:keepLines/>
      <w:numPr>
        <w:ilvl w:val="5"/>
        <w:numId w:val="1"/>
      </w:numPr>
      <w:tabs>
        <w:tab w:val="left" w:pos="420"/>
      </w:tabs>
      <w:ind w:left="0" w:firstLine="0" w:firstLineChars="0"/>
      <w:outlineLvl w:val="5"/>
    </w:pPr>
    <w:rPr>
      <w:b/>
      <w:bCs/>
      <w:szCs w:val="28"/>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Indent">
    <w:name w:val="Normal Indent"/>
    <w:basedOn w:val="Normal"/>
    <w:next w:val="BodyText"/>
    <w:uiPriority w:val="99"/>
    <w:qFormat/>
    <w:pPr>
      <w:widowControl w:val="0"/>
      <w:autoSpaceDE w:val="0"/>
      <w:autoSpaceDN w:val="0"/>
      <w:adjustRightInd w:val="0"/>
      <w:spacing w:line="315" w:lineRule="atLeast"/>
      <w:ind w:firstLine="420"/>
      <w:jc w:val="both"/>
    </w:pPr>
    <w:rPr>
      <w:rFonts w:ascii="楷体_GB2312" w:eastAsia="楷体_GB2312" w:hAnsi="Calibri" w:cs="Times New Roman"/>
      <w:kern w:val="0"/>
      <w:sz w:val="28"/>
      <w:szCs w:val="20"/>
      <w:lang w:val="en-US" w:eastAsia="zh-CN" w:bidi="ar-SA"/>
    </w:rPr>
  </w:style>
  <w:style w:type="paragraph" w:styleId="BodyText">
    <w:name w:val="Body Text"/>
    <w:basedOn w:val="Normal"/>
    <w:next w:val="Subtitle"/>
    <w:qFormat/>
    <w:pPr>
      <w:spacing w:line="360" w:lineRule="auto"/>
    </w:pPr>
    <w:rPr>
      <w:sz w:val="24"/>
    </w:rPr>
  </w:style>
  <w:style w:type="paragraph" w:styleId="Subtitle">
    <w:name w:val="Subtitle"/>
    <w:basedOn w:val="Normal"/>
    <w:next w:val="Normal"/>
    <w:qFormat/>
    <w:pPr>
      <w:spacing w:before="240" w:after="60" w:line="312" w:lineRule="auto"/>
      <w:jc w:val="center"/>
      <w:outlineLvl w:val="1"/>
    </w:pPr>
    <w:rPr>
      <w:rFonts w:ascii="等线 Light" w:hAnsi="等线 Light"/>
      <w:b/>
      <w:bCs/>
      <w:kern w:val="28"/>
      <w:sz w:val="32"/>
      <w:szCs w:val="32"/>
    </w:rPr>
  </w:style>
  <w:style w:type="paragraph" w:styleId="PlainText">
    <w:name w:val="Plain Text"/>
    <w:basedOn w:val="Normal"/>
    <w:next w:val="Normal"/>
    <w:qFormat/>
    <w:pPr>
      <w:ind w:firstLine="0" w:firstLineChars="0"/>
    </w:pPr>
    <w:rPr>
      <w:rFonts w:cstheme="minorBidi"/>
      <w:szCs w:val="21"/>
    </w:rPr>
  </w:style>
  <w:style w:type="paragraph" w:styleId="BodyTextIndent">
    <w:name w:val="Body Text Indent"/>
    <w:basedOn w:val="Normal"/>
    <w:next w:val="BodyTextFirstIndent2"/>
    <w:qFormat/>
    <w:pPr>
      <w:ind w:firstLine="425"/>
    </w:pPr>
    <w:rPr>
      <w:rFonts w:asciiTheme="minorHAnsi" w:hAnsiTheme="minorHAnsi" w:cstheme="minorBidi"/>
      <w:color w:val="FF0000"/>
      <w:sz w:val="24"/>
      <w:szCs w:val="22"/>
    </w:rPr>
  </w:style>
  <w:style w:type="paragraph" w:styleId="BodyTextFirstIndent2">
    <w:name w:val="Body Text First Indent 2"/>
    <w:basedOn w:val="BodyTextIndent"/>
    <w:next w:val="BodyText"/>
    <w:qFormat/>
    <w:pPr>
      <w:spacing w:after="0" w:line="360" w:lineRule="auto"/>
      <w:ind w:left="0" w:firstLine="420" w:leftChars="0" w:firstLineChars="200"/>
    </w:pPr>
    <w:rPr>
      <w:kern w:val="2"/>
      <w:sz w:val="24"/>
      <w:szCs w:val="22"/>
      <w:lang w:val="en-US" w:eastAsia="zh-CN"/>
    </w:rPr>
  </w:style>
  <w:style w:type="paragraph" w:styleId="Index1">
    <w:name w:val="index 1"/>
    <w:basedOn w:val="Normal"/>
    <w:next w:val="Normal"/>
    <w:uiPriority w:val="99"/>
    <w:semiHidden/>
    <w:unhideWhenUsed/>
    <w:qFormat/>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正文首行缩进2"/>
    <w:basedOn w:val="BodyText"/>
    <w:next w:val="Normal"/>
    <w:qFormat/>
    <w:pPr>
      <w:spacing w:beforeAutospacing="0"/>
      <w:ind w:firstLine="420" w:firstLineChars="100"/>
      <w:jc w:val="left"/>
    </w:pPr>
    <w:rPr>
      <w:rFonts w:ascii="宋体" w:eastAsia="仿宋" w:hAnsi="宋体" w:cs="Times New Roman"/>
      <w:sz w:val="28"/>
      <w:szCs w:val="24"/>
    </w:rPr>
  </w:style>
  <w:style w:type="paragraph" w:styleId="ListParagraph">
    <w:name w:val="List Paragraph"/>
    <w:basedOn w:val="Normal"/>
    <w:uiPriority w:val="34"/>
    <w:qFormat/>
    <w:pPr>
      <w:ind w:firstLine="420" w:firstLineChars="200"/>
    </w:p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656101200111010052"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yperlink" Target="https://www.oscca.gov.cn/sca/xwdt/2020-12/08/1060792/files/c45eb79325bd44e2a768c90527261d30.pdf" TargetMode="External" /><Relationship Id="rId7" Type="http://schemas.openxmlformats.org/officeDocument/2006/relationships/hyperlink" Target="https://www.oscca.gov.cn/sca/xwdt/2020-12/08/1060792/files/b3efec60b86b47788c2eee258fd904eb.pdf" TargetMode="External" /><Relationship Id="rId8" Type="http://schemas.openxmlformats.org/officeDocument/2006/relationships/image" Target="media/image1.emf" /><Relationship Id="rId9" Type="http://schemas.openxmlformats.org/officeDocument/2006/relationships/oleObject" Target="embeddings/oleObject1.bin"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WPS_1652340958</cp:lastModifiedBy>
  <cp:revision>0</cp:revision>
  <dcterms:created xsi:type="dcterms:W3CDTF">2023-10-10T07:44:13Z</dcterms:created>
  <dcterms:modified xsi:type="dcterms:W3CDTF">2023-10-10T07:44:21Z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C54EB63166D641ED9F2FAAF749913F27_12</vt:lpwstr>
  </property>
  <property fmtid="{D5CDD505-2E9C-101B-9397-08002B2CF9AE}" pid="3" name="KSOProductBuildVer">
    <vt:lpwstr>2052-12.1.0.15374</vt:lpwstr>
  </property>
</Properties>
</file>