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0" w:firstLineChars="0"/>
        <w:jc w:val="center"/>
        <w:rPr>
          <w:rFonts w:eastAsia="黑体" w:hint="eastAsia"/>
          <w:spacing w:val="-12"/>
          <w:sz w:val="44"/>
        </w:rPr>
      </w:pPr>
      <w:r>
        <w:rPr>
          <w:rFonts w:eastAsia="黑体" w:hint="eastAsia"/>
          <w:spacing w:val="-12"/>
          <w:sz w:val="44"/>
          <w:lang w:val="en-US" w:eastAsia="zh-CN"/>
        </w:rPr>
        <w:t xml:space="preserve"> </w:t>
      </w:r>
    </w:p>
    <w:p>
      <w:pPr>
        <w:ind w:firstLine="0" w:firstLineChars="0"/>
        <w:jc w:val="center"/>
        <w:rPr>
          <w:rFonts w:eastAsia="黑体"/>
          <w:spacing w:val="-12"/>
        </w:rPr>
      </w:pPr>
    </w:p>
    <w:p>
      <w:pPr>
        <w:spacing w:line="800" w:lineRule="exact"/>
        <w:ind w:firstLine="0" w:firstLineChars="0"/>
        <w:jc w:val="center"/>
        <w:rPr>
          <w:b/>
          <w:bCs/>
          <w:sz w:val="36"/>
          <w:szCs w:val="36"/>
        </w:rPr>
      </w:pPr>
      <w:r>
        <w:rPr>
          <w:b/>
          <w:bCs/>
          <w:sz w:val="36"/>
          <w:szCs w:val="36"/>
        </w:rPr>
        <w:t>赤峰西拉沐沦（集团）公格营子煤业有限公司煤矿</w:t>
      </w:r>
    </w:p>
    <w:p>
      <w:pPr>
        <w:spacing w:line="800" w:lineRule="exact"/>
        <w:ind w:firstLine="0" w:firstLineChars="0"/>
        <w:jc w:val="center"/>
        <w:rPr>
          <w:b/>
          <w:kern w:val="0"/>
          <w:sz w:val="36"/>
          <w:szCs w:val="36"/>
        </w:rPr>
      </w:pPr>
      <w:r>
        <w:rPr>
          <w:rFonts w:ascii="宋体" w:hAnsi="宋体" w:hint="eastAsia"/>
          <w:b/>
          <w:w w:val="93"/>
          <w:kern w:val="0"/>
          <w:sz w:val="36"/>
          <w:szCs w:val="36"/>
        </w:rPr>
        <w:t>2022年度</w:t>
      </w:r>
      <w:r>
        <w:rPr>
          <w:b/>
          <w:sz w:val="36"/>
          <w:szCs w:val="36"/>
        </w:rPr>
        <w:t>矿山地质环境治理</w:t>
      </w:r>
      <w:r>
        <w:rPr>
          <w:rFonts w:hint="eastAsia"/>
          <w:b/>
          <w:sz w:val="36"/>
          <w:szCs w:val="36"/>
        </w:rPr>
        <w:t>计划书</w:t>
      </w:r>
    </w:p>
    <w:p>
      <w:pPr>
        <w:ind w:firstLine="0" w:firstLineChars="0"/>
        <w:jc w:val="center"/>
        <w:rPr>
          <w:sz w:val="28"/>
        </w:rPr>
      </w:pPr>
    </w:p>
    <w:p>
      <w:pPr>
        <w:ind w:firstLine="0" w:firstLineChars="0"/>
        <w:jc w:val="center"/>
        <w:rPr>
          <w:sz w:val="28"/>
        </w:rPr>
      </w:pPr>
    </w:p>
    <w:p>
      <w:pPr>
        <w:ind w:firstLine="0" w:firstLineChars="0"/>
        <w:jc w:val="center"/>
        <w:rPr>
          <w:sz w:val="28"/>
        </w:rPr>
      </w:pPr>
    </w:p>
    <w:p>
      <w:pPr>
        <w:ind w:firstLine="0" w:firstLineChars="0"/>
        <w:jc w:val="center"/>
        <w:rPr>
          <w:sz w:val="28"/>
        </w:rPr>
      </w:pPr>
    </w:p>
    <w:p>
      <w:pPr>
        <w:ind w:firstLine="0" w:firstLineChars="0"/>
        <w:jc w:val="center"/>
        <w:rPr>
          <w:sz w:val="28"/>
        </w:rPr>
      </w:pPr>
    </w:p>
    <w:p>
      <w:pPr>
        <w:ind w:firstLine="0" w:firstLineChars="0"/>
        <w:jc w:val="center"/>
        <w:rPr>
          <w:sz w:val="28"/>
        </w:rPr>
      </w:pPr>
    </w:p>
    <w:p>
      <w:pPr>
        <w:ind w:firstLine="0" w:firstLineChars="0"/>
        <w:jc w:val="center"/>
        <w:rPr>
          <w:sz w:val="28"/>
        </w:rPr>
      </w:pPr>
    </w:p>
    <w:p>
      <w:pPr>
        <w:widowControl/>
        <w:topLinePunct/>
        <w:adjustRightInd/>
        <w:snapToGrid/>
        <w:ind w:firstLine="0" w:firstLineChars="0"/>
        <w:jc w:val="center"/>
        <w:rPr>
          <w:b/>
          <w:kern w:val="0"/>
          <w:sz w:val="32"/>
          <w:szCs w:val="22"/>
        </w:rPr>
      </w:pPr>
    </w:p>
    <w:p>
      <w:pPr>
        <w:widowControl/>
        <w:topLinePunct/>
        <w:adjustRightInd/>
        <w:snapToGrid/>
        <w:spacing w:line="240" w:lineRule="auto"/>
        <w:ind w:firstLine="0" w:firstLineChars="0"/>
        <w:jc w:val="center"/>
        <w:rPr>
          <w:rFonts w:ascii="仿宋_GB2312" w:eastAsia="仿宋_GB2312"/>
          <w:kern w:val="0"/>
          <w:sz w:val="32"/>
          <w:szCs w:val="32"/>
        </w:rPr>
      </w:pPr>
    </w:p>
    <w:p>
      <w:pPr>
        <w:widowControl/>
        <w:topLinePunct/>
        <w:adjustRightInd/>
        <w:snapToGrid/>
        <w:ind w:firstLine="0" w:firstLineChars="0"/>
        <w:jc w:val="center"/>
        <w:rPr>
          <w:b/>
          <w:kern w:val="0"/>
          <w:sz w:val="32"/>
          <w:szCs w:val="22"/>
        </w:rPr>
      </w:pPr>
    </w:p>
    <w:p>
      <w:pPr>
        <w:widowControl/>
        <w:topLinePunct/>
        <w:adjustRightInd/>
        <w:snapToGrid/>
        <w:ind w:firstLine="0" w:firstLineChars="0"/>
        <w:jc w:val="center"/>
        <w:rPr>
          <w:b/>
          <w:kern w:val="0"/>
          <w:sz w:val="32"/>
          <w:szCs w:val="22"/>
        </w:rPr>
      </w:pPr>
    </w:p>
    <w:p>
      <w:pPr>
        <w:widowControl/>
        <w:topLinePunct/>
        <w:adjustRightInd/>
        <w:snapToGrid/>
        <w:ind w:firstLine="0" w:firstLineChars="0"/>
        <w:jc w:val="center"/>
        <w:rPr>
          <w:b/>
          <w:kern w:val="0"/>
          <w:sz w:val="32"/>
          <w:szCs w:val="22"/>
        </w:rPr>
      </w:pPr>
    </w:p>
    <w:p>
      <w:pPr>
        <w:widowControl/>
        <w:topLinePunct/>
        <w:adjustRightInd/>
        <w:snapToGrid/>
        <w:ind w:firstLine="0" w:firstLineChars="0"/>
        <w:jc w:val="center"/>
        <w:rPr>
          <w:b/>
          <w:kern w:val="0"/>
          <w:sz w:val="32"/>
          <w:szCs w:val="22"/>
        </w:rPr>
      </w:pPr>
    </w:p>
    <w:p>
      <w:pPr>
        <w:widowControl/>
        <w:topLinePunct/>
        <w:adjustRightInd/>
        <w:snapToGrid/>
        <w:ind w:firstLine="0" w:firstLineChars="0"/>
        <w:jc w:val="center"/>
        <w:rPr>
          <w:b/>
          <w:kern w:val="0"/>
          <w:sz w:val="32"/>
          <w:szCs w:val="22"/>
        </w:rPr>
      </w:pPr>
    </w:p>
    <w:p>
      <w:pPr>
        <w:widowControl/>
        <w:topLinePunct/>
        <w:adjustRightInd/>
        <w:snapToGrid/>
        <w:ind w:firstLine="0" w:firstLineChars="0"/>
        <w:jc w:val="center"/>
        <w:rPr>
          <w:b/>
          <w:kern w:val="0"/>
          <w:sz w:val="32"/>
          <w:szCs w:val="22"/>
        </w:rPr>
      </w:pPr>
    </w:p>
    <w:p>
      <w:pPr>
        <w:widowControl/>
        <w:topLinePunct/>
        <w:adjustRightInd/>
        <w:snapToGrid/>
        <w:ind w:firstLine="0" w:firstLineChars="0"/>
        <w:jc w:val="center"/>
        <w:rPr>
          <w:b/>
          <w:kern w:val="0"/>
          <w:sz w:val="32"/>
          <w:szCs w:val="22"/>
        </w:rPr>
      </w:pPr>
    </w:p>
    <w:p>
      <w:pPr>
        <w:widowControl/>
        <w:topLinePunct/>
        <w:adjustRightInd/>
        <w:snapToGrid/>
        <w:ind w:firstLine="0" w:firstLineChars="0"/>
        <w:jc w:val="center"/>
        <w:rPr>
          <w:b/>
          <w:kern w:val="0"/>
          <w:sz w:val="32"/>
          <w:szCs w:val="22"/>
        </w:rPr>
      </w:pPr>
    </w:p>
    <w:p>
      <w:pPr>
        <w:ind w:firstLine="877" w:firstLineChars="274"/>
        <w:rPr>
          <w:rFonts w:ascii="宋体" w:hAnsi="宋体"/>
          <w:b/>
          <w:bCs/>
          <w:color w:val="000000"/>
          <w:spacing w:val="20"/>
          <w:sz w:val="32"/>
          <w:szCs w:val="32"/>
        </w:rPr>
      </w:pPr>
      <w:r>
        <w:rPr>
          <w:rFonts w:ascii="宋体" w:hAnsi="宋体"/>
          <w:b/>
          <w:sz w:val="32"/>
          <w:szCs w:val="32"/>
        </w:rPr>
        <w:t>赤峰西拉沐沦（集团）公格营子煤业有限公司</w:t>
      </w:r>
    </w:p>
    <w:p>
      <w:pPr>
        <w:widowControl/>
        <w:topLinePunct/>
        <w:adjustRightInd/>
        <w:snapToGrid/>
        <w:ind w:firstLine="0" w:firstLineChars="0"/>
        <w:jc w:val="center"/>
        <w:rPr>
          <w:rFonts w:ascii="仿宋_GB2312" w:eastAsia="仿宋_GB2312"/>
          <w:kern w:val="0"/>
          <w:sz w:val="30"/>
          <w:szCs w:val="30"/>
        </w:rPr>
      </w:pPr>
    </w:p>
    <w:p>
      <w:pPr>
        <w:widowControl/>
        <w:topLinePunct/>
        <w:adjustRightInd/>
        <w:snapToGrid/>
        <w:ind w:firstLine="0" w:firstLineChars="0"/>
        <w:jc w:val="center"/>
        <w:rPr>
          <w:rFonts w:ascii="仿宋_GB2312" w:eastAsia="仿宋_GB2312"/>
          <w:kern w:val="0"/>
          <w:sz w:val="30"/>
          <w:szCs w:val="30"/>
        </w:rPr>
      </w:pPr>
      <w:r>
        <w:rPr>
          <w:rFonts w:ascii="仿宋_GB2312" w:eastAsia="仿宋_GB2312" w:hint="eastAsia"/>
          <w:kern w:val="0"/>
          <w:sz w:val="30"/>
          <w:szCs w:val="30"/>
        </w:rPr>
        <w:t>二</w:t>
      </w:r>
      <w:r>
        <w:rPr>
          <w:rFonts w:ascii="仿宋_GB2312" w:eastAsia="仿宋_GB2312" w:hAnsi="宋体" w:hint="eastAsia"/>
          <w:kern w:val="0"/>
          <w:sz w:val="30"/>
          <w:szCs w:val="30"/>
        </w:rPr>
        <w:t>〇</w:t>
      </w:r>
      <w:r>
        <w:rPr>
          <w:rFonts w:ascii="仿宋_GB2312" w:eastAsia="仿宋_GB2312" w:hint="eastAsia"/>
          <w:kern w:val="0"/>
          <w:sz w:val="30"/>
          <w:szCs w:val="30"/>
        </w:rPr>
        <w:t>二</w:t>
      </w:r>
      <w:r>
        <w:rPr>
          <w:rFonts w:ascii="仿宋_GB2312" w:eastAsia="仿宋_GB2312" w:hAnsi="宋体" w:hint="eastAsia"/>
          <w:kern w:val="0"/>
          <w:sz w:val="30"/>
          <w:szCs w:val="30"/>
        </w:rPr>
        <w:t>二</w:t>
      </w:r>
      <w:r>
        <w:rPr>
          <w:rFonts w:ascii="仿宋_GB2312" w:eastAsia="仿宋_GB2312" w:hint="eastAsia"/>
          <w:kern w:val="0"/>
          <w:sz w:val="30"/>
          <w:szCs w:val="30"/>
        </w:rPr>
        <w:t>年三月</w:t>
      </w:r>
    </w:p>
    <w:p>
      <w:pPr>
        <w:ind w:firstLine="480"/>
        <w:rPr>
          <w:highlight w:val="yellow"/>
        </w:rPr>
        <w:sectPr>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cols w:num="1" w:space="720"/>
          <w:docGrid w:linePitch="312" w:charSpace="0"/>
        </w:sectPr>
      </w:pPr>
    </w:p>
    <w:p>
      <w:pPr>
        <w:ind w:firstLine="562"/>
        <w:jc w:val="center"/>
        <w:rPr>
          <w:b/>
          <w:sz w:val="28"/>
          <w:szCs w:val="28"/>
        </w:rPr>
      </w:pPr>
      <w:r>
        <w:rPr>
          <w:b/>
          <w:sz w:val="28"/>
          <w:szCs w:val="28"/>
        </w:rPr>
        <w:t>目  录</w:t>
      </w:r>
    </w:p>
    <w:p>
      <w:pPr>
        <w:pStyle w:val="TOC1"/>
        <w:tabs>
          <w:tab w:val="right" w:leader="dot" w:pos="8302"/>
        </w:tabs>
        <w:spacing w:line="360" w:lineRule="auto"/>
        <w:rPr>
          <w:rFonts w:asciiTheme="minorHAnsi" w:eastAsiaTheme="minorEastAsia" w:hAnsiTheme="minorHAnsi" w:cstheme="minorBidi"/>
          <w:b w:val="0"/>
          <w:bCs w:val="0"/>
          <w:caps w:val="0"/>
          <w:sz w:val="21"/>
          <w:szCs w:val="22"/>
        </w:rPr>
      </w:pPr>
      <w:r>
        <w:rPr>
          <w:rFonts w:eastAsia="仿宋_GB2312"/>
          <w:bCs w:val="0"/>
          <w:caps w:val="0"/>
          <w:szCs w:val="24"/>
        </w:rPr>
        <w:fldChar w:fldCharType="begin"/>
      </w:r>
      <w:r>
        <w:rPr>
          <w:rFonts w:eastAsia="仿宋_GB2312"/>
          <w:bCs w:val="0"/>
          <w:caps w:val="0"/>
          <w:szCs w:val="24"/>
        </w:rPr>
        <w:instrText xml:space="preserve"> TOC \o "1-2" \h \z \u </w:instrText>
      </w:r>
      <w:r>
        <w:rPr>
          <w:rFonts w:eastAsia="仿宋_GB2312"/>
          <w:bCs w:val="0"/>
          <w:caps w:val="0"/>
          <w:szCs w:val="24"/>
        </w:rPr>
        <w:fldChar w:fldCharType="separate"/>
      </w:r>
      <w:hyperlink w:anchor="_Toc67065964" w:history="1">
        <w:r>
          <w:rPr>
            <w:rStyle w:val="Hyperlink"/>
          </w:rPr>
          <w:t>1.</w:t>
        </w:r>
        <w:r>
          <w:rPr>
            <w:rStyle w:val="Hyperlink"/>
            <w:rFonts w:hint="eastAsia"/>
          </w:rPr>
          <w:t xml:space="preserve"> 矿山基本情况</w:t>
        </w:r>
        <w:r>
          <w:tab/>
        </w:r>
        <w:r>
          <w:fldChar w:fldCharType="begin"/>
        </w:r>
        <w:r>
          <w:instrText xml:space="preserve"> PAGEREF _Toc67065964 \h </w:instrText>
        </w:r>
        <w:r>
          <w:fldChar w:fldCharType="separate"/>
        </w:r>
        <w:r>
          <w:t>1</w:t>
        </w:r>
        <w:r>
          <w:fldChar w:fldCharType="end"/>
        </w:r>
      </w:hyperlink>
    </w:p>
    <w:p>
      <w:pPr>
        <w:pStyle w:val="TOC1"/>
        <w:tabs>
          <w:tab w:val="right" w:leader="dot" w:pos="8302"/>
        </w:tabs>
        <w:spacing w:line="360" w:lineRule="auto"/>
        <w:rPr>
          <w:rFonts w:asciiTheme="minorHAnsi" w:eastAsiaTheme="minorEastAsia" w:hAnsiTheme="minorHAnsi" w:cstheme="minorBidi"/>
          <w:b w:val="0"/>
          <w:bCs w:val="0"/>
          <w:caps w:val="0"/>
          <w:sz w:val="21"/>
          <w:szCs w:val="22"/>
        </w:rPr>
      </w:pPr>
      <w:hyperlink w:anchor="_Toc67065965" w:history="1">
        <w:r>
          <w:rPr>
            <w:rStyle w:val="Hyperlink"/>
          </w:rPr>
          <w:t>2.</w:t>
        </w:r>
        <w:r>
          <w:rPr>
            <w:rStyle w:val="Hyperlink"/>
            <w:rFonts w:hint="eastAsia"/>
          </w:rPr>
          <w:t xml:space="preserve"> 矿山地质环境治理方案的编制与执行情况</w:t>
        </w:r>
        <w:r>
          <w:tab/>
        </w:r>
        <w:r>
          <w:fldChar w:fldCharType="begin"/>
        </w:r>
        <w:r>
          <w:instrText xml:space="preserve"> PAGEREF _Toc67065965 \h </w:instrText>
        </w:r>
        <w:r>
          <w:fldChar w:fldCharType="separate"/>
        </w:r>
        <w:r>
          <w:t>2</w:t>
        </w:r>
        <w:r>
          <w:fldChar w:fldCharType="end"/>
        </w:r>
      </w:hyperlink>
    </w:p>
    <w:p>
      <w:pPr>
        <w:pStyle w:val="TOC2"/>
        <w:tabs>
          <w:tab w:val="right" w:leader="dot" w:pos="8302"/>
        </w:tabs>
        <w:spacing w:line="360" w:lineRule="auto"/>
        <w:rPr>
          <w:rFonts w:asciiTheme="minorHAnsi" w:eastAsiaTheme="minorEastAsia" w:hAnsiTheme="minorHAnsi" w:cstheme="minorBidi"/>
          <w:smallCaps w:val="0"/>
          <w:sz w:val="21"/>
          <w:szCs w:val="22"/>
        </w:rPr>
      </w:pPr>
      <w:hyperlink w:anchor="_Toc67065966" w:history="1">
        <w:r>
          <w:rPr>
            <w:rStyle w:val="Hyperlink"/>
          </w:rPr>
          <w:t xml:space="preserve">2.1  </w:t>
        </w:r>
        <w:r>
          <w:rPr>
            <w:rStyle w:val="Hyperlink"/>
            <w:rFonts w:hint="eastAsia"/>
          </w:rPr>
          <w:t>方案编制概况</w:t>
        </w:r>
        <w:r>
          <w:tab/>
        </w:r>
        <w:r>
          <w:fldChar w:fldCharType="begin"/>
        </w:r>
        <w:r>
          <w:instrText xml:space="preserve"> PAGEREF _Toc67065966 \h </w:instrText>
        </w:r>
        <w:r>
          <w:fldChar w:fldCharType="separate"/>
        </w:r>
        <w:r>
          <w:t>2</w:t>
        </w:r>
        <w:r>
          <w:fldChar w:fldCharType="end"/>
        </w:r>
      </w:hyperlink>
    </w:p>
    <w:p>
      <w:pPr>
        <w:pStyle w:val="TOC2"/>
        <w:tabs>
          <w:tab w:val="right" w:leader="dot" w:pos="8302"/>
        </w:tabs>
        <w:spacing w:line="360" w:lineRule="auto"/>
        <w:rPr>
          <w:rFonts w:asciiTheme="minorHAnsi" w:eastAsiaTheme="minorEastAsia" w:hAnsiTheme="minorHAnsi" w:cstheme="minorBidi"/>
          <w:smallCaps w:val="0"/>
          <w:sz w:val="21"/>
          <w:szCs w:val="22"/>
        </w:rPr>
      </w:pPr>
      <w:hyperlink w:anchor="_Toc67065967" w:history="1">
        <w:r>
          <w:rPr>
            <w:rStyle w:val="Hyperlink"/>
          </w:rPr>
          <w:t xml:space="preserve">2.2  </w:t>
        </w:r>
        <w:r>
          <w:rPr>
            <w:rStyle w:val="Hyperlink"/>
            <w:rFonts w:hint="eastAsia"/>
          </w:rPr>
          <w:t>治理方案规划的近期治理工程内容</w:t>
        </w:r>
        <w:r>
          <w:tab/>
        </w:r>
        <w:r>
          <w:fldChar w:fldCharType="begin"/>
        </w:r>
        <w:r>
          <w:instrText xml:space="preserve"> PAGEREF _Toc67065967 \h </w:instrText>
        </w:r>
        <w:r>
          <w:fldChar w:fldCharType="separate"/>
        </w:r>
        <w:r>
          <w:t>2</w:t>
        </w:r>
        <w:r>
          <w:fldChar w:fldCharType="end"/>
        </w:r>
      </w:hyperlink>
    </w:p>
    <w:p>
      <w:pPr>
        <w:pStyle w:val="TOC2"/>
        <w:tabs>
          <w:tab w:val="right" w:leader="dot" w:pos="8302"/>
        </w:tabs>
        <w:spacing w:line="360" w:lineRule="auto"/>
        <w:rPr>
          <w:rFonts w:asciiTheme="minorHAnsi" w:eastAsiaTheme="minorEastAsia" w:hAnsiTheme="minorHAnsi" w:cstheme="minorBidi"/>
          <w:smallCaps w:val="0"/>
          <w:sz w:val="21"/>
          <w:szCs w:val="22"/>
        </w:rPr>
      </w:pPr>
      <w:hyperlink w:anchor="_Toc67065968" w:history="1">
        <w:r>
          <w:rPr>
            <w:rStyle w:val="Hyperlink"/>
            <w:rFonts w:ascii="宋体" w:hAnsi="宋体" w:cs="宋体"/>
          </w:rPr>
          <w:t xml:space="preserve">2.3  </w:t>
        </w:r>
        <w:r>
          <w:rPr>
            <w:rStyle w:val="Hyperlink"/>
            <w:rFonts w:ascii="宋体" w:hAnsi="宋体" w:cs="宋体" w:hint="eastAsia"/>
          </w:rPr>
          <w:t>矿山地质环境治理方案执行情况</w:t>
        </w:r>
        <w:r>
          <w:tab/>
        </w:r>
        <w:r>
          <w:fldChar w:fldCharType="begin"/>
        </w:r>
        <w:r>
          <w:instrText xml:space="preserve"> PAGEREF _Toc67065968 \h </w:instrText>
        </w:r>
        <w:r>
          <w:fldChar w:fldCharType="separate"/>
        </w:r>
        <w:r>
          <w:t>3</w:t>
        </w:r>
        <w:r>
          <w:fldChar w:fldCharType="end"/>
        </w:r>
      </w:hyperlink>
    </w:p>
    <w:p>
      <w:pPr>
        <w:pStyle w:val="TOC1"/>
        <w:tabs>
          <w:tab w:val="right" w:leader="dot" w:pos="8302"/>
        </w:tabs>
        <w:spacing w:line="360" w:lineRule="auto"/>
        <w:rPr>
          <w:rFonts w:asciiTheme="minorHAnsi" w:eastAsiaTheme="minorEastAsia" w:hAnsiTheme="minorHAnsi" w:cstheme="minorBidi"/>
          <w:b w:val="0"/>
          <w:bCs w:val="0"/>
          <w:caps w:val="0"/>
          <w:sz w:val="21"/>
          <w:szCs w:val="22"/>
        </w:rPr>
      </w:pPr>
      <w:hyperlink w:anchor="_Toc67065969" w:history="1">
        <w:r>
          <w:rPr>
            <w:rStyle w:val="Hyperlink"/>
          </w:rPr>
          <w:t>3.</w:t>
        </w:r>
        <w:r>
          <w:rPr>
            <w:rStyle w:val="Hyperlink"/>
            <w:rFonts w:hint="eastAsia"/>
          </w:rPr>
          <w:t xml:space="preserve"> 本年度矿山生产计划</w:t>
        </w:r>
        <w:r>
          <w:tab/>
        </w:r>
        <w:r>
          <w:fldChar w:fldCharType="begin"/>
        </w:r>
        <w:r>
          <w:instrText xml:space="preserve"> PAGEREF _Toc67065969 \h </w:instrText>
        </w:r>
        <w:r>
          <w:fldChar w:fldCharType="separate"/>
        </w:r>
        <w:r>
          <w:t>7</w:t>
        </w:r>
        <w:r>
          <w:fldChar w:fldCharType="end"/>
        </w:r>
      </w:hyperlink>
    </w:p>
    <w:p>
      <w:pPr>
        <w:pStyle w:val="TOC2"/>
        <w:tabs>
          <w:tab w:val="right" w:leader="dot" w:pos="8302"/>
        </w:tabs>
        <w:spacing w:line="360" w:lineRule="auto"/>
        <w:rPr>
          <w:rFonts w:asciiTheme="minorHAnsi" w:eastAsiaTheme="minorEastAsia" w:hAnsiTheme="minorHAnsi" w:cstheme="minorBidi"/>
          <w:smallCaps w:val="0"/>
          <w:sz w:val="21"/>
          <w:szCs w:val="22"/>
        </w:rPr>
      </w:pPr>
      <w:hyperlink w:anchor="_Toc67065970" w:history="1">
        <w:r>
          <w:rPr>
            <w:rStyle w:val="Hyperlink"/>
            <w:rFonts w:ascii="宋体" w:hAnsi="宋体" w:cs="宋体"/>
          </w:rPr>
          <w:t xml:space="preserve">3.1  </w:t>
        </w:r>
        <w:r>
          <w:rPr>
            <w:rStyle w:val="Hyperlink"/>
            <w:rFonts w:ascii="宋体" w:hAnsi="宋体" w:cs="宋体" w:hint="eastAsia"/>
          </w:rPr>
          <w:t>本年度的主要生产指标计划</w:t>
        </w:r>
        <w:r>
          <w:tab/>
        </w:r>
        <w:r>
          <w:fldChar w:fldCharType="begin"/>
        </w:r>
        <w:r>
          <w:instrText xml:space="preserve"> PAGEREF _Toc67065970 \h </w:instrText>
        </w:r>
        <w:r>
          <w:fldChar w:fldCharType="separate"/>
        </w:r>
        <w:r>
          <w:t>7</w:t>
        </w:r>
        <w:r>
          <w:fldChar w:fldCharType="end"/>
        </w:r>
      </w:hyperlink>
    </w:p>
    <w:p>
      <w:pPr>
        <w:pStyle w:val="TOC2"/>
        <w:tabs>
          <w:tab w:val="right" w:leader="dot" w:pos="8302"/>
        </w:tabs>
        <w:spacing w:line="360" w:lineRule="auto"/>
        <w:rPr>
          <w:rFonts w:asciiTheme="minorHAnsi" w:eastAsiaTheme="minorEastAsia" w:hAnsiTheme="minorHAnsi" w:cstheme="minorBidi"/>
          <w:smallCaps w:val="0"/>
          <w:sz w:val="21"/>
          <w:szCs w:val="22"/>
        </w:rPr>
      </w:pPr>
      <w:hyperlink w:anchor="_Toc67065971" w:history="1">
        <w:r>
          <w:rPr>
            <w:rStyle w:val="Hyperlink"/>
            <w:rFonts w:ascii="宋体" w:hAnsi="宋体" w:cs="宋体"/>
          </w:rPr>
          <w:t>2021</w:t>
        </w:r>
        <w:r>
          <w:rPr>
            <w:rStyle w:val="Hyperlink"/>
            <w:rFonts w:ascii="宋体" w:hAnsi="宋体" w:cs="宋体" w:hint="eastAsia"/>
          </w:rPr>
          <w:t>年度计划动用</w:t>
        </w:r>
        <w:r>
          <w:rPr>
            <w:rStyle w:val="Hyperlink"/>
            <w:rFonts w:ascii="宋体" w:hAnsi="宋体" w:cs="宋体"/>
          </w:rPr>
          <w:t>6-2</w:t>
        </w:r>
        <w:r>
          <w:rPr>
            <w:rStyle w:val="Hyperlink"/>
            <w:rFonts w:ascii="宋体" w:hAnsi="宋体" w:cs="宋体" w:hint="eastAsia"/>
          </w:rPr>
          <w:t>煤层储量为</w:t>
        </w:r>
        <w:r>
          <w:rPr>
            <w:rStyle w:val="Hyperlink"/>
            <w:rFonts w:ascii="宋体" w:hAnsi="宋体" w:cs="宋体"/>
          </w:rPr>
          <w:t>12</w:t>
        </w:r>
        <w:r>
          <w:rPr>
            <w:rStyle w:val="Hyperlink"/>
            <w:rFonts w:ascii="宋体" w:hAnsi="宋体" w:cs="宋体" w:hint="eastAsia"/>
          </w:rPr>
          <w:t>万吨，计划生产原煤</w:t>
        </w:r>
        <w:r>
          <w:rPr>
            <w:rStyle w:val="Hyperlink"/>
            <w:rFonts w:ascii="宋体" w:hAnsi="宋体" w:cs="宋体"/>
          </w:rPr>
          <w:t>10.32</w:t>
        </w:r>
        <w:r>
          <w:rPr>
            <w:rStyle w:val="Hyperlink"/>
            <w:rFonts w:ascii="宋体" w:hAnsi="宋体" w:cs="宋体" w:hint="eastAsia"/>
          </w:rPr>
          <w:t>万吨，计划回采率</w:t>
        </w:r>
        <w:r>
          <w:rPr>
            <w:rStyle w:val="Hyperlink"/>
            <w:rFonts w:ascii="宋体" w:hAnsi="宋体" w:cs="宋体"/>
          </w:rPr>
          <w:t>86</w:t>
        </w:r>
        <w:r>
          <w:rPr>
            <w:rStyle w:val="Hyperlink"/>
            <w:rFonts w:ascii="宋体" w:hAnsi="宋体" w:cs="宋体" w:hint="eastAsia"/>
          </w:rPr>
          <w:t>％</w:t>
        </w:r>
        <w:r>
          <w:tab/>
        </w:r>
        <w:r>
          <w:fldChar w:fldCharType="begin"/>
        </w:r>
        <w:r>
          <w:instrText xml:space="preserve"> PAGEREF _Toc67065971 \h </w:instrText>
        </w:r>
        <w:r>
          <w:fldChar w:fldCharType="separate"/>
        </w:r>
        <w:r>
          <w:t>7</w:t>
        </w:r>
        <w:r>
          <w:fldChar w:fldCharType="end"/>
        </w:r>
      </w:hyperlink>
    </w:p>
    <w:p>
      <w:pPr>
        <w:pStyle w:val="TOC1"/>
        <w:tabs>
          <w:tab w:val="right" w:leader="dot" w:pos="8302"/>
        </w:tabs>
        <w:spacing w:line="360" w:lineRule="auto"/>
        <w:rPr>
          <w:rFonts w:asciiTheme="minorHAnsi" w:eastAsiaTheme="minorEastAsia" w:hAnsiTheme="minorHAnsi" w:cstheme="minorBidi"/>
          <w:b w:val="0"/>
          <w:bCs w:val="0"/>
          <w:caps w:val="0"/>
          <w:sz w:val="21"/>
          <w:szCs w:val="22"/>
        </w:rPr>
      </w:pPr>
      <w:hyperlink w:anchor="_Toc67065972" w:history="1">
        <w:r>
          <w:rPr>
            <w:rStyle w:val="Hyperlink"/>
          </w:rPr>
          <w:t>4.</w:t>
        </w:r>
        <w:r>
          <w:rPr>
            <w:rStyle w:val="Hyperlink"/>
            <w:rFonts w:hint="eastAsia"/>
          </w:rPr>
          <w:t xml:space="preserve"> 矿山地质环境问题</w:t>
        </w:r>
        <w:r>
          <w:tab/>
        </w:r>
        <w:r>
          <w:fldChar w:fldCharType="begin"/>
        </w:r>
        <w:r>
          <w:instrText xml:space="preserve"> PAGEREF _Toc67065972 \h </w:instrText>
        </w:r>
        <w:r>
          <w:fldChar w:fldCharType="separate"/>
        </w:r>
        <w:r>
          <w:t>7</w:t>
        </w:r>
        <w:r>
          <w:fldChar w:fldCharType="end"/>
        </w:r>
      </w:hyperlink>
    </w:p>
    <w:p>
      <w:pPr>
        <w:pStyle w:val="TOC2"/>
        <w:tabs>
          <w:tab w:val="right" w:leader="dot" w:pos="8302"/>
        </w:tabs>
        <w:spacing w:line="360" w:lineRule="auto"/>
        <w:rPr>
          <w:rFonts w:asciiTheme="minorHAnsi" w:eastAsiaTheme="minorEastAsia" w:hAnsiTheme="minorHAnsi" w:cstheme="minorBidi"/>
          <w:smallCaps w:val="0"/>
          <w:sz w:val="21"/>
          <w:szCs w:val="22"/>
        </w:rPr>
      </w:pPr>
      <w:hyperlink w:anchor="_Toc67065973" w:history="1">
        <w:r>
          <w:rPr>
            <w:rStyle w:val="Hyperlink"/>
          </w:rPr>
          <w:t xml:space="preserve">4.1  </w:t>
        </w:r>
        <w:r>
          <w:rPr>
            <w:rStyle w:val="Hyperlink"/>
            <w:rFonts w:hint="eastAsia"/>
          </w:rPr>
          <w:t>矿山地质环境问题现状</w:t>
        </w:r>
        <w:r>
          <w:tab/>
        </w:r>
        <w:r>
          <w:fldChar w:fldCharType="begin"/>
        </w:r>
        <w:r>
          <w:instrText xml:space="preserve"> PAGEREF _Toc67065973 \h </w:instrText>
        </w:r>
        <w:r>
          <w:fldChar w:fldCharType="separate"/>
        </w:r>
        <w:r>
          <w:t>7</w:t>
        </w:r>
        <w:r>
          <w:fldChar w:fldCharType="end"/>
        </w:r>
      </w:hyperlink>
    </w:p>
    <w:p>
      <w:pPr>
        <w:pStyle w:val="TOC1"/>
        <w:tabs>
          <w:tab w:val="right" w:leader="dot" w:pos="8302"/>
        </w:tabs>
        <w:spacing w:line="360" w:lineRule="auto"/>
        <w:rPr>
          <w:rFonts w:asciiTheme="minorHAnsi" w:eastAsiaTheme="minorEastAsia" w:hAnsiTheme="minorHAnsi" w:cstheme="minorBidi"/>
          <w:b w:val="0"/>
          <w:bCs w:val="0"/>
          <w:caps w:val="0"/>
          <w:sz w:val="21"/>
          <w:szCs w:val="22"/>
        </w:rPr>
      </w:pPr>
      <w:hyperlink w:anchor="_Toc67065974" w:history="1">
        <w:r>
          <w:rPr>
            <w:rStyle w:val="Hyperlink"/>
          </w:rPr>
          <w:t>5.</w:t>
        </w:r>
        <w:r>
          <w:rPr>
            <w:rStyle w:val="Hyperlink"/>
            <w:rFonts w:hint="eastAsia"/>
          </w:rPr>
          <w:t xml:space="preserve"> 矿山地质环境防治工程</w:t>
        </w:r>
        <w:r>
          <w:tab/>
        </w:r>
        <w:r>
          <w:fldChar w:fldCharType="begin"/>
        </w:r>
        <w:r>
          <w:instrText xml:space="preserve"> PAGEREF _Toc67065974 \h </w:instrText>
        </w:r>
        <w:r>
          <w:fldChar w:fldCharType="separate"/>
        </w:r>
        <w:r>
          <w:t>29</w:t>
        </w:r>
        <w:r>
          <w:fldChar w:fldCharType="end"/>
        </w:r>
      </w:hyperlink>
    </w:p>
    <w:p>
      <w:pPr>
        <w:pStyle w:val="TOC2"/>
        <w:tabs>
          <w:tab w:val="right" w:leader="dot" w:pos="8302"/>
        </w:tabs>
        <w:spacing w:line="360" w:lineRule="auto"/>
        <w:rPr>
          <w:rFonts w:asciiTheme="minorHAnsi" w:eastAsiaTheme="minorEastAsia" w:hAnsiTheme="minorHAnsi" w:cstheme="minorBidi"/>
          <w:smallCaps w:val="0"/>
          <w:sz w:val="21"/>
          <w:szCs w:val="22"/>
        </w:rPr>
      </w:pPr>
      <w:hyperlink w:anchor="_Toc67065975" w:history="1">
        <w:r>
          <w:rPr>
            <w:rStyle w:val="Hyperlink"/>
          </w:rPr>
          <w:t xml:space="preserve">5.1  </w:t>
        </w:r>
        <w:r>
          <w:rPr>
            <w:rStyle w:val="Hyperlink"/>
            <w:rFonts w:hint="eastAsia"/>
          </w:rPr>
          <w:t>矿山地质环境治理区的确定</w:t>
        </w:r>
        <w:r>
          <w:tab/>
        </w:r>
        <w:r>
          <w:fldChar w:fldCharType="begin"/>
        </w:r>
        <w:r>
          <w:instrText xml:space="preserve"> PAGEREF _Toc67065975 \h </w:instrText>
        </w:r>
        <w:r>
          <w:fldChar w:fldCharType="separate"/>
        </w:r>
        <w:r>
          <w:t>29</w:t>
        </w:r>
        <w:r>
          <w:fldChar w:fldCharType="end"/>
        </w:r>
      </w:hyperlink>
    </w:p>
    <w:p>
      <w:pPr>
        <w:pStyle w:val="TOC2"/>
        <w:tabs>
          <w:tab w:val="right" w:leader="dot" w:pos="8302"/>
        </w:tabs>
        <w:spacing w:line="360" w:lineRule="auto"/>
        <w:rPr>
          <w:rFonts w:asciiTheme="minorHAnsi" w:eastAsiaTheme="minorEastAsia" w:hAnsiTheme="minorHAnsi" w:cstheme="minorBidi"/>
          <w:smallCaps w:val="0"/>
          <w:sz w:val="21"/>
          <w:szCs w:val="22"/>
        </w:rPr>
      </w:pPr>
      <w:hyperlink w:anchor="_Toc67065976" w:history="1">
        <w:r>
          <w:rPr>
            <w:rStyle w:val="Hyperlink"/>
          </w:rPr>
          <w:t xml:space="preserve">5.2  </w:t>
        </w:r>
        <w:r>
          <w:rPr>
            <w:rStyle w:val="Hyperlink"/>
            <w:rFonts w:hint="eastAsia"/>
          </w:rPr>
          <w:t>矿山地质环境治理工程</w:t>
        </w:r>
        <w:r>
          <w:tab/>
        </w:r>
        <w:r>
          <w:fldChar w:fldCharType="begin"/>
        </w:r>
        <w:r>
          <w:instrText xml:space="preserve"> PAGEREF _Toc67065976 \h </w:instrText>
        </w:r>
        <w:r>
          <w:fldChar w:fldCharType="separate"/>
        </w:r>
        <w:r>
          <w:t>29</w:t>
        </w:r>
        <w:r>
          <w:fldChar w:fldCharType="end"/>
        </w:r>
      </w:hyperlink>
    </w:p>
    <w:p>
      <w:pPr>
        <w:pStyle w:val="TOC2"/>
        <w:tabs>
          <w:tab w:val="right" w:leader="dot" w:pos="8302"/>
        </w:tabs>
        <w:spacing w:line="360" w:lineRule="auto"/>
        <w:rPr>
          <w:rFonts w:asciiTheme="minorHAnsi" w:eastAsiaTheme="minorEastAsia" w:hAnsiTheme="minorHAnsi" w:cstheme="minorBidi"/>
          <w:smallCaps w:val="0"/>
          <w:sz w:val="21"/>
          <w:szCs w:val="22"/>
        </w:rPr>
      </w:pPr>
      <w:hyperlink w:anchor="_Toc67065977" w:history="1">
        <w:r>
          <w:rPr>
            <w:rStyle w:val="Hyperlink"/>
          </w:rPr>
          <w:t xml:space="preserve">5.3  </w:t>
        </w:r>
        <w:r>
          <w:rPr>
            <w:rStyle w:val="Hyperlink"/>
            <w:rFonts w:hint="eastAsia"/>
          </w:rPr>
          <w:t>矿山地质环境监测工程</w:t>
        </w:r>
        <w:r>
          <w:tab/>
        </w:r>
        <w:r>
          <w:fldChar w:fldCharType="begin"/>
        </w:r>
        <w:r>
          <w:instrText xml:space="preserve"> PAGEREF _Toc67065977 \h </w:instrText>
        </w:r>
        <w:r>
          <w:fldChar w:fldCharType="separate"/>
        </w:r>
        <w:r>
          <w:t>30</w:t>
        </w:r>
        <w:r>
          <w:fldChar w:fldCharType="end"/>
        </w:r>
      </w:hyperlink>
    </w:p>
    <w:p>
      <w:pPr>
        <w:pStyle w:val="TOC1"/>
        <w:tabs>
          <w:tab w:val="right" w:leader="dot" w:pos="8302"/>
        </w:tabs>
        <w:spacing w:line="360" w:lineRule="auto"/>
        <w:rPr>
          <w:rFonts w:asciiTheme="minorHAnsi" w:eastAsiaTheme="minorEastAsia" w:hAnsiTheme="minorHAnsi" w:cstheme="minorBidi"/>
          <w:b w:val="0"/>
          <w:bCs w:val="0"/>
          <w:caps w:val="0"/>
          <w:sz w:val="21"/>
          <w:szCs w:val="22"/>
        </w:rPr>
      </w:pPr>
      <w:hyperlink w:anchor="_Toc67065978" w:history="1">
        <w:r>
          <w:rPr>
            <w:rStyle w:val="Hyperlink"/>
          </w:rPr>
          <w:t>6.</w:t>
        </w:r>
        <w:r>
          <w:rPr>
            <w:rStyle w:val="Hyperlink"/>
            <w:rFonts w:hint="eastAsia"/>
          </w:rPr>
          <w:t xml:space="preserve"> 经费估算</w:t>
        </w:r>
        <w:r>
          <w:tab/>
        </w:r>
        <w:r>
          <w:fldChar w:fldCharType="begin"/>
        </w:r>
        <w:r>
          <w:instrText xml:space="preserve"> PAGEREF _Toc67065978 \h </w:instrText>
        </w:r>
        <w:r>
          <w:fldChar w:fldCharType="separate"/>
        </w:r>
        <w:r>
          <w:t>33</w:t>
        </w:r>
        <w:r>
          <w:fldChar w:fldCharType="end"/>
        </w:r>
      </w:hyperlink>
    </w:p>
    <w:p>
      <w:pPr>
        <w:pStyle w:val="TOC2"/>
        <w:tabs>
          <w:tab w:val="right" w:leader="dot" w:pos="8302"/>
        </w:tabs>
        <w:spacing w:line="360" w:lineRule="auto"/>
        <w:jc w:val="center"/>
        <w:rPr>
          <w:rFonts w:eastAsia="仿宋_GB2312"/>
          <w:bCs/>
          <w:caps/>
          <w:szCs w:val="24"/>
        </w:rPr>
      </w:pPr>
      <w:r>
        <w:rPr>
          <w:rFonts w:eastAsia="仿宋_GB2312"/>
          <w:bCs/>
          <w:caps/>
          <w:szCs w:val="24"/>
        </w:rPr>
        <w:fldChar w:fldCharType="end"/>
      </w:r>
    </w:p>
    <w:p>
      <w:pPr>
        <w:pStyle w:val="TOC2"/>
        <w:tabs>
          <w:tab w:val="right" w:leader="dot" w:pos="8302"/>
        </w:tabs>
        <w:spacing w:line="360" w:lineRule="auto"/>
        <w:jc w:val="center"/>
        <w:rPr>
          <w:b/>
          <w:sz w:val="28"/>
          <w:szCs w:val="28"/>
        </w:rPr>
      </w:pPr>
      <w:r>
        <w:rPr>
          <w:b/>
          <w:sz w:val="28"/>
          <w:szCs w:val="28"/>
        </w:rPr>
        <w:t>附  图</w:t>
      </w:r>
    </w:p>
    <w:p>
      <w:pPr>
        <w:spacing w:line="560" w:lineRule="exact"/>
        <w:ind w:left="480" w:firstLine="0" w:leftChars="200" w:firstLineChars="0"/>
        <w:rPr>
          <w:rFonts w:ascii="宋体" w:hAnsi="宋体"/>
        </w:rPr>
      </w:pPr>
      <w:r>
        <w:rPr>
          <w:rFonts w:ascii="宋体" w:hAnsi="宋体" w:hint="eastAsia"/>
        </w:rPr>
        <w:t>赤峰西拉沐沦（集团）公格营子煤业有限公司煤矿2022年度</w:t>
      </w:r>
      <w:r>
        <w:rPr>
          <w:rFonts w:ascii="宋体" w:hAnsi="宋体"/>
        </w:rPr>
        <w:t>矿山地质环境治理工程部署图</w:t>
      </w:r>
      <w:r>
        <w:rPr>
          <w:rFonts w:ascii="宋体" w:hAnsi="宋体" w:hint="eastAsia"/>
        </w:rPr>
        <w:t xml:space="preserve">                                     </w:t>
      </w:r>
      <w:r>
        <w:rPr>
          <w:rFonts w:ascii="宋体" w:hAnsi="宋体"/>
        </w:rPr>
        <w:t>比例尺 1:</w:t>
      </w:r>
      <w:r>
        <w:rPr>
          <w:rFonts w:ascii="宋体" w:hAnsi="宋体" w:hint="eastAsia"/>
        </w:rPr>
        <w:t>5</w:t>
      </w:r>
      <w:r>
        <w:rPr>
          <w:rFonts w:ascii="宋体" w:hAnsi="宋体"/>
        </w:rPr>
        <w:t>000</w:t>
      </w:r>
    </w:p>
    <w:p>
      <w:pPr>
        <w:ind w:firstLine="480"/>
        <w:rPr>
          <w:highlight w:val="yellow"/>
        </w:rPr>
        <w:sectPr>
          <w:headerReference w:type="even" r:id="rId14"/>
          <w:headerReference w:type="default" r:id="rId15"/>
          <w:footerReference w:type="even" r:id="rId16"/>
          <w:footerReference w:type="default" r:id="rId17"/>
          <w:headerReference w:type="first" r:id="rId18"/>
          <w:footerReference w:type="first" r:id="rId19"/>
          <w:pgSz w:w="11906" w:h="16838"/>
          <w:pgMar w:top="1440" w:right="1797" w:bottom="1440" w:left="1797" w:header="851" w:footer="992" w:gutter="0"/>
          <w:pgNumType w:start="2"/>
          <w:cols w:num="1" w:space="720"/>
          <w:docGrid w:linePitch="312" w:charSpace="0"/>
        </w:sectPr>
      </w:pPr>
    </w:p>
    <w:p>
      <w:pPr>
        <w:pStyle w:val="Heading1"/>
        <w:pageBreakBefore w:val="0"/>
        <w:numPr>
          <w:ilvl w:val="0"/>
          <w:numId w:val="1"/>
        </w:numPr>
        <w:adjustRightInd/>
        <w:snapToGrid/>
        <w:ind w:firstLine="600" w:firstLineChars="200"/>
        <w:rPr>
          <w:rFonts w:ascii="Times New Roman" w:hAnsi="Times New Roman"/>
          <w:sz w:val="30"/>
          <w:szCs w:val="30"/>
        </w:rPr>
      </w:pPr>
      <w:bookmarkStart w:id="0" w:name="_Toc67065964"/>
      <w:r>
        <w:rPr>
          <w:rFonts w:ascii="Times New Roman" w:hAnsi="Times New Roman" w:hint="eastAsia"/>
          <w:sz w:val="30"/>
          <w:szCs w:val="30"/>
        </w:rPr>
        <w:t>矿山基本情况</w:t>
      </w:r>
      <w:bookmarkEnd w:id="0"/>
    </w:p>
    <w:p>
      <w:pPr>
        <w:autoSpaceDE w:val="0"/>
        <w:autoSpaceDN w:val="0"/>
        <w:ind w:firstLine="0" w:firstLineChars="0"/>
        <w:jc w:val="center"/>
        <w:rPr>
          <w:rFonts w:ascii="黑体" w:eastAsia="黑体" w:hAnsi="黑体"/>
          <w:sz w:val="28"/>
          <w:szCs w:val="28"/>
        </w:rPr>
      </w:pPr>
      <w:r>
        <w:rPr>
          <w:rFonts w:ascii="黑体" w:eastAsia="黑体" w:hAnsi="黑体" w:cs="仿宋_GB2312" w:hint="eastAsia"/>
          <w:bCs/>
          <w:sz w:val="28"/>
          <w:szCs w:val="28"/>
          <w:lang w:val="zh-CN"/>
        </w:rPr>
        <w:t>矿山基本信息表</w:t>
      </w:r>
    </w:p>
    <w:tbl>
      <w:tblPr>
        <w:tblStyle w:val="TableNormal"/>
        <w:tblW w:w="86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85"/>
        <w:gridCol w:w="3376"/>
        <w:gridCol w:w="240"/>
        <w:gridCol w:w="1040"/>
        <w:gridCol w:w="240"/>
        <w:gridCol w:w="2300"/>
      </w:tblGrid>
      <w:tr>
        <w:tblPrEx>
          <w:tblW w:w="86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82"/>
          <w:jc w:val="center"/>
        </w:trPr>
        <w:tc>
          <w:tcPr>
            <w:tcW w:w="8681" w:type="dxa"/>
            <w:gridSpan w:val="6"/>
            <w:vAlign w:val="center"/>
          </w:tcPr>
          <w:p>
            <w:pPr>
              <w:autoSpaceDE w:val="0"/>
              <w:autoSpaceDN w:val="0"/>
              <w:spacing w:line="240" w:lineRule="auto"/>
              <w:ind w:firstLine="0" w:firstLineChars="0"/>
              <w:jc w:val="center"/>
              <w:rPr>
                <w:rFonts w:ascii="宋体" w:hAnsi="宋体"/>
                <w:b/>
                <w:sz w:val="21"/>
                <w:szCs w:val="21"/>
                <w:lang w:val="zh-CN"/>
              </w:rPr>
            </w:pPr>
            <w:r>
              <w:rPr>
                <w:rFonts w:ascii="宋体" w:hAnsi="宋体"/>
                <w:b/>
                <w:sz w:val="21"/>
                <w:szCs w:val="21"/>
                <w:lang w:val="zh-CN"/>
              </w:rPr>
              <w:t>矿山企业基本信息</w:t>
            </w:r>
          </w:p>
        </w:tc>
      </w:tr>
      <w:tr>
        <w:tblPrEx>
          <w:tblW w:w="8681" w:type="dxa"/>
          <w:jc w:val="center"/>
          <w:tblLayout w:type="fixed"/>
          <w:tblCellMar>
            <w:top w:w="0" w:type="dxa"/>
            <w:left w:w="108" w:type="dxa"/>
            <w:bottom w:w="0" w:type="dxa"/>
            <w:right w:w="108" w:type="dxa"/>
          </w:tblCellMar>
        </w:tblPrEx>
        <w:trPr>
          <w:trHeight w:val="395"/>
          <w:jc w:val="center"/>
        </w:trPr>
        <w:tc>
          <w:tcPr>
            <w:tcW w:w="1485"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矿山名称</w:t>
            </w:r>
          </w:p>
        </w:tc>
        <w:tc>
          <w:tcPr>
            <w:tcW w:w="7196" w:type="dxa"/>
            <w:gridSpan w:val="5"/>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color w:val="000000"/>
                <w:sz w:val="21"/>
                <w:szCs w:val="21"/>
              </w:rPr>
              <w:t>赤峰西拉沐沦（集团）公格营子煤业有限公司</w:t>
            </w:r>
          </w:p>
        </w:tc>
      </w:tr>
      <w:tr>
        <w:tblPrEx>
          <w:tblW w:w="8681" w:type="dxa"/>
          <w:jc w:val="center"/>
          <w:tblLayout w:type="fixed"/>
          <w:tblCellMar>
            <w:top w:w="0" w:type="dxa"/>
            <w:left w:w="108" w:type="dxa"/>
            <w:bottom w:w="0" w:type="dxa"/>
            <w:right w:w="108" w:type="dxa"/>
          </w:tblCellMar>
        </w:tblPrEx>
        <w:trPr>
          <w:trHeight w:val="477"/>
          <w:jc w:val="center"/>
        </w:trPr>
        <w:tc>
          <w:tcPr>
            <w:tcW w:w="1485"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采矿权人</w:t>
            </w:r>
          </w:p>
        </w:tc>
        <w:tc>
          <w:tcPr>
            <w:tcW w:w="3376"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color w:val="000000"/>
                <w:sz w:val="21"/>
                <w:szCs w:val="21"/>
              </w:rPr>
              <w:t>赤峰西拉沐沦（集团）公格营子煤业有限公司</w:t>
            </w:r>
          </w:p>
        </w:tc>
        <w:tc>
          <w:tcPr>
            <w:tcW w:w="1280" w:type="dxa"/>
            <w:gridSpan w:val="2"/>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法人代表</w:t>
            </w:r>
          </w:p>
        </w:tc>
        <w:tc>
          <w:tcPr>
            <w:tcW w:w="2540" w:type="dxa"/>
            <w:gridSpan w:val="2"/>
            <w:vAlign w:val="center"/>
          </w:tcPr>
          <w:p>
            <w:pPr>
              <w:autoSpaceDE w:val="0"/>
              <w:autoSpaceDN w:val="0"/>
              <w:spacing w:line="240" w:lineRule="auto"/>
              <w:ind w:firstLine="0" w:firstLineChars="0"/>
              <w:jc w:val="center"/>
              <w:rPr>
                <w:rFonts w:ascii="宋体" w:hAnsi="宋体" w:cs="宋体"/>
                <w:sz w:val="21"/>
                <w:szCs w:val="21"/>
                <w:lang w:val="zh-CN"/>
              </w:rPr>
            </w:pPr>
          </w:p>
        </w:tc>
      </w:tr>
      <w:tr>
        <w:tblPrEx>
          <w:tblW w:w="8681" w:type="dxa"/>
          <w:jc w:val="center"/>
          <w:tblLayout w:type="fixed"/>
          <w:tblCellMar>
            <w:top w:w="0" w:type="dxa"/>
            <w:left w:w="108" w:type="dxa"/>
            <w:bottom w:w="0" w:type="dxa"/>
            <w:right w:w="108" w:type="dxa"/>
          </w:tblCellMar>
        </w:tblPrEx>
        <w:trPr>
          <w:trHeight w:val="420"/>
          <w:jc w:val="center"/>
        </w:trPr>
        <w:tc>
          <w:tcPr>
            <w:tcW w:w="1485"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采矿许可证号</w:t>
            </w:r>
          </w:p>
        </w:tc>
        <w:tc>
          <w:tcPr>
            <w:tcW w:w="3376" w:type="dxa"/>
            <w:vAlign w:val="center"/>
          </w:tcPr>
          <w:p>
            <w:pPr>
              <w:ind w:firstLine="0" w:firstLineChars="0"/>
              <w:rPr>
                <w:rFonts w:ascii="宋体" w:hAnsi="宋体" w:cs="宋体"/>
                <w:sz w:val="21"/>
                <w:szCs w:val="21"/>
                <w:lang w:val="zh-CN"/>
              </w:rPr>
            </w:pPr>
            <w:r>
              <w:rPr>
                <w:rFonts w:ascii="宋体" w:hAnsi="宋体" w:cs="宋体" w:hint="eastAsia"/>
                <w:sz w:val="21"/>
                <w:szCs w:val="21"/>
              </w:rPr>
              <w:t>C1500002010111120083164</w:t>
            </w:r>
          </w:p>
        </w:tc>
        <w:tc>
          <w:tcPr>
            <w:tcW w:w="1280" w:type="dxa"/>
            <w:gridSpan w:val="2"/>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发证机关</w:t>
            </w:r>
          </w:p>
        </w:tc>
        <w:tc>
          <w:tcPr>
            <w:tcW w:w="2540" w:type="dxa"/>
            <w:gridSpan w:val="2"/>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内蒙古自治区自然资源厅</w:t>
            </w:r>
          </w:p>
        </w:tc>
      </w:tr>
      <w:tr>
        <w:tblPrEx>
          <w:tblW w:w="8681" w:type="dxa"/>
          <w:jc w:val="center"/>
          <w:tblLayout w:type="fixed"/>
          <w:tblCellMar>
            <w:top w:w="0" w:type="dxa"/>
            <w:left w:w="108" w:type="dxa"/>
            <w:bottom w:w="0" w:type="dxa"/>
            <w:right w:w="108" w:type="dxa"/>
          </w:tblCellMar>
        </w:tblPrEx>
        <w:trPr>
          <w:trHeight w:val="517"/>
          <w:jc w:val="center"/>
        </w:trPr>
        <w:tc>
          <w:tcPr>
            <w:tcW w:w="1485"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有效期限</w:t>
            </w:r>
          </w:p>
        </w:tc>
        <w:tc>
          <w:tcPr>
            <w:tcW w:w="3376"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20</w:t>
            </w:r>
            <w:r>
              <w:rPr>
                <w:rFonts w:ascii="宋体" w:hAnsi="宋体" w:cs="宋体" w:hint="eastAsia"/>
                <w:sz w:val="21"/>
                <w:szCs w:val="21"/>
              </w:rPr>
              <w:t>21</w:t>
            </w:r>
            <w:r>
              <w:rPr>
                <w:rFonts w:ascii="宋体" w:hAnsi="宋体" w:cs="宋体" w:hint="eastAsia"/>
                <w:sz w:val="21"/>
                <w:szCs w:val="21"/>
                <w:lang w:val="zh-CN"/>
              </w:rPr>
              <w:t>年</w:t>
            </w:r>
            <w:r>
              <w:rPr>
                <w:rFonts w:ascii="宋体" w:hAnsi="宋体" w:cs="宋体" w:hint="eastAsia"/>
                <w:sz w:val="21"/>
                <w:szCs w:val="21"/>
              </w:rPr>
              <w:t>12</w:t>
            </w:r>
            <w:r>
              <w:rPr>
                <w:rFonts w:ascii="宋体" w:hAnsi="宋体" w:cs="宋体" w:hint="eastAsia"/>
                <w:sz w:val="21"/>
                <w:szCs w:val="21"/>
                <w:lang w:val="zh-CN"/>
              </w:rPr>
              <w:t>月</w:t>
            </w:r>
            <w:r>
              <w:rPr>
                <w:rFonts w:ascii="宋体" w:hAnsi="宋体" w:cs="宋体" w:hint="eastAsia"/>
                <w:sz w:val="21"/>
                <w:szCs w:val="21"/>
              </w:rPr>
              <w:t>12</w:t>
            </w:r>
            <w:r>
              <w:rPr>
                <w:rFonts w:ascii="宋体" w:hAnsi="宋体" w:cs="宋体" w:hint="eastAsia"/>
                <w:sz w:val="21"/>
                <w:szCs w:val="21"/>
                <w:lang w:val="zh-CN"/>
              </w:rPr>
              <w:t>日至20</w:t>
            </w:r>
            <w:r>
              <w:rPr>
                <w:rFonts w:ascii="宋体" w:hAnsi="宋体" w:cs="宋体" w:hint="eastAsia"/>
                <w:sz w:val="21"/>
                <w:szCs w:val="21"/>
              </w:rPr>
              <w:t>22</w:t>
            </w:r>
            <w:r>
              <w:rPr>
                <w:rFonts w:ascii="宋体" w:hAnsi="宋体" w:cs="宋体" w:hint="eastAsia"/>
                <w:sz w:val="21"/>
                <w:szCs w:val="21"/>
                <w:lang w:val="zh-CN"/>
              </w:rPr>
              <w:t>年</w:t>
            </w:r>
            <w:r>
              <w:rPr>
                <w:rFonts w:ascii="宋体" w:hAnsi="宋体" w:cs="宋体" w:hint="eastAsia"/>
                <w:sz w:val="21"/>
                <w:szCs w:val="21"/>
              </w:rPr>
              <w:t>12</w:t>
            </w:r>
            <w:r>
              <w:rPr>
                <w:rFonts w:ascii="宋体" w:hAnsi="宋体" w:cs="宋体" w:hint="eastAsia"/>
                <w:sz w:val="21"/>
                <w:szCs w:val="21"/>
                <w:lang w:val="zh-CN"/>
              </w:rPr>
              <w:t>月</w:t>
            </w:r>
            <w:r>
              <w:rPr>
                <w:rFonts w:ascii="宋体" w:hAnsi="宋体" w:cs="宋体" w:hint="eastAsia"/>
                <w:sz w:val="21"/>
                <w:szCs w:val="21"/>
              </w:rPr>
              <w:t>12</w:t>
            </w:r>
            <w:r>
              <w:rPr>
                <w:rFonts w:ascii="宋体" w:hAnsi="宋体" w:cs="宋体" w:hint="eastAsia"/>
                <w:sz w:val="21"/>
                <w:szCs w:val="21"/>
                <w:lang w:val="zh-CN"/>
              </w:rPr>
              <w:t>日</w:t>
            </w:r>
          </w:p>
        </w:tc>
        <w:tc>
          <w:tcPr>
            <w:tcW w:w="1280" w:type="dxa"/>
            <w:gridSpan w:val="2"/>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发证日期</w:t>
            </w:r>
          </w:p>
        </w:tc>
        <w:tc>
          <w:tcPr>
            <w:tcW w:w="2540" w:type="dxa"/>
            <w:gridSpan w:val="2"/>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2021年</w:t>
            </w:r>
            <w:r>
              <w:rPr>
                <w:rFonts w:ascii="宋体" w:hAnsi="宋体" w:cs="宋体" w:hint="eastAsia"/>
                <w:sz w:val="21"/>
                <w:szCs w:val="21"/>
              </w:rPr>
              <w:t>12</w:t>
            </w:r>
            <w:r>
              <w:rPr>
                <w:rFonts w:ascii="宋体" w:hAnsi="宋体" w:cs="宋体" w:hint="eastAsia"/>
                <w:sz w:val="21"/>
                <w:szCs w:val="21"/>
                <w:lang w:val="zh-CN"/>
              </w:rPr>
              <w:t>月</w:t>
            </w:r>
            <w:r>
              <w:rPr>
                <w:rFonts w:ascii="宋体" w:hAnsi="宋体" w:cs="宋体" w:hint="eastAsia"/>
                <w:sz w:val="21"/>
                <w:szCs w:val="21"/>
              </w:rPr>
              <w:t>12</w:t>
            </w:r>
            <w:r>
              <w:rPr>
                <w:rFonts w:ascii="宋体" w:hAnsi="宋体" w:cs="宋体" w:hint="eastAsia"/>
                <w:sz w:val="21"/>
                <w:szCs w:val="21"/>
                <w:lang w:val="zh-CN"/>
              </w:rPr>
              <w:t>日</w:t>
            </w:r>
          </w:p>
        </w:tc>
      </w:tr>
      <w:tr>
        <w:tblPrEx>
          <w:tblW w:w="8681" w:type="dxa"/>
          <w:jc w:val="center"/>
          <w:tblLayout w:type="fixed"/>
          <w:tblCellMar>
            <w:top w:w="0" w:type="dxa"/>
            <w:left w:w="108" w:type="dxa"/>
            <w:bottom w:w="0" w:type="dxa"/>
            <w:right w:w="108" w:type="dxa"/>
          </w:tblCellMar>
        </w:tblPrEx>
        <w:trPr>
          <w:trHeight w:val="417"/>
          <w:jc w:val="center"/>
        </w:trPr>
        <w:tc>
          <w:tcPr>
            <w:tcW w:w="1485"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矿区地址</w:t>
            </w:r>
          </w:p>
        </w:tc>
        <w:tc>
          <w:tcPr>
            <w:tcW w:w="7196" w:type="dxa"/>
            <w:gridSpan w:val="5"/>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rPr>
              <w:t>内蒙古自治区赤峰市元宝山区美丽河镇</w:t>
            </w:r>
          </w:p>
        </w:tc>
      </w:tr>
      <w:tr>
        <w:tblPrEx>
          <w:tblW w:w="8681" w:type="dxa"/>
          <w:jc w:val="center"/>
          <w:tblLayout w:type="fixed"/>
          <w:tblCellMar>
            <w:top w:w="0" w:type="dxa"/>
            <w:left w:w="108" w:type="dxa"/>
            <w:bottom w:w="0" w:type="dxa"/>
            <w:right w:w="108" w:type="dxa"/>
          </w:tblCellMar>
        </w:tblPrEx>
        <w:trPr>
          <w:trHeight w:val="567"/>
          <w:jc w:val="center"/>
        </w:trPr>
        <w:tc>
          <w:tcPr>
            <w:tcW w:w="1485"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经纬度坐标</w:t>
            </w:r>
          </w:p>
        </w:tc>
        <w:tc>
          <w:tcPr>
            <w:tcW w:w="7196" w:type="dxa"/>
            <w:gridSpan w:val="5"/>
            <w:vAlign w:val="center"/>
          </w:tcPr>
          <w:p>
            <w:pPr>
              <w:ind w:firstLine="420"/>
              <w:rPr>
                <w:rFonts w:ascii="宋体" w:hAnsi="宋体" w:cs="宋体"/>
                <w:sz w:val="21"/>
                <w:szCs w:val="21"/>
              </w:rPr>
            </w:pPr>
            <w:r>
              <w:rPr>
                <w:rFonts w:ascii="宋体" w:hAnsi="宋体" w:cs="宋体" w:hint="eastAsia"/>
                <w:sz w:val="21"/>
                <w:szCs w:val="21"/>
              </w:rPr>
              <w:t>东经119°19′55″–119°20′25″</w:t>
            </w:r>
          </w:p>
          <w:p>
            <w:pPr>
              <w:ind w:firstLine="420"/>
              <w:rPr>
                <w:rFonts w:ascii="宋体" w:hAnsi="宋体" w:cs="宋体"/>
                <w:sz w:val="21"/>
                <w:szCs w:val="21"/>
                <w:lang w:val="zh-CN"/>
              </w:rPr>
            </w:pPr>
            <w:r>
              <w:rPr>
                <w:rFonts w:ascii="宋体" w:hAnsi="宋体" w:cs="宋体" w:hint="eastAsia"/>
                <w:sz w:val="21"/>
                <w:szCs w:val="21"/>
              </w:rPr>
              <w:t>北纬42°04′56″–42°05′39″</w:t>
            </w:r>
          </w:p>
        </w:tc>
      </w:tr>
      <w:tr>
        <w:tblPrEx>
          <w:tblW w:w="8681" w:type="dxa"/>
          <w:jc w:val="center"/>
          <w:tblLayout w:type="fixed"/>
          <w:tblCellMar>
            <w:top w:w="0" w:type="dxa"/>
            <w:left w:w="108" w:type="dxa"/>
            <w:bottom w:w="0" w:type="dxa"/>
            <w:right w:w="108" w:type="dxa"/>
          </w:tblCellMar>
        </w:tblPrEx>
        <w:trPr>
          <w:trHeight w:val="567"/>
          <w:jc w:val="center"/>
        </w:trPr>
        <w:tc>
          <w:tcPr>
            <w:tcW w:w="1485"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经济类型</w:t>
            </w:r>
          </w:p>
        </w:tc>
        <w:tc>
          <w:tcPr>
            <w:tcW w:w="3376"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color w:val="000000"/>
                <w:sz w:val="21"/>
                <w:szCs w:val="21"/>
              </w:rPr>
              <w:t>有限责任公司</w:t>
            </w:r>
          </w:p>
        </w:tc>
        <w:tc>
          <w:tcPr>
            <w:tcW w:w="1520" w:type="dxa"/>
            <w:gridSpan w:val="3"/>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生产规模</w:t>
            </w:r>
          </w:p>
        </w:tc>
        <w:tc>
          <w:tcPr>
            <w:tcW w:w="2300"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小</w:t>
            </w:r>
          </w:p>
        </w:tc>
      </w:tr>
      <w:tr>
        <w:tblPrEx>
          <w:tblW w:w="8681" w:type="dxa"/>
          <w:jc w:val="center"/>
          <w:tblLayout w:type="fixed"/>
          <w:tblCellMar>
            <w:top w:w="0" w:type="dxa"/>
            <w:left w:w="108" w:type="dxa"/>
            <w:bottom w:w="0" w:type="dxa"/>
            <w:right w:w="108" w:type="dxa"/>
          </w:tblCellMar>
        </w:tblPrEx>
        <w:trPr>
          <w:trHeight w:val="483"/>
          <w:jc w:val="center"/>
        </w:trPr>
        <w:tc>
          <w:tcPr>
            <w:tcW w:w="1485"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开采矿种</w:t>
            </w:r>
          </w:p>
        </w:tc>
        <w:tc>
          <w:tcPr>
            <w:tcW w:w="3376"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煤炭</w:t>
            </w:r>
          </w:p>
        </w:tc>
        <w:tc>
          <w:tcPr>
            <w:tcW w:w="1520" w:type="dxa"/>
            <w:gridSpan w:val="3"/>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采矿方式</w:t>
            </w:r>
          </w:p>
        </w:tc>
        <w:tc>
          <w:tcPr>
            <w:tcW w:w="2300"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地下开采</w:t>
            </w:r>
          </w:p>
        </w:tc>
      </w:tr>
      <w:tr>
        <w:tblPrEx>
          <w:tblW w:w="8681" w:type="dxa"/>
          <w:jc w:val="center"/>
          <w:tblLayout w:type="fixed"/>
          <w:tblCellMar>
            <w:top w:w="0" w:type="dxa"/>
            <w:left w:w="108" w:type="dxa"/>
            <w:bottom w:w="0" w:type="dxa"/>
            <w:right w:w="108" w:type="dxa"/>
          </w:tblCellMar>
        </w:tblPrEx>
        <w:trPr>
          <w:trHeight w:val="477"/>
          <w:jc w:val="center"/>
        </w:trPr>
        <w:tc>
          <w:tcPr>
            <w:tcW w:w="1485"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矿区面积</w:t>
            </w:r>
          </w:p>
        </w:tc>
        <w:tc>
          <w:tcPr>
            <w:tcW w:w="3376"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rPr>
              <w:t>0.4461</w:t>
            </w:r>
            <w:r>
              <w:rPr>
                <w:rFonts w:ascii="宋体" w:hAnsi="宋体" w:cs="宋体" w:hint="eastAsia"/>
                <w:sz w:val="21"/>
                <w:szCs w:val="21"/>
                <w:lang w:val="zh-CN"/>
              </w:rPr>
              <w:t>km</w:t>
            </w:r>
            <w:r>
              <w:rPr>
                <w:rFonts w:ascii="宋体" w:hAnsi="宋体" w:cs="宋体" w:hint="eastAsia"/>
                <w:sz w:val="21"/>
                <w:szCs w:val="21"/>
                <w:vertAlign w:val="superscript"/>
                <w:lang w:val="zh-CN"/>
              </w:rPr>
              <w:t>2</w:t>
            </w:r>
          </w:p>
        </w:tc>
        <w:tc>
          <w:tcPr>
            <w:tcW w:w="1520" w:type="dxa"/>
            <w:gridSpan w:val="3"/>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生产现状</w:t>
            </w:r>
          </w:p>
        </w:tc>
        <w:tc>
          <w:tcPr>
            <w:tcW w:w="2300"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生产</w:t>
            </w:r>
          </w:p>
        </w:tc>
      </w:tr>
      <w:tr>
        <w:tblPrEx>
          <w:tblW w:w="8681" w:type="dxa"/>
          <w:jc w:val="center"/>
          <w:tblLayout w:type="fixed"/>
          <w:tblCellMar>
            <w:top w:w="0" w:type="dxa"/>
            <w:left w:w="108" w:type="dxa"/>
            <w:bottom w:w="0" w:type="dxa"/>
            <w:right w:w="108" w:type="dxa"/>
          </w:tblCellMar>
        </w:tblPrEx>
        <w:trPr>
          <w:trHeight w:val="457"/>
          <w:jc w:val="center"/>
        </w:trPr>
        <w:tc>
          <w:tcPr>
            <w:tcW w:w="1485"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建矿时间</w:t>
            </w:r>
          </w:p>
        </w:tc>
        <w:tc>
          <w:tcPr>
            <w:tcW w:w="3376"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rPr>
              <w:t>1998</w:t>
            </w:r>
            <w:r>
              <w:rPr>
                <w:rFonts w:ascii="宋体" w:hAnsi="宋体" w:cs="宋体" w:hint="eastAsia"/>
                <w:sz w:val="21"/>
                <w:szCs w:val="21"/>
                <w:lang w:val="zh-CN"/>
              </w:rPr>
              <w:t>年0</w:t>
            </w:r>
            <w:r>
              <w:rPr>
                <w:rFonts w:ascii="宋体" w:hAnsi="宋体" w:cs="宋体" w:hint="eastAsia"/>
                <w:sz w:val="21"/>
                <w:szCs w:val="21"/>
              </w:rPr>
              <w:t>6</w:t>
            </w:r>
            <w:r>
              <w:rPr>
                <w:rFonts w:ascii="宋体" w:hAnsi="宋体" w:cs="宋体" w:hint="eastAsia"/>
                <w:sz w:val="21"/>
                <w:szCs w:val="21"/>
                <w:lang w:val="zh-CN"/>
              </w:rPr>
              <w:t>月</w:t>
            </w:r>
          </w:p>
        </w:tc>
        <w:tc>
          <w:tcPr>
            <w:tcW w:w="1520" w:type="dxa"/>
            <w:gridSpan w:val="3"/>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设计生产能力</w:t>
            </w:r>
          </w:p>
        </w:tc>
        <w:tc>
          <w:tcPr>
            <w:tcW w:w="2300"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rPr>
              <w:t>30</w:t>
            </w:r>
            <w:r>
              <w:rPr>
                <w:rFonts w:ascii="宋体" w:hAnsi="宋体" w:cs="宋体" w:hint="eastAsia"/>
                <w:sz w:val="21"/>
                <w:szCs w:val="21"/>
                <w:lang w:val="zh-CN"/>
              </w:rPr>
              <w:t>×10</w:t>
            </w:r>
            <w:r>
              <w:rPr>
                <w:rFonts w:ascii="宋体" w:hAnsi="宋体" w:cs="宋体" w:hint="eastAsia"/>
                <w:sz w:val="21"/>
                <w:szCs w:val="21"/>
                <w:vertAlign w:val="superscript"/>
                <w:lang w:val="zh-CN"/>
              </w:rPr>
              <w:t>4</w:t>
            </w:r>
            <w:r>
              <w:rPr>
                <w:rFonts w:ascii="宋体" w:hAnsi="宋体" w:cs="宋体" w:hint="eastAsia"/>
                <w:sz w:val="21"/>
                <w:szCs w:val="21"/>
                <w:lang w:val="zh-CN"/>
              </w:rPr>
              <w:t>m</w:t>
            </w:r>
            <w:r>
              <w:rPr>
                <w:rFonts w:ascii="宋体" w:hAnsi="宋体" w:cs="宋体" w:hint="eastAsia"/>
                <w:sz w:val="21"/>
                <w:szCs w:val="21"/>
                <w:vertAlign w:val="superscript"/>
                <w:lang w:val="zh-CN"/>
              </w:rPr>
              <w:t>3</w:t>
            </w:r>
            <w:r>
              <w:rPr>
                <w:rFonts w:ascii="宋体" w:hAnsi="宋体" w:cs="宋体" w:hint="eastAsia"/>
                <w:sz w:val="21"/>
                <w:szCs w:val="21"/>
                <w:lang w:val="zh-CN"/>
              </w:rPr>
              <w:t>/年</w:t>
            </w:r>
          </w:p>
        </w:tc>
      </w:tr>
      <w:tr>
        <w:tblPrEx>
          <w:tblW w:w="8681" w:type="dxa"/>
          <w:jc w:val="center"/>
          <w:tblLayout w:type="fixed"/>
          <w:tblCellMar>
            <w:top w:w="0" w:type="dxa"/>
            <w:left w:w="108" w:type="dxa"/>
            <w:bottom w:w="0" w:type="dxa"/>
            <w:right w:w="108" w:type="dxa"/>
          </w:tblCellMar>
        </w:tblPrEx>
        <w:trPr>
          <w:trHeight w:val="417"/>
          <w:jc w:val="center"/>
        </w:trPr>
        <w:tc>
          <w:tcPr>
            <w:tcW w:w="1485"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设计服务年限</w:t>
            </w:r>
          </w:p>
        </w:tc>
        <w:tc>
          <w:tcPr>
            <w:tcW w:w="3376" w:type="dxa"/>
            <w:vAlign w:val="center"/>
          </w:tcPr>
          <w:p>
            <w:pPr>
              <w:autoSpaceDE w:val="0"/>
              <w:autoSpaceDN w:val="0"/>
              <w:spacing w:line="240" w:lineRule="auto"/>
              <w:ind w:firstLine="0" w:firstLineChars="0"/>
              <w:jc w:val="center"/>
              <w:rPr>
                <w:rFonts w:ascii="宋体" w:hAnsi="宋体" w:cs="宋体"/>
                <w:sz w:val="21"/>
                <w:szCs w:val="21"/>
              </w:rPr>
            </w:pPr>
            <w:r>
              <w:rPr>
                <w:rFonts w:ascii="宋体" w:hAnsi="宋体" w:cs="宋体" w:hint="eastAsia"/>
                <w:sz w:val="21"/>
                <w:szCs w:val="21"/>
              </w:rPr>
              <w:t>11.43年</w:t>
            </w:r>
          </w:p>
        </w:tc>
        <w:tc>
          <w:tcPr>
            <w:tcW w:w="1520" w:type="dxa"/>
            <w:gridSpan w:val="3"/>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实际生产能力</w:t>
            </w:r>
          </w:p>
        </w:tc>
        <w:tc>
          <w:tcPr>
            <w:tcW w:w="2300"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rPr>
              <w:t>15.3</w:t>
            </w:r>
            <w:r>
              <w:rPr>
                <w:rFonts w:ascii="宋体" w:hAnsi="宋体" w:cs="宋体" w:hint="eastAsia"/>
                <w:sz w:val="21"/>
                <w:szCs w:val="21"/>
                <w:lang w:val="zh-CN"/>
              </w:rPr>
              <w:t>×10</w:t>
            </w:r>
            <w:r>
              <w:rPr>
                <w:rFonts w:ascii="宋体" w:hAnsi="宋体" w:cs="宋体" w:hint="eastAsia"/>
                <w:sz w:val="21"/>
                <w:szCs w:val="21"/>
                <w:vertAlign w:val="superscript"/>
                <w:lang w:val="zh-CN"/>
              </w:rPr>
              <w:t>4</w:t>
            </w:r>
            <w:r>
              <w:rPr>
                <w:rFonts w:ascii="宋体" w:hAnsi="宋体" w:cs="宋体" w:hint="eastAsia"/>
                <w:sz w:val="21"/>
                <w:szCs w:val="21"/>
                <w:lang w:val="zh-CN"/>
              </w:rPr>
              <w:t>m</w:t>
            </w:r>
            <w:r>
              <w:rPr>
                <w:rFonts w:ascii="宋体" w:hAnsi="宋体" w:cs="宋体" w:hint="eastAsia"/>
                <w:sz w:val="21"/>
                <w:szCs w:val="21"/>
                <w:vertAlign w:val="superscript"/>
                <w:lang w:val="zh-CN"/>
              </w:rPr>
              <w:t>3</w:t>
            </w:r>
            <w:r>
              <w:rPr>
                <w:rFonts w:ascii="宋体" w:hAnsi="宋体" w:cs="宋体" w:hint="eastAsia"/>
                <w:sz w:val="21"/>
                <w:szCs w:val="21"/>
                <w:lang w:val="zh-CN"/>
              </w:rPr>
              <w:t>/年</w:t>
            </w:r>
          </w:p>
        </w:tc>
      </w:tr>
      <w:tr>
        <w:tblPrEx>
          <w:tblW w:w="8681" w:type="dxa"/>
          <w:jc w:val="center"/>
          <w:tblLayout w:type="fixed"/>
          <w:tblCellMar>
            <w:top w:w="0" w:type="dxa"/>
            <w:left w:w="108" w:type="dxa"/>
            <w:bottom w:w="0" w:type="dxa"/>
            <w:right w:w="108" w:type="dxa"/>
          </w:tblCellMar>
        </w:tblPrEx>
        <w:trPr>
          <w:trHeight w:val="444"/>
          <w:jc w:val="center"/>
        </w:trPr>
        <w:tc>
          <w:tcPr>
            <w:tcW w:w="1485"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剩余服务年限</w:t>
            </w:r>
          </w:p>
        </w:tc>
        <w:tc>
          <w:tcPr>
            <w:tcW w:w="3376"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rPr>
              <w:t>1</w:t>
            </w:r>
            <w:r>
              <w:rPr>
                <w:rFonts w:ascii="宋体" w:hAnsi="宋体" w:cs="宋体" w:hint="eastAsia"/>
                <w:sz w:val="21"/>
                <w:szCs w:val="21"/>
                <w:lang w:val="zh-CN"/>
              </w:rPr>
              <w:t>年</w:t>
            </w:r>
          </w:p>
        </w:tc>
        <w:tc>
          <w:tcPr>
            <w:tcW w:w="1520" w:type="dxa"/>
            <w:gridSpan w:val="3"/>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开采深度</w:t>
            </w:r>
          </w:p>
        </w:tc>
        <w:tc>
          <w:tcPr>
            <w:tcW w:w="2300"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rPr>
              <w:t>488</w:t>
            </w:r>
            <w:r>
              <w:rPr>
                <w:rFonts w:ascii="宋体" w:hAnsi="宋体" w:cs="宋体" w:hint="eastAsia"/>
                <w:sz w:val="21"/>
                <w:szCs w:val="21"/>
                <w:lang w:val="zh-CN"/>
              </w:rPr>
              <w:t>m至</w:t>
            </w:r>
            <w:r>
              <w:rPr>
                <w:rFonts w:ascii="宋体" w:hAnsi="宋体" w:cs="宋体" w:hint="eastAsia"/>
                <w:sz w:val="21"/>
                <w:szCs w:val="21"/>
              </w:rPr>
              <w:t>100</w:t>
            </w:r>
            <w:r>
              <w:rPr>
                <w:rFonts w:ascii="宋体" w:hAnsi="宋体" w:cs="宋体" w:hint="eastAsia"/>
                <w:sz w:val="21"/>
                <w:szCs w:val="21"/>
                <w:lang w:val="zh-CN"/>
              </w:rPr>
              <w:t>m标高</w:t>
            </w:r>
          </w:p>
        </w:tc>
      </w:tr>
      <w:tr>
        <w:tblPrEx>
          <w:tblW w:w="8681" w:type="dxa"/>
          <w:jc w:val="center"/>
          <w:tblLayout w:type="fixed"/>
          <w:tblCellMar>
            <w:top w:w="0" w:type="dxa"/>
            <w:left w:w="108" w:type="dxa"/>
            <w:bottom w:w="0" w:type="dxa"/>
            <w:right w:w="108" w:type="dxa"/>
          </w:tblCellMar>
        </w:tblPrEx>
        <w:trPr>
          <w:trHeight w:val="438"/>
          <w:jc w:val="center"/>
        </w:trPr>
        <w:tc>
          <w:tcPr>
            <w:tcW w:w="1485"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查明资源储量</w:t>
            </w:r>
          </w:p>
        </w:tc>
        <w:tc>
          <w:tcPr>
            <w:tcW w:w="3376" w:type="dxa"/>
            <w:vAlign w:val="center"/>
          </w:tcPr>
          <w:p>
            <w:pPr>
              <w:autoSpaceDE w:val="0"/>
              <w:autoSpaceDN w:val="0"/>
              <w:spacing w:line="240" w:lineRule="auto"/>
              <w:ind w:firstLine="0" w:firstLineChars="0"/>
              <w:jc w:val="center"/>
              <w:rPr>
                <w:rFonts w:ascii="宋体" w:hAnsi="宋体" w:cs="宋体"/>
                <w:sz w:val="21"/>
                <w:szCs w:val="21"/>
              </w:rPr>
            </w:pPr>
            <w:r>
              <w:rPr>
                <w:rFonts w:ascii="宋体" w:hAnsi="宋体" w:cs="宋体" w:hint="eastAsia"/>
                <w:sz w:val="21"/>
                <w:szCs w:val="21"/>
              </w:rPr>
              <w:t>1278.0万吨</w:t>
            </w:r>
          </w:p>
        </w:tc>
        <w:tc>
          <w:tcPr>
            <w:tcW w:w="1520" w:type="dxa"/>
            <w:gridSpan w:val="3"/>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剩余资源储量</w:t>
            </w:r>
          </w:p>
        </w:tc>
        <w:tc>
          <w:tcPr>
            <w:tcW w:w="2300" w:type="dxa"/>
            <w:vAlign w:val="center"/>
          </w:tcPr>
          <w:p>
            <w:pPr>
              <w:autoSpaceDE w:val="0"/>
              <w:autoSpaceDN w:val="0"/>
              <w:spacing w:line="240" w:lineRule="auto"/>
              <w:ind w:firstLine="0" w:firstLineChars="0"/>
              <w:jc w:val="center"/>
              <w:rPr>
                <w:rFonts w:ascii="宋体" w:hAnsi="宋体" w:cs="宋体"/>
                <w:sz w:val="21"/>
                <w:szCs w:val="21"/>
              </w:rPr>
            </w:pPr>
            <w:r>
              <w:rPr>
                <w:rFonts w:ascii="宋体" w:hAnsi="宋体" w:cs="宋体" w:hint="eastAsia"/>
                <w:sz w:val="21"/>
                <w:szCs w:val="21"/>
              </w:rPr>
              <w:t>1007.68万吨</w:t>
            </w:r>
          </w:p>
        </w:tc>
      </w:tr>
      <w:tr>
        <w:tblPrEx>
          <w:tblW w:w="8681" w:type="dxa"/>
          <w:jc w:val="center"/>
          <w:tblLayout w:type="fixed"/>
          <w:tblCellMar>
            <w:top w:w="0" w:type="dxa"/>
            <w:left w:w="108" w:type="dxa"/>
            <w:bottom w:w="0" w:type="dxa"/>
            <w:right w:w="108" w:type="dxa"/>
          </w:tblCellMar>
        </w:tblPrEx>
        <w:trPr>
          <w:trHeight w:val="567"/>
          <w:jc w:val="center"/>
        </w:trPr>
        <w:tc>
          <w:tcPr>
            <w:tcW w:w="1485"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矿区范围</w:t>
            </w:r>
          </w:p>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拐点坐标</w:t>
            </w:r>
          </w:p>
        </w:tc>
        <w:tc>
          <w:tcPr>
            <w:tcW w:w="7196" w:type="dxa"/>
            <w:gridSpan w:val="5"/>
            <w:vAlign w:val="center"/>
          </w:tcPr>
          <w:p>
            <w:pPr>
              <w:autoSpaceDE w:val="0"/>
              <w:autoSpaceDN w:val="0"/>
              <w:spacing w:line="240" w:lineRule="auto"/>
              <w:ind w:firstLine="0" w:firstLineChars="0"/>
              <w:jc w:val="center"/>
              <w:textAlignment w:val="center"/>
              <w:rPr>
                <w:rFonts w:ascii="宋体" w:hAnsi="宋体" w:cs="宋体"/>
                <w:sz w:val="21"/>
                <w:szCs w:val="21"/>
                <w:lang w:val="zh-CN"/>
              </w:rPr>
            </w:pPr>
            <w:r>
              <w:rPr>
                <w:rFonts w:ascii="宋体" w:hAnsi="宋体" w:cs="宋体" w:hint="eastAsia"/>
                <w:sz w:val="21"/>
                <w:szCs w:val="21"/>
                <w:lang w:val="zh-CN"/>
              </w:rPr>
              <w:t>见下附表</w:t>
            </w:r>
          </w:p>
        </w:tc>
      </w:tr>
      <w:tr>
        <w:tblPrEx>
          <w:tblW w:w="8681" w:type="dxa"/>
          <w:jc w:val="center"/>
          <w:tblLayout w:type="fixed"/>
          <w:tblCellMar>
            <w:top w:w="0" w:type="dxa"/>
            <w:left w:w="108" w:type="dxa"/>
            <w:bottom w:w="0" w:type="dxa"/>
            <w:right w:w="108" w:type="dxa"/>
          </w:tblCellMar>
        </w:tblPrEx>
        <w:trPr>
          <w:trHeight w:val="412"/>
          <w:jc w:val="center"/>
        </w:trPr>
        <w:tc>
          <w:tcPr>
            <w:tcW w:w="1485"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基金计提</w:t>
            </w:r>
          </w:p>
        </w:tc>
        <w:tc>
          <w:tcPr>
            <w:tcW w:w="3376" w:type="dxa"/>
            <w:vAlign w:val="center"/>
          </w:tcPr>
          <w:p>
            <w:pPr>
              <w:autoSpaceDE w:val="0"/>
              <w:autoSpaceDN w:val="0"/>
              <w:spacing w:line="240" w:lineRule="auto"/>
              <w:ind w:firstLine="0" w:firstLineChars="0"/>
              <w:jc w:val="center"/>
              <w:rPr>
                <w:rFonts w:ascii="宋体" w:hAnsi="宋体" w:cs="宋体"/>
                <w:sz w:val="21"/>
                <w:szCs w:val="21"/>
                <w:lang w:val="zh-CN"/>
              </w:rPr>
            </w:pPr>
            <w:r>
              <w:rPr>
                <w:rFonts w:ascii="宋体" w:hAnsi="宋体" w:cs="宋体" w:hint="eastAsia"/>
                <w:sz w:val="21"/>
                <w:szCs w:val="21"/>
                <w:lang w:val="zh-CN"/>
              </w:rPr>
              <w:t>未提</w:t>
            </w:r>
          </w:p>
        </w:tc>
        <w:tc>
          <w:tcPr>
            <w:tcW w:w="1520" w:type="dxa"/>
            <w:gridSpan w:val="3"/>
            <w:vAlign w:val="center"/>
          </w:tcPr>
          <w:p>
            <w:pPr>
              <w:autoSpaceDE w:val="0"/>
              <w:autoSpaceDN w:val="0"/>
              <w:spacing w:line="240" w:lineRule="auto"/>
              <w:ind w:firstLine="0" w:firstLineChars="0"/>
              <w:jc w:val="center"/>
              <w:textAlignment w:val="center"/>
              <w:rPr>
                <w:rFonts w:ascii="宋体" w:hAnsi="宋体" w:cs="宋体"/>
                <w:sz w:val="21"/>
                <w:szCs w:val="21"/>
                <w:lang w:val="zh-CN"/>
              </w:rPr>
            </w:pPr>
            <w:r>
              <w:rPr>
                <w:rFonts w:ascii="宋体" w:hAnsi="宋体" w:cs="宋体" w:hint="eastAsia"/>
                <w:sz w:val="21"/>
                <w:szCs w:val="21"/>
                <w:lang w:val="zh-CN"/>
              </w:rPr>
              <w:t>基金使用</w:t>
            </w:r>
          </w:p>
        </w:tc>
        <w:tc>
          <w:tcPr>
            <w:tcW w:w="2300" w:type="dxa"/>
            <w:vAlign w:val="center"/>
          </w:tcPr>
          <w:p>
            <w:pPr>
              <w:autoSpaceDE w:val="0"/>
              <w:autoSpaceDN w:val="0"/>
              <w:spacing w:line="240" w:lineRule="auto"/>
              <w:ind w:firstLine="0" w:firstLineChars="0"/>
              <w:jc w:val="center"/>
              <w:textAlignment w:val="center"/>
              <w:rPr>
                <w:rFonts w:ascii="宋体" w:hAnsi="宋体" w:cs="宋体"/>
                <w:sz w:val="21"/>
                <w:szCs w:val="21"/>
                <w:lang w:val="zh-CN"/>
              </w:rPr>
            </w:pPr>
            <w:r>
              <w:rPr>
                <w:rFonts w:ascii="宋体" w:hAnsi="宋体" w:cs="宋体" w:hint="eastAsia"/>
                <w:sz w:val="21"/>
                <w:szCs w:val="21"/>
                <w:lang w:val="zh-CN"/>
              </w:rPr>
              <w:t>未使用</w:t>
            </w:r>
          </w:p>
        </w:tc>
      </w:tr>
      <w:tr>
        <w:tblPrEx>
          <w:tblW w:w="8681" w:type="dxa"/>
          <w:jc w:val="center"/>
          <w:tblLayout w:type="fixed"/>
          <w:tblCellMar>
            <w:top w:w="0" w:type="dxa"/>
            <w:left w:w="108" w:type="dxa"/>
            <w:bottom w:w="0" w:type="dxa"/>
            <w:right w:w="108" w:type="dxa"/>
          </w:tblCellMar>
        </w:tblPrEx>
        <w:trPr>
          <w:trHeight w:val="419"/>
          <w:jc w:val="center"/>
        </w:trPr>
        <w:tc>
          <w:tcPr>
            <w:tcW w:w="8681" w:type="dxa"/>
            <w:gridSpan w:val="6"/>
            <w:vAlign w:val="center"/>
          </w:tcPr>
          <w:p>
            <w:pPr>
              <w:autoSpaceDE w:val="0"/>
              <w:autoSpaceDN w:val="0"/>
              <w:spacing w:line="240" w:lineRule="auto"/>
              <w:ind w:firstLine="0" w:firstLineChars="0"/>
              <w:jc w:val="center"/>
              <w:rPr>
                <w:rFonts w:ascii="宋体" w:hAnsi="宋体"/>
                <w:b/>
                <w:sz w:val="21"/>
                <w:szCs w:val="21"/>
                <w:lang w:val="zh-CN"/>
              </w:rPr>
            </w:pPr>
            <w:r>
              <w:rPr>
                <w:rFonts w:ascii="宋体" w:hAnsi="宋体"/>
                <w:b/>
                <w:sz w:val="21"/>
                <w:szCs w:val="21"/>
                <w:lang w:val="zh-CN"/>
              </w:rPr>
              <w:t>矿山企业</w:t>
            </w:r>
            <w:r>
              <w:rPr>
                <w:rFonts w:ascii="宋体" w:hAnsi="宋体" w:hint="eastAsia"/>
                <w:b/>
                <w:sz w:val="21"/>
                <w:szCs w:val="21"/>
                <w:lang w:val="zh-CN"/>
              </w:rPr>
              <w:t>联系</w:t>
            </w:r>
            <w:r>
              <w:rPr>
                <w:rFonts w:ascii="宋体" w:hAnsi="宋体"/>
                <w:b/>
                <w:sz w:val="21"/>
                <w:szCs w:val="21"/>
                <w:lang w:val="zh-CN"/>
              </w:rPr>
              <w:t>方式</w:t>
            </w:r>
          </w:p>
        </w:tc>
      </w:tr>
      <w:tr>
        <w:tblPrEx>
          <w:tblW w:w="8681" w:type="dxa"/>
          <w:jc w:val="center"/>
          <w:tblLayout w:type="fixed"/>
          <w:tblCellMar>
            <w:top w:w="0" w:type="dxa"/>
            <w:left w:w="108" w:type="dxa"/>
            <w:bottom w:w="0" w:type="dxa"/>
            <w:right w:w="108" w:type="dxa"/>
          </w:tblCellMar>
        </w:tblPrEx>
        <w:trPr>
          <w:trHeight w:val="301"/>
          <w:jc w:val="center"/>
        </w:trPr>
        <w:tc>
          <w:tcPr>
            <w:tcW w:w="1485" w:type="dxa"/>
            <w:vAlign w:val="center"/>
          </w:tcPr>
          <w:p>
            <w:pPr>
              <w:autoSpaceDE w:val="0"/>
              <w:autoSpaceDN w:val="0"/>
              <w:spacing w:line="240" w:lineRule="auto"/>
              <w:ind w:firstLine="0" w:firstLineChars="0"/>
              <w:jc w:val="center"/>
              <w:rPr>
                <w:rFonts w:ascii="宋体" w:hAnsi="宋体"/>
                <w:sz w:val="21"/>
                <w:szCs w:val="21"/>
                <w:lang w:val="zh-CN"/>
              </w:rPr>
            </w:pPr>
            <w:r>
              <w:rPr>
                <w:rFonts w:ascii="宋体" w:hAnsi="宋体"/>
                <w:sz w:val="21"/>
                <w:szCs w:val="21"/>
                <w:lang w:val="zh-CN"/>
              </w:rPr>
              <w:t>联系人</w:t>
            </w:r>
          </w:p>
        </w:tc>
        <w:tc>
          <w:tcPr>
            <w:tcW w:w="3616" w:type="dxa"/>
            <w:gridSpan w:val="2"/>
            <w:vAlign w:val="center"/>
          </w:tcPr>
          <w:p>
            <w:pPr>
              <w:autoSpaceDE w:val="0"/>
              <w:autoSpaceDN w:val="0"/>
              <w:spacing w:line="240" w:lineRule="auto"/>
              <w:ind w:firstLine="0" w:firstLineChars="0"/>
              <w:jc w:val="center"/>
              <w:rPr>
                <w:rFonts w:ascii="宋体" w:hAnsi="宋体"/>
                <w:sz w:val="21"/>
                <w:szCs w:val="21"/>
                <w:lang w:val="zh-CN"/>
              </w:rPr>
            </w:pPr>
          </w:p>
        </w:tc>
        <w:tc>
          <w:tcPr>
            <w:tcW w:w="1280" w:type="dxa"/>
            <w:gridSpan w:val="2"/>
            <w:vAlign w:val="center"/>
          </w:tcPr>
          <w:p>
            <w:pPr>
              <w:autoSpaceDE w:val="0"/>
              <w:autoSpaceDN w:val="0"/>
              <w:spacing w:line="240" w:lineRule="auto"/>
              <w:ind w:firstLine="0" w:firstLineChars="0"/>
              <w:jc w:val="center"/>
              <w:rPr>
                <w:rFonts w:ascii="宋体" w:hAnsi="宋体"/>
                <w:sz w:val="21"/>
                <w:szCs w:val="21"/>
                <w:lang w:val="zh-CN"/>
              </w:rPr>
            </w:pPr>
            <w:r>
              <w:rPr>
                <w:rFonts w:ascii="宋体" w:hAnsi="宋体"/>
                <w:sz w:val="21"/>
                <w:szCs w:val="21"/>
                <w:lang w:val="zh-CN"/>
              </w:rPr>
              <w:t>手机号</w:t>
            </w:r>
          </w:p>
        </w:tc>
        <w:tc>
          <w:tcPr>
            <w:tcW w:w="2300" w:type="dxa"/>
            <w:vAlign w:val="center"/>
          </w:tcPr>
          <w:p>
            <w:pPr>
              <w:autoSpaceDE w:val="0"/>
              <w:autoSpaceDN w:val="0"/>
              <w:spacing w:line="240" w:lineRule="auto"/>
              <w:ind w:firstLine="0" w:firstLineChars="0"/>
              <w:jc w:val="center"/>
              <w:rPr>
                <w:rFonts w:ascii="宋体" w:hAnsi="宋体"/>
                <w:sz w:val="21"/>
                <w:szCs w:val="21"/>
              </w:rPr>
            </w:pPr>
            <w:bookmarkStart w:id="1" w:name="_GoBack"/>
            <w:bookmarkEnd w:id="1"/>
          </w:p>
        </w:tc>
      </w:tr>
      <w:tr>
        <w:tblPrEx>
          <w:tblW w:w="8681" w:type="dxa"/>
          <w:jc w:val="center"/>
          <w:tblLayout w:type="fixed"/>
          <w:tblCellMar>
            <w:top w:w="0" w:type="dxa"/>
            <w:left w:w="108" w:type="dxa"/>
            <w:bottom w:w="0" w:type="dxa"/>
            <w:right w:w="108" w:type="dxa"/>
          </w:tblCellMar>
        </w:tblPrEx>
        <w:trPr>
          <w:trHeight w:val="437"/>
          <w:jc w:val="center"/>
        </w:trPr>
        <w:tc>
          <w:tcPr>
            <w:tcW w:w="1485" w:type="dxa"/>
            <w:vAlign w:val="center"/>
          </w:tcPr>
          <w:p>
            <w:pPr>
              <w:autoSpaceDE w:val="0"/>
              <w:autoSpaceDN w:val="0"/>
              <w:spacing w:line="240" w:lineRule="auto"/>
              <w:ind w:firstLine="0" w:firstLineChars="0"/>
              <w:jc w:val="center"/>
              <w:rPr>
                <w:rFonts w:ascii="宋体" w:hAnsi="宋体"/>
                <w:sz w:val="21"/>
                <w:szCs w:val="21"/>
                <w:lang w:val="zh-CN"/>
              </w:rPr>
            </w:pPr>
            <w:r>
              <w:rPr>
                <w:rFonts w:ascii="宋体" w:hAnsi="宋体"/>
                <w:sz w:val="21"/>
                <w:szCs w:val="21"/>
                <w:lang w:val="zh-CN"/>
              </w:rPr>
              <w:t>通讯地址</w:t>
            </w:r>
          </w:p>
        </w:tc>
        <w:tc>
          <w:tcPr>
            <w:tcW w:w="3616" w:type="dxa"/>
            <w:gridSpan w:val="2"/>
            <w:vAlign w:val="center"/>
          </w:tcPr>
          <w:p>
            <w:pPr>
              <w:autoSpaceDE w:val="0"/>
              <w:autoSpaceDN w:val="0"/>
              <w:spacing w:line="240" w:lineRule="auto"/>
              <w:ind w:firstLine="0" w:firstLineChars="0"/>
              <w:jc w:val="center"/>
              <w:rPr>
                <w:rFonts w:ascii="宋体" w:hAnsi="宋体"/>
                <w:sz w:val="21"/>
                <w:szCs w:val="21"/>
                <w:lang w:val="zh-CN"/>
              </w:rPr>
            </w:pPr>
            <w:r>
              <w:rPr>
                <w:rFonts w:ascii="宋体" w:hAnsi="宋体" w:hint="eastAsia"/>
                <w:sz w:val="21"/>
                <w:szCs w:val="21"/>
                <w:lang w:val="zh-CN"/>
              </w:rPr>
              <w:t>赤峰市元宝山区美丽河镇公格营子村</w:t>
            </w:r>
          </w:p>
        </w:tc>
        <w:tc>
          <w:tcPr>
            <w:tcW w:w="1280" w:type="dxa"/>
            <w:gridSpan w:val="2"/>
            <w:vAlign w:val="center"/>
          </w:tcPr>
          <w:p>
            <w:pPr>
              <w:autoSpaceDE w:val="0"/>
              <w:autoSpaceDN w:val="0"/>
              <w:spacing w:line="240" w:lineRule="auto"/>
              <w:ind w:firstLine="0" w:firstLineChars="0"/>
              <w:jc w:val="center"/>
              <w:rPr>
                <w:rFonts w:ascii="宋体" w:hAnsi="宋体"/>
                <w:sz w:val="21"/>
                <w:szCs w:val="21"/>
                <w:lang w:val="zh-CN"/>
              </w:rPr>
            </w:pPr>
            <w:r>
              <w:rPr>
                <w:rFonts w:ascii="宋体" w:hAnsi="宋体"/>
                <w:sz w:val="21"/>
                <w:szCs w:val="21"/>
                <w:lang w:val="zh-CN"/>
              </w:rPr>
              <w:t>邮 编</w:t>
            </w:r>
          </w:p>
        </w:tc>
        <w:tc>
          <w:tcPr>
            <w:tcW w:w="2300" w:type="dxa"/>
            <w:vAlign w:val="center"/>
          </w:tcPr>
          <w:p>
            <w:pPr>
              <w:autoSpaceDE w:val="0"/>
              <w:autoSpaceDN w:val="0"/>
              <w:spacing w:line="240" w:lineRule="auto"/>
              <w:ind w:firstLine="0" w:firstLineChars="0"/>
              <w:jc w:val="center"/>
              <w:rPr>
                <w:rFonts w:ascii="宋体" w:hAnsi="宋体"/>
                <w:sz w:val="21"/>
                <w:szCs w:val="21"/>
              </w:rPr>
            </w:pPr>
          </w:p>
        </w:tc>
      </w:tr>
      <w:tr>
        <w:tblPrEx>
          <w:tblW w:w="8681" w:type="dxa"/>
          <w:jc w:val="center"/>
          <w:tblLayout w:type="fixed"/>
          <w:tblCellMar>
            <w:top w:w="0" w:type="dxa"/>
            <w:left w:w="108" w:type="dxa"/>
            <w:bottom w:w="0" w:type="dxa"/>
            <w:right w:w="108" w:type="dxa"/>
          </w:tblCellMar>
        </w:tblPrEx>
        <w:trPr>
          <w:trHeight w:val="410"/>
          <w:jc w:val="center"/>
        </w:trPr>
        <w:tc>
          <w:tcPr>
            <w:tcW w:w="1485" w:type="dxa"/>
            <w:vAlign w:val="center"/>
          </w:tcPr>
          <w:p>
            <w:pPr>
              <w:autoSpaceDE w:val="0"/>
              <w:autoSpaceDN w:val="0"/>
              <w:spacing w:line="240" w:lineRule="auto"/>
              <w:ind w:firstLine="0" w:firstLineChars="0"/>
              <w:jc w:val="center"/>
              <w:rPr>
                <w:rFonts w:ascii="宋体" w:hAnsi="宋体"/>
                <w:sz w:val="21"/>
                <w:szCs w:val="21"/>
                <w:lang w:val="zh-CN"/>
              </w:rPr>
            </w:pPr>
            <w:r>
              <w:rPr>
                <w:rFonts w:ascii="宋体" w:hAnsi="宋体" w:hint="eastAsia"/>
                <w:sz w:val="21"/>
                <w:szCs w:val="21"/>
                <w:lang w:val="zh-CN"/>
              </w:rPr>
              <w:t>固定</w:t>
            </w:r>
            <w:r>
              <w:rPr>
                <w:rFonts w:ascii="宋体" w:hAnsi="宋体"/>
                <w:sz w:val="21"/>
                <w:szCs w:val="21"/>
                <w:lang w:val="zh-CN"/>
              </w:rPr>
              <w:t>电话</w:t>
            </w:r>
          </w:p>
        </w:tc>
        <w:tc>
          <w:tcPr>
            <w:tcW w:w="3616" w:type="dxa"/>
            <w:gridSpan w:val="2"/>
            <w:vAlign w:val="center"/>
          </w:tcPr>
          <w:p>
            <w:pPr>
              <w:autoSpaceDE w:val="0"/>
              <w:autoSpaceDN w:val="0"/>
              <w:spacing w:line="240" w:lineRule="auto"/>
              <w:ind w:firstLine="0" w:firstLineChars="0"/>
              <w:jc w:val="center"/>
              <w:rPr>
                <w:rFonts w:ascii="宋体" w:hAnsi="宋体"/>
                <w:sz w:val="21"/>
                <w:szCs w:val="21"/>
              </w:rPr>
            </w:pPr>
          </w:p>
        </w:tc>
        <w:tc>
          <w:tcPr>
            <w:tcW w:w="1280" w:type="dxa"/>
            <w:gridSpan w:val="2"/>
            <w:vAlign w:val="center"/>
          </w:tcPr>
          <w:p>
            <w:pPr>
              <w:autoSpaceDE w:val="0"/>
              <w:autoSpaceDN w:val="0"/>
              <w:spacing w:line="240" w:lineRule="auto"/>
              <w:ind w:firstLine="0" w:firstLineChars="0"/>
              <w:jc w:val="center"/>
              <w:rPr>
                <w:rFonts w:ascii="宋体" w:hAnsi="宋体"/>
                <w:sz w:val="21"/>
                <w:szCs w:val="21"/>
                <w:lang w:val="zh-CN"/>
              </w:rPr>
            </w:pPr>
            <w:r>
              <w:rPr>
                <w:rFonts w:ascii="宋体" w:hAnsi="宋体" w:hint="eastAsia"/>
                <w:sz w:val="21"/>
                <w:szCs w:val="21"/>
                <w:lang w:val="zh-CN"/>
              </w:rPr>
              <w:t>E-mail</w:t>
            </w:r>
          </w:p>
        </w:tc>
        <w:tc>
          <w:tcPr>
            <w:tcW w:w="2300" w:type="dxa"/>
            <w:vAlign w:val="center"/>
          </w:tcPr>
          <w:p>
            <w:pPr>
              <w:autoSpaceDE w:val="0"/>
              <w:autoSpaceDN w:val="0"/>
              <w:spacing w:line="240" w:lineRule="auto"/>
              <w:ind w:firstLine="0" w:firstLineChars="0"/>
              <w:jc w:val="center"/>
              <w:rPr>
                <w:rFonts w:ascii="宋体" w:hAnsi="宋体"/>
                <w:sz w:val="21"/>
                <w:szCs w:val="21"/>
                <w:lang w:val="zh-CN"/>
              </w:rPr>
            </w:pPr>
          </w:p>
        </w:tc>
      </w:tr>
    </w:tbl>
    <w:p>
      <w:pPr>
        <w:spacing w:line="240" w:lineRule="auto"/>
        <w:ind w:firstLine="0" w:firstLineChars="0"/>
        <w:jc w:val="center"/>
      </w:pPr>
    </w:p>
    <w:p>
      <w:pPr>
        <w:spacing w:line="240" w:lineRule="auto"/>
        <w:ind w:firstLine="0" w:firstLineChars="0"/>
        <w:jc w:val="center"/>
      </w:pPr>
      <w:r>
        <w:rPr>
          <w:rFonts w:hint="eastAsia"/>
        </w:rPr>
        <w:t xml:space="preserve"> 矿区范围拐点坐标表</w:t>
      </w:r>
    </w:p>
    <w:tbl>
      <w:tblPr>
        <w:tblStyle w:val="TableNormal"/>
        <w:tblW w:w="8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90"/>
        <w:gridCol w:w="1657"/>
        <w:gridCol w:w="1750"/>
        <w:gridCol w:w="833"/>
        <w:gridCol w:w="1657"/>
        <w:gridCol w:w="1753"/>
      </w:tblGrid>
      <w:tr>
        <w:tblPrEx>
          <w:tblW w:w="8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86"/>
          <w:jc w:val="center"/>
        </w:trPr>
        <w:tc>
          <w:tcPr>
            <w:tcW w:w="8640" w:type="dxa"/>
            <w:gridSpan w:val="6"/>
            <w:shd w:val="clear" w:color="auto" w:fill="auto"/>
            <w:noWrap/>
            <w:vAlign w:val="center"/>
          </w:tcPr>
          <w:p>
            <w:pPr>
              <w:widowControl/>
              <w:adjustRightInd/>
              <w:snapToGrid/>
              <w:spacing w:line="240" w:lineRule="auto"/>
              <w:ind w:firstLine="440" w:firstLineChars="0"/>
              <w:jc w:val="center"/>
              <w:rPr>
                <w:rFonts w:ascii="宋体" w:hAnsi="宋体" w:cs="宋体"/>
                <w:kern w:val="0"/>
                <w:sz w:val="22"/>
                <w:szCs w:val="22"/>
              </w:rPr>
            </w:pPr>
            <w:r>
              <w:rPr>
                <w:rFonts w:ascii="宋体" w:hAnsi="宋体" w:cs="宋体" w:hint="eastAsia"/>
                <w:kern w:val="0"/>
                <w:sz w:val="22"/>
                <w:szCs w:val="22"/>
              </w:rPr>
              <w:t>2000国家大地坐标系</w:t>
            </w:r>
          </w:p>
        </w:tc>
      </w:tr>
      <w:tr>
        <w:tblPrEx>
          <w:tblW w:w="8640" w:type="dxa"/>
          <w:jc w:val="center"/>
          <w:tblCellMar>
            <w:top w:w="0" w:type="dxa"/>
            <w:left w:w="108" w:type="dxa"/>
            <w:bottom w:w="0" w:type="dxa"/>
            <w:right w:w="108" w:type="dxa"/>
          </w:tblCellMar>
        </w:tblPrEx>
        <w:trPr>
          <w:trHeight w:val="286"/>
          <w:jc w:val="center"/>
        </w:trPr>
        <w:tc>
          <w:tcPr>
            <w:tcW w:w="990" w:type="dxa"/>
            <w:shd w:val="clear" w:color="auto" w:fill="auto"/>
            <w:noWrap/>
            <w:vAlign w:val="center"/>
          </w:tcPr>
          <w:p>
            <w:pPr>
              <w:widowControl/>
              <w:adjustRightInd/>
              <w:snapToGrid/>
              <w:spacing w:line="240" w:lineRule="auto"/>
              <w:ind w:firstLine="0" w:firstLineChars="0"/>
              <w:jc w:val="center"/>
              <w:rPr>
                <w:rFonts w:ascii="宋体" w:hAnsi="宋体" w:cs="宋体"/>
                <w:kern w:val="0"/>
                <w:sz w:val="22"/>
                <w:szCs w:val="22"/>
              </w:rPr>
            </w:pPr>
            <w:r>
              <w:rPr>
                <w:rFonts w:ascii="宋体" w:hAnsi="宋体" w:cs="宋体" w:hint="eastAsia"/>
                <w:kern w:val="0"/>
                <w:sz w:val="22"/>
                <w:szCs w:val="22"/>
              </w:rPr>
              <w:t>点号</w:t>
            </w:r>
          </w:p>
        </w:tc>
        <w:tc>
          <w:tcPr>
            <w:tcW w:w="1657" w:type="dxa"/>
            <w:shd w:val="clear" w:color="auto" w:fill="auto"/>
            <w:noWrap/>
            <w:vAlign w:val="center"/>
          </w:tcPr>
          <w:p>
            <w:pPr>
              <w:widowControl/>
              <w:adjustRightInd/>
              <w:snapToGrid/>
              <w:spacing w:line="240" w:lineRule="auto"/>
              <w:ind w:firstLine="0" w:firstLineChars="0"/>
              <w:jc w:val="center"/>
              <w:rPr>
                <w:rFonts w:ascii="宋体" w:hAnsi="宋体" w:cs="宋体"/>
                <w:kern w:val="0"/>
                <w:sz w:val="22"/>
                <w:szCs w:val="22"/>
              </w:rPr>
            </w:pPr>
            <w:r>
              <w:rPr>
                <w:rFonts w:ascii="宋体" w:hAnsi="宋体" w:cs="宋体" w:hint="eastAsia"/>
                <w:kern w:val="0"/>
                <w:sz w:val="22"/>
                <w:szCs w:val="22"/>
              </w:rPr>
              <w:t>X</w:t>
            </w:r>
          </w:p>
        </w:tc>
        <w:tc>
          <w:tcPr>
            <w:tcW w:w="1750" w:type="dxa"/>
            <w:shd w:val="clear" w:color="auto" w:fill="auto"/>
            <w:noWrap/>
            <w:vAlign w:val="center"/>
          </w:tcPr>
          <w:p>
            <w:pPr>
              <w:widowControl/>
              <w:adjustRightInd/>
              <w:snapToGrid/>
              <w:spacing w:line="240" w:lineRule="auto"/>
              <w:ind w:firstLine="0" w:firstLineChars="0"/>
              <w:jc w:val="center"/>
              <w:rPr>
                <w:rFonts w:ascii="宋体" w:hAnsi="宋体" w:cs="宋体"/>
                <w:kern w:val="0"/>
                <w:sz w:val="22"/>
                <w:szCs w:val="22"/>
              </w:rPr>
            </w:pPr>
            <w:r>
              <w:rPr>
                <w:rFonts w:ascii="宋体" w:hAnsi="宋体" w:cs="宋体" w:hint="eastAsia"/>
                <w:kern w:val="0"/>
                <w:sz w:val="22"/>
                <w:szCs w:val="22"/>
              </w:rPr>
              <w:t>Y</w:t>
            </w:r>
          </w:p>
        </w:tc>
        <w:tc>
          <w:tcPr>
            <w:tcW w:w="833" w:type="dxa"/>
            <w:shd w:val="clear" w:color="auto" w:fill="auto"/>
            <w:noWrap/>
            <w:vAlign w:val="center"/>
          </w:tcPr>
          <w:p>
            <w:pPr>
              <w:widowControl/>
              <w:adjustRightInd/>
              <w:snapToGrid/>
              <w:spacing w:line="240" w:lineRule="auto"/>
              <w:ind w:firstLine="0" w:firstLineChars="0"/>
              <w:jc w:val="center"/>
              <w:rPr>
                <w:rFonts w:ascii="宋体" w:hAnsi="宋体" w:cs="宋体"/>
                <w:kern w:val="0"/>
                <w:sz w:val="22"/>
                <w:szCs w:val="22"/>
              </w:rPr>
            </w:pPr>
            <w:r>
              <w:rPr>
                <w:rFonts w:ascii="宋体" w:hAnsi="宋体" w:cs="宋体" w:hint="eastAsia"/>
                <w:kern w:val="0"/>
                <w:sz w:val="22"/>
                <w:szCs w:val="22"/>
              </w:rPr>
              <w:t>点号</w:t>
            </w:r>
          </w:p>
        </w:tc>
        <w:tc>
          <w:tcPr>
            <w:tcW w:w="1657" w:type="dxa"/>
            <w:shd w:val="clear" w:color="auto" w:fill="auto"/>
            <w:noWrap/>
            <w:vAlign w:val="center"/>
          </w:tcPr>
          <w:p>
            <w:pPr>
              <w:widowControl/>
              <w:adjustRightInd/>
              <w:snapToGrid/>
              <w:spacing w:line="240" w:lineRule="auto"/>
              <w:ind w:firstLine="0" w:firstLineChars="0"/>
              <w:jc w:val="center"/>
              <w:rPr>
                <w:rFonts w:ascii="宋体" w:hAnsi="宋体" w:cs="宋体"/>
                <w:kern w:val="0"/>
                <w:sz w:val="22"/>
                <w:szCs w:val="22"/>
              </w:rPr>
            </w:pPr>
            <w:r>
              <w:rPr>
                <w:rFonts w:ascii="宋体" w:hAnsi="宋体" w:cs="宋体" w:hint="eastAsia"/>
                <w:kern w:val="0"/>
                <w:sz w:val="22"/>
                <w:szCs w:val="22"/>
              </w:rPr>
              <w:t>X</w:t>
            </w:r>
          </w:p>
        </w:tc>
        <w:tc>
          <w:tcPr>
            <w:tcW w:w="1753" w:type="dxa"/>
            <w:shd w:val="clear" w:color="auto" w:fill="auto"/>
            <w:noWrap/>
            <w:vAlign w:val="center"/>
          </w:tcPr>
          <w:p>
            <w:pPr>
              <w:widowControl/>
              <w:adjustRightInd/>
              <w:snapToGrid/>
              <w:spacing w:line="240" w:lineRule="auto"/>
              <w:ind w:firstLine="0" w:firstLineChars="0"/>
              <w:jc w:val="center"/>
              <w:rPr>
                <w:rFonts w:ascii="宋体" w:hAnsi="宋体" w:cs="宋体"/>
                <w:kern w:val="0"/>
                <w:sz w:val="22"/>
                <w:szCs w:val="22"/>
              </w:rPr>
            </w:pPr>
            <w:r>
              <w:rPr>
                <w:rFonts w:ascii="宋体" w:hAnsi="宋体" w:cs="宋体" w:hint="eastAsia"/>
                <w:kern w:val="0"/>
                <w:sz w:val="22"/>
                <w:szCs w:val="22"/>
              </w:rPr>
              <w:t>Y</w:t>
            </w:r>
          </w:p>
        </w:tc>
      </w:tr>
      <w:tr>
        <w:tblPrEx>
          <w:tblW w:w="8640" w:type="dxa"/>
          <w:jc w:val="center"/>
          <w:tblCellMar>
            <w:top w:w="0" w:type="dxa"/>
            <w:left w:w="108" w:type="dxa"/>
            <w:bottom w:w="0" w:type="dxa"/>
            <w:right w:w="108" w:type="dxa"/>
          </w:tblCellMar>
        </w:tblPrEx>
        <w:trPr>
          <w:trHeight w:val="300"/>
          <w:jc w:val="center"/>
        </w:trPr>
        <w:tc>
          <w:tcPr>
            <w:tcW w:w="990" w:type="dxa"/>
            <w:shd w:val="clear" w:color="auto" w:fill="auto"/>
            <w:noWrap/>
            <w:vAlign w:val="center"/>
          </w:tcPr>
          <w:p>
            <w:pPr>
              <w:pStyle w:val="a72"/>
              <w:rPr>
                <w:rFonts w:ascii="宋体" w:hAnsi="宋体" w:cs="宋体"/>
                <w:kern w:val="0"/>
              </w:rPr>
            </w:pPr>
            <w:r>
              <w:rPr>
                <w:rFonts w:ascii="宋体" w:hAnsi="宋体" w:cs="宋体" w:hint="eastAsia"/>
              </w:rPr>
              <w:t>1</w:t>
            </w:r>
          </w:p>
        </w:tc>
        <w:tc>
          <w:tcPr>
            <w:tcW w:w="1657" w:type="dxa"/>
            <w:shd w:val="clear" w:color="auto" w:fill="auto"/>
            <w:noWrap/>
            <w:vAlign w:val="center"/>
          </w:tcPr>
          <w:p>
            <w:pPr>
              <w:pStyle w:val="a72"/>
              <w:rPr>
                <w:rFonts w:ascii="宋体" w:hAnsi="宋体" w:cs="宋体"/>
                <w:kern w:val="0"/>
              </w:rPr>
            </w:pPr>
            <w:r>
              <w:rPr>
                <w:rFonts w:ascii="宋体" w:hAnsi="宋体" w:cs="宋体" w:hint="eastAsia"/>
              </w:rPr>
              <w:t>4661397.6688</w:t>
            </w:r>
          </w:p>
        </w:tc>
        <w:tc>
          <w:tcPr>
            <w:tcW w:w="1750" w:type="dxa"/>
            <w:shd w:val="clear" w:color="auto" w:fill="auto"/>
            <w:noWrap/>
            <w:vAlign w:val="center"/>
          </w:tcPr>
          <w:p>
            <w:pPr>
              <w:pStyle w:val="a72"/>
              <w:rPr>
                <w:rFonts w:ascii="宋体" w:hAnsi="宋体" w:cs="宋体"/>
                <w:kern w:val="0"/>
              </w:rPr>
            </w:pPr>
            <w:r>
              <w:rPr>
                <w:rFonts w:ascii="宋体" w:hAnsi="宋体" w:cs="宋体" w:hint="eastAsia"/>
              </w:rPr>
              <w:t>40444722.6067</w:t>
            </w:r>
          </w:p>
        </w:tc>
        <w:tc>
          <w:tcPr>
            <w:tcW w:w="833" w:type="dxa"/>
            <w:shd w:val="clear" w:color="auto" w:fill="auto"/>
            <w:noWrap/>
            <w:vAlign w:val="center"/>
          </w:tcPr>
          <w:p>
            <w:pPr>
              <w:pStyle w:val="a72"/>
              <w:rPr>
                <w:rFonts w:ascii="宋体" w:hAnsi="宋体" w:cs="宋体"/>
                <w:kern w:val="0"/>
              </w:rPr>
            </w:pPr>
            <w:r>
              <w:rPr>
                <w:rFonts w:ascii="宋体" w:hAnsi="宋体" w:cs="宋体" w:hint="eastAsia"/>
              </w:rPr>
              <w:t>6</w:t>
            </w:r>
          </w:p>
        </w:tc>
        <w:tc>
          <w:tcPr>
            <w:tcW w:w="1657" w:type="dxa"/>
            <w:shd w:val="clear" w:color="auto" w:fill="auto"/>
            <w:noWrap/>
            <w:vAlign w:val="center"/>
          </w:tcPr>
          <w:p>
            <w:pPr>
              <w:pStyle w:val="a72"/>
              <w:rPr>
                <w:rFonts w:ascii="宋体" w:hAnsi="宋体" w:cs="宋体"/>
                <w:kern w:val="0"/>
              </w:rPr>
            </w:pPr>
            <w:r>
              <w:rPr>
                <w:rFonts w:ascii="宋体" w:hAnsi="宋体" w:cs="宋体" w:hint="eastAsia"/>
              </w:rPr>
              <w:t>4661347.6601</w:t>
            </w:r>
          </w:p>
        </w:tc>
        <w:tc>
          <w:tcPr>
            <w:tcW w:w="1753" w:type="dxa"/>
            <w:shd w:val="clear" w:color="auto" w:fill="auto"/>
            <w:noWrap/>
            <w:vAlign w:val="center"/>
          </w:tcPr>
          <w:p>
            <w:pPr>
              <w:pStyle w:val="a72"/>
              <w:rPr>
                <w:rFonts w:ascii="宋体" w:hAnsi="宋体" w:cs="宋体"/>
                <w:kern w:val="0"/>
              </w:rPr>
            </w:pPr>
            <w:r>
              <w:rPr>
                <w:rFonts w:ascii="宋体" w:hAnsi="宋体" w:cs="宋体" w:hint="eastAsia"/>
              </w:rPr>
              <w:t>40445312.6079</w:t>
            </w:r>
          </w:p>
        </w:tc>
      </w:tr>
      <w:tr>
        <w:tblPrEx>
          <w:tblW w:w="8640" w:type="dxa"/>
          <w:jc w:val="center"/>
          <w:tblCellMar>
            <w:top w:w="0" w:type="dxa"/>
            <w:left w:w="108" w:type="dxa"/>
            <w:bottom w:w="0" w:type="dxa"/>
            <w:right w:w="108" w:type="dxa"/>
          </w:tblCellMar>
        </w:tblPrEx>
        <w:trPr>
          <w:trHeight w:val="300"/>
          <w:jc w:val="center"/>
        </w:trPr>
        <w:tc>
          <w:tcPr>
            <w:tcW w:w="990" w:type="dxa"/>
            <w:shd w:val="clear" w:color="auto" w:fill="auto"/>
            <w:noWrap/>
            <w:vAlign w:val="center"/>
          </w:tcPr>
          <w:p>
            <w:pPr>
              <w:pStyle w:val="a72"/>
              <w:rPr>
                <w:rFonts w:ascii="宋体" w:hAnsi="宋体" w:cs="宋体"/>
                <w:kern w:val="0"/>
              </w:rPr>
            </w:pPr>
            <w:r>
              <w:rPr>
                <w:rFonts w:ascii="宋体" w:hAnsi="宋体" w:cs="宋体" w:hint="eastAsia"/>
              </w:rPr>
              <w:t>2</w:t>
            </w:r>
          </w:p>
        </w:tc>
        <w:tc>
          <w:tcPr>
            <w:tcW w:w="1657" w:type="dxa"/>
            <w:shd w:val="clear" w:color="auto" w:fill="auto"/>
            <w:noWrap/>
            <w:vAlign w:val="center"/>
          </w:tcPr>
          <w:p>
            <w:pPr>
              <w:pStyle w:val="a72"/>
              <w:rPr>
                <w:rFonts w:ascii="宋体" w:hAnsi="宋体" w:cs="宋体"/>
                <w:kern w:val="0"/>
              </w:rPr>
            </w:pPr>
            <w:r>
              <w:rPr>
                <w:rFonts w:ascii="宋体" w:hAnsi="宋体" w:cs="宋体" w:hint="eastAsia"/>
              </w:rPr>
              <w:t>4661851.6698</w:t>
            </w:r>
          </w:p>
        </w:tc>
        <w:tc>
          <w:tcPr>
            <w:tcW w:w="1750" w:type="dxa"/>
            <w:shd w:val="clear" w:color="auto" w:fill="auto"/>
            <w:noWrap/>
            <w:vAlign w:val="center"/>
          </w:tcPr>
          <w:p>
            <w:pPr>
              <w:pStyle w:val="a72"/>
              <w:rPr>
                <w:rFonts w:ascii="宋体" w:hAnsi="宋体" w:cs="宋体"/>
                <w:kern w:val="0"/>
              </w:rPr>
            </w:pPr>
            <w:r>
              <w:rPr>
                <w:rFonts w:ascii="宋体" w:hAnsi="宋体" w:cs="宋体" w:hint="eastAsia"/>
              </w:rPr>
              <w:t>40444752.6057</w:t>
            </w:r>
          </w:p>
        </w:tc>
        <w:tc>
          <w:tcPr>
            <w:tcW w:w="833" w:type="dxa"/>
            <w:shd w:val="clear" w:color="auto" w:fill="auto"/>
            <w:noWrap/>
            <w:vAlign w:val="center"/>
          </w:tcPr>
          <w:p>
            <w:pPr>
              <w:pStyle w:val="a72"/>
              <w:rPr>
                <w:rFonts w:ascii="宋体" w:hAnsi="宋体" w:cs="宋体"/>
                <w:kern w:val="0"/>
              </w:rPr>
            </w:pPr>
            <w:r>
              <w:rPr>
                <w:rFonts w:ascii="宋体" w:hAnsi="宋体" w:cs="宋体" w:hint="eastAsia"/>
              </w:rPr>
              <w:t>7</w:t>
            </w:r>
          </w:p>
        </w:tc>
        <w:tc>
          <w:tcPr>
            <w:tcW w:w="1657" w:type="dxa"/>
            <w:shd w:val="clear" w:color="auto" w:fill="auto"/>
            <w:noWrap/>
            <w:vAlign w:val="center"/>
          </w:tcPr>
          <w:p>
            <w:pPr>
              <w:pStyle w:val="a72"/>
              <w:rPr>
                <w:rFonts w:ascii="宋体" w:hAnsi="宋体" w:cs="宋体"/>
                <w:kern w:val="0"/>
              </w:rPr>
            </w:pPr>
            <w:r>
              <w:rPr>
                <w:rFonts w:ascii="宋体" w:hAnsi="宋体" w:cs="宋体" w:hint="eastAsia"/>
              </w:rPr>
              <w:t>4661337.6602</w:t>
            </w:r>
          </w:p>
        </w:tc>
        <w:tc>
          <w:tcPr>
            <w:tcW w:w="1753" w:type="dxa"/>
            <w:shd w:val="clear" w:color="auto" w:fill="auto"/>
            <w:noWrap/>
            <w:vAlign w:val="center"/>
          </w:tcPr>
          <w:p>
            <w:pPr>
              <w:pStyle w:val="a72"/>
              <w:rPr>
                <w:rFonts w:ascii="宋体" w:hAnsi="宋体" w:cs="宋体"/>
                <w:kern w:val="0"/>
              </w:rPr>
            </w:pPr>
            <w:r>
              <w:rPr>
                <w:rFonts w:ascii="宋体" w:hAnsi="宋体" w:cs="宋体" w:hint="eastAsia"/>
              </w:rPr>
              <w:t>40445382.6080</w:t>
            </w:r>
          </w:p>
        </w:tc>
      </w:tr>
      <w:tr>
        <w:tblPrEx>
          <w:tblW w:w="8640" w:type="dxa"/>
          <w:jc w:val="center"/>
          <w:tblCellMar>
            <w:top w:w="0" w:type="dxa"/>
            <w:left w:w="108" w:type="dxa"/>
            <w:bottom w:w="0" w:type="dxa"/>
            <w:right w:w="108" w:type="dxa"/>
          </w:tblCellMar>
        </w:tblPrEx>
        <w:trPr>
          <w:trHeight w:val="300"/>
          <w:jc w:val="center"/>
        </w:trPr>
        <w:tc>
          <w:tcPr>
            <w:tcW w:w="990" w:type="dxa"/>
            <w:shd w:val="clear" w:color="auto" w:fill="auto"/>
            <w:noWrap/>
            <w:vAlign w:val="center"/>
          </w:tcPr>
          <w:p>
            <w:pPr>
              <w:pStyle w:val="a72"/>
              <w:rPr>
                <w:rFonts w:ascii="宋体" w:hAnsi="宋体" w:cs="宋体"/>
                <w:kern w:val="0"/>
              </w:rPr>
            </w:pPr>
            <w:r>
              <w:rPr>
                <w:rFonts w:ascii="宋体" w:hAnsi="宋体" w:cs="宋体" w:hint="eastAsia"/>
              </w:rPr>
              <w:t>3</w:t>
            </w:r>
          </w:p>
        </w:tc>
        <w:tc>
          <w:tcPr>
            <w:tcW w:w="1657" w:type="dxa"/>
            <w:shd w:val="clear" w:color="auto" w:fill="auto"/>
            <w:noWrap/>
            <w:vAlign w:val="center"/>
          </w:tcPr>
          <w:p>
            <w:pPr>
              <w:pStyle w:val="a72"/>
              <w:rPr>
                <w:rFonts w:ascii="宋体" w:hAnsi="宋体" w:cs="宋体"/>
                <w:kern w:val="0"/>
              </w:rPr>
            </w:pPr>
            <w:r>
              <w:rPr>
                <w:rFonts w:ascii="宋体" w:hAnsi="宋体" w:cs="宋体" w:hint="eastAsia"/>
              </w:rPr>
              <w:t>4661751.6704</w:t>
            </w:r>
          </w:p>
        </w:tc>
        <w:tc>
          <w:tcPr>
            <w:tcW w:w="1750" w:type="dxa"/>
            <w:shd w:val="clear" w:color="auto" w:fill="auto"/>
            <w:noWrap/>
            <w:vAlign w:val="center"/>
          </w:tcPr>
          <w:p>
            <w:pPr>
              <w:pStyle w:val="a72"/>
              <w:rPr>
                <w:rFonts w:ascii="宋体" w:hAnsi="宋体" w:cs="宋体"/>
                <w:kern w:val="0"/>
              </w:rPr>
            </w:pPr>
            <w:r>
              <w:rPr>
                <w:rFonts w:ascii="宋体" w:hAnsi="宋体" w:cs="宋体" w:hint="eastAsia"/>
              </w:rPr>
              <w:t>40445100.6066</w:t>
            </w:r>
          </w:p>
        </w:tc>
        <w:tc>
          <w:tcPr>
            <w:tcW w:w="833" w:type="dxa"/>
            <w:shd w:val="clear" w:color="auto" w:fill="auto"/>
            <w:noWrap/>
            <w:vAlign w:val="center"/>
          </w:tcPr>
          <w:p>
            <w:pPr>
              <w:pStyle w:val="a72"/>
              <w:rPr>
                <w:rFonts w:ascii="宋体" w:hAnsi="宋体" w:cs="宋体"/>
                <w:kern w:val="0"/>
              </w:rPr>
            </w:pPr>
            <w:r>
              <w:rPr>
                <w:rFonts w:ascii="宋体" w:hAnsi="宋体" w:cs="宋体" w:hint="eastAsia"/>
              </w:rPr>
              <w:t>8</w:t>
            </w:r>
          </w:p>
        </w:tc>
        <w:tc>
          <w:tcPr>
            <w:tcW w:w="1657" w:type="dxa"/>
            <w:shd w:val="clear" w:color="auto" w:fill="auto"/>
            <w:noWrap/>
            <w:vAlign w:val="center"/>
          </w:tcPr>
          <w:p>
            <w:pPr>
              <w:pStyle w:val="a72"/>
              <w:rPr>
                <w:rFonts w:ascii="宋体" w:hAnsi="宋体" w:cs="宋体"/>
                <w:kern w:val="0"/>
              </w:rPr>
            </w:pPr>
            <w:r>
              <w:rPr>
                <w:rFonts w:ascii="宋体" w:hAnsi="宋体" w:cs="宋体" w:hint="eastAsia"/>
              </w:rPr>
              <w:t>4660989.6589</w:t>
            </w:r>
          </w:p>
        </w:tc>
        <w:tc>
          <w:tcPr>
            <w:tcW w:w="1753" w:type="dxa"/>
            <w:shd w:val="clear" w:color="auto" w:fill="auto"/>
            <w:noWrap/>
            <w:vAlign w:val="center"/>
          </w:tcPr>
          <w:p>
            <w:pPr>
              <w:pStyle w:val="a72"/>
              <w:rPr>
                <w:rFonts w:ascii="宋体" w:hAnsi="宋体" w:cs="宋体"/>
                <w:kern w:val="0"/>
              </w:rPr>
            </w:pPr>
            <w:r>
              <w:rPr>
                <w:rFonts w:ascii="宋体" w:hAnsi="宋体" w:cs="宋体" w:hint="eastAsia"/>
              </w:rPr>
              <w:t>40445126.5983</w:t>
            </w:r>
          </w:p>
        </w:tc>
      </w:tr>
      <w:tr>
        <w:tblPrEx>
          <w:tblW w:w="8640" w:type="dxa"/>
          <w:jc w:val="center"/>
          <w:tblCellMar>
            <w:top w:w="0" w:type="dxa"/>
            <w:left w:w="108" w:type="dxa"/>
            <w:bottom w:w="0" w:type="dxa"/>
            <w:right w:w="108" w:type="dxa"/>
          </w:tblCellMar>
        </w:tblPrEx>
        <w:trPr>
          <w:trHeight w:val="310"/>
          <w:jc w:val="center"/>
        </w:trPr>
        <w:tc>
          <w:tcPr>
            <w:tcW w:w="990" w:type="dxa"/>
            <w:shd w:val="clear" w:color="auto" w:fill="auto"/>
            <w:noWrap/>
            <w:vAlign w:val="center"/>
          </w:tcPr>
          <w:p>
            <w:pPr>
              <w:pStyle w:val="a72"/>
              <w:rPr>
                <w:rFonts w:ascii="宋体" w:hAnsi="宋体" w:cs="宋体"/>
                <w:kern w:val="0"/>
              </w:rPr>
            </w:pPr>
            <w:r>
              <w:rPr>
                <w:rFonts w:ascii="宋体" w:hAnsi="宋体" w:cs="宋体" w:hint="eastAsia"/>
              </w:rPr>
              <w:t>4</w:t>
            </w:r>
          </w:p>
        </w:tc>
        <w:tc>
          <w:tcPr>
            <w:tcW w:w="1657" w:type="dxa"/>
            <w:shd w:val="clear" w:color="auto" w:fill="auto"/>
            <w:noWrap/>
            <w:vAlign w:val="center"/>
          </w:tcPr>
          <w:p>
            <w:pPr>
              <w:pStyle w:val="a72"/>
              <w:rPr>
                <w:rFonts w:ascii="宋体" w:hAnsi="宋体" w:cs="宋体"/>
                <w:kern w:val="0"/>
              </w:rPr>
            </w:pPr>
            <w:r>
              <w:rPr>
                <w:rFonts w:ascii="宋体" w:hAnsi="宋体" w:cs="宋体" w:hint="eastAsia"/>
              </w:rPr>
              <w:t>4662302.6714</w:t>
            </w:r>
          </w:p>
        </w:tc>
        <w:tc>
          <w:tcPr>
            <w:tcW w:w="1750" w:type="dxa"/>
            <w:shd w:val="clear" w:color="auto" w:fill="auto"/>
            <w:noWrap/>
            <w:vAlign w:val="center"/>
          </w:tcPr>
          <w:p>
            <w:pPr>
              <w:pStyle w:val="a72"/>
              <w:rPr>
                <w:rFonts w:ascii="宋体" w:hAnsi="宋体" w:cs="宋体"/>
                <w:kern w:val="0"/>
              </w:rPr>
            </w:pPr>
            <w:r>
              <w:rPr>
                <w:rFonts w:ascii="宋体" w:hAnsi="宋体" w:cs="宋体" w:hint="eastAsia"/>
              </w:rPr>
              <w:t>40445050.6053</w:t>
            </w:r>
          </w:p>
        </w:tc>
        <w:tc>
          <w:tcPr>
            <w:tcW w:w="833" w:type="dxa"/>
            <w:shd w:val="clear" w:color="auto" w:fill="auto"/>
            <w:noWrap/>
            <w:vAlign w:val="center"/>
          </w:tcPr>
          <w:p>
            <w:pPr>
              <w:pStyle w:val="a72"/>
              <w:rPr>
                <w:rFonts w:ascii="宋体" w:hAnsi="宋体" w:cs="宋体"/>
                <w:kern w:val="0"/>
              </w:rPr>
            </w:pPr>
            <w:r>
              <w:rPr>
                <w:rFonts w:ascii="宋体" w:hAnsi="宋体" w:cs="宋体" w:hint="eastAsia"/>
              </w:rPr>
              <w:t>9</w:t>
            </w:r>
          </w:p>
        </w:tc>
        <w:tc>
          <w:tcPr>
            <w:tcW w:w="1657" w:type="dxa"/>
            <w:shd w:val="clear" w:color="auto" w:fill="auto"/>
            <w:noWrap/>
            <w:vAlign w:val="center"/>
          </w:tcPr>
          <w:p>
            <w:pPr>
              <w:pStyle w:val="a72"/>
              <w:rPr>
                <w:rFonts w:ascii="宋体" w:hAnsi="宋体" w:cs="宋体"/>
                <w:kern w:val="0"/>
              </w:rPr>
            </w:pPr>
            <w:r>
              <w:rPr>
                <w:rFonts w:ascii="宋体" w:hAnsi="宋体" w:cs="宋体" w:hint="eastAsia"/>
              </w:rPr>
              <w:t>4661367.6690</w:t>
            </w:r>
          </w:p>
        </w:tc>
        <w:tc>
          <w:tcPr>
            <w:tcW w:w="1753" w:type="dxa"/>
            <w:shd w:val="clear" w:color="auto" w:fill="auto"/>
            <w:noWrap/>
            <w:vAlign w:val="center"/>
          </w:tcPr>
          <w:p>
            <w:pPr>
              <w:pStyle w:val="a72"/>
              <w:rPr>
                <w:rFonts w:ascii="宋体" w:hAnsi="宋体" w:cs="宋体"/>
                <w:kern w:val="0"/>
              </w:rPr>
            </w:pPr>
            <w:r>
              <w:rPr>
                <w:rFonts w:ascii="宋体" w:hAnsi="宋体" w:cs="宋体" w:hint="eastAsia"/>
              </w:rPr>
              <w:t>40444816.6069</w:t>
            </w:r>
          </w:p>
        </w:tc>
      </w:tr>
      <w:tr>
        <w:tblPrEx>
          <w:tblW w:w="8640" w:type="dxa"/>
          <w:jc w:val="center"/>
          <w:tblCellMar>
            <w:top w:w="0" w:type="dxa"/>
            <w:left w:w="108" w:type="dxa"/>
            <w:bottom w:w="0" w:type="dxa"/>
            <w:right w:w="108" w:type="dxa"/>
          </w:tblCellMar>
        </w:tblPrEx>
        <w:trPr>
          <w:trHeight w:val="310"/>
          <w:jc w:val="center"/>
        </w:trPr>
        <w:tc>
          <w:tcPr>
            <w:tcW w:w="990" w:type="dxa"/>
            <w:shd w:val="clear" w:color="auto" w:fill="auto"/>
            <w:noWrap/>
            <w:vAlign w:val="center"/>
          </w:tcPr>
          <w:p>
            <w:pPr>
              <w:pStyle w:val="a72"/>
              <w:rPr>
                <w:rFonts w:ascii="宋体" w:hAnsi="宋体" w:cs="宋体"/>
              </w:rPr>
            </w:pPr>
            <w:r>
              <w:rPr>
                <w:rFonts w:ascii="宋体" w:hAnsi="宋体" w:cs="宋体" w:hint="eastAsia"/>
              </w:rPr>
              <w:t>5</w:t>
            </w:r>
          </w:p>
        </w:tc>
        <w:tc>
          <w:tcPr>
            <w:tcW w:w="1657" w:type="dxa"/>
            <w:shd w:val="clear" w:color="auto" w:fill="auto"/>
            <w:noWrap/>
            <w:vAlign w:val="center"/>
          </w:tcPr>
          <w:p>
            <w:pPr>
              <w:pStyle w:val="a72"/>
              <w:rPr>
                <w:rFonts w:ascii="宋体" w:hAnsi="宋体" w:cs="宋体"/>
              </w:rPr>
            </w:pPr>
            <w:r>
              <w:rPr>
                <w:rFonts w:ascii="宋体" w:hAnsi="宋体" w:cs="宋体" w:hint="eastAsia"/>
              </w:rPr>
              <w:t>4661647.6609</w:t>
            </w:r>
          </w:p>
        </w:tc>
        <w:tc>
          <w:tcPr>
            <w:tcW w:w="1750" w:type="dxa"/>
            <w:shd w:val="clear" w:color="auto" w:fill="auto"/>
            <w:noWrap/>
            <w:vAlign w:val="center"/>
          </w:tcPr>
          <w:p>
            <w:pPr>
              <w:pStyle w:val="a72"/>
              <w:rPr>
                <w:rFonts w:ascii="宋体" w:hAnsi="宋体" w:cs="宋体"/>
              </w:rPr>
            </w:pPr>
            <w:r>
              <w:rPr>
                <w:rFonts w:ascii="宋体" w:hAnsi="宋体" w:cs="宋体" w:hint="eastAsia"/>
              </w:rPr>
              <w:t>40445424.6075</w:t>
            </w:r>
          </w:p>
        </w:tc>
        <w:tc>
          <w:tcPr>
            <w:tcW w:w="833" w:type="dxa"/>
            <w:shd w:val="clear" w:color="auto" w:fill="auto"/>
            <w:noWrap/>
            <w:vAlign w:val="center"/>
          </w:tcPr>
          <w:p>
            <w:pPr>
              <w:spacing w:line="300" w:lineRule="exact"/>
              <w:ind w:firstLine="420"/>
              <w:jc w:val="center"/>
              <w:rPr>
                <w:rFonts w:ascii="宋体" w:hAnsi="宋体" w:cs="宋体"/>
                <w:sz w:val="21"/>
                <w:szCs w:val="21"/>
              </w:rPr>
            </w:pPr>
          </w:p>
        </w:tc>
        <w:tc>
          <w:tcPr>
            <w:tcW w:w="1657" w:type="dxa"/>
            <w:shd w:val="clear" w:color="auto" w:fill="auto"/>
            <w:noWrap/>
            <w:vAlign w:val="bottom"/>
          </w:tcPr>
          <w:p>
            <w:pPr>
              <w:spacing w:line="300" w:lineRule="exact"/>
              <w:ind w:firstLine="420"/>
              <w:jc w:val="center"/>
              <w:rPr>
                <w:rFonts w:ascii="宋体" w:hAnsi="宋体" w:cs="宋体"/>
                <w:sz w:val="21"/>
                <w:szCs w:val="21"/>
              </w:rPr>
            </w:pPr>
          </w:p>
        </w:tc>
        <w:tc>
          <w:tcPr>
            <w:tcW w:w="1753" w:type="dxa"/>
            <w:shd w:val="clear" w:color="auto" w:fill="auto"/>
            <w:noWrap/>
            <w:vAlign w:val="bottom"/>
          </w:tcPr>
          <w:p>
            <w:pPr>
              <w:spacing w:line="300" w:lineRule="exact"/>
              <w:ind w:firstLine="420"/>
              <w:jc w:val="center"/>
              <w:rPr>
                <w:rFonts w:ascii="宋体" w:hAnsi="宋体" w:cs="宋体"/>
                <w:sz w:val="21"/>
                <w:szCs w:val="21"/>
              </w:rPr>
            </w:pPr>
          </w:p>
        </w:tc>
      </w:tr>
    </w:tbl>
    <w:p>
      <w:pPr>
        <w:sectPr>
          <w:headerReference w:type="even" r:id="rId20"/>
          <w:headerReference w:type="default" r:id="rId21"/>
          <w:footerReference w:type="even" r:id="rId22"/>
          <w:footerReference w:type="default" r:id="rId23"/>
          <w:headerReference w:type="first" r:id="rId24"/>
          <w:footerReference w:type="first" r:id="rId25"/>
          <w:pgSz w:w="11907" w:h="16839"/>
          <w:pgMar w:top="1440" w:right="1797" w:bottom="1440" w:left="1797" w:header="851" w:footer="992" w:gutter="0"/>
          <w:pgNumType w:start="1"/>
          <w:cols w:num="1" w:space="720"/>
          <w:docGrid w:linePitch="326" w:charSpace="0"/>
        </w:sectPr>
      </w:pPr>
    </w:p>
    <w:p>
      <w:pPr>
        <w:ind w:firstLine="480"/>
      </w:pPr>
    </w:p>
    <w:p>
      <w:pPr>
        <w:pStyle w:val="Heading1"/>
        <w:pageBreakBefore w:val="0"/>
        <w:numPr>
          <w:ilvl w:val="0"/>
          <w:numId w:val="1"/>
        </w:numPr>
        <w:adjustRightInd/>
        <w:snapToGrid/>
        <w:ind w:firstLine="600" w:firstLineChars="200"/>
        <w:rPr>
          <w:rFonts w:ascii="Times New Roman" w:hAnsi="Times New Roman"/>
          <w:sz w:val="30"/>
          <w:szCs w:val="30"/>
        </w:rPr>
      </w:pPr>
      <w:bookmarkStart w:id="2" w:name="_Toc67065965"/>
      <w:r>
        <w:rPr>
          <w:rFonts w:ascii="Times New Roman" w:hAnsi="Times New Roman"/>
          <w:sz w:val="30"/>
          <w:szCs w:val="30"/>
        </w:rPr>
        <w:t>矿山</w:t>
      </w:r>
      <w:r>
        <w:rPr>
          <w:rFonts w:ascii="Times New Roman" w:hAnsi="Times New Roman" w:hint="eastAsia"/>
          <w:sz w:val="30"/>
          <w:szCs w:val="30"/>
        </w:rPr>
        <w:t>地质环境治理方案的编制与执行情况</w:t>
      </w:r>
      <w:bookmarkEnd w:id="2"/>
    </w:p>
    <w:p>
      <w:pPr>
        <w:pStyle w:val="Heading2"/>
        <w:adjustRightInd/>
        <w:snapToGrid/>
        <w:spacing w:before="0"/>
        <w:ind w:firstLine="560" w:firstLineChars="200"/>
        <w:jc w:val="both"/>
        <w:rPr>
          <w:rFonts w:ascii="Times New Roman" w:hAnsi="Times New Roman"/>
          <w:color w:val="auto"/>
          <w:sz w:val="28"/>
          <w:szCs w:val="28"/>
        </w:rPr>
      </w:pPr>
      <w:bookmarkStart w:id="3" w:name="_Toc67065966"/>
      <w:r>
        <w:rPr>
          <w:rFonts w:ascii="Times New Roman" w:hAnsi="Times New Roman" w:hint="eastAsia"/>
          <w:color w:val="auto"/>
          <w:sz w:val="28"/>
          <w:szCs w:val="28"/>
        </w:rPr>
        <w:t>2.1  方案编制概况</w:t>
      </w:r>
      <w:bookmarkEnd w:id="3"/>
    </w:p>
    <w:p>
      <w:pPr>
        <w:ind w:firstLine="480"/>
        <w:rPr>
          <w:rFonts w:ascii="宋体" w:hAnsi="宋体"/>
          <w:color w:val="0000FF"/>
          <w:szCs w:val="22"/>
        </w:rPr>
      </w:pPr>
      <w:r>
        <w:rPr>
          <w:rFonts w:ascii="宋体" w:hAnsi="宋体" w:hint="eastAsia"/>
          <w:szCs w:val="22"/>
        </w:rPr>
        <w:t>2009年9月，内蒙古灵信房地产评估有限责任公司编制的《内蒙古自治区平庄煤田古山矿区公格营子煤矿矿山地质环境保护与综合治理方案》，评审时间为2009年9月28日（备案文号：09005），方案的规划年限为10年，即2009年至2019年，方案的基准年为2009年。</w:t>
      </w:r>
    </w:p>
    <w:p>
      <w:pPr>
        <w:ind w:firstLine="480"/>
        <w:rPr>
          <w:rFonts w:ascii="宋体" w:hAnsi="宋体"/>
          <w:szCs w:val="22"/>
        </w:rPr>
      </w:pPr>
      <w:r>
        <w:rPr>
          <w:rFonts w:ascii="宋体" w:hAnsi="宋体" w:hint="eastAsia"/>
          <w:szCs w:val="22"/>
        </w:rPr>
        <w:t>2014年7月，赤峰冠诚地质勘查有限责任公司编制的《内蒙古自治区赤峰西拉沐沦（集团）公格营子煤业有限公司矿山地质环境分期治理及土地复垦方案（2011.1.1－2014.8.1）》以下简称“一分期”，2014年5月24日评审，备案号赤国土环分治备字[2015]63号。</w:t>
      </w:r>
    </w:p>
    <w:p>
      <w:pPr>
        <w:ind w:firstLine="480"/>
        <w:rPr>
          <w:rFonts w:ascii="宋体" w:hAnsi="宋体"/>
          <w:szCs w:val="22"/>
        </w:rPr>
      </w:pPr>
      <w:r>
        <w:rPr>
          <w:rFonts w:ascii="宋体" w:hAnsi="宋体" w:hint="eastAsia"/>
          <w:szCs w:val="22"/>
        </w:rPr>
        <w:t>2019年4月，邢台地矿地质工程勘察院编制的《赤峰市元宝山区赤峰西拉沐沦（集团）公格营子煤业有限公司煤矿矿山地质环境分期治理方案（2014.8.1-2017.7.31）》以下简称“二分期”，于2019年4月17日评审，备案文号“赤分治字（2019）0022号”。</w:t>
      </w:r>
    </w:p>
    <w:p>
      <w:pPr>
        <w:pStyle w:val="Heading2"/>
        <w:adjustRightInd/>
        <w:snapToGrid/>
        <w:spacing w:before="0"/>
        <w:ind w:firstLine="480" w:firstLineChars="200"/>
        <w:jc w:val="both"/>
        <w:rPr>
          <w:rFonts w:ascii="Times New Roman" w:hAnsi="Times New Roman"/>
          <w:color w:val="auto"/>
          <w:sz w:val="24"/>
          <w:szCs w:val="24"/>
        </w:rPr>
      </w:pPr>
      <w:bookmarkStart w:id="4" w:name="_Toc67065967"/>
      <w:r>
        <w:rPr>
          <w:rFonts w:ascii="Times New Roman" w:hAnsi="Times New Roman" w:hint="eastAsia"/>
          <w:color w:val="auto"/>
          <w:sz w:val="24"/>
          <w:szCs w:val="24"/>
        </w:rPr>
        <w:t>2.2  治理方案规划的近期治理工程内容</w:t>
      </w:r>
      <w:bookmarkEnd w:id="4"/>
    </w:p>
    <w:p>
      <w:pPr>
        <w:ind w:firstLine="480"/>
        <w:rPr>
          <w:rFonts w:ascii="宋体" w:hAnsi="宋体"/>
          <w:szCs w:val="24"/>
        </w:rPr>
      </w:pPr>
      <w:r>
        <w:rPr>
          <w:rFonts w:ascii="宋体" w:hAnsi="宋体" w:hint="eastAsia"/>
          <w:szCs w:val="24"/>
        </w:rPr>
        <w:t>1、内蒙古灵信房地产评估有限责任公司编制的《内蒙古自治区平庄煤田古山矿区公格营子煤矿矿山地质环境保护与综合治理方案》编制时间为2009年。</w:t>
      </w:r>
    </w:p>
    <w:p>
      <w:pPr>
        <w:ind w:firstLine="480"/>
        <w:rPr>
          <w:rFonts w:ascii="宋体" w:hAnsi="宋体" w:cs="宋体"/>
          <w:bCs/>
          <w:szCs w:val="24"/>
        </w:rPr>
      </w:pPr>
      <w:r>
        <w:rPr>
          <w:rFonts w:ascii="宋体" w:hAnsi="宋体" w:cs="宋体" w:hint="eastAsia"/>
          <w:bCs/>
          <w:szCs w:val="24"/>
        </w:rPr>
        <w:t>方案近期规划为年限为2010年-2012年，治理内容为：</w:t>
      </w:r>
    </w:p>
    <w:p>
      <w:pPr>
        <w:pStyle w:val="Bodytext1"/>
        <w:spacing w:line="360" w:lineRule="auto"/>
        <w:ind w:firstLine="480"/>
        <w:jc w:val="left"/>
        <w:rPr>
          <w:sz w:val="24"/>
          <w:szCs w:val="24"/>
        </w:rPr>
      </w:pPr>
      <w:r>
        <w:rPr>
          <w:sz w:val="24"/>
          <w:szCs w:val="24"/>
        </w:rPr>
        <w:t>主要是拆除地面临时建筑、清理储煤场、砰石堆，然后覆土恢复植被。</w:t>
      </w:r>
    </w:p>
    <w:p>
      <w:pPr>
        <w:ind w:firstLine="480"/>
        <w:rPr>
          <w:rFonts w:ascii="宋体" w:hAnsi="宋体"/>
          <w:szCs w:val="22"/>
        </w:rPr>
      </w:pPr>
      <w:r>
        <w:rPr>
          <w:rFonts w:ascii="宋体" w:hAnsi="宋体" w:hint="eastAsia"/>
          <w:szCs w:val="22"/>
        </w:rPr>
        <w:t>2、一分期方案规划的治理时间为2014年6月1日至2014年8月1日，方案规划的治理单元、工程措施、治理面积、治理工程量与资金估算见表2-1。</w:t>
      </w:r>
    </w:p>
    <w:p>
      <w:pPr>
        <w:ind w:firstLine="0" w:firstLineChars="0"/>
        <w:jc w:val="center"/>
        <w:rPr>
          <w:rFonts w:ascii="宋体" w:hAnsi="宋体"/>
          <w:b/>
        </w:rPr>
      </w:pPr>
      <w:r>
        <w:rPr>
          <w:rFonts w:ascii="宋体" w:hAnsi="宋体" w:hint="eastAsia"/>
          <w:b/>
        </w:rPr>
        <w:t>表2-1  一分期规划内容一览表</w:t>
      </w:r>
    </w:p>
    <w:tbl>
      <w:tblPr>
        <w:tblStyle w:val="TableNormal"/>
        <w:tblW w:w="5146" w:type="pct"/>
        <w:jc w:val="center"/>
        <w:tblLayout w:type="fixed"/>
        <w:tblCellMar>
          <w:top w:w="0" w:type="dxa"/>
          <w:left w:w="10" w:type="dxa"/>
          <w:bottom w:w="0" w:type="dxa"/>
          <w:right w:w="10" w:type="dxa"/>
        </w:tblCellMar>
      </w:tblPr>
      <w:tblGrid>
        <w:gridCol w:w="1304"/>
        <w:gridCol w:w="1419"/>
        <w:gridCol w:w="1133"/>
        <w:gridCol w:w="1986"/>
        <w:gridCol w:w="1413"/>
        <w:gridCol w:w="1321"/>
      </w:tblGrid>
      <w:tr>
        <w:tblPrEx>
          <w:tblW w:w="5146" w:type="pct"/>
          <w:jc w:val="center"/>
          <w:tblLayout w:type="fixed"/>
          <w:tblCellMar>
            <w:top w:w="0" w:type="dxa"/>
            <w:left w:w="10" w:type="dxa"/>
            <w:bottom w:w="0" w:type="dxa"/>
            <w:right w:w="10" w:type="dxa"/>
          </w:tblCellMar>
        </w:tblPrEx>
        <w:trPr>
          <w:trHeight w:hRule="exact" w:val="722"/>
          <w:jc w:val="center"/>
        </w:trPr>
        <w:tc>
          <w:tcPr>
            <w:tcW w:w="760" w:type="pct"/>
            <w:tcBorders>
              <w:top w:val="single" w:sz="4" w:space="0" w:color="auto"/>
              <w:left w:val="single" w:sz="4" w:space="0" w:color="auto"/>
            </w:tcBorders>
            <w:shd w:val="clear" w:color="auto" w:fill="FFFFFF"/>
            <w:vAlign w:val="center"/>
          </w:tcPr>
          <w:p>
            <w:pPr>
              <w:pStyle w:val="Other1"/>
              <w:spacing w:line="240" w:lineRule="auto"/>
              <w:jc w:val="center"/>
              <w:rPr>
                <w:sz w:val="20"/>
                <w:szCs w:val="20"/>
              </w:rPr>
            </w:pPr>
            <w:r>
              <w:rPr>
                <w:color w:val="000000"/>
                <w:sz w:val="20"/>
                <w:szCs w:val="20"/>
                <w:lang w:val="zh-TW" w:eastAsia="zh-TW" w:bidi="zh-TW"/>
              </w:rPr>
              <w:t>年份</w:t>
            </w:r>
          </w:p>
        </w:tc>
        <w:tc>
          <w:tcPr>
            <w:tcW w:w="827" w:type="pct"/>
            <w:tcBorders>
              <w:top w:val="single" w:sz="4" w:space="0" w:color="auto"/>
              <w:left w:val="single" w:sz="4" w:space="0" w:color="auto"/>
            </w:tcBorders>
            <w:shd w:val="clear" w:color="auto" w:fill="FFFFFF"/>
            <w:vAlign w:val="center"/>
          </w:tcPr>
          <w:p>
            <w:pPr>
              <w:pStyle w:val="Other1"/>
              <w:spacing w:line="240" w:lineRule="auto"/>
              <w:jc w:val="center"/>
              <w:rPr>
                <w:sz w:val="20"/>
                <w:szCs w:val="20"/>
              </w:rPr>
            </w:pPr>
            <w:r>
              <w:rPr>
                <w:color w:val="000000"/>
                <w:sz w:val="20"/>
                <w:szCs w:val="20"/>
                <w:lang w:val="zh-TW" w:eastAsia="zh-TW" w:bidi="zh-TW"/>
              </w:rPr>
              <w:t>治理区</w:t>
            </w:r>
          </w:p>
        </w:tc>
        <w:tc>
          <w:tcPr>
            <w:tcW w:w="660" w:type="pct"/>
            <w:tcBorders>
              <w:top w:val="single" w:sz="4" w:space="0" w:color="auto"/>
              <w:left w:val="single" w:sz="4" w:space="0" w:color="auto"/>
            </w:tcBorders>
            <w:shd w:val="clear" w:color="auto" w:fill="FFFFFF"/>
            <w:vAlign w:val="center"/>
          </w:tcPr>
          <w:p>
            <w:pPr>
              <w:pStyle w:val="Other1"/>
              <w:spacing w:line="240" w:lineRule="auto"/>
              <w:ind w:firstLine="0" w:firstLineChars="0"/>
              <w:jc w:val="center"/>
              <w:rPr>
                <w:sz w:val="20"/>
                <w:szCs w:val="20"/>
              </w:rPr>
            </w:pPr>
            <w:r>
              <w:rPr>
                <w:sz w:val="20"/>
                <w:szCs w:val="20"/>
                <w:lang w:val="zh-TW" w:eastAsia="zh-TW" w:bidi="zh-TW"/>
              </w:rPr>
              <w:t>面积</w:t>
            </w:r>
            <w:r>
              <w:rPr>
                <w:rFonts w:hint="eastAsia"/>
                <w:sz w:val="21"/>
                <w:szCs w:val="21"/>
              </w:rPr>
              <w:t>(m</w:t>
            </w:r>
            <w:r>
              <w:rPr>
                <w:rFonts w:hint="eastAsia"/>
                <w:sz w:val="21"/>
                <w:szCs w:val="21"/>
                <w:vertAlign w:val="superscript"/>
              </w:rPr>
              <w:t>2</w:t>
            </w:r>
            <w:r>
              <w:rPr>
                <w:rFonts w:hint="eastAsia"/>
                <w:sz w:val="21"/>
                <w:szCs w:val="21"/>
              </w:rPr>
              <w:t>)</w:t>
            </w:r>
          </w:p>
        </w:tc>
        <w:tc>
          <w:tcPr>
            <w:tcW w:w="1157" w:type="pct"/>
            <w:tcBorders>
              <w:top w:val="single" w:sz="4" w:space="0" w:color="auto"/>
              <w:left w:val="single" w:sz="4" w:space="0" w:color="auto"/>
            </w:tcBorders>
            <w:shd w:val="clear" w:color="auto" w:fill="FFFFFF"/>
            <w:vAlign w:val="center"/>
          </w:tcPr>
          <w:p>
            <w:pPr>
              <w:pStyle w:val="Other1"/>
              <w:spacing w:line="240" w:lineRule="auto"/>
              <w:ind w:firstLine="0" w:firstLineChars="0"/>
              <w:jc w:val="center"/>
              <w:rPr>
                <w:sz w:val="20"/>
                <w:szCs w:val="20"/>
              </w:rPr>
            </w:pPr>
            <w:r>
              <w:rPr>
                <w:color w:val="000000"/>
                <w:sz w:val="20"/>
                <w:szCs w:val="20"/>
                <w:lang w:val="zh-TW" w:eastAsia="zh-TW" w:bidi="zh-TW"/>
              </w:rPr>
              <w:t>主要工程技术措施</w:t>
            </w:r>
          </w:p>
        </w:tc>
        <w:tc>
          <w:tcPr>
            <w:tcW w:w="823" w:type="pct"/>
            <w:tcBorders>
              <w:top w:val="single" w:sz="4" w:space="0" w:color="auto"/>
              <w:left w:val="single" w:sz="4" w:space="0" w:color="auto"/>
            </w:tcBorders>
            <w:shd w:val="clear" w:color="auto" w:fill="FFFFFF"/>
            <w:vAlign w:val="center"/>
          </w:tcPr>
          <w:p>
            <w:pPr>
              <w:pStyle w:val="Other1"/>
              <w:spacing w:line="240" w:lineRule="auto"/>
              <w:ind w:firstLine="0" w:firstLineChars="0"/>
              <w:jc w:val="center"/>
              <w:rPr>
                <w:sz w:val="20"/>
                <w:szCs w:val="20"/>
              </w:rPr>
            </w:pPr>
            <w:r>
              <w:rPr>
                <w:color w:val="000000"/>
                <w:sz w:val="20"/>
                <w:szCs w:val="20"/>
                <w:lang w:val="zh-TW" w:eastAsia="zh-TW" w:bidi="zh-TW"/>
              </w:rPr>
              <w:t>治理工程量</w:t>
            </w:r>
          </w:p>
        </w:tc>
        <w:tc>
          <w:tcPr>
            <w:tcW w:w="769" w:type="pct"/>
            <w:tcBorders>
              <w:top w:val="single" w:sz="4" w:space="0" w:color="auto"/>
              <w:left w:val="single" w:sz="4" w:space="0" w:color="auto"/>
              <w:right w:val="single" w:sz="4" w:space="0" w:color="auto"/>
            </w:tcBorders>
            <w:shd w:val="clear" w:color="auto" w:fill="FFFFFF"/>
            <w:vAlign w:val="center"/>
          </w:tcPr>
          <w:p>
            <w:pPr>
              <w:pStyle w:val="Other1"/>
              <w:spacing w:line="274" w:lineRule="exact"/>
              <w:ind w:firstLine="0" w:firstLineChars="0"/>
              <w:jc w:val="center"/>
              <w:rPr>
                <w:sz w:val="20"/>
                <w:szCs w:val="20"/>
              </w:rPr>
            </w:pPr>
            <w:r>
              <w:rPr>
                <w:color w:val="000000"/>
                <w:sz w:val="20"/>
                <w:szCs w:val="20"/>
                <w:lang w:val="zh-TW" w:eastAsia="zh-TW" w:bidi="zh-TW"/>
              </w:rPr>
              <w:t>投资（万 元）</w:t>
            </w:r>
          </w:p>
        </w:tc>
      </w:tr>
      <w:tr>
        <w:tblPrEx>
          <w:tblW w:w="5146" w:type="pct"/>
          <w:jc w:val="center"/>
          <w:tblLayout w:type="fixed"/>
          <w:tblCellMar>
            <w:top w:w="0" w:type="dxa"/>
            <w:left w:w="10" w:type="dxa"/>
            <w:bottom w:w="0" w:type="dxa"/>
            <w:right w:w="10" w:type="dxa"/>
          </w:tblCellMar>
        </w:tblPrEx>
        <w:trPr>
          <w:trHeight w:hRule="exact" w:val="1784"/>
          <w:jc w:val="center"/>
        </w:trPr>
        <w:tc>
          <w:tcPr>
            <w:tcW w:w="760" w:type="pct"/>
            <w:tcBorders>
              <w:top w:val="single" w:sz="4" w:space="0" w:color="auto"/>
              <w:left w:val="single" w:sz="4" w:space="0" w:color="auto"/>
              <w:bottom w:val="single" w:sz="4" w:space="0" w:color="auto"/>
            </w:tcBorders>
            <w:shd w:val="clear" w:color="auto" w:fill="FFFFFF"/>
            <w:vAlign w:val="center"/>
          </w:tcPr>
          <w:p>
            <w:pPr>
              <w:pStyle w:val="Other1"/>
              <w:spacing w:line="288" w:lineRule="exact"/>
              <w:ind w:firstLine="0" w:firstLineChars="0"/>
              <w:rPr>
                <w:sz w:val="20"/>
                <w:szCs w:val="20"/>
              </w:rPr>
            </w:pPr>
            <w:r>
              <w:rPr>
                <w:rFonts w:ascii="Times New Roman" w:eastAsia="Times New Roman" w:hAnsi="Times New Roman" w:cs="Times New Roman"/>
                <w:color w:val="000000"/>
                <w:sz w:val="20"/>
                <w:szCs w:val="20"/>
                <w:lang w:val="zh-TW" w:eastAsia="zh-TW" w:bidi="zh-TW"/>
              </w:rPr>
              <w:t>2014</w:t>
            </w:r>
            <w:r>
              <w:rPr>
                <w:color w:val="000000"/>
                <w:sz w:val="20"/>
                <w:szCs w:val="20"/>
                <w:lang w:val="zh-TW" w:eastAsia="zh-TW" w:bidi="zh-TW"/>
              </w:rPr>
              <w:t>年</w:t>
            </w:r>
            <w:r>
              <w:rPr>
                <w:rFonts w:ascii="Times New Roman" w:eastAsia="Times New Roman" w:hAnsi="Times New Roman" w:cs="Times New Roman"/>
                <w:color w:val="000000"/>
                <w:sz w:val="20"/>
                <w:szCs w:val="20"/>
                <w:lang w:val="zh-TW" w:eastAsia="zh-TW" w:bidi="zh-TW"/>
              </w:rPr>
              <w:t>6</w:t>
            </w:r>
            <w:r>
              <w:rPr>
                <w:color w:val="000000"/>
                <w:sz w:val="20"/>
                <w:szCs w:val="20"/>
                <w:lang w:val="zh-TW" w:eastAsia="zh-TW" w:bidi="zh-TW"/>
              </w:rPr>
              <w:t>月</w:t>
            </w:r>
          </w:p>
          <w:p>
            <w:pPr>
              <w:pStyle w:val="Other1"/>
              <w:spacing w:line="288" w:lineRule="exact"/>
              <w:ind w:firstLine="0" w:firstLineChars="0"/>
              <w:rPr>
                <w:sz w:val="20"/>
                <w:szCs w:val="20"/>
              </w:rPr>
            </w:pPr>
            <w:r>
              <w:rPr>
                <w:rFonts w:ascii="Times New Roman" w:eastAsia="Times New Roman" w:hAnsi="Times New Roman" w:cs="Times New Roman"/>
                <w:color w:val="000000"/>
                <w:sz w:val="20"/>
                <w:szCs w:val="20"/>
                <w:lang w:val="zh-TW" w:eastAsia="zh-TW" w:bidi="zh-TW"/>
              </w:rPr>
              <w:t xml:space="preserve">1 </w:t>
            </w:r>
            <w:r>
              <w:rPr>
                <w:color w:val="000000"/>
                <w:sz w:val="20"/>
                <w:szCs w:val="20"/>
                <w:lang w:val="zh-TW" w:eastAsia="zh-TW" w:bidi="zh-TW"/>
              </w:rPr>
              <w:t>日</w:t>
            </w:r>
            <w:r>
              <w:rPr>
                <w:rFonts w:hint="eastAsia"/>
                <w:color w:val="000000"/>
                <w:sz w:val="20"/>
                <w:szCs w:val="20"/>
                <w:lang w:bidi="en-US"/>
              </w:rPr>
              <w:t>-</w:t>
            </w:r>
            <w:r>
              <w:rPr>
                <w:rFonts w:ascii="Times New Roman" w:eastAsia="Times New Roman" w:hAnsi="Times New Roman" w:cs="Times New Roman"/>
                <w:color w:val="000000"/>
                <w:sz w:val="20"/>
                <w:szCs w:val="20"/>
                <w:lang w:eastAsia="en-US" w:bidi="en-US"/>
              </w:rPr>
              <w:t>2</w:t>
            </w:r>
            <w:r>
              <w:rPr>
                <w:rFonts w:ascii="Times New Roman" w:hAnsi="Times New Roman" w:eastAsiaTheme="minorEastAsia" w:cs="Times New Roman" w:hint="eastAsia"/>
                <w:color w:val="000000"/>
                <w:sz w:val="20"/>
                <w:szCs w:val="20"/>
                <w:lang w:bidi="en-US"/>
              </w:rPr>
              <w:t>0</w:t>
            </w:r>
            <w:r>
              <w:rPr>
                <w:rFonts w:ascii="Times New Roman" w:eastAsia="Times New Roman" w:hAnsi="Times New Roman" w:cs="Times New Roman"/>
                <w:color w:val="000000"/>
                <w:sz w:val="20"/>
                <w:szCs w:val="20"/>
                <w:lang w:val="zh-TW" w:eastAsia="zh-TW" w:bidi="zh-TW"/>
              </w:rPr>
              <w:t xml:space="preserve">14 </w:t>
            </w:r>
            <w:r>
              <w:rPr>
                <w:color w:val="000000"/>
                <w:sz w:val="20"/>
                <w:szCs w:val="20"/>
                <w:lang w:val="zh-TW" w:eastAsia="zh-TW" w:bidi="zh-TW"/>
              </w:rPr>
              <w:t>年</w:t>
            </w:r>
            <w:r>
              <w:rPr>
                <w:rFonts w:ascii="Times New Roman" w:eastAsia="Times New Roman" w:hAnsi="Times New Roman" w:cs="Times New Roman"/>
                <w:color w:val="000000"/>
                <w:sz w:val="20"/>
                <w:szCs w:val="20"/>
                <w:lang w:val="zh-TW" w:eastAsia="zh-TW" w:bidi="zh-TW"/>
              </w:rPr>
              <w:t>8</w:t>
            </w:r>
            <w:r>
              <w:rPr>
                <w:color w:val="000000"/>
                <w:sz w:val="20"/>
                <w:szCs w:val="20"/>
                <w:lang w:val="zh-TW" w:eastAsia="zh-TW" w:bidi="zh-TW"/>
              </w:rPr>
              <w:t>月</w:t>
            </w:r>
            <w:r>
              <w:rPr>
                <w:rFonts w:ascii="Times New Roman" w:eastAsia="Times New Roman" w:hAnsi="Times New Roman" w:cs="Times New Roman"/>
                <w:color w:val="000000"/>
                <w:sz w:val="20"/>
                <w:szCs w:val="20"/>
                <w:lang w:val="zh-TW" w:eastAsia="zh-TW" w:bidi="zh-TW"/>
              </w:rPr>
              <w:t xml:space="preserve">1 </w:t>
            </w:r>
            <w:r>
              <w:rPr>
                <w:rFonts w:asciiTheme="minorEastAsia" w:eastAsiaTheme="minorEastAsia" w:hAnsiTheme="minorEastAsia" w:cs="Times New Roman" w:hint="eastAsia"/>
                <w:color w:val="000000"/>
                <w:sz w:val="20"/>
                <w:szCs w:val="20"/>
                <w:lang w:bidi="en-US"/>
              </w:rPr>
              <w:t>日</w:t>
            </w:r>
          </w:p>
        </w:tc>
        <w:tc>
          <w:tcPr>
            <w:tcW w:w="827" w:type="pct"/>
            <w:tcBorders>
              <w:top w:val="single" w:sz="4" w:space="0" w:color="auto"/>
              <w:left w:val="single" w:sz="4" w:space="0" w:color="auto"/>
              <w:bottom w:val="single" w:sz="4" w:space="0" w:color="auto"/>
            </w:tcBorders>
            <w:shd w:val="clear" w:color="auto" w:fill="FFFFFF"/>
            <w:vAlign w:val="center"/>
          </w:tcPr>
          <w:p>
            <w:pPr>
              <w:pStyle w:val="Other1"/>
              <w:spacing w:line="274" w:lineRule="exact"/>
              <w:ind w:firstLine="0" w:firstLineChars="0"/>
              <w:rPr>
                <w:sz w:val="20"/>
                <w:szCs w:val="20"/>
              </w:rPr>
            </w:pPr>
            <w:r>
              <w:rPr>
                <w:color w:val="000000"/>
                <w:sz w:val="20"/>
                <w:szCs w:val="20"/>
                <w:lang w:val="zh-TW" w:eastAsia="zh-TW" w:bidi="zh-TW"/>
              </w:rPr>
              <w:t>地下采空区、 地面沉陷区、地裂缝</w:t>
            </w:r>
          </w:p>
        </w:tc>
        <w:tc>
          <w:tcPr>
            <w:tcW w:w="660" w:type="pct"/>
            <w:tcBorders>
              <w:top w:val="single" w:sz="4" w:space="0" w:color="auto"/>
              <w:left w:val="single" w:sz="4" w:space="0" w:color="auto"/>
              <w:bottom w:val="single" w:sz="4" w:space="0" w:color="auto"/>
            </w:tcBorders>
            <w:shd w:val="clear" w:color="auto" w:fill="FFFFFF"/>
            <w:vAlign w:val="center"/>
          </w:tcPr>
          <w:p>
            <w:pPr>
              <w:pStyle w:val="Other1"/>
              <w:spacing w:line="240" w:lineRule="auto"/>
              <w:ind w:firstLine="0" w:firstLineChars="0"/>
              <w:jc w:val="center"/>
              <w:rPr>
                <w:sz w:val="20"/>
                <w:szCs w:val="20"/>
              </w:rPr>
            </w:pPr>
            <w:r>
              <w:rPr>
                <w:rFonts w:ascii="Times New Roman" w:eastAsia="Times New Roman" w:hAnsi="Times New Roman" w:cs="Times New Roman"/>
                <w:color w:val="000000"/>
                <w:sz w:val="20"/>
                <w:szCs w:val="20"/>
                <w:lang w:val="zh-TW" w:eastAsia="zh-TW" w:bidi="zh-TW"/>
              </w:rPr>
              <w:t>552098</w:t>
            </w:r>
          </w:p>
        </w:tc>
        <w:tc>
          <w:tcPr>
            <w:tcW w:w="1157" w:type="pct"/>
            <w:tcBorders>
              <w:top w:val="single" w:sz="4" w:space="0" w:color="auto"/>
              <w:left w:val="single" w:sz="4" w:space="0" w:color="auto"/>
              <w:bottom w:val="single" w:sz="4" w:space="0" w:color="auto"/>
            </w:tcBorders>
            <w:shd w:val="clear" w:color="auto" w:fill="FFFFFF"/>
            <w:vAlign w:val="center"/>
          </w:tcPr>
          <w:p>
            <w:pPr>
              <w:pStyle w:val="Other1"/>
              <w:spacing w:line="274" w:lineRule="exact"/>
              <w:ind w:firstLine="0" w:firstLineChars="0"/>
              <w:rPr>
                <w:sz w:val="20"/>
                <w:szCs w:val="20"/>
              </w:rPr>
            </w:pPr>
            <w:r>
              <w:rPr>
                <w:color w:val="000000"/>
                <w:sz w:val="20"/>
                <w:szCs w:val="20"/>
                <w:lang w:val="zh-TW" w:eastAsia="zh-TW" w:bidi="zh-TW"/>
              </w:rPr>
              <w:t>对采空区、地裂缝 进行充填、地面沉 陷区进行监测</w:t>
            </w:r>
          </w:p>
        </w:tc>
        <w:tc>
          <w:tcPr>
            <w:tcW w:w="823" w:type="pct"/>
            <w:tcBorders>
              <w:top w:val="single" w:sz="4" w:space="0" w:color="auto"/>
              <w:left w:val="single" w:sz="4" w:space="0" w:color="auto"/>
              <w:bottom w:val="single" w:sz="4" w:space="0" w:color="auto"/>
            </w:tcBorders>
            <w:shd w:val="clear" w:color="auto" w:fill="FFFFFF"/>
          </w:tcPr>
          <w:p>
            <w:pPr>
              <w:pStyle w:val="Other1"/>
              <w:spacing w:line="268" w:lineRule="exact"/>
              <w:ind w:firstLine="0" w:firstLineChars="0"/>
              <w:rPr>
                <w:sz w:val="20"/>
                <w:szCs w:val="20"/>
              </w:rPr>
            </w:pPr>
            <w:r>
              <w:rPr>
                <w:color w:val="000000"/>
                <w:sz w:val="20"/>
                <w:szCs w:val="20"/>
                <w:lang w:val="zh-TW" w:eastAsia="zh-TW" w:bidi="zh-TW"/>
              </w:rPr>
              <w:t xml:space="preserve">充填釆空区面积 </w:t>
            </w:r>
            <w:r>
              <w:rPr>
                <w:rFonts w:ascii="Times New Roman" w:eastAsia="Times New Roman" w:hAnsi="Times New Roman" w:cs="Times New Roman"/>
                <w:color w:val="000000"/>
                <w:sz w:val="20"/>
                <w:szCs w:val="20"/>
                <w:lang w:bidi="en-US"/>
              </w:rPr>
              <w:t>13181m</w:t>
            </w:r>
            <w:r>
              <w:rPr>
                <w:rFonts w:ascii="Times New Roman" w:eastAsia="Times New Roman" w:hAnsi="Times New Roman" w:cs="Times New Roman"/>
                <w:color w:val="000000"/>
                <w:sz w:val="20"/>
                <w:szCs w:val="20"/>
                <w:vertAlign w:val="superscript"/>
                <w:lang w:bidi="en-US"/>
              </w:rPr>
              <w:t>3</w:t>
            </w:r>
            <w:r>
              <w:rPr>
                <w:rFonts w:ascii="Times New Roman" w:eastAsia="Times New Roman" w:hAnsi="Times New Roman" w:cs="Times New Roman"/>
                <w:color w:val="000000"/>
                <w:sz w:val="20"/>
                <w:szCs w:val="20"/>
                <w:lang w:val="zh-TW" w:eastAsia="zh-TW" w:bidi="zh-TW"/>
              </w:rPr>
              <w:t>,</w:t>
            </w:r>
            <w:r>
              <w:rPr>
                <w:color w:val="000000"/>
                <w:sz w:val="20"/>
                <w:szCs w:val="20"/>
                <w:lang w:val="zh-TW" w:eastAsia="zh-TW" w:bidi="zh-TW"/>
              </w:rPr>
              <w:t>充填地 裂缝</w:t>
            </w:r>
            <w:r>
              <w:rPr>
                <w:rFonts w:ascii="Times New Roman" w:eastAsia="Times New Roman" w:hAnsi="Times New Roman" w:cs="Times New Roman"/>
                <w:color w:val="000000"/>
                <w:sz w:val="20"/>
                <w:szCs w:val="20"/>
                <w:lang w:bidi="en-US"/>
              </w:rPr>
              <w:t>33m,</w:t>
            </w:r>
            <w:r>
              <w:rPr>
                <w:color w:val="000000"/>
                <w:sz w:val="20"/>
                <w:szCs w:val="20"/>
                <w:lang w:val="zh-TW" w:eastAsia="zh-TW" w:bidi="zh-TW"/>
              </w:rPr>
              <w:t xml:space="preserve">充填 量 </w:t>
            </w:r>
            <w:r>
              <w:rPr>
                <w:rFonts w:ascii="Times New Roman" w:eastAsia="Times New Roman" w:hAnsi="Times New Roman" w:cs="Times New Roman"/>
                <w:color w:val="000000"/>
                <w:sz w:val="20"/>
                <w:szCs w:val="20"/>
                <w:lang w:bidi="en-US"/>
              </w:rPr>
              <w:t xml:space="preserve">6. </w:t>
            </w:r>
            <w:r>
              <w:rPr>
                <w:rFonts w:ascii="Times New Roman" w:eastAsia="Times New Roman" w:hAnsi="Times New Roman" w:cs="Times New Roman"/>
                <w:color w:val="000000"/>
                <w:sz w:val="20"/>
                <w:szCs w:val="20"/>
                <w:lang w:eastAsia="en-US" w:bidi="en-US"/>
              </w:rPr>
              <w:t>6m</w:t>
            </w:r>
            <w:r>
              <w:rPr>
                <w:rFonts w:ascii="Times New Roman" w:eastAsia="Times New Roman" w:hAnsi="Times New Roman" w:cs="Times New Roman"/>
                <w:color w:val="000000"/>
                <w:sz w:val="20"/>
                <w:szCs w:val="20"/>
                <w:vertAlign w:val="superscript"/>
                <w:lang w:eastAsia="en-US" w:bidi="en-US"/>
              </w:rPr>
              <w:t>3</w:t>
            </w:r>
            <w:r>
              <w:rPr>
                <w:rFonts w:ascii="Times New Roman" w:eastAsia="Times New Roman" w:hAnsi="Times New Roman" w:cs="Times New Roman"/>
                <w:color w:val="000000"/>
                <w:sz w:val="20"/>
                <w:szCs w:val="20"/>
                <w:lang w:eastAsia="en-US" w:bidi="en-US"/>
              </w:rPr>
              <w:t xml:space="preserve"> o </w:t>
            </w:r>
            <w:r>
              <w:rPr>
                <w:color w:val="000000"/>
                <w:sz w:val="20"/>
                <w:szCs w:val="20"/>
                <w:lang w:val="zh-TW" w:eastAsia="zh-TW" w:bidi="zh-TW"/>
              </w:rPr>
              <w:t>监测</w:t>
            </w:r>
            <w:r>
              <w:rPr>
                <w:rFonts w:ascii="Times New Roman" w:eastAsia="Times New Roman" w:hAnsi="Times New Roman" w:cs="Times New Roman"/>
                <w:color w:val="000000"/>
                <w:sz w:val="20"/>
                <w:szCs w:val="20"/>
                <w:lang w:val="zh-TW" w:eastAsia="zh-TW" w:bidi="zh-TW"/>
              </w:rPr>
              <w:t>6</w:t>
            </w:r>
            <w:r>
              <w:rPr>
                <w:color w:val="000000"/>
                <w:sz w:val="20"/>
                <w:szCs w:val="20"/>
                <w:lang w:val="zh-TW" w:eastAsia="zh-TW" w:bidi="zh-TW"/>
              </w:rPr>
              <w:t>次</w:t>
            </w:r>
          </w:p>
        </w:tc>
        <w:tc>
          <w:tcPr>
            <w:tcW w:w="769" w:type="pct"/>
            <w:tcBorders>
              <w:top w:val="single" w:sz="4" w:space="0" w:color="auto"/>
              <w:left w:val="single" w:sz="4" w:space="0" w:color="auto"/>
              <w:bottom w:val="single" w:sz="4" w:space="0" w:color="auto"/>
              <w:right w:val="single" w:sz="4" w:space="0" w:color="auto"/>
            </w:tcBorders>
            <w:shd w:val="clear" w:color="auto" w:fill="FFFFFF"/>
            <w:vAlign w:val="center"/>
          </w:tcPr>
          <w:p>
            <w:pPr>
              <w:pStyle w:val="Other1"/>
              <w:spacing w:line="240" w:lineRule="auto"/>
              <w:ind w:firstLine="0" w:firstLineChars="0"/>
              <w:jc w:val="center"/>
              <w:rPr>
                <w:sz w:val="20"/>
                <w:szCs w:val="20"/>
              </w:rPr>
            </w:pPr>
            <w:r>
              <w:rPr>
                <w:rFonts w:ascii="Times New Roman" w:eastAsia="Times New Roman" w:hAnsi="Times New Roman" w:cs="Times New Roman"/>
                <w:color w:val="000000"/>
                <w:sz w:val="20"/>
                <w:szCs w:val="20"/>
                <w:lang w:eastAsia="en-US" w:bidi="en-US"/>
              </w:rPr>
              <w:t xml:space="preserve">322. </w:t>
            </w:r>
            <w:r>
              <w:rPr>
                <w:rFonts w:ascii="Times New Roman" w:eastAsia="Times New Roman" w:hAnsi="Times New Roman" w:cs="Times New Roman"/>
                <w:color w:val="000000"/>
                <w:sz w:val="20"/>
                <w:szCs w:val="20"/>
                <w:lang w:val="zh-TW" w:eastAsia="zh-TW" w:bidi="zh-TW"/>
              </w:rPr>
              <w:t>17</w:t>
            </w:r>
          </w:p>
        </w:tc>
      </w:tr>
    </w:tbl>
    <w:p>
      <w:pPr>
        <w:sectPr>
          <w:headerReference w:type="even" r:id="rId26"/>
          <w:headerReference w:type="default" r:id="rId27"/>
          <w:footerReference w:type="even" r:id="rId28"/>
          <w:footerReference w:type="default" r:id="rId29"/>
          <w:headerReference w:type="first" r:id="rId30"/>
          <w:footerReference w:type="first" r:id="rId31"/>
          <w:type w:val="nextPage"/>
          <w:pgSz w:w="11907" w:h="16839"/>
          <w:pgMar w:top="1440" w:right="1797" w:bottom="1440" w:left="1797" w:header="851" w:footer="992" w:gutter="0"/>
          <w:pgNumType w:start="2"/>
          <w:cols w:num="1" w:space="720"/>
          <w:titlePg w:val="0"/>
          <w:docGrid w:linePitch="326" w:charSpace="0"/>
        </w:sectPr>
      </w:pPr>
    </w:p>
    <w:p>
      <w:pPr>
        <w:ind w:firstLine="480"/>
        <w:rPr>
          <w:rFonts w:ascii="宋体" w:hAnsi="宋体"/>
        </w:rPr>
      </w:pPr>
      <w:r>
        <w:rPr>
          <w:rFonts w:ascii="宋体" w:hAnsi="宋体" w:hint="eastAsia"/>
        </w:rPr>
        <w:t>3、二分期方案规划的治理时间为</w:t>
      </w:r>
      <w:r>
        <w:rPr>
          <w:rFonts w:ascii="宋体" w:hAnsi="宋体"/>
        </w:rPr>
        <w:t>201</w:t>
      </w:r>
      <w:r>
        <w:rPr>
          <w:rFonts w:ascii="宋体" w:hAnsi="宋体" w:hint="eastAsia"/>
        </w:rPr>
        <w:t>4年8月</w:t>
      </w:r>
      <w:r>
        <w:rPr>
          <w:rFonts w:ascii="宋体" w:hAnsi="宋体"/>
        </w:rPr>
        <w:t>1</w:t>
      </w:r>
      <w:r>
        <w:rPr>
          <w:rFonts w:ascii="宋体" w:hAnsi="宋体" w:hint="eastAsia"/>
        </w:rPr>
        <w:t>日</w:t>
      </w:r>
      <w:r>
        <w:rPr>
          <w:rFonts w:ascii="宋体" w:hAnsi="宋体"/>
        </w:rPr>
        <w:t>-201</w:t>
      </w:r>
      <w:r>
        <w:rPr>
          <w:rFonts w:ascii="宋体" w:hAnsi="宋体" w:hint="eastAsia"/>
        </w:rPr>
        <w:t>7年7月3</w:t>
      </w:r>
      <w:r>
        <w:rPr>
          <w:rFonts w:ascii="宋体" w:hAnsi="宋体"/>
        </w:rPr>
        <w:t>1</w:t>
      </w:r>
      <w:r>
        <w:rPr>
          <w:rFonts w:ascii="宋体" w:hAnsi="宋体" w:hint="eastAsia"/>
        </w:rPr>
        <w:t>日，二分期方案规划的治理单元、工程措施、治理面积、治理工程量与资金估算见表2-2。</w:t>
      </w:r>
    </w:p>
    <w:p>
      <w:pPr>
        <w:ind w:left="480" w:firstLine="0" w:firstLineChars="0"/>
        <w:jc w:val="center"/>
        <w:rPr>
          <w:b/>
        </w:rPr>
      </w:pPr>
      <w:r>
        <w:rPr>
          <w:rFonts w:hint="eastAsia"/>
          <w:b/>
        </w:rPr>
        <w:t>表2-2   二分期方案规划内容一览表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95"/>
        <w:gridCol w:w="810"/>
        <w:gridCol w:w="1020"/>
        <w:gridCol w:w="2752"/>
        <w:gridCol w:w="1708"/>
        <w:gridCol w:w="104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51"/>
          <w:tblHeader/>
          <w:jc w:val="center"/>
        </w:trPr>
        <w:tc>
          <w:tcPr>
            <w:tcW w:w="1195" w:type="dxa"/>
            <w:noWrap/>
            <w:vAlign w:val="center"/>
          </w:tcPr>
          <w:p>
            <w:pPr>
              <w:spacing w:line="400" w:lineRule="exact"/>
              <w:ind w:firstLine="0" w:firstLineChars="0"/>
              <w:rPr>
                <w:rFonts w:ascii="宋体" w:hAnsi="宋体" w:cs="宋体"/>
                <w:sz w:val="21"/>
                <w:szCs w:val="21"/>
              </w:rPr>
            </w:pPr>
            <w:r>
              <w:rPr>
                <w:rFonts w:ascii="宋体" w:hAnsi="宋体" w:cs="宋体" w:hint="eastAsia"/>
                <w:sz w:val="21"/>
                <w:szCs w:val="21"/>
              </w:rPr>
              <w:t>治理时间</w:t>
            </w:r>
          </w:p>
        </w:tc>
        <w:tc>
          <w:tcPr>
            <w:tcW w:w="1830" w:type="dxa"/>
            <w:gridSpan w:val="2"/>
            <w:noWrap/>
            <w:vAlign w:val="center"/>
          </w:tcPr>
          <w:p>
            <w:pPr>
              <w:spacing w:line="400" w:lineRule="exact"/>
              <w:ind w:firstLine="420"/>
              <w:rPr>
                <w:rFonts w:ascii="宋体" w:hAnsi="宋体" w:cs="宋体"/>
                <w:sz w:val="21"/>
                <w:szCs w:val="21"/>
              </w:rPr>
            </w:pPr>
            <w:r>
              <w:rPr>
                <w:rFonts w:ascii="宋体" w:hAnsi="宋体" w:cs="宋体" w:hint="eastAsia"/>
                <w:sz w:val="21"/>
                <w:szCs w:val="21"/>
              </w:rPr>
              <w:t>防治区块</w:t>
            </w:r>
          </w:p>
        </w:tc>
        <w:tc>
          <w:tcPr>
            <w:tcW w:w="2752" w:type="dxa"/>
            <w:noWrap/>
            <w:vAlign w:val="center"/>
          </w:tcPr>
          <w:p>
            <w:pPr>
              <w:spacing w:line="400" w:lineRule="exact"/>
              <w:ind w:firstLine="0" w:firstLineChars="0"/>
              <w:rPr>
                <w:rFonts w:ascii="宋体" w:hAnsi="宋体" w:cs="宋体"/>
                <w:sz w:val="21"/>
                <w:szCs w:val="21"/>
              </w:rPr>
            </w:pPr>
            <w:r>
              <w:rPr>
                <w:rFonts w:ascii="宋体" w:hAnsi="宋体" w:cs="宋体" w:hint="eastAsia"/>
                <w:sz w:val="21"/>
                <w:szCs w:val="21"/>
              </w:rPr>
              <w:t>主要防治措施</w:t>
            </w:r>
          </w:p>
        </w:tc>
        <w:tc>
          <w:tcPr>
            <w:tcW w:w="1708" w:type="dxa"/>
            <w:noWrap/>
            <w:vAlign w:val="center"/>
          </w:tcPr>
          <w:p>
            <w:pPr>
              <w:spacing w:line="400" w:lineRule="exact"/>
              <w:ind w:firstLine="0" w:firstLineChars="0"/>
              <w:rPr>
                <w:rFonts w:ascii="宋体" w:hAnsi="宋体" w:cs="宋体"/>
                <w:sz w:val="21"/>
                <w:szCs w:val="21"/>
              </w:rPr>
            </w:pPr>
            <w:r>
              <w:rPr>
                <w:rFonts w:ascii="宋体" w:hAnsi="宋体" w:cs="宋体" w:hint="eastAsia"/>
                <w:sz w:val="21"/>
                <w:szCs w:val="21"/>
              </w:rPr>
              <w:t>治理工程量</w:t>
            </w:r>
          </w:p>
        </w:tc>
        <w:tc>
          <w:tcPr>
            <w:tcW w:w="1043" w:type="dxa"/>
            <w:noWrap/>
            <w:vAlign w:val="center"/>
          </w:tcPr>
          <w:p>
            <w:pPr>
              <w:spacing w:line="400" w:lineRule="exact"/>
              <w:ind w:firstLine="0" w:firstLineChars="0"/>
              <w:rPr>
                <w:rFonts w:ascii="宋体" w:hAnsi="宋体" w:cs="宋体"/>
                <w:sz w:val="21"/>
                <w:szCs w:val="21"/>
              </w:rPr>
            </w:pPr>
            <w:r>
              <w:rPr>
                <w:rFonts w:ascii="宋体" w:hAnsi="宋体" w:cs="宋体" w:hint="eastAsia"/>
                <w:sz w:val="21"/>
                <w:szCs w:val="21"/>
              </w:rPr>
              <w:t>投资</w:t>
            </w:r>
          </w:p>
          <w:p>
            <w:pPr>
              <w:spacing w:line="400" w:lineRule="exact"/>
              <w:ind w:right="-120" w:firstLine="0" w:rightChars="-50" w:firstLineChars="0"/>
              <w:rPr>
                <w:rFonts w:ascii="宋体" w:hAnsi="宋体" w:cs="宋体"/>
                <w:sz w:val="21"/>
                <w:szCs w:val="21"/>
              </w:rPr>
            </w:pPr>
            <w:r>
              <w:rPr>
                <w:rFonts w:ascii="宋体" w:hAnsi="宋体" w:cs="宋体" w:hint="eastAsia"/>
                <w:sz w:val="21"/>
                <w:szCs w:val="21"/>
              </w:rPr>
              <w:t>（万元）</w:t>
            </w:r>
          </w:p>
        </w:tc>
      </w:tr>
      <w:tr>
        <w:tblPrEx>
          <w:tblW w:w="0" w:type="auto"/>
          <w:jc w:val="center"/>
          <w:tblLayout w:type="fixed"/>
          <w:tblCellMar>
            <w:top w:w="0" w:type="dxa"/>
            <w:left w:w="108" w:type="dxa"/>
            <w:bottom w:w="0" w:type="dxa"/>
            <w:right w:w="108" w:type="dxa"/>
          </w:tblCellMar>
        </w:tblPrEx>
        <w:trPr>
          <w:trHeight w:val="464"/>
          <w:jc w:val="center"/>
        </w:trPr>
        <w:tc>
          <w:tcPr>
            <w:tcW w:w="1195" w:type="dxa"/>
            <w:vMerge w:val="restart"/>
            <w:noWrap/>
            <w:vAlign w:val="center"/>
          </w:tcPr>
          <w:p>
            <w:pPr>
              <w:spacing w:line="400" w:lineRule="exact"/>
              <w:ind w:firstLine="0" w:firstLineChars="0"/>
              <w:rPr>
                <w:rFonts w:ascii="宋体" w:hAnsi="宋体" w:cs="宋体"/>
                <w:sz w:val="21"/>
                <w:szCs w:val="21"/>
              </w:rPr>
            </w:pPr>
            <w:r>
              <w:rPr>
                <w:rFonts w:ascii="宋体" w:hAnsi="宋体" w:cs="宋体" w:hint="eastAsia"/>
                <w:sz w:val="21"/>
                <w:szCs w:val="21"/>
              </w:rPr>
              <w:t>2014.8.1</w:t>
            </w:r>
          </w:p>
          <w:p>
            <w:pPr>
              <w:spacing w:line="400" w:lineRule="exact"/>
              <w:ind w:firstLine="420"/>
              <w:jc w:val="center"/>
              <w:rPr>
                <w:rFonts w:ascii="宋体" w:hAnsi="宋体" w:cs="宋体"/>
                <w:sz w:val="21"/>
                <w:szCs w:val="21"/>
              </w:rPr>
            </w:pPr>
            <w:r>
              <w:rPr>
                <w:rFonts w:ascii="宋体" w:hAnsi="宋体" w:cs="宋体" w:hint="eastAsia"/>
                <w:sz w:val="21"/>
                <w:szCs w:val="21"/>
              </w:rPr>
              <w:t>至2017.7.31</w:t>
            </w:r>
          </w:p>
        </w:tc>
        <w:tc>
          <w:tcPr>
            <w:tcW w:w="810" w:type="dxa"/>
            <w:vMerge w:val="restart"/>
            <w:noWrap/>
            <w:vAlign w:val="center"/>
          </w:tcPr>
          <w:p>
            <w:pPr>
              <w:ind w:firstLine="0" w:firstLineChars="0"/>
              <w:rPr>
                <w:rFonts w:ascii="宋体" w:hAnsi="宋体" w:cs="宋体"/>
                <w:sz w:val="21"/>
                <w:szCs w:val="21"/>
              </w:rPr>
            </w:pPr>
            <w:r>
              <w:rPr>
                <w:rFonts w:ascii="宋体" w:hAnsi="宋体" w:cs="宋体" w:hint="eastAsia"/>
                <w:sz w:val="21"/>
                <w:szCs w:val="21"/>
              </w:rPr>
              <w:t>地表沉陷区</w:t>
            </w:r>
          </w:p>
        </w:tc>
        <w:tc>
          <w:tcPr>
            <w:tcW w:w="1020" w:type="dxa"/>
            <w:noWrap/>
            <w:vAlign w:val="center"/>
          </w:tcPr>
          <w:p>
            <w:pPr>
              <w:ind w:firstLine="0" w:firstLineChars="0"/>
              <w:rPr>
                <w:rFonts w:ascii="宋体" w:hAnsi="宋体" w:cs="宋体"/>
                <w:sz w:val="21"/>
                <w:szCs w:val="21"/>
              </w:rPr>
            </w:pPr>
            <w:r>
              <w:rPr>
                <w:rFonts w:ascii="宋体" w:hAnsi="宋体" w:cs="宋体" w:hint="eastAsia"/>
                <w:sz w:val="21"/>
                <w:szCs w:val="21"/>
              </w:rPr>
              <w:t>搬迁区</w:t>
            </w:r>
          </w:p>
        </w:tc>
        <w:tc>
          <w:tcPr>
            <w:tcW w:w="2752" w:type="dxa"/>
            <w:noWrap/>
            <w:vAlign w:val="center"/>
          </w:tcPr>
          <w:p>
            <w:pPr>
              <w:ind w:firstLine="420"/>
              <w:jc w:val="left"/>
              <w:rPr>
                <w:rFonts w:ascii="宋体" w:hAnsi="宋体" w:cs="宋体"/>
                <w:sz w:val="21"/>
                <w:szCs w:val="21"/>
              </w:rPr>
            </w:pPr>
            <w:r>
              <w:rPr>
                <w:rFonts w:ascii="宋体" w:hAnsi="宋体" w:cs="宋体" w:hint="eastAsia"/>
                <w:sz w:val="21"/>
                <w:szCs w:val="21"/>
              </w:rPr>
              <w:t>本分期设计搬迁区24户居民</w:t>
            </w:r>
            <w:r>
              <w:rPr>
                <w:rFonts w:ascii="宋体" w:hAnsi="宋体" w:cs="宋体" w:hint="eastAsia"/>
                <w:color w:val="000000"/>
                <w:sz w:val="21"/>
                <w:szCs w:val="21"/>
              </w:rPr>
              <w:t>共</w:t>
            </w:r>
            <w:r>
              <w:rPr>
                <w:rFonts w:ascii="宋体" w:hAnsi="宋体" w:cs="宋体" w:hint="eastAsia"/>
                <w:sz w:val="21"/>
                <w:szCs w:val="21"/>
              </w:rPr>
              <w:t>100人在2019年雨季之前全部撤离避险。</w:t>
            </w:r>
          </w:p>
        </w:tc>
        <w:tc>
          <w:tcPr>
            <w:tcW w:w="1708" w:type="dxa"/>
            <w:noWrap/>
            <w:vAlign w:val="center"/>
          </w:tcPr>
          <w:p>
            <w:pPr>
              <w:ind w:firstLine="0" w:firstLineChars="0"/>
              <w:rPr>
                <w:rFonts w:ascii="宋体" w:hAnsi="宋体" w:cs="宋体"/>
                <w:color w:val="000000"/>
                <w:sz w:val="21"/>
                <w:szCs w:val="21"/>
              </w:rPr>
            </w:pPr>
            <w:r>
              <w:rPr>
                <w:rFonts w:ascii="宋体" w:hAnsi="宋体" w:cs="宋体" w:hint="eastAsia"/>
                <w:color w:val="000000"/>
                <w:sz w:val="21"/>
                <w:szCs w:val="21"/>
              </w:rPr>
              <w:t>搬迁避险24户/100人</w:t>
            </w:r>
          </w:p>
        </w:tc>
        <w:tc>
          <w:tcPr>
            <w:tcW w:w="1043" w:type="dxa"/>
            <w:vMerge w:val="restart"/>
            <w:noWrap/>
            <w:vAlign w:val="center"/>
          </w:tcPr>
          <w:p>
            <w:pPr>
              <w:spacing w:line="400" w:lineRule="exact"/>
              <w:ind w:firstLine="0" w:firstLineChars="0"/>
              <w:rPr>
                <w:rFonts w:ascii="宋体" w:hAnsi="宋体" w:cs="宋体"/>
                <w:sz w:val="21"/>
                <w:szCs w:val="21"/>
              </w:rPr>
            </w:pPr>
            <w:r>
              <w:rPr>
                <w:rFonts w:ascii="宋体" w:hAnsi="宋体" w:cs="宋体" w:hint="eastAsia"/>
                <w:sz w:val="21"/>
                <w:szCs w:val="21"/>
              </w:rPr>
              <w:t>734.30</w:t>
            </w:r>
          </w:p>
        </w:tc>
      </w:tr>
      <w:tr>
        <w:tblPrEx>
          <w:tblW w:w="0" w:type="auto"/>
          <w:jc w:val="center"/>
          <w:tblLayout w:type="fixed"/>
          <w:tblCellMar>
            <w:top w:w="0" w:type="dxa"/>
            <w:left w:w="108" w:type="dxa"/>
            <w:bottom w:w="0" w:type="dxa"/>
            <w:right w:w="108" w:type="dxa"/>
          </w:tblCellMar>
        </w:tblPrEx>
        <w:trPr>
          <w:trHeight w:val="464"/>
          <w:jc w:val="center"/>
        </w:trPr>
        <w:tc>
          <w:tcPr>
            <w:tcW w:w="1195" w:type="dxa"/>
            <w:vMerge/>
            <w:noWrap/>
            <w:vAlign w:val="center"/>
          </w:tcPr>
          <w:p>
            <w:pPr>
              <w:spacing w:line="400" w:lineRule="exact"/>
              <w:ind w:firstLine="420"/>
              <w:jc w:val="center"/>
              <w:rPr>
                <w:rFonts w:ascii="宋体" w:hAnsi="宋体" w:cs="宋体"/>
                <w:sz w:val="21"/>
                <w:szCs w:val="21"/>
              </w:rPr>
            </w:pPr>
          </w:p>
        </w:tc>
        <w:tc>
          <w:tcPr>
            <w:tcW w:w="810" w:type="dxa"/>
            <w:vMerge/>
            <w:noWrap/>
            <w:vAlign w:val="center"/>
          </w:tcPr>
          <w:p>
            <w:pPr>
              <w:ind w:firstLine="420"/>
              <w:jc w:val="center"/>
              <w:rPr>
                <w:rFonts w:ascii="宋体" w:hAnsi="宋体" w:cs="宋体"/>
                <w:sz w:val="21"/>
                <w:szCs w:val="21"/>
              </w:rPr>
            </w:pPr>
          </w:p>
        </w:tc>
        <w:tc>
          <w:tcPr>
            <w:tcW w:w="1020" w:type="dxa"/>
            <w:noWrap/>
            <w:vAlign w:val="center"/>
          </w:tcPr>
          <w:p>
            <w:pPr>
              <w:ind w:firstLine="0" w:firstLineChars="0"/>
              <w:rPr>
                <w:rFonts w:ascii="宋体" w:hAnsi="宋体" w:cs="宋体"/>
                <w:sz w:val="21"/>
                <w:szCs w:val="21"/>
              </w:rPr>
            </w:pPr>
            <w:r>
              <w:rPr>
                <w:rFonts w:ascii="宋体" w:hAnsi="宋体" w:cs="宋体" w:hint="eastAsia"/>
                <w:sz w:val="21"/>
                <w:szCs w:val="21"/>
              </w:rPr>
              <w:t>地裂缝</w:t>
            </w:r>
          </w:p>
        </w:tc>
        <w:tc>
          <w:tcPr>
            <w:tcW w:w="2752" w:type="dxa"/>
            <w:noWrap/>
            <w:vAlign w:val="center"/>
          </w:tcPr>
          <w:p>
            <w:pPr>
              <w:ind w:firstLine="420"/>
              <w:jc w:val="left"/>
              <w:rPr>
                <w:rFonts w:ascii="宋体" w:hAnsi="宋体" w:cs="宋体"/>
                <w:sz w:val="21"/>
                <w:szCs w:val="21"/>
              </w:rPr>
            </w:pPr>
            <w:r>
              <w:rPr>
                <w:rFonts w:ascii="宋体" w:hAnsi="宋体" w:cs="宋体" w:hint="eastAsia"/>
                <w:sz w:val="21"/>
                <w:szCs w:val="21"/>
              </w:rPr>
              <w:t>本分期设计对两条地裂缝DL1、DL2进行回填，之后地面平整，植被自然恢复。</w:t>
            </w:r>
          </w:p>
        </w:tc>
        <w:tc>
          <w:tcPr>
            <w:tcW w:w="1708" w:type="dxa"/>
            <w:noWrap/>
            <w:vAlign w:val="center"/>
          </w:tcPr>
          <w:p>
            <w:pPr>
              <w:ind w:firstLine="0" w:firstLineChars="0"/>
              <w:rPr>
                <w:rFonts w:ascii="宋体" w:hAnsi="宋体" w:cs="宋体"/>
                <w:color w:val="000000"/>
                <w:sz w:val="21"/>
                <w:szCs w:val="21"/>
              </w:rPr>
            </w:pPr>
            <w:r>
              <w:rPr>
                <w:rFonts w:ascii="宋体" w:hAnsi="宋体" w:cs="宋体" w:hint="eastAsia"/>
                <w:color w:val="000000"/>
                <w:sz w:val="21"/>
                <w:szCs w:val="21"/>
              </w:rPr>
              <w:t>回填</w:t>
            </w:r>
            <w:r>
              <w:rPr>
                <w:rFonts w:ascii="宋体" w:hAnsi="宋体" w:cs="宋体" w:hint="eastAsia"/>
                <w:sz w:val="21"/>
                <w:szCs w:val="21"/>
              </w:rPr>
              <w:t>0.46m</w:t>
            </w:r>
            <w:r>
              <w:rPr>
                <w:rFonts w:ascii="宋体" w:hAnsi="宋体" w:cs="宋体" w:hint="eastAsia"/>
                <w:sz w:val="21"/>
                <w:szCs w:val="21"/>
                <w:vertAlign w:val="superscript"/>
              </w:rPr>
              <w:t>3</w:t>
            </w:r>
            <w:r>
              <w:rPr>
                <w:rFonts w:ascii="宋体" w:hAnsi="宋体" w:cs="宋体" w:hint="eastAsia"/>
                <w:color w:val="000000"/>
                <w:sz w:val="21"/>
                <w:szCs w:val="21"/>
              </w:rPr>
              <w:t>；</w:t>
            </w:r>
          </w:p>
          <w:p>
            <w:pPr>
              <w:ind w:firstLine="0" w:firstLineChars="0"/>
              <w:rPr>
                <w:rFonts w:ascii="宋体" w:hAnsi="宋体" w:cs="宋体"/>
                <w:color w:val="000000"/>
                <w:sz w:val="21"/>
                <w:szCs w:val="21"/>
              </w:rPr>
            </w:pPr>
            <w:r>
              <w:rPr>
                <w:rFonts w:ascii="宋体" w:hAnsi="宋体" w:cs="宋体" w:hint="eastAsia"/>
                <w:color w:val="000000"/>
                <w:sz w:val="21"/>
                <w:szCs w:val="21"/>
              </w:rPr>
              <w:t>平整0.3</w:t>
            </w:r>
            <w:r>
              <w:rPr>
                <w:rFonts w:ascii="宋体" w:hAnsi="宋体" w:cs="宋体" w:hint="eastAsia"/>
                <w:sz w:val="21"/>
                <w:szCs w:val="21"/>
              </w:rPr>
              <w:t>m</w:t>
            </w:r>
            <w:r>
              <w:rPr>
                <w:rFonts w:ascii="宋体" w:hAnsi="宋体" w:cs="宋体" w:hint="eastAsia"/>
                <w:sz w:val="21"/>
                <w:szCs w:val="21"/>
                <w:vertAlign w:val="superscript"/>
              </w:rPr>
              <w:t>3</w:t>
            </w:r>
          </w:p>
        </w:tc>
        <w:tc>
          <w:tcPr>
            <w:tcW w:w="1043" w:type="dxa"/>
            <w:vMerge/>
            <w:noWrap/>
            <w:vAlign w:val="center"/>
          </w:tcPr>
          <w:p>
            <w:pPr>
              <w:spacing w:line="400" w:lineRule="exact"/>
              <w:ind w:firstLine="420"/>
              <w:jc w:val="center"/>
              <w:rPr>
                <w:rFonts w:ascii="宋体" w:hAnsi="宋体" w:cs="宋体"/>
                <w:sz w:val="21"/>
                <w:szCs w:val="21"/>
              </w:rPr>
            </w:pPr>
          </w:p>
        </w:tc>
      </w:tr>
      <w:tr>
        <w:tblPrEx>
          <w:tblW w:w="0" w:type="auto"/>
          <w:jc w:val="center"/>
          <w:tblLayout w:type="fixed"/>
          <w:tblCellMar>
            <w:top w:w="0" w:type="dxa"/>
            <w:left w:w="108" w:type="dxa"/>
            <w:bottom w:w="0" w:type="dxa"/>
            <w:right w:w="108" w:type="dxa"/>
          </w:tblCellMar>
        </w:tblPrEx>
        <w:trPr>
          <w:trHeight w:val="464"/>
          <w:jc w:val="center"/>
        </w:trPr>
        <w:tc>
          <w:tcPr>
            <w:tcW w:w="1195" w:type="dxa"/>
            <w:vMerge/>
            <w:noWrap/>
            <w:vAlign w:val="center"/>
          </w:tcPr>
          <w:p>
            <w:pPr>
              <w:spacing w:line="400" w:lineRule="exact"/>
              <w:ind w:firstLine="420"/>
              <w:jc w:val="center"/>
              <w:rPr>
                <w:rFonts w:ascii="宋体" w:hAnsi="宋体" w:cs="宋体"/>
                <w:sz w:val="21"/>
                <w:szCs w:val="21"/>
              </w:rPr>
            </w:pPr>
          </w:p>
        </w:tc>
        <w:tc>
          <w:tcPr>
            <w:tcW w:w="810" w:type="dxa"/>
            <w:vMerge/>
            <w:noWrap/>
            <w:vAlign w:val="center"/>
          </w:tcPr>
          <w:p>
            <w:pPr>
              <w:spacing w:line="400" w:lineRule="exact"/>
              <w:ind w:left="-120" w:right="-120" w:firstLine="420" w:leftChars="-50" w:rightChars="-50"/>
              <w:jc w:val="center"/>
              <w:rPr>
                <w:rFonts w:ascii="宋体" w:hAnsi="宋体" w:cs="宋体"/>
                <w:kern w:val="0"/>
                <w:sz w:val="21"/>
                <w:szCs w:val="21"/>
              </w:rPr>
            </w:pPr>
          </w:p>
        </w:tc>
        <w:tc>
          <w:tcPr>
            <w:tcW w:w="1020" w:type="dxa"/>
            <w:noWrap/>
            <w:vAlign w:val="center"/>
          </w:tcPr>
          <w:p>
            <w:pPr>
              <w:spacing w:line="400" w:lineRule="exact"/>
              <w:ind w:right="-120" w:firstLine="0" w:rightChars="-50" w:firstLineChars="0"/>
              <w:rPr>
                <w:rFonts w:ascii="宋体" w:hAnsi="宋体" w:cs="宋体"/>
                <w:kern w:val="0"/>
                <w:sz w:val="21"/>
                <w:szCs w:val="21"/>
              </w:rPr>
            </w:pPr>
            <w:r>
              <w:rPr>
                <w:rFonts w:ascii="宋体" w:hAnsi="宋体" w:cs="宋体" w:hint="eastAsia"/>
                <w:kern w:val="0"/>
                <w:sz w:val="21"/>
                <w:szCs w:val="21"/>
              </w:rPr>
              <w:t>其它区域</w:t>
            </w:r>
          </w:p>
        </w:tc>
        <w:tc>
          <w:tcPr>
            <w:tcW w:w="2752" w:type="dxa"/>
            <w:noWrap/>
            <w:vAlign w:val="center"/>
          </w:tcPr>
          <w:p>
            <w:pPr>
              <w:ind w:firstLine="420"/>
              <w:jc w:val="left"/>
              <w:rPr>
                <w:rFonts w:ascii="宋体" w:hAnsi="宋体" w:cs="宋体"/>
                <w:sz w:val="21"/>
                <w:szCs w:val="21"/>
              </w:rPr>
            </w:pPr>
            <w:r>
              <w:rPr>
                <w:rFonts w:ascii="宋体" w:hAnsi="宋体" w:cs="宋体" w:hint="eastAsia"/>
                <w:sz w:val="21"/>
                <w:szCs w:val="21"/>
              </w:rPr>
              <w:t>对地表变形、地形地貌景观土地资源监测。根据监测结果，一旦发现快速下沉迹象，民房裂缝短期发展较快（变宽，延伸长），倒塌风险加大，矿山要保证快速对人员进行搬离，做好后期保障工作。</w:t>
            </w:r>
          </w:p>
        </w:tc>
        <w:tc>
          <w:tcPr>
            <w:tcW w:w="1708" w:type="dxa"/>
            <w:noWrap/>
            <w:vAlign w:val="center"/>
          </w:tcPr>
          <w:p>
            <w:pPr>
              <w:ind w:firstLine="0" w:firstLineChars="0"/>
              <w:jc w:val="left"/>
              <w:rPr>
                <w:rFonts w:ascii="宋体" w:hAnsi="宋体" w:cs="宋体"/>
                <w:sz w:val="21"/>
                <w:szCs w:val="21"/>
              </w:rPr>
            </w:pPr>
            <w:r>
              <w:rPr>
                <w:rFonts w:ascii="宋体" w:hAnsi="宋体" w:cs="宋体" w:hint="eastAsia"/>
                <w:sz w:val="21"/>
                <w:szCs w:val="21"/>
              </w:rPr>
              <w:t>设置监测点83个，监测路线2条</w:t>
            </w:r>
          </w:p>
        </w:tc>
        <w:tc>
          <w:tcPr>
            <w:tcW w:w="1043" w:type="dxa"/>
            <w:vMerge/>
            <w:noWrap/>
            <w:vAlign w:val="center"/>
          </w:tcPr>
          <w:p>
            <w:pPr>
              <w:spacing w:line="400" w:lineRule="exact"/>
              <w:ind w:firstLine="420"/>
              <w:jc w:val="center"/>
              <w:rPr>
                <w:rFonts w:ascii="宋体" w:hAnsi="宋体" w:cs="宋体"/>
                <w:sz w:val="21"/>
                <w:szCs w:val="21"/>
              </w:rPr>
            </w:pPr>
          </w:p>
        </w:tc>
      </w:tr>
      <w:tr>
        <w:tblPrEx>
          <w:tblW w:w="0" w:type="auto"/>
          <w:jc w:val="center"/>
          <w:tblLayout w:type="fixed"/>
          <w:tblCellMar>
            <w:top w:w="0" w:type="dxa"/>
            <w:left w:w="108" w:type="dxa"/>
            <w:bottom w:w="0" w:type="dxa"/>
            <w:right w:w="108" w:type="dxa"/>
          </w:tblCellMar>
        </w:tblPrEx>
        <w:trPr>
          <w:trHeight w:val="804"/>
          <w:jc w:val="center"/>
        </w:trPr>
        <w:tc>
          <w:tcPr>
            <w:tcW w:w="1195" w:type="dxa"/>
            <w:vMerge/>
            <w:noWrap/>
            <w:vAlign w:val="center"/>
          </w:tcPr>
          <w:p>
            <w:pPr>
              <w:spacing w:line="400" w:lineRule="exact"/>
              <w:ind w:firstLine="420"/>
              <w:jc w:val="center"/>
              <w:rPr>
                <w:rFonts w:ascii="宋体" w:hAnsi="宋体" w:cs="宋体"/>
                <w:color w:val="FF0000"/>
                <w:sz w:val="21"/>
                <w:szCs w:val="21"/>
              </w:rPr>
            </w:pPr>
          </w:p>
        </w:tc>
        <w:tc>
          <w:tcPr>
            <w:tcW w:w="810" w:type="dxa"/>
            <w:noWrap/>
            <w:vAlign w:val="center"/>
          </w:tcPr>
          <w:p>
            <w:pPr>
              <w:spacing w:line="400" w:lineRule="exact"/>
              <w:ind w:left="-120" w:right="-120" w:firstLine="420" w:leftChars="-50" w:rightChars="-50"/>
              <w:jc w:val="center"/>
              <w:rPr>
                <w:rFonts w:ascii="宋体" w:hAnsi="宋体" w:cs="宋体"/>
                <w:kern w:val="0"/>
                <w:sz w:val="21"/>
                <w:szCs w:val="21"/>
              </w:rPr>
            </w:pPr>
          </w:p>
        </w:tc>
        <w:tc>
          <w:tcPr>
            <w:tcW w:w="1020" w:type="dxa"/>
            <w:noWrap/>
            <w:vAlign w:val="center"/>
          </w:tcPr>
          <w:p>
            <w:pPr>
              <w:spacing w:line="400" w:lineRule="exact"/>
              <w:ind w:left="-120" w:right="-120" w:firstLine="420" w:leftChars="-50" w:rightChars="-50"/>
              <w:jc w:val="center"/>
              <w:rPr>
                <w:rFonts w:ascii="宋体" w:hAnsi="宋体" w:cs="宋体"/>
                <w:kern w:val="0"/>
                <w:sz w:val="21"/>
                <w:szCs w:val="21"/>
              </w:rPr>
            </w:pPr>
          </w:p>
        </w:tc>
        <w:tc>
          <w:tcPr>
            <w:tcW w:w="2752" w:type="dxa"/>
            <w:noWrap/>
            <w:vAlign w:val="center"/>
          </w:tcPr>
          <w:p>
            <w:pPr>
              <w:ind w:firstLine="420"/>
              <w:jc w:val="left"/>
              <w:rPr>
                <w:rFonts w:ascii="宋体" w:hAnsi="宋体" w:cs="宋体"/>
                <w:sz w:val="21"/>
                <w:szCs w:val="21"/>
              </w:rPr>
            </w:pPr>
            <w:r>
              <w:rPr>
                <w:rFonts w:ascii="宋体" w:hAnsi="宋体" w:cs="宋体" w:hint="eastAsia"/>
                <w:sz w:val="21"/>
                <w:szCs w:val="21"/>
              </w:rPr>
              <w:t>继续完善一分期治理措施</w:t>
            </w:r>
          </w:p>
        </w:tc>
        <w:tc>
          <w:tcPr>
            <w:tcW w:w="1708" w:type="dxa"/>
            <w:noWrap/>
            <w:vAlign w:val="center"/>
          </w:tcPr>
          <w:p>
            <w:pPr>
              <w:ind w:firstLine="0" w:firstLineChars="0"/>
              <w:jc w:val="left"/>
              <w:rPr>
                <w:rFonts w:ascii="宋体" w:hAnsi="宋体" w:cs="宋体"/>
                <w:sz w:val="21"/>
                <w:szCs w:val="21"/>
              </w:rPr>
            </w:pPr>
            <w:r>
              <w:rPr>
                <w:rFonts w:ascii="宋体" w:hAnsi="宋体" w:cs="宋体" w:hint="eastAsia"/>
                <w:sz w:val="21"/>
                <w:szCs w:val="21"/>
              </w:rPr>
              <w:t>对一分期已设置监测点进行监测</w:t>
            </w:r>
          </w:p>
        </w:tc>
        <w:tc>
          <w:tcPr>
            <w:tcW w:w="1043" w:type="dxa"/>
            <w:vMerge/>
            <w:noWrap/>
            <w:vAlign w:val="center"/>
          </w:tcPr>
          <w:p>
            <w:pPr>
              <w:spacing w:line="400" w:lineRule="exact"/>
              <w:ind w:firstLine="420"/>
              <w:jc w:val="center"/>
              <w:rPr>
                <w:rFonts w:ascii="宋体" w:hAnsi="宋体" w:cs="宋体"/>
                <w:color w:val="FF0000"/>
                <w:sz w:val="21"/>
                <w:szCs w:val="21"/>
              </w:rPr>
            </w:pPr>
          </w:p>
        </w:tc>
      </w:tr>
    </w:tbl>
    <w:p>
      <w:pPr>
        <w:ind w:firstLine="360" w:firstLineChars="150"/>
        <w:rPr>
          <w:color w:val="000000"/>
          <w:szCs w:val="24"/>
        </w:rPr>
      </w:pPr>
    </w:p>
    <w:p>
      <w:pPr>
        <w:pStyle w:val="Heading2"/>
        <w:adjustRightInd/>
        <w:snapToGrid/>
        <w:spacing w:before="0"/>
        <w:ind w:firstLine="560" w:firstLineChars="200"/>
        <w:jc w:val="both"/>
        <w:rPr>
          <w:rFonts w:ascii="Times New Roman" w:hAnsi="Times New Roman"/>
          <w:color w:val="auto"/>
          <w:sz w:val="28"/>
          <w:szCs w:val="28"/>
        </w:rPr>
      </w:pPr>
      <w:bookmarkStart w:id="5" w:name="_Toc67065968"/>
      <w:r>
        <w:rPr>
          <w:rFonts w:ascii="Times New Roman" w:hAnsi="Times New Roman" w:hint="eastAsia"/>
          <w:color w:val="auto"/>
          <w:sz w:val="28"/>
          <w:szCs w:val="28"/>
        </w:rPr>
        <w:t>2.3  矿山地质环境治理方案执行情况</w:t>
      </w:r>
      <w:bookmarkEnd w:id="5"/>
    </w:p>
    <w:p>
      <w:pPr>
        <w:ind w:firstLine="480"/>
        <w:outlineLvl w:val="2"/>
        <w:rPr>
          <w:rFonts w:ascii="宋体" w:hAnsi="宋体" w:cs="宋体"/>
          <w:szCs w:val="24"/>
        </w:rPr>
      </w:pPr>
      <w:r>
        <w:rPr>
          <w:rFonts w:ascii="宋体" w:hAnsi="宋体" w:cs="宋体" w:hint="eastAsia"/>
          <w:szCs w:val="24"/>
        </w:rPr>
        <w:t>1、前期矿山地质环境治理情况</w:t>
      </w:r>
    </w:p>
    <w:p>
      <w:pPr>
        <w:ind w:firstLine="480"/>
        <w:rPr>
          <w:rFonts w:ascii="宋体" w:hAnsi="宋体" w:cs="宋体"/>
          <w:szCs w:val="24"/>
        </w:rPr>
      </w:pPr>
      <w:r>
        <w:rPr>
          <w:rFonts w:ascii="宋体" w:hAnsi="宋体" w:cs="宋体" w:hint="eastAsia"/>
          <w:szCs w:val="24"/>
        </w:rPr>
        <w:t>（1）对当时形成采空区及预测开采区域进行充填，完成充填量填充量34620 m</w:t>
      </w:r>
      <w:r>
        <w:rPr>
          <w:rFonts w:ascii="宋体" w:hAnsi="宋体" w:cs="宋体" w:hint="eastAsia"/>
          <w:szCs w:val="24"/>
          <w:vertAlign w:val="superscript"/>
        </w:rPr>
        <w:t>3</w:t>
      </w:r>
      <w:r>
        <w:rPr>
          <w:rFonts w:ascii="宋体" w:hAnsi="宋体" w:cs="宋体" w:hint="eastAsia"/>
          <w:szCs w:val="24"/>
        </w:rPr>
        <w:t>，恢复农田约250317.5m</w:t>
      </w:r>
      <w:r>
        <w:rPr>
          <w:rFonts w:ascii="宋体" w:hAnsi="宋体" w:cs="宋体" w:hint="eastAsia"/>
          <w:szCs w:val="24"/>
          <w:vertAlign w:val="superscript"/>
        </w:rPr>
        <w:t>2</w:t>
      </w:r>
      <w:r>
        <w:rPr>
          <w:rFonts w:ascii="宋体" w:hAnsi="宋体" w:cs="宋体" w:hint="eastAsia"/>
          <w:szCs w:val="24"/>
        </w:rPr>
        <w:t>，见照片2-1。</w:t>
      </w:r>
    </w:p>
    <w:p>
      <w:pPr>
        <w:ind w:firstLine="480"/>
        <w:rPr>
          <w:rFonts w:ascii="宋体" w:hAnsi="宋体" w:cs="宋体"/>
          <w:color w:val="0000FF"/>
        </w:rPr>
        <w:sectPr>
          <w:headerReference w:type="even" r:id="rId32"/>
          <w:headerReference w:type="default" r:id="rId33"/>
          <w:footerReference w:type="even" r:id="rId34"/>
          <w:footerReference w:type="default" r:id="rId35"/>
          <w:headerReference w:type="first" r:id="rId36"/>
          <w:footerReference w:type="first" r:id="rId37"/>
          <w:type w:val="nextPage"/>
          <w:pgSz w:w="11907" w:h="16839"/>
          <w:pgMar w:top="1440" w:right="1797" w:bottom="1440" w:left="1797" w:header="851" w:footer="992" w:gutter="0"/>
          <w:pgNumType w:start="3"/>
          <w:cols w:num="1" w:space="720"/>
          <w:titlePg w:val="0"/>
          <w:docGrid w:linePitch="326" w:charSpace="0"/>
        </w:sectPr>
      </w:pPr>
    </w:p>
    <w:p>
      <w:pPr>
        <w:ind w:firstLine="480"/>
        <w:jc w:val="center"/>
        <w:rPr>
          <w:rFonts w:ascii="宋体" w:hAnsi="宋体" w:cs="宋体"/>
        </w:rPr>
      </w:pPr>
      <w:r>
        <w:drawing>
          <wp:anchor distT="0" distB="0" distL="114300" distR="114300" simplePos="0" relativeHeight="251658240" behindDoc="0" locked="0" layoutInCell="1" allowOverlap="1">
            <wp:simplePos x="0" y="0"/>
            <wp:positionH relativeFrom="column">
              <wp:posOffset>213995</wp:posOffset>
            </wp:positionH>
            <wp:positionV relativeFrom="page">
              <wp:posOffset>901700</wp:posOffset>
            </wp:positionV>
            <wp:extent cx="4827270" cy="3234690"/>
            <wp:effectExtent l="0" t="0" r="11430" b="3810"/>
            <wp:wrapTopAndBottom/>
            <wp:docPr id="8" name="图片 2" descr="捕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捕获"/>
                    <pic:cNvPicPr>
                      <a:picLocks noChangeAspect="1"/>
                    </pic:cNvPicPr>
                  </pic:nvPicPr>
                  <pic:blipFill>
                    <a:blip xmlns:r="http://schemas.openxmlformats.org/officeDocument/2006/relationships" r:embed="rId38"/>
                    <a:stretch>
                      <a:fillRect/>
                    </a:stretch>
                  </pic:blipFill>
                  <pic:spPr>
                    <a:xfrm>
                      <a:off x="0" y="0"/>
                      <a:ext cx="4827270" cy="3234690"/>
                    </a:xfrm>
                    <a:prstGeom prst="rect">
                      <a:avLst/>
                    </a:prstGeom>
                    <a:noFill/>
                    <a:ln>
                      <a:noFill/>
                    </a:ln>
                  </pic:spPr>
                </pic:pic>
              </a:graphicData>
            </a:graphic>
          </wp:anchor>
        </w:drawing>
      </w:r>
      <w:r>
        <w:rPr>
          <w:rFonts w:ascii="宋体" w:hAnsi="宋体" w:cs="宋体" w:hint="eastAsia"/>
        </w:rPr>
        <w:t>照片2-1    沉陷区回填恢复耕地</w:t>
      </w:r>
    </w:p>
    <w:p>
      <w:pPr>
        <w:pStyle w:val="116"/>
        <w:ind w:firstLine="120" w:firstLineChars="50"/>
        <w:jc w:val="center"/>
        <w:rPr>
          <w:rFonts w:ascii="宋体" w:hAnsi="宋体" w:cs="宋体"/>
          <w:sz w:val="24"/>
        </w:rPr>
      </w:pPr>
      <w:r>
        <w:rPr>
          <w:rFonts w:ascii="宋体" w:hAnsi="宋体" w:cs="宋体" w:hint="eastAsia"/>
          <w:sz w:val="24"/>
        </w:rPr>
        <w:t>（2）对矿区与公格营子之间发育的地裂缝进行回填，完成回填量</w:t>
      </w:r>
    </w:p>
    <w:p>
      <w:pPr>
        <w:ind w:firstLine="480"/>
        <w:rPr>
          <w:rFonts w:ascii="宋体" w:hAnsi="宋体" w:cs="宋体"/>
          <w:szCs w:val="24"/>
        </w:rPr>
      </w:pPr>
      <w:r>
        <w:rPr>
          <w:rFonts w:ascii="宋体" w:hAnsi="宋体" w:cs="宋体" w:hint="eastAsia"/>
          <w:szCs w:val="24"/>
        </w:rPr>
        <w:t>8.0 m</w:t>
      </w:r>
      <w:r>
        <w:rPr>
          <w:rFonts w:ascii="宋体" w:hAnsi="宋体" w:cs="宋体" w:hint="eastAsia"/>
          <w:szCs w:val="24"/>
          <w:vertAlign w:val="superscript"/>
        </w:rPr>
        <w:t>3</w:t>
      </w:r>
      <w:r>
        <w:rPr>
          <w:rFonts w:ascii="宋体" w:hAnsi="宋体" w:cs="宋体" w:hint="eastAsia"/>
          <w:szCs w:val="24"/>
        </w:rPr>
        <w:t>，治理效果见照片2-2。</w:t>
      </w:r>
    </w:p>
    <w:p>
      <w:pPr>
        <w:ind w:firstLine="480"/>
        <w:jc w:val="center"/>
        <w:rPr>
          <w:rFonts w:ascii="宋体" w:hAnsi="宋体" w:cs="宋体"/>
          <w:color w:val="0000FF"/>
        </w:rPr>
      </w:pPr>
      <w:r>
        <w:drawing>
          <wp:inline distT="0" distB="0" distL="0" distR="0">
            <wp:extent cx="4827905" cy="3227705"/>
            <wp:effectExtent l="19050" t="0" r="0" b="0"/>
            <wp:docPr id="10" name="图片 3" descr="IMG_20190308_145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IMG_20190308_145901"/>
                    <pic:cNvPicPr>
                      <a:picLocks noChangeAspect="1"/>
                    </pic:cNvPicPr>
                  </pic:nvPicPr>
                  <pic:blipFill>
                    <a:blip xmlns:r="http://schemas.openxmlformats.org/officeDocument/2006/relationships" r:embed="rId39"/>
                    <a:stretch>
                      <a:fillRect/>
                    </a:stretch>
                  </pic:blipFill>
                  <pic:spPr>
                    <a:xfrm>
                      <a:off x="0" y="0"/>
                      <a:ext cx="4827905" cy="3227705"/>
                    </a:xfrm>
                    <a:prstGeom prst="rect">
                      <a:avLst/>
                    </a:prstGeom>
                    <a:noFill/>
                    <a:ln>
                      <a:noFill/>
                    </a:ln>
                  </pic:spPr>
                </pic:pic>
              </a:graphicData>
            </a:graphic>
          </wp:inline>
        </w:drawing>
      </w:r>
    </w:p>
    <w:p>
      <w:pPr>
        <w:ind w:firstLine="480"/>
        <w:jc w:val="center"/>
        <w:rPr>
          <w:rFonts w:ascii="宋体" w:hAnsi="宋体" w:cs="宋体"/>
        </w:rPr>
      </w:pPr>
      <w:r>
        <w:rPr>
          <w:rFonts w:ascii="宋体" w:hAnsi="宋体" w:cs="宋体" w:hint="eastAsia"/>
        </w:rPr>
        <w:t>照片2-2    地裂缝回填区域</w:t>
      </w:r>
    </w:p>
    <w:p>
      <w:pPr>
        <w:ind w:firstLine="480"/>
        <w:rPr>
          <w:rFonts w:ascii="宋体" w:hAnsi="宋体" w:cs="宋体"/>
          <w:szCs w:val="24"/>
        </w:rPr>
        <w:sectPr>
          <w:headerReference w:type="even" r:id="rId40"/>
          <w:headerReference w:type="default" r:id="rId41"/>
          <w:footerReference w:type="even" r:id="rId42"/>
          <w:footerReference w:type="default" r:id="rId43"/>
          <w:headerReference w:type="first" r:id="rId44"/>
          <w:footerReference w:type="first" r:id="rId45"/>
          <w:type w:val="nextPage"/>
          <w:pgSz w:w="11907" w:h="16839"/>
          <w:pgMar w:top="1440" w:right="1797" w:bottom="1440" w:left="1797" w:header="851" w:footer="992" w:gutter="0"/>
          <w:pgNumType w:start="4"/>
          <w:cols w:num="1" w:space="720"/>
          <w:titlePg w:val="0"/>
          <w:docGrid w:linePitch="326" w:charSpace="0"/>
        </w:sectPr>
      </w:pPr>
      <w:r>
        <w:rPr>
          <w:rFonts w:ascii="宋体" w:hAnsi="宋体" w:cs="宋体" w:hint="eastAsia"/>
          <w:szCs w:val="24"/>
        </w:rPr>
        <w:t>（3）针对矿山主要问题地面沉陷灾害，方案设计对地面沉陷区进行地面变形监测及工作布置，布设监测点62个，其中监测铁路点23个，矿区范围内及周边39个，监测点见照片2-3。</w:t>
      </w:r>
    </w:p>
    <w:p>
      <w:pPr>
        <w:ind w:left="480" w:firstLine="0" w:firstLineChars="0"/>
        <w:jc w:val="center"/>
      </w:pPr>
      <w:r>
        <w:drawing>
          <wp:anchor distT="0" distB="0" distL="114300" distR="114300" simplePos="0" relativeHeight="251659264" behindDoc="0" locked="0" layoutInCell="1" allowOverlap="1">
            <wp:simplePos x="0" y="0"/>
            <wp:positionH relativeFrom="column">
              <wp:posOffset>-65405</wp:posOffset>
            </wp:positionH>
            <wp:positionV relativeFrom="paragraph">
              <wp:posOffset>111760</wp:posOffset>
            </wp:positionV>
            <wp:extent cx="5568950" cy="3620135"/>
            <wp:effectExtent l="0" t="0" r="12700" b="18415"/>
            <wp:wrapTopAndBottom/>
            <wp:docPr id="11" name="图片 4" descr="IMG_20190308_095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descr="IMG_20190308_095543"/>
                    <pic:cNvPicPr>
                      <a:picLocks noChangeAspect="1"/>
                    </pic:cNvPicPr>
                  </pic:nvPicPr>
                  <pic:blipFill>
                    <a:blip xmlns:r="http://schemas.openxmlformats.org/officeDocument/2006/relationships" r:embed="rId46"/>
                    <a:stretch>
                      <a:fillRect/>
                    </a:stretch>
                  </pic:blipFill>
                  <pic:spPr>
                    <a:xfrm>
                      <a:off x="0" y="0"/>
                      <a:ext cx="5568950" cy="3620135"/>
                    </a:xfrm>
                    <a:prstGeom prst="rect">
                      <a:avLst/>
                    </a:prstGeom>
                    <a:noFill/>
                    <a:ln>
                      <a:noFill/>
                    </a:ln>
                  </pic:spPr>
                </pic:pic>
              </a:graphicData>
            </a:graphic>
          </wp:anchor>
        </w:drawing>
      </w:r>
      <w:r>
        <w:rPr>
          <w:rFonts w:hint="eastAsia"/>
        </w:rPr>
        <w:t>照片2-3   地面沉陷监测点</w:t>
      </w:r>
    </w:p>
    <w:p>
      <w:pPr>
        <w:ind w:left="480" w:firstLine="0" w:firstLineChars="0"/>
        <w:jc w:val="center"/>
        <w:rPr>
          <w:b/>
        </w:rPr>
      </w:pPr>
      <w:r>
        <w:rPr>
          <w:rFonts w:hint="eastAsia"/>
          <w:b/>
        </w:rPr>
        <w:t>表2-3  一分期完成治理工程量表</w:t>
      </w:r>
    </w:p>
    <w:tbl>
      <w:tblPr>
        <w:tblStyle w:val="TableNormal"/>
        <w:tblW w:w="89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93"/>
        <w:gridCol w:w="2554"/>
        <w:gridCol w:w="3121"/>
        <w:gridCol w:w="1509"/>
      </w:tblGrid>
      <w:tr>
        <w:tblPrEx>
          <w:tblW w:w="89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14"/>
          <w:jc w:val="center"/>
        </w:trPr>
        <w:tc>
          <w:tcPr>
            <w:tcW w:w="1793" w:type="dxa"/>
            <w:noWrap/>
            <w:vAlign w:val="center"/>
          </w:tcPr>
          <w:p>
            <w:pPr>
              <w:pStyle w:val="NormalIndent"/>
              <w:ind w:firstLine="0" w:firstLineChars="0"/>
              <w:jc w:val="center"/>
              <w:rPr>
                <w:rFonts w:ascii="宋体" w:hAnsi="宋体" w:cs="宋体"/>
                <w:b/>
                <w:szCs w:val="21"/>
              </w:rPr>
            </w:pPr>
            <w:r>
              <w:rPr>
                <w:rFonts w:ascii="宋体" w:hAnsi="宋体" w:cs="宋体" w:hint="eastAsia"/>
                <w:b/>
                <w:szCs w:val="21"/>
              </w:rPr>
              <w:t>治理区域</w:t>
            </w:r>
          </w:p>
        </w:tc>
        <w:tc>
          <w:tcPr>
            <w:tcW w:w="2554" w:type="dxa"/>
            <w:noWrap/>
            <w:vAlign w:val="center"/>
          </w:tcPr>
          <w:p>
            <w:pPr>
              <w:pStyle w:val="NormalIndent"/>
              <w:ind w:firstLine="0" w:firstLineChars="0"/>
              <w:jc w:val="center"/>
              <w:rPr>
                <w:rFonts w:ascii="宋体" w:hAnsi="宋体" w:cs="宋体"/>
                <w:b/>
                <w:szCs w:val="21"/>
              </w:rPr>
            </w:pPr>
            <w:r>
              <w:rPr>
                <w:rFonts w:ascii="宋体" w:hAnsi="宋体" w:cs="宋体" w:hint="eastAsia"/>
                <w:b/>
                <w:szCs w:val="21"/>
              </w:rPr>
              <w:t>主要工程技术措施</w:t>
            </w:r>
          </w:p>
        </w:tc>
        <w:tc>
          <w:tcPr>
            <w:tcW w:w="3121" w:type="dxa"/>
            <w:noWrap/>
            <w:vAlign w:val="center"/>
          </w:tcPr>
          <w:p>
            <w:pPr>
              <w:pStyle w:val="NormalIndent"/>
              <w:ind w:firstLine="0" w:firstLineChars="0"/>
              <w:jc w:val="center"/>
              <w:rPr>
                <w:rFonts w:ascii="宋体" w:hAnsi="宋体" w:cs="宋体"/>
                <w:b/>
                <w:szCs w:val="21"/>
              </w:rPr>
            </w:pPr>
            <w:r>
              <w:rPr>
                <w:rFonts w:ascii="宋体" w:hAnsi="宋体" w:cs="宋体" w:hint="eastAsia"/>
                <w:b/>
                <w:szCs w:val="21"/>
              </w:rPr>
              <w:t>治理工程量</w:t>
            </w:r>
          </w:p>
        </w:tc>
        <w:tc>
          <w:tcPr>
            <w:tcW w:w="1509" w:type="dxa"/>
            <w:noWrap/>
            <w:vAlign w:val="center"/>
          </w:tcPr>
          <w:p>
            <w:pPr>
              <w:pStyle w:val="NormalIndent"/>
              <w:ind w:firstLine="0" w:firstLineChars="0"/>
              <w:jc w:val="center"/>
              <w:rPr>
                <w:rFonts w:ascii="宋体" w:hAnsi="宋体" w:cs="宋体"/>
                <w:b/>
                <w:szCs w:val="21"/>
              </w:rPr>
            </w:pPr>
            <w:r>
              <w:rPr>
                <w:rFonts w:ascii="宋体" w:hAnsi="宋体" w:cs="宋体" w:hint="eastAsia"/>
                <w:b/>
                <w:szCs w:val="21"/>
              </w:rPr>
              <w:t>投资（万元）</w:t>
            </w:r>
          </w:p>
        </w:tc>
      </w:tr>
      <w:tr>
        <w:tblPrEx>
          <w:tblW w:w="8977" w:type="dxa"/>
          <w:jc w:val="center"/>
          <w:tblLayout w:type="fixed"/>
          <w:tblCellMar>
            <w:top w:w="0" w:type="dxa"/>
            <w:left w:w="108" w:type="dxa"/>
            <w:bottom w:w="0" w:type="dxa"/>
            <w:right w:w="108" w:type="dxa"/>
          </w:tblCellMar>
        </w:tblPrEx>
        <w:trPr>
          <w:trHeight w:val="3283"/>
          <w:jc w:val="center"/>
        </w:trPr>
        <w:tc>
          <w:tcPr>
            <w:tcW w:w="1793" w:type="dxa"/>
            <w:noWrap/>
            <w:vAlign w:val="center"/>
          </w:tcPr>
          <w:p>
            <w:pPr>
              <w:pStyle w:val="NormalIndent"/>
              <w:ind w:firstLine="0" w:firstLineChars="0"/>
              <w:jc w:val="center"/>
              <w:rPr>
                <w:rFonts w:ascii="宋体" w:hAnsi="宋体" w:cs="宋体"/>
                <w:bCs/>
                <w:szCs w:val="21"/>
              </w:rPr>
            </w:pPr>
            <w:r>
              <w:rPr>
                <w:rFonts w:ascii="宋体" w:hAnsi="宋体" w:cs="宋体" w:hint="eastAsia"/>
                <w:szCs w:val="21"/>
                <w:lang w:val="zh-TW" w:eastAsia="zh-TW" w:bidi="zh-TW"/>
              </w:rPr>
              <w:t>地下采空区、 地面沉陷区、地裂缝</w:t>
            </w:r>
          </w:p>
        </w:tc>
        <w:tc>
          <w:tcPr>
            <w:tcW w:w="2554" w:type="dxa"/>
            <w:noWrap/>
            <w:vAlign w:val="center"/>
          </w:tcPr>
          <w:p>
            <w:pPr>
              <w:pStyle w:val="NormalIndent"/>
              <w:ind w:firstLine="0" w:firstLineChars="0"/>
              <w:jc w:val="center"/>
              <w:rPr>
                <w:rFonts w:ascii="宋体" w:hAnsi="宋体" w:cs="宋体"/>
                <w:bCs/>
                <w:szCs w:val="21"/>
              </w:rPr>
            </w:pPr>
            <w:r>
              <w:rPr>
                <w:rFonts w:ascii="宋体" w:hAnsi="宋体" w:cs="宋体" w:hint="eastAsia"/>
                <w:szCs w:val="21"/>
                <w:lang w:val="zh-TW" w:eastAsia="zh-TW" w:bidi="zh-TW"/>
              </w:rPr>
              <w:t>对采空区、地裂缝 进行充填、地面沉 陷区进行监测</w:t>
            </w:r>
          </w:p>
        </w:tc>
        <w:tc>
          <w:tcPr>
            <w:tcW w:w="3121" w:type="dxa"/>
            <w:noWrap/>
            <w:vAlign w:val="center"/>
          </w:tcPr>
          <w:p>
            <w:pPr>
              <w:pStyle w:val="NormalIndent"/>
              <w:ind w:firstLine="0" w:firstLineChars="0"/>
              <w:jc w:val="left"/>
              <w:rPr>
                <w:rFonts w:ascii="宋体" w:hAnsi="宋体" w:cs="宋体"/>
                <w:bCs/>
                <w:szCs w:val="21"/>
              </w:rPr>
            </w:pPr>
            <w:r>
              <w:rPr>
                <w:rFonts w:ascii="宋体" w:hAnsi="宋体" w:cs="宋体" w:hint="eastAsia"/>
                <w:bCs/>
                <w:szCs w:val="21"/>
              </w:rPr>
              <w:t>完成对采空区填充34620</w:t>
            </w:r>
            <w:r>
              <w:rPr>
                <w:rFonts w:ascii="宋体" w:hAnsi="宋体" w:cs="宋体" w:hint="eastAsia"/>
                <w:szCs w:val="21"/>
                <w:lang w:bidi="en-US"/>
              </w:rPr>
              <w:t>m</w:t>
            </w:r>
            <w:r>
              <w:rPr>
                <w:rFonts w:ascii="宋体" w:hAnsi="宋体" w:cs="宋体" w:hint="eastAsia"/>
                <w:szCs w:val="21"/>
                <w:vertAlign w:val="superscript"/>
                <w:lang w:bidi="en-US"/>
              </w:rPr>
              <w:t>3</w:t>
            </w:r>
            <w:r>
              <w:rPr>
                <w:rFonts w:ascii="宋体" w:hAnsi="宋体" w:cs="宋体" w:hint="eastAsia"/>
                <w:szCs w:val="21"/>
                <w:lang w:bidi="en-US"/>
              </w:rPr>
              <w:t>，治理面积13181m</w:t>
            </w:r>
            <w:r>
              <w:rPr>
                <w:rFonts w:ascii="宋体" w:hAnsi="宋体" w:cs="宋体" w:hint="eastAsia"/>
                <w:szCs w:val="21"/>
                <w:vertAlign w:val="superscript"/>
                <w:lang w:bidi="en-US"/>
              </w:rPr>
              <w:t>3</w:t>
            </w:r>
            <w:r>
              <w:rPr>
                <w:rFonts w:ascii="宋体" w:hAnsi="宋体" w:cs="宋体" w:hint="eastAsia"/>
                <w:szCs w:val="21"/>
                <w:lang w:val="zh-TW" w:eastAsia="zh-TW" w:bidi="zh-TW"/>
              </w:rPr>
              <w:t>,</w:t>
            </w:r>
            <w:r>
              <w:rPr>
                <w:rFonts w:ascii="宋体" w:hAnsi="宋体" w:cs="宋体" w:hint="eastAsia"/>
                <w:szCs w:val="21"/>
                <w:lang w:val="zh-TW" w:bidi="zh-TW"/>
              </w:rPr>
              <w:t>，地裂缝充填</w:t>
            </w:r>
            <w:r>
              <w:rPr>
                <w:rFonts w:ascii="宋体" w:hAnsi="宋体" w:cs="宋体" w:hint="eastAsia"/>
                <w:szCs w:val="21"/>
                <w:lang w:bidi="zh-TW"/>
              </w:rPr>
              <w:t>6.6</w:t>
            </w:r>
            <w:r>
              <w:rPr>
                <w:rFonts w:ascii="宋体" w:hAnsi="宋体" w:cs="宋体" w:hint="eastAsia"/>
                <w:szCs w:val="21"/>
                <w:lang w:bidi="en-US"/>
              </w:rPr>
              <w:t>8.0m</w:t>
            </w:r>
            <w:r>
              <w:rPr>
                <w:rFonts w:ascii="宋体" w:hAnsi="宋体" w:cs="宋体" w:hint="eastAsia"/>
                <w:szCs w:val="21"/>
                <w:vertAlign w:val="superscript"/>
                <w:lang w:bidi="en-US"/>
              </w:rPr>
              <w:t>3</w:t>
            </w:r>
            <w:r>
              <w:rPr>
                <w:rFonts w:ascii="宋体" w:hAnsi="宋体" w:cs="宋体" w:hint="eastAsia"/>
                <w:szCs w:val="21"/>
                <w:lang w:bidi="en-US"/>
              </w:rPr>
              <w:t>，治理面积6. 6m</w:t>
            </w:r>
            <w:r>
              <w:rPr>
                <w:rFonts w:ascii="宋体" w:hAnsi="宋体" w:cs="宋体" w:hint="eastAsia"/>
                <w:szCs w:val="21"/>
                <w:vertAlign w:val="superscript"/>
                <w:lang w:bidi="en-US"/>
              </w:rPr>
              <w:t>2</w:t>
            </w:r>
            <w:r>
              <w:rPr>
                <w:rFonts w:ascii="宋体" w:hAnsi="宋体" w:cs="宋体" w:hint="eastAsia"/>
                <w:szCs w:val="21"/>
                <w:lang w:bidi="en-US"/>
              </w:rPr>
              <w:t>，矿山治理一块设计外地面沉陷区回填、覆土、恢复农田约250317m</w:t>
            </w:r>
            <w:r>
              <w:rPr>
                <w:rFonts w:ascii="宋体" w:hAnsi="宋体" w:cs="宋体" w:hint="eastAsia"/>
                <w:szCs w:val="21"/>
                <w:vertAlign w:val="superscript"/>
                <w:lang w:bidi="en-US"/>
              </w:rPr>
              <w:t>2</w:t>
            </w:r>
            <w:r>
              <w:rPr>
                <w:rFonts w:ascii="宋体" w:hAnsi="宋体" w:cs="宋体" w:hint="eastAsia"/>
                <w:szCs w:val="21"/>
                <w:lang w:bidi="en-US"/>
              </w:rPr>
              <w:t>，地面沉陷区设置地面变形监测点26个，正常监测频率1次/月，雨季监测频率2次/月。</w:t>
            </w:r>
          </w:p>
        </w:tc>
        <w:tc>
          <w:tcPr>
            <w:tcW w:w="1509" w:type="dxa"/>
            <w:noWrap/>
            <w:vAlign w:val="center"/>
          </w:tcPr>
          <w:p>
            <w:pPr>
              <w:pStyle w:val="NormalIndent"/>
              <w:ind w:firstLine="0" w:firstLineChars="0"/>
              <w:jc w:val="center"/>
              <w:rPr>
                <w:rFonts w:ascii="宋体" w:hAnsi="宋体" w:cs="宋体"/>
                <w:bCs/>
                <w:szCs w:val="21"/>
              </w:rPr>
            </w:pPr>
            <w:r>
              <w:rPr>
                <w:rFonts w:ascii="宋体" w:hAnsi="宋体" w:cs="宋体" w:hint="eastAsia"/>
                <w:bCs/>
                <w:szCs w:val="21"/>
              </w:rPr>
              <w:t>322.17</w:t>
            </w:r>
          </w:p>
        </w:tc>
      </w:tr>
    </w:tbl>
    <w:p>
      <w:pPr>
        <w:ind w:firstLine="482"/>
        <w:jc w:val="center"/>
        <w:outlineLvl w:val="2"/>
        <w:rPr>
          <w:rFonts w:ascii="宋体" w:hAnsi="宋体"/>
          <w:b/>
          <w:color w:val="0000FF"/>
          <w:szCs w:val="24"/>
        </w:rPr>
      </w:pPr>
    </w:p>
    <w:p>
      <w:pPr>
        <w:ind w:firstLine="482"/>
        <w:jc w:val="center"/>
        <w:outlineLvl w:val="2"/>
        <w:rPr>
          <w:rFonts w:ascii="宋体" w:hAnsi="宋体"/>
          <w:b/>
          <w:color w:val="0000FF"/>
          <w:szCs w:val="24"/>
        </w:rPr>
      </w:pPr>
    </w:p>
    <w:p>
      <w:pPr>
        <w:ind w:firstLine="482"/>
        <w:jc w:val="center"/>
        <w:outlineLvl w:val="2"/>
        <w:rPr>
          <w:rFonts w:ascii="宋体" w:hAnsi="宋体"/>
          <w:b/>
          <w:color w:val="0000FF"/>
          <w:szCs w:val="24"/>
        </w:rPr>
      </w:pPr>
    </w:p>
    <w:p>
      <w:pPr>
        <w:ind w:firstLine="482"/>
        <w:jc w:val="center"/>
        <w:outlineLvl w:val="2"/>
        <w:rPr>
          <w:rFonts w:ascii="宋体" w:hAnsi="宋体"/>
          <w:b/>
          <w:color w:val="0000FF"/>
          <w:szCs w:val="24"/>
        </w:rPr>
      </w:pPr>
    </w:p>
    <w:p>
      <w:pPr>
        <w:ind w:firstLine="482"/>
        <w:jc w:val="center"/>
        <w:outlineLvl w:val="2"/>
        <w:rPr>
          <w:rFonts w:ascii="宋体" w:hAnsi="宋体"/>
          <w:b/>
          <w:color w:val="0000FF"/>
          <w:szCs w:val="24"/>
        </w:rPr>
      </w:pPr>
    </w:p>
    <w:p>
      <w:pPr>
        <w:ind w:firstLine="482"/>
        <w:jc w:val="center"/>
        <w:outlineLvl w:val="2"/>
        <w:rPr>
          <w:rFonts w:ascii="宋体" w:hAnsi="宋体"/>
          <w:b/>
          <w:color w:val="0000FF"/>
          <w:szCs w:val="24"/>
        </w:rPr>
        <w:sectPr>
          <w:headerReference w:type="even" r:id="rId47"/>
          <w:headerReference w:type="default" r:id="rId48"/>
          <w:footerReference w:type="even" r:id="rId49"/>
          <w:footerReference w:type="default" r:id="rId50"/>
          <w:headerReference w:type="first" r:id="rId51"/>
          <w:footerReference w:type="first" r:id="rId52"/>
          <w:type w:val="nextPage"/>
          <w:pgSz w:w="11907" w:h="16839"/>
          <w:pgMar w:top="1440" w:right="1797" w:bottom="1440" w:left="1797" w:header="851" w:footer="992" w:gutter="0"/>
          <w:pgNumType w:start="5"/>
          <w:cols w:num="1" w:space="720"/>
          <w:titlePg w:val="0"/>
          <w:docGrid w:linePitch="326" w:charSpace="0"/>
        </w:sectPr>
      </w:pPr>
    </w:p>
    <w:p>
      <w:pPr>
        <w:ind w:left="480" w:firstLine="0" w:firstLineChars="0"/>
        <w:jc w:val="center"/>
        <w:rPr>
          <w:b/>
        </w:rPr>
      </w:pPr>
      <w:r>
        <w:rPr>
          <w:rFonts w:hint="eastAsia"/>
          <w:b/>
        </w:rPr>
        <w:t>表2-4  二分期完成治理工程量表</w:t>
      </w:r>
    </w:p>
    <w:tbl>
      <w:tblPr>
        <w:tblStyle w:val="TableNormal"/>
        <w:tblW w:w="89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1"/>
        <w:gridCol w:w="941"/>
        <w:gridCol w:w="2552"/>
        <w:gridCol w:w="3118"/>
        <w:gridCol w:w="1508"/>
      </w:tblGrid>
      <w:tr>
        <w:tblPrEx>
          <w:tblW w:w="89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62"/>
          <w:jc w:val="center"/>
        </w:trPr>
        <w:tc>
          <w:tcPr>
            <w:tcW w:w="1792" w:type="dxa"/>
            <w:gridSpan w:val="2"/>
            <w:noWrap/>
            <w:vAlign w:val="center"/>
          </w:tcPr>
          <w:p>
            <w:pPr>
              <w:pStyle w:val="NormalIndent"/>
              <w:ind w:firstLine="0" w:firstLineChars="0"/>
              <w:jc w:val="center"/>
              <w:rPr>
                <w:rFonts w:ascii="宋体" w:hAnsi="宋体" w:cs="宋体"/>
                <w:b/>
                <w:szCs w:val="21"/>
              </w:rPr>
            </w:pPr>
            <w:r>
              <w:rPr>
                <w:rFonts w:ascii="宋体" w:hAnsi="宋体" w:cs="宋体" w:hint="eastAsia"/>
                <w:b/>
                <w:szCs w:val="21"/>
              </w:rPr>
              <w:t>治理区域</w:t>
            </w:r>
          </w:p>
        </w:tc>
        <w:tc>
          <w:tcPr>
            <w:tcW w:w="2552" w:type="dxa"/>
            <w:noWrap/>
            <w:vAlign w:val="center"/>
          </w:tcPr>
          <w:p>
            <w:pPr>
              <w:pStyle w:val="NormalIndent"/>
              <w:ind w:firstLine="0" w:firstLineChars="0"/>
              <w:jc w:val="center"/>
              <w:rPr>
                <w:rFonts w:ascii="宋体" w:hAnsi="宋体" w:cs="宋体"/>
                <w:b/>
                <w:szCs w:val="21"/>
              </w:rPr>
            </w:pPr>
            <w:r>
              <w:rPr>
                <w:rFonts w:ascii="宋体" w:hAnsi="宋体" w:cs="宋体" w:hint="eastAsia"/>
                <w:b/>
                <w:szCs w:val="21"/>
              </w:rPr>
              <w:t>主要工程技术措施</w:t>
            </w:r>
          </w:p>
        </w:tc>
        <w:tc>
          <w:tcPr>
            <w:tcW w:w="3118" w:type="dxa"/>
            <w:noWrap/>
            <w:vAlign w:val="center"/>
          </w:tcPr>
          <w:p>
            <w:pPr>
              <w:pStyle w:val="NormalIndent"/>
              <w:ind w:firstLine="0" w:firstLineChars="0"/>
              <w:jc w:val="center"/>
              <w:rPr>
                <w:rFonts w:ascii="宋体" w:hAnsi="宋体" w:cs="宋体"/>
                <w:b/>
                <w:szCs w:val="21"/>
              </w:rPr>
            </w:pPr>
            <w:r>
              <w:rPr>
                <w:rFonts w:ascii="宋体" w:hAnsi="宋体" w:cs="宋体" w:hint="eastAsia"/>
                <w:b/>
                <w:szCs w:val="21"/>
              </w:rPr>
              <w:t>治理工程量</w:t>
            </w:r>
          </w:p>
        </w:tc>
        <w:tc>
          <w:tcPr>
            <w:tcW w:w="1508" w:type="dxa"/>
            <w:noWrap/>
            <w:vAlign w:val="center"/>
          </w:tcPr>
          <w:p>
            <w:pPr>
              <w:pStyle w:val="NormalIndent"/>
              <w:ind w:firstLine="0" w:firstLineChars="0"/>
              <w:jc w:val="center"/>
              <w:rPr>
                <w:rFonts w:ascii="宋体" w:hAnsi="宋体" w:cs="宋体"/>
                <w:b/>
                <w:szCs w:val="21"/>
              </w:rPr>
            </w:pPr>
            <w:r>
              <w:rPr>
                <w:rFonts w:ascii="宋体" w:hAnsi="宋体" w:cs="宋体" w:hint="eastAsia"/>
                <w:b/>
                <w:szCs w:val="21"/>
              </w:rPr>
              <w:t>投资（万元）</w:t>
            </w:r>
          </w:p>
        </w:tc>
      </w:tr>
      <w:tr>
        <w:tblPrEx>
          <w:tblW w:w="8970" w:type="dxa"/>
          <w:jc w:val="center"/>
          <w:tblLayout w:type="fixed"/>
          <w:tblCellMar>
            <w:top w:w="0" w:type="dxa"/>
            <w:left w:w="108" w:type="dxa"/>
            <w:bottom w:w="0" w:type="dxa"/>
            <w:right w:w="108" w:type="dxa"/>
          </w:tblCellMar>
        </w:tblPrEx>
        <w:trPr>
          <w:trHeight w:val="1318"/>
          <w:jc w:val="center"/>
        </w:trPr>
        <w:tc>
          <w:tcPr>
            <w:tcW w:w="851" w:type="dxa"/>
            <w:vMerge w:val="restart"/>
            <w:noWrap/>
            <w:vAlign w:val="center"/>
          </w:tcPr>
          <w:p>
            <w:pPr>
              <w:pStyle w:val="NormalIndent"/>
              <w:ind w:firstLine="0" w:firstLineChars="0"/>
              <w:jc w:val="center"/>
              <w:rPr>
                <w:rFonts w:ascii="宋体" w:hAnsi="宋体" w:cs="宋体"/>
                <w:bCs/>
                <w:szCs w:val="21"/>
              </w:rPr>
            </w:pPr>
            <w:r>
              <w:rPr>
                <w:rFonts w:ascii="宋体" w:hAnsi="宋体" w:cs="宋体" w:hint="eastAsia"/>
                <w:bCs/>
                <w:szCs w:val="21"/>
              </w:rPr>
              <w:t>地表塌陷区</w:t>
            </w:r>
          </w:p>
        </w:tc>
        <w:tc>
          <w:tcPr>
            <w:tcW w:w="941" w:type="dxa"/>
            <w:noWrap/>
            <w:vAlign w:val="center"/>
          </w:tcPr>
          <w:p>
            <w:pPr>
              <w:pStyle w:val="NormalIndent"/>
              <w:ind w:firstLine="0" w:firstLineChars="0"/>
              <w:jc w:val="center"/>
              <w:rPr>
                <w:rFonts w:ascii="宋体" w:hAnsi="宋体" w:cs="宋体"/>
                <w:bCs/>
                <w:szCs w:val="21"/>
              </w:rPr>
            </w:pPr>
            <w:r>
              <w:rPr>
                <w:rFonts w:ascii="宋体" w:hAnsi="宋体" w:cs="宋体" w:hint="eastAsia"/>
                <w:szCs w:val="21"/>
              </w:rPr>
              <w:t>搬迁区</w:t>
            </w:r>
          </w:p>
        </w:tc>
        <w:tc>
          <w:tcPr>
            <w:tcW w:w="2552" w:type="dxa"/>
            <w:noWrap/>
            <w:vAlign w:val="center"/>
          </w:tcPr>
          <w:p>
            <w:pPr>
              <w:pStyle w:val="NormalIndent"/>
              <w:ind w:firstLine="0" w:firstLineChars="0"/>
              <w:jc w:val="center"/>
              <w:rPr>
                <w:rFonts w:ascii="宋体" w:hAnsi="宋体" w:cs="宋体"/>
                <w:bCs/>
                <w:szCs w:val="21"/>
              </w:rPr>
            </w:pPr>
            <w:r>
              <w:rPr>
                <w:rFonts w:ascii="宋体" w:hAnsi="宋体" w:cs="宋体" w:hint="eastAsia"/>
                <w:szCs w:val="21"/>
              </w:rPr>
              <w:t>本分期设计搬迁区24户居民共100人在2019年雨季之前全部撤离避险。</w:t>
            </w:r>
          </w:p>
        </w:tc>
        <w:tc>
          <w:tcPr>
            <w:tcW w:w="3118" w:type="dxa"/>
            <w:noWrap/>
            <w:vAlign w:val="center"/>
          </w:tcPr>
          <w:p>
            <w:pPr>
              <w:pStyle w:val="Bodytext1"/>
              <w:tabs>
                <w:tab w:val="left" w:pos="872"/>
              </w:tabs>
              <w:spacing w:line="240" w:lineRule="auto"/>
              <w:ind w:firstLine="0" w:firstLineChars="0"/>
              <w:rPr>
                <w:sz w:val="21"/>
                <w:szCs w:val="21"/>
                <w:lang w:val="en-US" w:eastAsia="zh-CN" w:bidi="ar-SA"/>
              </w:rPr>
            </w:pPr>
            <w:r>
              <w:rPr>
                <w:rFonts w:hint="eastAsia"/>
                <w:sz w:val="21"/>
                <w:szCs w:val="21"/>
                <w:lang w:val="en-US" w:eastAsia="zh-CN" w:bidi="ar-SA"/>
              </w:rPr>
              <w:t>对区内的24户居民共100人在限 定时间内全部搬迁撤离避险。</w:t>
            </w:r>
          </w:p>
          <w:p>
            <w:pPr>
              <w:pStyle w:val="NormalIndent"/>
              <w:ind w:firstLine="0" w:firstLineChars="0"/>
              <w:jc w:val="center"/>
              <w:rPr>
                <w:rFonts w:ascii="宋体" w:hAnsi="宋体" w:cs="宋体"/>
                <w:bCs/>
                <w:szCs w:val="21"/>
              </w:rPr>
            </w:pPr>
          </w:p>
        </w:tc>
        <w:tc>
          <w:tcPr>
            <w:tcW w:w="1508" w:type="dxa"/>
            <w:noWrap/>
            <w:vAlign w:val="center"/>
          </w:tcPr>
          <w:p>
            <w:pPr>
              <w:pStyle w:val="NormalIndent"/>
              <w:ind w:firstLine="0" w:firstLineChars="0"/>
              <w:jc w:val="center"/>
              <w:rPr>
                <w:rFonts w:ascii="宋体" w:hAnsi="宋体" w:cs="宋体"/>
                <w:bCs/>
                <w:szCs w:val="21"/>
              </w:rPr>
            </w:pPr>
            <w:r>
              <w:rPr>
                <w:rFonts w:ascii="宋体" w:hAnsi="宋体" w:cs="宋体" w:hint="eastAsia"/>
                <w:bCs/>
                <w:szCs w:val="21"/>
              </w:rPr>
              <w:t>113.27</w:t>
            </w:r>
          </w:p>
        </w:tc>
      </w:tr>
      <w:tr>
        <w:tblPrEx>
          <w:tblW w:w="8970" w:type="dxa"/>
          <w:jc w:val="center"/>
          <w:tblLayout w:type="fixed"/>
          <w:tblCellMar>
            <w:top w:w="0" w:type="dxa"/>
            <w:left w:w="108" w:type="dxa"/>
            <w:bottom w:w="0" w:type="dxa"/>
            <w:right w:w="108" w:type="dxa"/>
          </w:tblCellMar>
        </w:tblPrEx>
        <w:trPr>
          <w:trHeight w:val="1318"/>
          <w:jc w:val="center"/>
        </w:trPr>
        <w:tc>
          <w:tcPr>
            <w:tcW w:w="851" w:type="dxa"/>
            <w:vMerge/>
            <w:noWrap/>
            <w:vAlign w:val="center"/>
          </w:tcPr>
          <w:p>
            <w:pPr>
              <w:pStyle w:val="NormalIndent"/>
              <w:ind w:firstLine="0" w:firstLineChars="0"/>
              <w:jc w:val="center"/>
              <w:rPr>
                <w:rFonts w:ascii="宋体" w:hAnsi="宋体" w:cs="宋体"/>
                <w:bCs/>
                <w:color w:val="0000FF"/>
                <w:szCs w:val="21"/>
              </w:rPr>
            </w:pPr>
          </w:p>
        </w:tc>
        <w:tc>
          <w:tcPr>
            <w:tcW w:w="941" w:type="dxa"/>
            <w:noWrap/>
            <w:vAlign w:val="center"/>
          </w:tcPr>
          <w:p>
            <w:pPr>
              <w:pStyle w:val="NormalIndent"/>
              <w:ind w:firstLine="0" w:firstLineChars="0"/>
              <w:jc w:val="center"/>
              <w:rPr>
                <w:rFonts w:ascii="宋体" w:hAnsi="宋体" w:cs="宋体"/>
                <w:bCs/>
                <w:color w:val="0000FF"/>
                <w:szCs w:val="21"/>
              </w:rPr>
            </w:pPr>
            <w:r>
              <w:rPr>
                <w:rFonts w:ascii="宋体" w:hAnsi="宋体" w:cs="宋体" w:hint="eastAsia"/>
                <w:szCs w:val="21"/>
              </w:rPr>
              <w:t>地裂缝</w:t>
            </w:r>
          </w:p>
        </w:tc>
        <w:tc>
          <w:tcPr>
            <w:tcW w:w="2552" w:type="dxa"/>
            <w:noWrap/>
            <w:vAlign w:val="center"/>
          </w:tcPr>
          <w:p>
            <w:pPr>
              <w:pStyle w:val="NormalIndent"/>
              <w:ind w:firstLine="0" w:firstLineChars="0"/>
              <w:jc w:val="center"/>
              <w:rPr>
                <w:rFonts w:ascii="宋体" w:hAnsi="宋体" w:cs="宋体"/>
                <w:bCs/>
                <w:color w:val="0000FF"/>
                <w:szCs w:val="21"/>
              </w:rPr>
            </w:pPr>
            <w:r>
              <w:rPr>
                <w:rFonts w:ascii="宋体" w:hAnsi="宋体" w:cs="宋体" w:hint="eastAsia"/>
                <w:szCs w:val="21"/>
              </w:rPr>
              <w:t>本分期设计对两条地裂缝DL1、DL2进行回填，之后地面平整，植被自然恢复。</w:t>
            </w:r>
          </w:p>
        </w:tc>
        <w:tc>
          <w:tcPr>
            <w:tcW w:w="3118" w:type="dxa"/>
            <w:noWrap/>
            <w:vAlign w:val="center"/>
          </w:tcPr>
          <w:p>
            <w:pPr>
              <w:pStyle w:val="NormalIndent"/>
              <w:ind w:firstLine="0" w:firstLineChars="0"/>
              <w:rPr>
                <w:color w:val="000000"/>
              </w:rPr>
            </w:pPr>
            <w:r>
              <w:rPr>
                <w:color w:val="000000"/>
              </w:rPr>
              <w:t>地裂缝：对两条地裂缝进行回</w:t>
            </w:r>
          </w:p>
          <w:p>
            <w:pPr>
              <w:pStyle w:val="NormalIndent"/>
              <w:ind w:firstLine="0" w:firstLineChars="0"/>
              <w:rPr>
                <w:color w:val="000000"/>
              </w:rPr>
            </w:pPr>
            <w:r>
              <w:rPr>
                <w:color w:val="000000"/>
              </w:rPr>
              <w:t>填，之后地面平整。</w:t>
            </w:r>
          </w:p>
          <w:p>
            <w:pPr>
              <w:pStyle w:val="NormalIndent"/>
              <w:ind w:firstLine="0" w:firstLineChars="0"/>
              <w:rPr>
                <w:rFonts w:ascii="宋体" w:hAnsi="宋体" w:cs="宋体"/>
                <w:bCs/>
                <w:color w:val="0000FF"/>
                <w:szCs w:val="21"/>
              </w:rPr>
            </w:pPr>
            <w:r>
              <w:rPr>
                <w:color w:val="000000"/>
              </w:rPr>
              <w:t>矿山自主完成沉陷区恢复垦耕地</w:t>
            </w:r>
            <w:r>
              <w:rPr>
                <w:color w:val="000000"/>
                <w:sz w:val="24"/>
                <w:lang w:bidi="en-US"/>
              </w:rPr>
              <w:t>1640m</w:t>
            </w:r>
            <w:r>
              <w:rPr>
                <w:color w:val="000000"/>
              </w:rPr>
              <w:t>气复垦林地</w:t>
            </w:r>
            <w:r>
              <w:rPr>
                <w:color w:val="000000"/>
                <w:sz w:val="24"/>
              </w:rPr>
              <w:t xml:space="preserve">4658 </w:t>
            </w:r>
            <w:r>
              <w:rPr>
                <w:color w:val="000000"/>
                <w:sz w:val="24"/>
                <w:lang w:bidi="en-US"/>
              </w:rPr>
              <w:t>m</w:t>
            </w:r>
            <w:r>
              <w:rPr>
                <w:color w:val="000000"/>
                <w:sz w:val="24"/>
                <w:vertAlign w:val="superscript"/>
                <w:lang w:bidi="en-US"/>
              </w:rPr>
              <w:t>2</w:t>
            </w:r>
            <w:r>
              <w:rPr>
                <w:color w:val="000000"/>
                <w:sz w:val="24"/>
                <w:vertAlign w:val="subscript"/>
                <w:lang w:bidi="en-US"/>
              </w:rPr>
              <w:t>o</w:t>
            </w:r>
          </w:p>
        </w:tc>
        <w:tc>
          <w:tcPr>
            <w:tcW w:w="1508" w:type="dxa"/>
            <w:noWrap/>
            <w:vAlign w:val="center"/>
          </w:tcPr>
          <w:p>
            <w:pPr>
              <w:pStyle w:val="NormalIndent"/>
              <w:ind w:firstLine="0" w:firstLineChars="0"/>
              <w:jc w:val="center"/>
              <w:rPr>
                <w:rFonts w:ascii="宋体" w:hAnsi="宋体" w:cs="宋体"/>
                <w:bCs/>
                <w:color w:val="0000FF"/>
                <w:szCs w:val="21"/>
              </w:rPr>
            </w:pPr>
          </w:p>
        </w:tc>
      </w:tr>
      <w:tr>
        <w:tblPrEx>
          <w:tblW w:w="8970" w:type="dxa"/>
          <w:jc w:val="center"/>
          <w:tblLayout w:type="fixed"/>
          <w:tblCellMar>
            <w:top w:w="0" w:type="dxa"/>
            <w:left w:w="108" w:type="dxa"/>
            <w:bottom w:w="0" w:type="dxa"/>
            <w:right w:w="108" w:type="dxa"/>
          </w:tblCellMar>
        </w:tblPrEx>
        <w:trPr>
          <w:trHeight w:val="1318"/>
          <w:jc w:val="center"/>
        </w:trPr>
        <w:tc>
          <w:tcPr>
            <w:tcW w:w="851" w:type="dxa"/>
            <w:vMerge/>
            <w:noWrap/>
            <w:vAlign w:val="center"/>
          </w:tcPr>
          <w:p>
            <w:pPr>
              <w:pStyle w:val="NormalIndent"/>
              <w:ind w:firstLine="0" w:firstLineChars="0"/>
              <w:jc w:val="center"/>
              <w:rPr>
                <w:rFonts w:ascii="宋体" w:hAnsi="宋体" w:cs="宋体"/>
                <w:bCs/>
                <w:color w:val="0000FF"/>
                <w:szCs w:val="21"/>
              </w:rPr>
            </w:pPr>
          </w:p>
        </w:tc>
        <w:tc>
          <w:tcPr>
            <w:tcW w:w="941" w:type="dxa"/>
            <w:noWrap/>
            <w:vAlign w:val="center"/>
          </w:tcPr>
          <w:p>
            <w:pPr>
              <w:pStyle w:val="NormalIndent"/>
              <w:ind w:firstLine="0" w:firstLineChars="0"/>
              <w:jc w:val="center"/>
              <w:rPr>
                <w:rFonts w:ascii="宋体" w:hAnsi="宋体" w:cs="宋体"/>
                <w:bCs/>
                <w:color w:val="0000FF"/>
                <w:szCs w:val="21"/>
              </w:rPr>
            </w:pPr>
            <w:r>
              <w:rPr>
                <w:rFonts w:ascii="宋体" w:hAnsi="宋体" w:cs="宋体" w:hint="eastAsia"/>
                <w:kern w:val="0"/>
                <w:szCs w:val="21"/>
              </w:rPr>
              <w:t>其它区域</w:t>
            </w:r>
          </w:p>
        </w:tc>
        <w:tc>
          <w:tcPr>
            <w:tcW w:w="2552" w:type="dxa"/>
            <w:noWrap/>
            <w:vAlign w:val="center"/>
          </w:tcPr>
          <w:p>
            <w:pPr>
              <w:pStyle w:val="NormalIndent"/>
              <w:ind w:firstLine="0" w:firstLineChars="0"/>
              <w:jc w:val="center"/>
              <w:rPr>
                <w:rFonts w:ascii="宋体" w:hAnsi="宋体" w:cs="宋体"/>
                <w:bCs/>
                <w:color w:val="0000FF"/>
                <w:szCs w:val="21"/>
              </w:rPr>
            </w:pPr>
            <w:r>
              <w:rPr>
                <w:rFonts w:ascii="宋体" w:hAnsi="宋体" w:cs="宋体" w:hint="eastAsia"/>
                <w:szCs w:val="21"/>
              </w:rPr>
              <w:t>对地表变形、地形地貌景观土地资源监测。根据监测结果，一旦发现快速下沉迹象，民房裂缝短期发展较快（变宽，延伸长），倒塌风险加大，矿山要保证快速对人员进行搬离，做好后期保障工作。</w:t>
            </w:r>
          </w:p>
        </w:tc>
        <w:tc>
          <w:tcPr>
            <w:tcW w:w="3118" w:type="dxa"/>
            <w:noWrap/>
            <w:vAlign w:val="center"/>
          </w:tcPr>
          <w:p>
            <w:pPr>
              <w:pStyle w:val="Bodytext1"/>
              <w:tabs>
                <w:tab w:val="left" w:pos="882"/>
              </w:tabs>
              <w:spacing w:line="437" w:lineRule="exact"/>
              <w:ind w:firstLine="440"/>
            </w:pPr>
            <w:r>
              <w:rPr>
                <w:color w:val="000000"/>
              </w:rPr>
              <w:t>预警监测工程：矿山完成沉陷区地表变形监测标桩设置工 程，共设置监测标桩</w:t>
            </w:r>
            <w:r>
              <w:rPr>
                <w:color w:val="000000"/>
                <w:sz w:val="24"/>
                <w:szCs w:val="24"/>
              </w:rPr>
              <w:t>83</w:t>
            </w:r>
            <w:r>
              <w:rPr>
                <w:color w:val="000000"/>
              </w:rPr>
              <w:t>个。</w:t>
            </w:r>
          </w:p>
          <w:p>
            <w:pPr>
              <w:pStyle w:val="NormalIndent"/>
              <w:ind w:firstLine="0" w:firstLineChars="0"/>
              <w:jc w:val="center"/>
              <w:rPr>
                <w:rFonts w:ascii="宋体" w:hAnsi="宋体" w:cs="宋体"/>
                <w:bCs/>
                <w:color w:val="0000FF"/>
                <w:szCs w:val="21"/>
              </w:rPr>
            </w:pPr>
          </w:p>
        </w:tc>
        <w:tc>
          <w:tcPr>
            <w:tcW w:w="1508" w:type="dxa"/>
            <w:noWrap/>
            <w:vAlign w:val="center"/>
          </w:tcPr>
          <w:p>
            <w:pPr>
              <w:pStyle w:val="NormalIndent"/>
              <w:ind w:firstLine="0" w:firstLineChars="0"/>
              <w:jc w:val="center"/>
              <w:rPr>
                <w:rFonts w:ascii="宋体" w:hAnsi="宋体" w:cs="宋体"/>
                <w:bCs/>
                <w:color w:val="0000FF"/>
                <w:szCs w:val="21"/>
              </w:rPr>
            </w:pPr>
          </w:p>
        </w:tc>
      </w:tr>
      <w:tr>
        <w:tblPrEx>
          <w:tblW w:w="8970" w:type="dxa"/>
          <w:jc w:val="center"/>
          <w:tblLayout w:type="fixed"/>
          <w:tblCellMar>
            <w:top w:w="0" w:type="dxa"/>
            <w:left w:w="108" w:type="dxa"/>
            <w:bottom w:w="0" w:type="dxa"/>
            <w:right w:w="108" w:type="dxa"/>
          </w:tblCellMar>
        </w:tblPrEx>
        <w:trPr>
          <w:trHeight w:val="738"/>
          <w:jc w:val="center"/>
        </w:trPr>
        <w:tc>
          <w:tcPr>
            <w:tcW w:w="851" w:type="dxa"/>
            <w:vMerge/>
            <w:noWrap/>
            <w:vAlign w:val="center"/>
          </w:tcPr>
          <w:p>
            <w:pPr>
              <w:pStyle w:val="NormalIndent"/>
              <w:ind w:firstLine="0" w:firstLineChars="0"/>
              <w:jc w:val="center"/>
              <w:rPr>
                <w:rFonts w:ascii="宋体" w:hAnsi="宋体" w:cs="宋体"/>
                <w:bCs/>
                <w:color w:val="0000FF"/>
                <w:szCs w:val="21"/>
              </w:rPr>
            </w:pPr>
          </w:p>
        </w:tc>
        <w:tc>
          <w:tcPr>
            <w:tcW w:w="941" w:type="dxa"/>
            <w:noWrap/>
            <w:vAlign w:val="center"/>
          </w:tcPr>
          <w:p>
            <w:pPr>
              <w:pStyle w:val="NormalIndent"/>
              <w:ind w:firstLine="0" w:firstLineChars="0"/>
              <w:jc w:val="center"/>
              <w:rPr>
                <w:rFonts w:ascii="宋体" w:hAnsi="宋体" w:cs="宋体"/>
                <w:kern w:val="0"/>
                <w:szCs w:val="21"/>
              </w:rPr>
            </w:pPr>
          </w:p>
        </w:tc>
        <w:tc>
          <w:tcPr>
            <w:tcW w:w="2552" w:type="dxa"/>
            <w:noWrap/>
            <w:vAlign w:val="center"/>
          </w:tcPr>
          <w:p>
            <w:pPr>
              <w:pStyle w:val="NormalIndent"/>
              <w:ind w:firstLine="0" w:firstLineChars="0"/>
              <w:jc w:val="center"/>
              <w:rPr>
                <w:rFonts w:ascii="宋体" w:hAnsi="宋体" w:cs="宋体"/>
                <w:szCs w:val="21"/>
              </w:rPr>
            </w:pPr>
            <w:r>
              <w:rPr>
                <w:rFonts w:ascii="宋体" w:hAnsi="宋体" w:cs="宋体" w:hint="eastAsia"/>
                <w:szCs w:val="21"/>
              </w:rPr>
              <w:t>继续完善一分期治理措施</w:t>
            </w:r>
          </w:p>
        </w:tc>
        <w:tc>
          <w:tcPr>
            <w:tcW w:w="3118" w:type="dxa"/>
            <w:noWrap/>
            <w:vAlign w:val="center"/>
          </w:tcPr>
          <w:p>
            <w:pPr>
              <w:pStyle w:val="NormalIndent"/>
              <w:ind w:firstLine="0" w:firstLineChars="0"/>
              <w:jc w:val="center"/>
              <w:rPr>
                <w:rFonts w:ascii="宋体" w:hAnsi="宋体" w:cs="宋体"/>
                <w:bCs/>
                <w:color w:val="0000FF"/>
                <w:szCs w:val="21"/>
              </w:rPr>
            </w:pPr>
            <w:r>
              <w:rPr>
                <w:rFonts w:ascii="宋体" w:hAnsi="宋体" w:cs="宋体" w:hint="eastAsia"/>
                <w:szCs w:val="21"/>
              </w:rPr>
              <w:t>对一分期已设置监测点进行监测</w:t>
            </w:r>
          </w:p>
        </w:tc>
        <w:tc>
          <w:tcPr>
            <w:tcW w:w="1508" w:type="dxa"/>
            <w:noWrap/>
            <w:vAlign w:val="center"/>
          </w:tcPr>
          <w:p>
            <w:pPr>
              <w:pStyle w:val="NormalIndent"/>
              <w:ind w:firstLine="0" w:firstLineChars="0"/>
              <w:jc w:val="center"/>
              <w:rPr>
                <w:rFonts w:ascii="宋体" w:hAnsi="宋体" w:cs="宋体"/>
                <w:bCs/>
                <w:color w:val="0000FF"/>
                <w:szCs w:val="21"/>
              </w:rPr>
            </w:pPr>
          </w:p>
        </w:tc>
      </w:tr>
    </w:tbl>
    <w:p>
      <w:pPr>
        <w:ind w:firstLine="480"/>
        <w:outlineLvl w:val="2"/>
        <w:rPr>
          <w:rFonts w:ascii="宋体" w:hAnsi="宋体"/>
          <w:bCs/>
          <w:color w:val="0000FF"/>
          <w:szCs w:val="24"/>
        </w:rPr>
      </w:pPr>
    </w:p>
    <w:p>
      <w:pPr>
        <w:ind w:firstLine="480"/>
        <w:outlineLvl w:val="2"/>
        <w:rPr>
          <w:rFonts w:ascii="宋体" w:hAnsi="宋体"/>
          <w:bCs/>
          <w:szCs w:val="24"/>
        </w:rPr>
      </w:pPr>
      <w:r>
        <w:rPr>
          <w:rFonts w:ascii="宋体" w:hAnsi="宋体" w:hint="eastAsia"/>
          <w:bCs/>
          <w:szCs w:val="24"/>
        </w:rPr>
        <w:t>2、验收情况</w:t>
      </w:r>
    </w:p>
    <w:p>
      <w:pPr>
        <w:ind w:firstLine="480"/>
        <w:rPr>
          <w:rFonts w:ascii="宋体" w:hAnsi="宋体"/>
          <w:szCs w:val="22"/>
        </w:rPr>
      </w:pPr>
      <w:r>
        <w:rPr>
          <w:rFonts w:ascii="宋体" w:hAnsi="宋体" w:hint="eastAsia"/>
          <w:szCs w:val="22"/>
        </w:rPr>
        <w:t>（1）2015年12月3日，</w:t>
      </w:r>
      <w:r>
        <w:rPr>
          <w:color w:val="000000"/>
        </w:rPr>
        <w:t>赤峰市元宝山区赤峰西拉沐沦（集团）公格营子煤业有限公司煤矿矿山地质环境</w:t>
      </w:r>
      <w:r>
        <w:rPr>
          <w:rFonts w:hint="eastAsia"/>
          <w:color w:val="000000"/>
        </w:rPr>
        <w:t>分期治理工程基本完成了分期治理方案设计的工程内容，治理工程效果基本符合设计要求。经专家组讨论，一致同意该工程通过验收。</w:t>
      </w:r>
    </w:p>
    <w:p>
      <w:pPr>
        <w:pStyle w:val="Bodytext1"/>
        <w:spacing w:line="360" w:lineRule="auto"/>
        <w:ind w:firstLine="480"/>
        <w:rPr>
          <w:sz w:val="24"/>
          <w:szCs w:val="24"/>
        </w:rPr>
      </w:pPr>
      <w:r>
        <w:rPr>
          <w:rFonts w:cs="Times New Roman" w:hint="eastAsia"/>
          <w:sz w:val="24"/>
          <w:szCs w:val="24"/>
          <w:lang w:val="en-US" w:eastAsia="zh-CN"/>
        </w:rPr>
        <w:t>（2）2019年9月20日，</w:t>
      </w:r>
      <w:r>
        <w:rPr>
          <w:color w:val="000000"/>
          <w:sz w:val="24"/>
          <w:szCs w:val="24"/>
        </w:rPr>
        <w:t>赤峰市元宝山区赤峰西拉沐沦（集团）公格营子煤业有限公司煤矿矿山地质环境保护分期方案（2014、8、1—2017、7、31） 治理工程基本完成了矿山地质环境分期治理方案设计的主体治理 工程内容，治理工程效果基本符合设计要求，经专家组讨论同意 该工程通过验收。</w:t>
      </w:r>
    </w:p>
    <w:p>
      <w:pPr>
        <w:numPr>
          <w:ilvl w:val="0"/>
          <w:numId w:val="2"/>
        </w:numPr>
        <w:ind w:firstLine="480"/>
      </w:pPr>
      <w:r>
        <w:rPr>
          <w:rFonts w:hint="eastAsia"/>
        </w:rPr>
        <w:t>存在问题</w:t>
      </w:r>
    </w:p>
    <w:p>
      <w:pPr>
        <w:numPr>
          <w:ilvl w:val="0"/>
          <w:numId w:val="3"/>
        </w:numPr>
        <w:ind w:firstLine="480"/>
      </w:pPr>
      <w:r>
        <w:rPr>
          <w:rFonts w:hint="eastAsia"/>
        </w:rPr>
        <w:t>矿山开采形成的塌陷区还没有稳定，随时有塌陷坑、地裂缝产生；</w:t>
      </w:r>
    </w:p>
    <w:p>
      <w:pPr>
        <w:numPr>
          <w:ilvl w:val="0"/>
          <w:numId w:val="3"/>
        </w:numPr>
        <w:ind w:firstLine="480"/>
      </w:pPr>
      <w:r>
        <w:rPr>
          <w:rFonts w:hint="eastAsia"/>
        </w:rPr>
        <w:t>监测要按要求及时监测。</w:t>
      </w:r>
    </w:p>
    <w:p>
      <w:pPr>
        <w:pStyle w:val="Heading1"/>
        <w:pageBreakBefore w:val="0"/>
        <w:adjustRightInd/>
        <w:snapToGrid/>
        <w:rPr>
          <w:rFonts w:ascii="Times New Roman" w:hAnsi="Times New Roman"/>
          <w:color w:val="0000FF"/>
          <w:sz w:val="30"/>
          <w:szCs w:val="30"/>
        </w:rPr>
      </w:pPr>
    </w:p>
    <w:p>
      <w:pPr>
        <w:ind w:firstLine="600"/>
        <w:rPr>
          <w:color w:val="0000FF"/>
          <w:sz w:val="30"/>
          <w:szCs w:val="30"/>
        </w:rPr>
        <w:sectPr>
          <w:headerReference w:type="even" r:id="rId53"/>
          <w:headerReference w:type="default" r:id="rId54"/>
          <w:footerReference w:type="even" r:id="rId55"/>
          <w:footerReference w:type="default" r:id="rId56"/>
          <w:headerReference w:type="first" r:id="rId57"/>
          <w:footerReference w:type="first" r:id="rId58"/>
          <w:type w:val="nextPage"/>
          <w:pgSz w:w="11907" w:h="16839"/>
          <w:pgMar w:top="1440" w:right="1797" w:bottom="1440" w:left="1797" w:header="851" w:footer="992" w:gutter="0"/>
          <w:pgNumType w:start="6"/>
          <w:cols w:num="1" w:space="720"/>
          <w:titlePg w:val="0"/>
          <w:docGrid w:linePitch="326" w:charSpace="0"/>
        </w:sectPr>
      </w:pPr>
    </w:p>
    <w:p>
      <w:pPr>
        <w:pStyle w:val="Heading1"/>
        <w:pageBreakBefore w:val="0"/>
        <w:numPr>
          <w:ilvl w:val="0"/>
          <w:numId w:val="1"/>
        </w:numPr>
        <w:adjustRightInd/>
        <w:snapToGrid/>
        <w:ind w:firstLine="600" w:firstLineChars="200"/>
        <w:rPr>
          <w:rFonts w:ascii="Times New Roman" w:hAnsi="Times New Roman"/>
          <w:sz w:val="30"/>
          <w:szCs w:val="30"/>
        </w:rPr>
      </w:pPr>
      <w:bookmarkStart w:id="6" w:name="_Toc67065969"/>
      <w:r>
        <w:rPr>
          <w:rFonts w:ascii="Times New Roman" w:hAnsi="Times New Roman" w:hint="eastAsia"/>
          <w:sz w:val="30"/>
          <w:szCs w:val="30"/>
        </w:rPr>
        <w:t>本年度矿山生产计划</w:t>
      </w:r>
      <w:bookmarkEnd w:id="6"/>
    </w:p>
    <w:p>
      <w:pPr>
        <w:pStyle w:val="Heading2"/>
        <w:adjustRightInd/>
        <w:snapToGrid/>
        <w:spacing w:before="0"/>
        <w:ind w:firstLine="560" w:firstLineChars="200"/>
        <w:jc w:val="both"/>
        <w:rPr>
          <w:rFonts w:ascii="Times New Roman" w:hAnsi="Times New Roman"/>
          <w:color w:val="auto"/>
          <w:sz w:val="28"/>
          <w:szCs w:val="28"/>
        </w:rPr>
      </w:pPr>
      <w:bookmarkStart w:id="7" w:name="_Toc67065970"/>
      <w:r>
        <w:rPr>
          <w:rFonts w:ascii="Times New Roman" w:hAnsi="Times New Roman" w:hint="eastAsia"/>
          <w:color w:val="auto"/>
          <w:sz w:val="28"/>
          <w:szCs w:val="28"/>
        </w:rPr>
        <w:t>3.1  本年度的主要生产指标计划</w:t>
      </w:r>
      <w:bookmarkEnd w:id="7"/>
    </w:p>
    <w:p>
      <w:pPr>
        <w:pStyle w:val="Heading2"/>
        <w:adjustRightInd/>
        <w:snapToGrid/>
        <w:spacing w:before="0"/>
        <w:ind w:firstLine="480" w:firstLineChars="200"/>
        <w:jc w:val="both"/>
        <w:rPr>
          <w:rFonts w:ascii="宋体" w:hAnsi="宋体" w:cs="宋体"/>
          <w:b w:val="0"/>
          <w:bCs w:val="0"/>
          <w:color w:val="auto"/>
          <w:sz w:val="24"/>
          <w:szCs w:val="24"/>
        </w:rPr>
      </w:pPr>
      <w:bookmarkStart w:id="8" w:name="_Toc67065971"/>
      <w:r>
        <w:rPr>
          <w:rFonts w:ascii="宋体" w:hAnsi="宋体" w:cs="宋体" w:hint="eastAsia"/>
          <w:b w:val="0"/>
          <w:bCs w:val="0"/>
          <w:color w:val="auto"/>
          <w:sz w:val="24"/>
          <w:szCs w:val="24"/>
        </w:rPr>
        <w:t>2022年度计划动用6-2煤层储量为12万吨，计划生产原煤10.32万吨，计划回采率86％</w:t>
      </w:r>
      <w:bookmarkEnd w:id="8"/>
    </w:p>
    <w:p>
      <w:pPr>
        <w:pStyle w:val="Heading1"/>
        <w:pageBreakBefore w:val="0"/>
        <w:numPr>
          <w:ilvl w:val="0"/>
          <w:numId w:val="1"/>
        </w:numPr>
        <w:adjustRightInd/>
        <w:snapToGrid/>
        <w:ind w:firstLine="600" w:firstLineChars="200"/>
        <w:rPr>
          <w:rFonts w:ascii="Times New Roman" w:hAnsi="Times New Roman"/>
          <w:sz w:val="30"/>
          <w:szCs w:val="30"/>
        </w:rPr>
      </w:pPr>
      <w:bookmarkStart w:id="9" w:name="_Toc67065972"/>
      <w:r>
        <w:rPr>
          <w:rFonts w:ascii="Times New Roman" w:hAnsi="Times New Roman"/>
          <w:sz w:val="30"/>
          <w:szCs w:val="30"/>
        </w:rPr>
        <w:t>矿山地质环境</w:t>
      </w:r>
      <w:r>
        <w:rPr>
          <w:rFonts w:ascii="Times New Roman" w:hAnsi="Times New Roman" w:hint="eastAsia"/>
          <w:sz w:val="30"/>
          <w:szCs w:val="30"/>
        </w:rPr>
        <w:t>问题</w:t>
      </w:r>
      <w:bookmarkEnd w:id="9"/>
    </w:p>
    <w:p>
      <w:pPr>
        <w:pStyle w:val="Heading2"/>
        <w:adjustRightInd/>
        <w:snapToGrid/>
        <w:spacing w:before="0"/>
        <w:ind w:firstLine="560" w:firstLineChars="200"/>
        <w:jc w:val="both"/>
        <w:rPr>
          <w:rFonts w:ascii="Times New Roman" w:hAnsi="Times New Roman"/>
          <w:color w:val="auto"/>
          <w:sz w:val="28"/>
          <w:szCs w:val="28"/>
        </w:rPr>
      </w:pPr>
      <w:bookmarkStart w:id="10" w:name="_Toc67065973"/>
      <w:r>
        <w:rPr>
          <w:rFonts w:ascii="Times New Roman" w:hAnsi="Times New Roman" w:hint="eastAsia"/>
          <w:color w:val="auto"/>
          <w:sz w:val="28"/>
          <w:szCs w:val="28"/>
        </w:rPr>
        <w:t>4.1  矿山地质环境问题现状</w:t>
      </w:r>
      <w:bookmarkEnd w:id="10"/>
    </w:p>
    <w:p>
      <w:pPr>
        <w:pStyle w:val="a73"/>
        <w:spacing w:before="120" w:beforeLines="50" w:line="360" w:lineRule="auto"/>
        <w:ind w:left="907" w:hanging="360" w:leftChars="228" w:hangingChars="150"/>
        <w:rPr>
          <w:sz w:val="24"/>
          <w:szCs w:val="24"/>
        </w:rPr>
      </w:pPr>
      <w:r>
        <w:rPr>
          <w:rFonts w:hint="eastAsia"/>
          <w:sz w:val="24"/>
          <w:szCs w:val="24"/>
        </w:rPr>
        <w:t>一、矿山地质环境现状</w:t>
      </w:r>
    </w:p>
    <w:p>
      <w:pPr>
        <w:ind w:firstLine="480"/>
        <w:rPr>
          <w:rFonts w:ascii="宋体" w:hAnsi="宋体"/>
          <w:szCs w:val="24"/>
        </w:rPr>
      </w:pPr>
      <w:r>
        <w:rPr>
          <w:rFonts w:ascii="宋体" w:hAnsi="宋体" w:hint="eastAsia"/>
          <w:szCs w:val="24"/>
        </w:rPr>
        <w:t>矿山目前地下</w:t>
      </w:r>
      <w:r>
        <w:rPr>
          <w:rFonts w:hAnsi="宋体" w:hint="eastAsia"/>
          <w:szCs w:val="24"/>
        </w:rPr>
        <w:t>存在两个开采界面，3个</w:t>
      </w:r>
      <w:r>
        <w:rPr>
          <w:rFonts w:hAnsi="宋体" w:hint="eastAsia"/>
          <w:szCs w:val="24"/>
          <w:lang w:val="en-US" w:eastAsia="zh-CN"/>
        </w:rPr>
        <w:t>缓沉区</w:t>
      </w:r>
      <w:r>
        <w:rPr>
          <w:rFonts w:hAnsi="宋体" w:hint="eastAsia"/>
          <w:szCs w:val="24"/>
        </w:rPr>
        <w:t>。</w:t>
      </w:r>
      <w:r>
        <w:rPr>
          <w:rFonts w:ascii="宋体" w:hAnsi="宋体" w:hint="eastAsia"/>
          <w:szCs w:val="24"/>
        </w:rPr>
        <w:t>矿区范围内形成了地表沉陷区、</w:t>
      </w:r>
      <w:r>
        <w:rPr>
          <w:rFonts w:hAnsi="宋体" w:hint="eastAsia"/>
          <w:szCs w:val="24"/>
        </w:rPr>
        <w:t>工业场地、洗煤厂、沉淀池、充填站、办公生活区、矿区道路、</w:t>
      </w:r>
      <w:r>
        <w:rPr>
          <w:rFonts w:hAnsi="宋体"/>
          <w:szCs w:val="24"/>
        </w:rPr>
        <w:t>等对矿山地质环境影响破坏单元</w:t>
      </w:r>
      <w:r>
        <w:rPr>
          <w:rFonts w:ascii="宋体" w:hAnsi="宋体" w:hint="eastAsia"/>
          <w:szCs w:val="24"/>
        </w:rPr>
        <w:t>。以下对各单元的矿山地质环境现状从地质灾害、含水层影响与破坏、地形地貌景观影响与破坏、土地资源影响与破坏等四个方面分别进行叙述评价。</w:t>
      </w:r>
    </w:p>
    <w:p>
      <w:pPr>
        <w:pStyle w:val="a73"/>
        <w:spacing w:line="360" w:lineRule="auto"/>
        <w:ind w:firstLine="480"/>
        <w:jc w:val="both"/>
        <w:rPr>
          <w:sz w:val="24"/>
        </w:rPr>
      </w:pPr>
      <w:r>
        <w:rPr>
          <w:rFonts w:hint="eastAsia"/>
          <w:sz w:val="24"/>
        </w:rPr>
        <w:t>1、地表沉陷区</w:t>
      </w:r>
    </w:p>
    <w:p>
      <w:pPr>
        <w:pStyle w:val="a73"/>
        <w:spacing w:line="360" w:lineRule="auto"/>
        <w:ind w:firstLine="480"/>
        <w:jc w:val="both"/>
        <w:rPr>
          <w:color w:val="auto"/>
          <w:sz w:val="24"/>
        </w:rPr>
      </w:pPr>
      <w:r>
        <w:rPr>
          <w:rFonts w:hint="eastAsia"/>
          <w:color w:val="auto"/>
          <w:sz w:val="24"/>
        </w:rPr>
        <w:t>地表沉陷区范围北至公格营子矿区工业场地北侧约200m，东至沉淀池东侧，南至省道205南约650m公格营子村，西南面向古镇一及六家煤矿开放。本分期地质环境图幅内涉及总面积约1838195m</w:t>
      </w:r>
      <w:r>
        <w:rPr>
          <w:rFonts w:hint="eastAsia"/>
          <w:color w:val="auto"/>
          <w:sz w:val="24"/>
          <w:vertAlign w:val="superscript"/>
        </w:rPr>
        <w:t>2</w:t>
      </w:r>
      <w:r>
        <w:rPr>
          <w:rFonts w:hint="eastAsia"/>
          <w:color w:val="auto"/>
          <w:sz w:val="24"/>
        </w:rPr>
        <w:t>。</w:t>
      </w:r>
    </w:p>
    <w:p>
      <w:pPr>
        <w:autoSpaceDE w:val="0"/>
        <w:autoSpaceDN w:val="0"/>
        <w:ind w:firstLine="360" w:firstLineChars="150"/>
        <w:jc w:val="left"/>
        <w:rPr>
          <w:rFonts w:hAnsi="宋体"/>
          <w:szCs w:val="24"/>
        </w:rPr>
      </w:pPr>
      <w:r>
        <w:rPr>
          <w:rFonts w:hAnsi="宋体" w:hint="eastAsia"/>
          <w:szCs w:val="24"/>
        </w:rPr>
        <w:t>（1）地质灾害</w:t>
      </w:r>
    </w:p>
    <w:p>
      <w:pPr>
        <w:pStyle w:val="a73"/>
        <w:spacing w:line="360" w:lineRule="auto"/>
        <w:ind w:firstLine="480"/>
        <w:jc w:val="both"/>
        <w:rPr>
          <w:color w:val="auto"/>
          <w:sz w:val="24"/>
        </w:rPr>
      </w:pPr>
      <w:r>
        <w:rPr>
          <w:rFonts w:hint="eastAsia"/>
          <w:color w:val="auto"/>
          <w:sz w:val="24"/>
        </w:rPr>
        <w:t>沉陷灾害对沉陷区内房屋、农田、道路、排水渠及其他设施造成了不同程度的破坏，公格营子矿区内也有轻微沉陷。经调查，西六家村及公格营子村</w:t>
      </w:r>
      <w:r>
        <w:rPr>
          <w:rFonts w:hint="eastAsia"/>
          <w:sz w:val="24"/>
          <w:szCs w:val="24"/>
        </w:rPr>
        <w:t>地表沉陷区内房屋裂缝普遍存在，几乎家家户户可见，有的村民家中甚至存在数处裂缝。</w:t>
      </w:r>
      <w:r>
        <w:rPr>
          <w:rFonts w:hint="eastAsia"/>
          <w:color w:val="auto"/>
          <w:sz w:val="24"/>
        </w:rPr>
        <w:t>局部地区，房体开裂严重，缝宽度多在5-25mm间，部分房屋裂缝甚至达到数厘米宽，多以竖向裂缝为主，屋内地面倾斜出一定坡度，造成房屋严重变形，已经不再适合居住。</w:t>
      </w:r>
    </w:p>
    <w:p>
      <w:pPr>
        <w:pStyle w:val="a73"/>
        <w:spacing w:line="360" w:lineRule="auto"/>
        <w:ind w:firstLine="480"/>
        <w:jc w:val="both"/>
        <w:rPr>
          <w:rFonts w:ascii="宋体" w:hAnsi="宋体"/>
          <w:kern w:val="2"/>
          <w:sz w:val="24"/>
          <w:szCs w:val="24"/>
        </w:rPr>
        <w:sectPr>
          <w:headerReference w:type="even" r:id="rId59"/>
          <w:headerReference w:type="default" r:id="rId60"/>
          <w:footerReference w:type="even" r:id="rId61"/>
          <w:footerReference w:type="default" r:id="rId62"/>
          <w:headerReference w:type="first" r:id="rId63"/>
          <w:footerReference w:type="first" r:id="rId64"/>
          <w:type w:val="nextPage"/>
          <w:pgSz w:w="11907" w:h="16839"/>
          <w:pgMar w:top="1440" w:right="1797" w:bottom="1440" w:left="1797" w:header="851" w:footer="992" w:gutter="0"/>
          <w:pgNumType w:start="7"/>
          <w:cols w:num="1" w:space="720"/>
          <w:titlePg w:val="0"/>
          <w:docGrid w:linePitch="326" w:charSpace="0"/>
        </w:sectPr>
      </w:pPr>
      <w:r>
        <w:rPr>
          <w:rFonts w:ascii="宋体" w:hAnsi="宋体"/>
          <w:kern w:val="2"/>
          <w:sz w:val="24"/>
          <w:szCs w:val="24"/>
        </w:rPr>
        <w:t>根据中共赤峰市元宝山</w:t>
      </w:r>
      <w:r>
        <w:rPr>
          <w:rFonts w:ascii="宋体" w:hAnsi="宋体" w:hint="eastAsia"/>
          <w:kern w:val="2"/>
          <w:sz w:val="24"/>
          <w:szCs w:val="24"/>
        </w:rPr>
        <w:t>区</w:t>
      </w:r>
      <w:r>
        <w:rPr>
          <w:rFonts w:ascii="宋体" w:hAnsi="宋体"/>
          <w:kern w:val="2"/>
          <w:sz w:val="24"/>
          <w:szCs w:val="24"/>
        </w:rPr>
        <w:t>美丽河镇委员会文件（美党发</w:t>
      </w:r>
      <w:r>
        <w:rPr>
          <w:rFonts w:ascii="TimesNewRoman" w:hAnsi="TimesNewRoman"/>
          <w:kern w:val="2"/>
          <w:sz w:val="24"/>
        </w:rPr>
        <w:t>[2014]19</w:t>
      </w:r>
      <w:r>
        <w:rPr>
          <w:rFonts w:ascii="宋体" w:hAnsi="宋体"/>
          <w:kern w:val="2"/>
          <w:sz w:val="24"/>
          <w:szCs w:val="24"/>
        </w:rPr>
        <w:t>号）</w:t>
      </w:r>
      <w:r>
        <w:rPr>
          <w:rFonts w:hint="eastAsia"/>
          <w:sz w:val="24"/>
        </w:rPr>
        <w:t>《</w:t>
      </w:r>
      <w:r>
        <w:rPr>
          <w:rFonts w:ascii="宋体" w:hAnsi="宋体"/>
          <w:kern w:val="2"/>
          <w:sz w:val="24"/>
          <w:szCs w:val="24"/>
        </w:rPr>
        <w:t>关于做好公格营子村西六家村采煤沉陷危房户搬离安置工作的紧急通知</w:t>
      </w:r>
      <w:r>
        <w:rPr>
          <w:rFonts w:hint="eastAsia"/>
          <w:sz w:val="24"/>
        </w:rPr>
        <w:t>》</w:t>
      </w:r>
      <w:r>
        <w:rPr>
          <w:rFonts w:ascii="宋体" w:hAnsi="宋体"/>
          <w:kern w:val="2"/>
          <w:sz w:val="24"/>
          <w:szCs w:val="24"/>
        </w:rPr>
        <w:t>，公格营子煤矿愿全力配合危房户搬出和租房工作，并承担危房户租房资金，同时加快危房户集中安置楼房建设。</w:t>
      </w:r>
      <w:r>
        <w:rPr>
          <w:rFonts w:ascii="宋体" w:hAnsi="宋体" w:hint="eastAsia"/>
          <w:kern w:val="2"/>
          <w:sz w:val="24"/>
          <w:szCs w:val="24"/>
        </w:rPr>
        <w:t>基本上就是针对两处严重沉陷区内的居民。</w:t>
      </w:r>
    </w:p>
    <w:p>
      <w:pPr>
        <w:pStyle w:val="a73"/>
        <w:spacing w:line="360" w:lineRule="auto"/>
        <w:ind w:firstLine="480"/>
        <w:jc w:val="both"/>
        <w:rPr>
          <w:rFonts w:ascii="宋体" w:hAnsi="宋体" w:cs="宋体"/>
          <w:kern w:val="2"/>
          <w:sz w:val="24"/>
          <w:szCs w:val="24"/>
        </w:rPr>
      </w:pPr>
      <w:r>
        <w:rPr>
          <w:rFonts w:ascii="宋体" w:hAnsi="宋体" w:cs="宋体" w:hint="eastAsia"/>
          <w:color w:val="auto"/>
          <w:sz w:val="24"/>
        </w:rPr>
        <w:t>公格营子村北部较严重沉陷区，地表面积约186214 m</w:t>
      </w:r>
      <w:r>
        <w:rPr>
          <w:rFonts w:ascii="宋体" w:hAnsi="宋体" w:cs="宋体" w:hint="eastAsia"/>
          <w:color w:val="auto"/>
          <w:sz w:val="24"/>
          <w:vertAlign w:val="superscript"/>
        </w:rPr>
        <w:t>2</w:t>
      </w:r>
      <w:r>
        <w:rPr>
          <w:rFonts w:ascii="宋体" w:hAnsi="宋体" w:cs="宋体" w:hint="eastAsia"/>
          <w:kern w:val="2"/>
          <w:sz w:val="24"/>
          <w:szCs w:val="24"/>
        </w:rPr>
        <w:t>，呈不规则状。根据现场调查，危房搬出和租房工作已落实到位，大部已搬迁至煤矿企业所建造楼房内或已进行货币安置，其主体房屋建筑已拆除。</w:t>
      </w:r>
    </w:p>
    <w:p>
      <w:pPr>
        <w:pStyle w:val="a73"/>
        <w:spacing w:line="360" w:lineRule="auto"/>
        <w:ind w:firstLine="480"/>
        <w:jc w:val="both"/>
        <w:rPr>
          <w:rFonts w:ascii="宋体" w:hAnsi="宋体" w:cs="宋体"/>
          <w:color w:val="auto"/>
          <w:sz w:val="24"/>
        </w:rPr>
      </w:pPr>
      <w:r>
        <w:rPr>
          <w:rFonts w:ascii="宋体" w:hAnsi="宋体" w:cs="宋体" w:hint="eastAsia"/>
          <w:color w:val="auto"/>
          <w:sz w:val="24"/>
        </w:rPr>
        <w:t>西六家村北部较严重沉陷区，地表面积约247815 m</w:t>
      </w:r>
      <w:r>
        <w:rPr>
          <w:rFonts w:ascii="宋体" w:hAnsi="宋体" w:cs="宋体" w:hint="eastAsia"/>
          <w:color w:val="auto"/>
          <w:sz w:val="24"/>
          <w:vertAlign w:val="superscript"/>
        </w:rPr>
        <w:t>2</w:t>
      </w:r>
      <w:r>
        <w:rPr>
          <w:rFonts w:ascii="宋体" w:hAnsi="宋体" w:cs="宋体" w:hint="eastAsia"/>
          <w:kern w:val="2"/>
          <w:sz w:val="24"/>
          <w:szCs w:val="24"/>
        </w:rPr>
        <w:t>，呈不规则状。根据现场调查，危房搬出和租房工作已落实到位，大部已搬迁至煤矿企业所建造楼房内或已进行货币安置，其主体房屋建筑已拆除。</w:t>
      </w:r>
    </w:p>
    <w:p>
      <w:pPr>
        <w:ind w:firstLine="480"/>
        <w:rPr>
          <w:rFonts w:ascii="宋体" w:hAnsi="宋体" w:cs="宋体"/>
          <w:szCs w:val="24"/>
        </w:rPr>
      </w:pPr>
      <w:r>
        <w:rPr>
          <w:rFonts w:ascii="宋体" w:hAnsi="宋体" w:cs="宋体" w:hint="eastAsia"/>
        </w:rPr>
        <w:t>由于地表沉陷区内公格营子村及西六家村内并未设置岩移监测点位，结合所收集资料及当地村民反映，</w:t>
      </w:r>
      <w:r>
        <w:rPr>
          <w:rFonts w:ascii="宋体" w:hAnsi="宋体" w:cs="宋体" w:hint="eastAsia"/>
          <w:szCs w:val="24"/>
        </w:rPr>
        <w:t>2013年左右赤峰西拉沐沦（集团）公格营子煤业有限公司采区附近村民房屋出现了抻裂现象，与该矿地下开采活动造成有关，说明该区存在地面沉陷地质灾害，元宝山区人民政府对此高度重视，及时实施了《美丽河镇公格营子村及西六家村棚户区改造工程》，于2015年12月竣工验收。本分期时间段内两村房屋裂缝及地表下沉情况趋于稳定，近两年变化不大，但仍存在缓慢下沉。</w:t>
      </w:r>
    </w:p>
    <w:p>
      <w:pPr>
        <w:ind w:firstLine="480"/>
        <w:rPr>
          <w:rFonts w:ascii="宋体" w:hAnsi="宋体" w:cs="宋体"/>
          <w:szCs w:val="24"/>
        </w:rPr>
      </w:pPr>
      <w:r>
        <w:rPr>
          <w:rFonts w:ascii="宋体" w:hAnsi="宋体" w:cs="宋体" w:hint="eastAsia"/>
        </w:rPr>
        <w:t>地表沉陷区治理及人员避让已在一分期、二分期治理工程中具体实施并已通过专家组验收。</w:t>
      </w:r>
    </w:p>
    <w:p>
      <w:pPr>
        <w:ind w:firstLine="360" w:firstLineChars="150"/>
        <w:rPr>
          <w:rFonts w:ascii="宋体" w:hAnsi="宋体" w:cs="宋体"/>
          <w:szCs w:val="24"/>
        </w:rPr>
      </w:pPr>
      <w:r>
        <w:rPr>
          <w:rFonts w:ascii="宋体" w:hAnsi="宋体" w:cs="宋体" w:hint="eastAsia"/>
          <w:szCs w:val="24"/>
        </w:rPr>
        <w:t>（2）含水层影响与破坏</w:t>
      </w:r>
    </w:p>
    <w:p>
      <w:pPr>
        <w:ind w:firstLine="480"/>
        <w:jc w:val="left"/>
        <w:rPr>
          <w:rFonts w:ascii="宋体" w:hAnsi="宋体" w:cs="宋体"/>
          <w:color w:val="000000"/>
          <w:szCs w:val="24"/>
        </w:rPr>
      </w:pPr>
      <w:r>
        <w:rPr>
          <w:rFonts w:ascii="宋体" w:hAnsi="宋体" w:cs="宋体"/>
        </w:rPr>
        <w:pict>
          <v:shapetype id="_x0000_t202" coordsize="21600,21600" o:spt="202" path="m,l,21600r21600,l21600,xe">
            <v:stroke joinstyle="miter"/>
            <v:path gradientshapeok="t" o:connecttype="rect"/>
          </v:shapetype>
          <v:shape id="_x0000_s1026" o:spid="_x0000_s1025" type="#_x0000_t202" style="width:12pt;height:22.6pt;margin-top:273.1pt;margin-left:297pt;flip:x y;mso-height-relative:page;mso-width-relative:page;position:absolute;z-index:251660288" coordsize="21600,21600" filled="f" stroked="f">
            <v:stroke joinstyle="miter"/>
            <v:textbox>
              <w:txbxContent>
                <w:p>
                  <w:pPr>
                    <w:ind w:firstLine="482"/>
                    <w:rPr>
                      <w:b/>
                    </w:rPr>
                  </w:pPr>
                  <w:r>
                    <w:rPr>
                      <w:rFonts w:hint="eastAsia"/>
                      <w:b/>
                    </w:rPr>
                    <w:t>（右）</w:t>
                  </w:r>
                </w:p>
                <w:p>
                  <w:pPr>
                    <w:ind w:firstLine="482"/>
                    <w:rPr>
                      <w:b/>
                    </w:rPr>
                  </w:pPr>
                </w:p>
                <w:p>
                  <w:pPr>
                    <w:ind w:firstLine="480"/>
                  </w:pPr>
                </w:p>
              </w:txbxContent>
            </v:textbox>
          </v:shape>
        </w:pict>
      </w:r>
      <w:r>
        <w:rPr>
          <w:rFonts w:ascii="宋体" w:hAnsi="宋体" w:cs="宋体" w:hint="eastAsia"/>
          <w:color w:val="000000"/>
          <w:szCs w:val="24"/>
        </w:rPr>
        <w:t>地下开采标高为+488m~+100m，地下水位线近于地表，含水层为白垩系煤层底板砂岩、砂砾岩孔隙裂隙承压含水层。矿区内含水层厚5.75-50.25m，平均23.4m，厚度变化规律矿区北部较厚，南部相对较薄。沉陷区下矿坑长期疏干排水，使区内天然流场转化为人工流场，改变了本区附近的自然水文地质条件，造成地下水降落漏斗范围不断扩大，其后果将会导致区域地下水位持续下降。</w:t>
      </w:r>
      <w:r>
        <w:rPr>
          <w:rFonts w:ascii="宋体" w:hAnsi="宋体" w:cs="宋体" w:hint="eastAsia"/>
          <w:color w:val="0D0D0D"/>
          <w:spacing w:val="-1"/>
          <w:szCs w:val="24"/>
        </w:rPr>
        <w:t>该矿自生产以来，未发生透水事故。随开采深度扩大，井下涌水量有所增加，矿井正常涌水量为190m</w:t>
      </w:r>
      <w:r>
        <w:rPr>
          <w:rFonts w:ascii="宋体" w:hAnsi="宋体" w:cs="宋体" w:hint="eastAsia"/>
          <w:color w:val="0D0D0D"/>
          <w:szCs w:val="24"/>
          <w:vertAlign w:val="superscript"/>
        </w:rPr>
        <w:t>3</w:t>
      </w:r>
      <w:r>
        <w:rPr>
          <w:rFonts w:ascii="宋体" w:hAnsi="宋体" w:cs="宋体" w:hint="eastAsia"/>
          <w:color w:val="0D0D0D"/>
          <w:spacing w:val="1"/>
          <w:szCs w:val="24"/>
        </w:rPr>
        <w:t>/h，</w:t>
      </w:r>
      <w:r>
        <w:rPr>
          <w:rFonts w:ascii="宋体" w:hAnsi="宋体" w:cs="宋体" w:hint="eastAsia"/>
          <w:color w:val="0D0D0D"/>
          <w:spacing w:val="-1"/>
          <w:szCs w:val="24"/>
        </w:rPr>
        <w:t>最大涌水量为290m</w:t>
      </w:r>
      <w:r>
        <w:rPr>
          <w:rFonts w:ascii="宋体" w:hAnsi="宋体" w:cs="宋体" w:hint="eastAsia"/>
          <w:color w:val="0D0D0D"/>
          <w:szCs w:val="24"/>
          <w:vertAlign w:val="superscript"/>
        </w:rPr>
        <w:t>3</w:t>
      </w:r>
      <w:r>
        <w:rPr>
          <w:rFonts w:ascii="宋体" w:hAnsi="宋体" w:cs="宋体" w:hint="eastAsia"/>
          <w:color w:val="0D0D0D"/>
          <w:szCs w:val="24"/>
        </w:rPr>
        <w:t>/h。</w:t>
      </w:r>
      <w:r>
        <w:rPr>
          <w:rFonts w:ascii="宋体" w:hAnsi="宋体" w:cs="宋体" w:hint="eastAsia"/>
          <w:color w:val="000000"/>
          <w:szCs w:val="24"/>
        </w:rPr>
        <w:t>地下水清水排放至排水渠内，污水用于洗煤及充填站。疏干水改变了含水层赋水层位，由于矿山采用由下而上的充填采矿方法，上部又预留有防水煤柱，对矿区内含水层破坏有限。结合矿山提供最新（2019年4月23日）水质检测报告（附件13），监测参数PH、六价铬、悬浮物、砷、汞、铅、镉、锌、锰、铬、石油类、氮化物、铁的监测结果符合</w:t>
      </w:r>
      <w:r>
        <w:rPr>
          <w:rFonts w:ascii="宋体" w:hAnsi="宋体" w:cs="宋体" w:hint="eastAsia"/>
        </w:rPr>
        <w:t>《煤炭工业污染物排放标准》（GB20426-2006）标准限值的要求。</w:t>
      </w:r>
    </w:p>
    <w:p>
      <w:pPr>
        <w:ind w:firstLine="360" w:firstLineChars="150"/>
        <w:rPr>
          <w:rFonts w:ascii="宋体" w:hAnsi="宋体" w:cs="宋体"/>
          <w:szCs w:val="24"/>
        </w:rPr>
        <w:sectPr>
          <w:headerReference w:type="even" r:id="rId65"/>
          <w:headerReference w:type="default" r:id="rId66"/>
          <w:footerReference w:type="even" r:id="rId67"/>
          <w:footerReference w:type="default" r:id="rId68"/>
          <w:headerReference w:type="first" r:id="rId69"/>
          <w:footerReference w:type="first" r:id="rId70"/>
          <w:type w:val="nextPage"/>
          <w:pgSz w:w="11907" w:h="16839"/>
          <w:pgMar w:top="1440" w:right="1797" w:bottom="1440" w:left="1797" w:header="851" w:footer="992" w:gutter="0"/>
          <w:pgNumType w:start="8"/>
          <w:cols w:num="1" w:space="720"/>
          <w:titlePg w:val="0"/>
          <w:docGrid w:linePitch="326" w:charSpace="0"/>
        </w:sectPr>
      </w:pPr>
      <w:r>
        <w:rPr>
          <w:rFonts w:ascii="宋体" w:hAnsi="宋体" w:cs="宋体" w:hint="eastAsia"/>
          <w:szCs w:val="24"/>
        </w:rPr>
        <w:t>（3）地形地貌景观影响与破坏</w:t>
      </w:r>
    </w:p>
    <w:p>
      <w:pPr>
        <w:ind w:firstLine="360" w:firstLineChars="150"/>
        <w:rPr>
          <w:rFonts w:ascii="宋体" w:hAnsi="宋体" w:cs="宋体"/>
          <w:szCs w:val="24"/>
        </w:rPr>
      </w:pPr>
      <w:r>
        <w:rPr>
          <w:rFonts w:ascii="宋体" w:hAnsi="宋体" w:cs="宋体" w:hint="eastAsia"/>
          <w:szCs w:val="24"/>
        </w:rPr>
        <w:t>沉陷区原始地貌为河谷平原，地形平坦而开阔，现状下地面下沉幅度较小，局部地面明显低洼，属于整体沉陷。沉陷区内厂房建设及煤块堆积，公格营子及西六家村局部地区房屋拆除后建筑垃圾堆放地表，使其与周围的的地形地貌不一致，影响和破坏了原始的地形地貌景观（照片2-11至照片2-12）。</w:t>
      </w:r>
    </w:p>
    <w:p>
      <w:pPr>
        <w:ind w:firstLine="360" w:firstLineChars="150"/>
        <w:rPr>
          <w:rFonts w:ascii="宋体" w:hAnsi="宋体" w:cs="宋体"/>
          <w:szCs w:val="24"/>
        </w:rPr>
      </w:pPr>
      <w:r>
        <w:rPr>
          <w:rFonts w:ascii="宋体" w:hAnsi="宋体" w:cs="宋体" w:hint="eastAsia"/>
          <w:szCs w:val="24"/>
        </w:rPr>
        <w:t>（4）土地资源影响与破坏</w:t>
      </w:r>
    </w:p>
    <w:p>
      <w:pPr>
        <w:ind w:firstLine="480"/>
        <w:rPr>
          <w:rFonts w:ascii="宋体" w:hAnsi="宋体" w:cs="宋体"/>
          <w:color w:val="FF0000"/>
          <w:szCs w:val="24"/>
        </w:rPr>
      </w:pPr>
      <w:r>
        <w:rPr>
          <w:rFonts w:ascii="宋体" w:hAnsi="宋体" w:cs="宋体" w:hint="eastAsia"/>
          <w:szCs w:val="24"/>
        </w:rPr>
        <w:t>地表沉陷区总面积约</w:t>
      </w:r>
      <w:r>
        <w:rPr>
          <w:rFonts w:ascii="宋体" w:hAnsi="宋体" w:cs="宋体" w:hint="eastAsia"/>
        </w:rPr>
        <w:t>1838195m</w:t>
      </w:r>
      <w:r>
        <w:rPr>
          <w:rFonts w:ascii="宋体" w:hAnsi="宋体" w:cs="宋体" w:hint="eastAsia"/>
          <w:vertAlign w:val="superscript"/>
        </w:rPr>
        <w:t>2</w:t>
      </w:r>
      <w:r>
        <w:rPr>
          <w:rFonts w:ascii="宋体" w:hAnsi="宋体" w:cs="宋体" w:hint="eastAsia"/>
          <w:szCs w:val="24"/>
        </w:rPr>
        <w:t>，影响土地类型为水浇地、旱地、有林地、其他草地、铁路用地、公路用地、沟渠、村庄、采矿用地。其中水浇地461678m</w:t>
      </w:r>
      <w:r>
        <w:rPr>
          <w:rFonts w:ascii="宋体" w:hAnsi="宋体" w:cs="宋体" w:hint="eastAsia"/>
          <w:szCs w:val="24"/>
          <w:vertAlign w:val="superscript"/>
        </w:rPr>
        <w:t>2</w:t>
      </w:r>
      <w:r>
        <w:rPr>
          <w:rFonts w:ascii="宋体" w:hAnsi="宋体" w:cs="宋体" w:hint="eastAsia"/>
          <w:szCs w:val="24"/>
        </w:rPr>
        <w:t>、旱地108309m</w:t>
      </w:r>
      <w:r>
        <w:rPr>
          <w:rFonts w:ascii="宋体" w:hAnsi="宋体" w:cs="宋体" w:hint="eastAsia"/>
          <w:szCs w:val="24"/>
          <w:vertAlign w:val="superscript"/>
        </w:rPr>
        <w:t>2</w:t>
      </w:r>
      <w:r>
        <w:rPr>
          <w:rFonts w:ascii="宋体" w:hAnsi="宋体" w:cs="宋体" w:hint="eastAsia"/>
          <w:szCs w:val="24"/>
        </w:rPr>
        <w:t>、有林地8165m</w:t>
      </w:r>
      <w:r>
        <w:rPr>
          <w:rFonts w:ascii="宋体" w:hAnsi="宋体" w:cs="宋体" w:hint="eastAsia"/>
          <w:szCs w:val="24"/>
          <w:vertAlign w:val="superscript"/>
        </w:rPr>
        <w:t>2</w:t>
      </w:r>
      <w:r>
        <w:rPr>
          <w:rFonts w:ascii="宋体" w:hAnsi="宋体" w:cs="宋体" w:hint="eastAsia"/>
          <w:szCs w:val="24"/>
        </w:rPr>
        <w:t>、其他草地185360m</w:t>
      </w:r>
      <w:r>
        <w:rPr>
          <w:rFonts w:ascii="宋体" w:hAnsi="宋体" w:cs="宋体" w:hint="eastAsia"/>
          <w:szCs w:val="24"/>
          <w:vertAlign w:val="superscript"/>
        </w:rPr>
        <w:t>2</w:t>
      </w:r>
      <w:r>
        <w:rPr>
          <w:rFonts w:ascii="宋体" w:hAnsi="宋体" w:cs="宋体" w:hint="eastAsia"/>
          <w:szCs w:val="24"/>
        </w:rPr>
        <w:t>、铁路用地179819 m²、公路用地58408m²、沟渠25356m²、村庄710521m</w:t>
      </w:r>
      <w:r>
        <w:rPr>
          <w:rFonts w:ascii="宋体" w:hAnsi="宋体" w:cs="宋体" w:hint="eastAsia"/>
          <w:szCs w:val="24"/>
          <w:vertAlign w:val="superscript"/>
        </w:rPr>
        <w:t>2</w:t>
      </w:r>
      <w:r>
        <w:rPr>
          <w:rFonts w:ascii="宋体" w:hAnsi="宋体" w:cs="宋体" w:hint="eastAsia"/>
          <w:szCs w:val="24"/>
        </w:rPr>
        <w:t>、采矿用地100579m²。</w:t>
      </w:r>
    </w:p>
    <w:p>
      <w:pPr>
        <w:ind w:firstLine="480"/>
        <w:rPr>
          <w:rFonts w:ascii="宋体" w:hAnsi="宋体" w:cs="宋体" w:hint="default"/>
          <w:szCs w:val="24"/>
        </w:rPr>
      </w:pPr>
      <w:r>
        <w:rPr>
          <w:rFonts w:ascii="宋体" w:hAnsi="宋体" w:cs="宋体" w:hint="eastAsia"/>
          <w:szCs w:val="24"/>
        </w:rPr>
        <w:t>矿山其可采煤层共两层，分别为6—1煤层和6—2煤层，目前该矿仅在6—2煤开采。矿山现状形成两个开采界面，分别为开采界面一及开采界面二。开采界面一位于矿区</w:t>
      </w:r>
      <w:r>
        <w:rPr>
          <w:rFonts w:ascii="宋体" w:hAnsi="宋体" w:cs="宋体" w:hint="eastAsia"/>
          <w:szCs w:val="24"/>
          <w:lang w:val="en-US" w:eastAsia="zh-CN"/>
        </w:rPr>
        <w:t>范围内西</w:t>
      </w:r>
      <w:r>
        <w:rPr>
          <w:rFonts w:ascii="宋体" w:hAnsi="宋体" w:cs="宋体" w:hint="eastAsia"/>
          <w:szCs w:val="24"/>
        </w:rPr>
        <w:t>侧，开采范围呈不规则状，地表投影</w:t>
      </w:r>
      <w:r>
        <w:rPr>
          <w:rFonts w:ascii="宋体" w:hAnsi="宋体" w:cs="宋体" w:hint="eastAsia"/>
        </w:rPr>
        <w:t>面积约12331m</w:t>
      </w:r>
      <w:r>
        <w:rPr>
          <w:rFonts w:ascii="宋体" w:hAnsi="宋体" w:cs="宋体" w:hint="eastAsia"/>
          <w:vertAlign w:val="superscript"/>
        </w:rPr>
        <w:t>2</w:t>
      </w:r>
      <w:r>
        <w:rPr>
          <w:rFonts w:ascii="宋体" w:hAnsi="宋体" w:cs="宋体" w:hint="eastAsia"/>
        </w:rPr>
        <w:t>，开采标高+420~+400m；</w:t>
      </w:r>
      <w:r>
        <w:rPr>
          <w:rFonts w:ascii="宋体" w:hAnsi="宋体" w:cs="宋体" w:hint="eastAsia"/>
          <w:szCs w:val="24"/>
        </w:rPr>
        <w:t>开采界面二</w:t>
      </w:r>
      <w:r>
        <w:rPr>
          <w:rFonts w:ascii="宋体" w:hAnsi="宋体" w:cs="宋体" w:hint="eastAsia"/>
        </w:rPr>
        <w:t>位于矿区南侧，开采范围呈不规则状，</w:t>
      </w:r>
      <w:r>
        <w:rPr>
          <w:rFonts w:ascii="宋体" w:hAnsi="宋体" w:cs="宋体" w:hint="eastAsia"/>
          <w:szCs w:val="24"/>
        </w:rPr>
        <w:t>地表投影</w:t>
      </w:r>
      <w:r>
        <w:rPr>
          <w:rFonts w:ascii="宋体" w:hAnsi="宋体" w:cs="宋体" w:hint="eastAsia"/>
        </w:rPr>
        <w:t>面积约10470 m</w:t>
      </w:r>
      <w:r>
        <w:rPr>
          <w:rFonts w:ascii="宋体" w:hAnsi="宋体" w:cs="宋体" w:hint="eastAsia"/>
          <w:vertAlign w:val="superscript"/>
        </w:rPr>
        <w:t>2</w:t>
      </w:r>
      <w:r>
        <w:rPr>
          <w:rFonts w:ascii="宋体" w:hAnsi="宋体" w:cs="宋体" w:hint="eastAsia"/>
        </w:rPr>
        <w:t>，开采标高+360~+345m。</w:t>
      </w:r>
      <w:r>
        <w:rPr>
          <w:rFonts w:ascii="宋体" w:hAnsi="宋体" w:cs="宋体" w:hint="eastAsia"/>
          <w:szCs w:val="24"/>
        </w:rPr>
        <w:t>矿山生产至今一直采取边开采边充填的工作方法。前期</w:t>
      </w:r>
      <w:r>
        <w:rPr>
          <w:rFonts w:ascii="宋体" w:hAnsi="宋体" w:cs="宋体" w:hint="eastAsia"/>
          <w:szCs w:val="24"/>
          <w:lang w:val="en-US" w:eastAsia="zh-CN"/>
        </w:rPr>
        <w:t>开采缓沉</w:t>
      </w:r>
      <w:r>
        <w:rPr>
          <w:rFonts w:ascii="宋体" w:hAnsi="宋体" w:cs="宋体" w:hint="eastAsia"/>
          <w:szCs w:val="24"/>
        </w:rPr>
        <w:t>区已及时进行回填，矿区范围内</w:t>
      </w:r>
      <w:r>
        <w:rPr>
          <w:rFonts w:ascii="宋体" w:hAnsi="宋体" w:cs="宋体" w:hint="eastAsia"/>
          <w:szCs w:val="24"/>
          <w:lang w:val="en-US" w:eastAsia="zh-CN"/>
        </w:rPr>
        <w:t>地表</w:t>
      </w:r>
      <w:r>
        <w:rPr>
          <w:rFonts w:ascii="宋体" w:hAnsi="宋体" w:cs="宋体" w:hint="eastAsia"/>
          <w:szCs w:val="24"/>
        </w:rPr>
        <w:t>现状并</w:t>
      </w:r>
      <w:r>
        <w:rPr>
          <w:rFonts w:ascii="宋体" w:hAnsi="宋体" w:cs="宋体" w:hint="eastAsia"/>
          <w:szCs w:val="24"/>
          <w:lang w:val="en-US" w:eastAsia="zh-CN"/>
        </w:rPr>
        <w:t>没有塌陷</w:t>
      </w:r>
      <w:r>
        <w:rPr>
          <w:rFonts w:ascii="宋体" w:hAnsi="宋体" w:cs="宋体" w:hint="eastAsia"/>
          <w:szCs w:val="24"/>
        </w:rPr>
        <w:t>区。二者有重叠的面积约1138m</w:t>
      </w:r>
      <w:r>
        <w:rPr>
          <w:rFonts w:ascii="宋体" w:hAnsi="宋体" w:cs="宋体" w:hint="eastAsia"/>
          <w:szCs w:val="24"/>
          <w:vertAlign w:val="superscript"/>
        </w:rPr>
        <w:t>2</w:t>
      </w:r>
      <w:r>
        <w:rPr>
          <w:rFonts w:ascii="宋体" w:hAnsi="宋体" w:cs="宋体" w:hint="eastAsia"/>
          <w:szCs w:val="24"/>
        </w:rPr>
        <w:t>，因此现状形成</w:t>
      </w:r>
      <w:r>
        <w:rPr>
          <w:rFonts w:ascii="宋体" w:hAnsi="宋体" w:cs="宋体" w:hint="eastAsia"/>
          <w:szCs w:val="24"/>
          <w:lang w:val="en-US" w:eastAsia="zh-CN"/>
        </w:rPr>
        <w:t>缓沉</w:t>
      </w:r>
      <w:r>
        <w:rPr>
          <w:rFonts w:ascii="宋体" w:hAnsi="宋体" w:cs="宋体" w:hint="eastAsia"/>
          <w:szCs w:val="24"/>
        </w:rPr>
        <w:t>区及现状开采界面地表总投影面积415063m</w:t>
      </w:r>
      <w:r>
        <w:rPr>
          <w:rFonts w:ascii="宋体" w:hAnsi="宋体" w:cs="宋体" w:hint="eastAsia"/>
          <w:szCs w:val="24"/>
          <w:vertAlign w:val="superscript"/>
        </w:rPr>
        <w:t>2</w:t>
      </w:r>
      <w:r>
        <w:rPr>
          <w:rFonts w:ascii="宋体" w:hAnsi="宋体" w:cs="宋体" w:hint="eastAsia"/>
          <w:szCs w:val="24"/>
          <w:vertAlign w:val="baseline"/>
          <w:lang w:eastAsia="zh-CN"/>
        </w:rPr>
        <w:t>，</w:t>
      </w:r>
      <w:r>
        <w:rPr>
          <w:rFonts w:ascii="宋体" w:hAnsi="宋体" w:cs="宋体" w:hint="eastAsia"/>
          <w:szCs w:val="24"/>
          <w:vertAlign w:val="baseline"/>
          <w:lang w:val="en-US" w:eastAsia="zh-CN"/>
        </w:rPr>
        <w:t>重复治理是由于分层开采，计划治理。</w:t>
      </w:r>
    </w:p>
    <w:p>
      <w:pPr>
        <w:ind w:firstLine="480"/>
        <w:rPr>
          <w:rFonts w:ascii="宋体" w:hAnsi="宋体" w:cs="宋体"/>
          <w:szCs w:val="24"/>
        </w:rPr>
      </w:pPr>
      <w:r>
        <w:rPr>
          <w:rFonts w:ascii="宋体" w:hAnsi="宋体" w:cs="宋体" w:hint="eastAsia"/>
          <w:szCs w:val="24"/>
          <w:lang w:val="en-US" w:eastAsia="zh-CN"/>
        </w:rPr>
        <w:t>缓沉</w:t>
      </w:r>
      <w:r>
        <w:rPr>
          <w:rFonts w:ascii="宋体" w:hAnsi="宋体" w:cs="宋体" w:hint="eastAsia"/>
          <w:szCs w:val="24"/>
        </w:rPr>
        <w:t>区</w:t>
      </w:r>
      <w:r>
        <w:rPr>
          <w:rFonts w:ascii="宋体" w:hAnsi="宋体" w:cs="宋体" w:hint="eastAsia"/>
        </w:rPr>
        <w:t>主要引发上部地表发生沉陷，对房屋、农田造成了不同程度的破坏。现状</w:t>
      </w:r>
      <w:r>
        <w:rPr>
          <w:rFonts w:ascii="宋体" w:hAnsi="宋体" w:cs="宋体" w:hint="eastAsia"/>
          <w:szCs w:val="24"/>
          <w:lang w:val="en-US" w:eastAsia="zh-CN"/>
        </w:rPr>
        <w:t>缓沉</w:t>
      </w:r>
      <w:r>
        <w:rPr>
          <w:rFonts w:ascii="宋体" w:hAnsi="宋体" w:cs="宋体" w:hint="eastAsia"/>
          <w:szCs w:val="24"/>
        </w:rPr>
        <w:t>区</w:t>
      </w:r>
      <w:r>
        <w:rPr>
          <w:rFonts w:ascii="宋体" w:hAnsi="宋体" w:cs="宋体" w:hint="eastAsia"/>
        </w:rPr>
        <w:t>地表投影区大部分位于</w:t>
      </w:r>
      <w:r>
        <w:rPr>
          <w:rFonts w:ascii="宋体" w:hAnsi="宋体" w:cs="宋体" w:hint="eastAsia"/>
          <w:lang w:val="en-US" w:eastAsia="zh-CN"/>
        </w:rPr>
        <w:t>缓沉</w:t>
      </w:r>
      <w:r>
        <w:rPr>
          <w:rFonts w:ascii="宋体" w:hAnsi="宋体" w:cs="宋体" w:hint="eastAsia"/>
        </w:rPr>
        <w:t>区内，地表建筑房屋开裂严重，缝宽度多在5-25mm间，部分房屋裂缝甚至达到数厘米宽，多以竖向裂缝为主，屋内地面倾斜出一定坡度，造成房屋严重变形，已经不再适合居住。</w:t>
      </w:r>
      <w:r>
        <w:rPr>
          <w:rFonts w:ascii="宋体" w:hAnsi="宋体" w:cs="宋体" w:hint="eastAsia"/>
          <w:lang w:val="en-US" w:eastAsia="zh-CN"/>
        </w:rPr>
        <w:t>矿区以对缓沉影响区内的居民进行了搬迁安置</w:t>
      </w:r>
      <w:r>
        <w:rPr>
          <w:rFonts w:ascii="宋体" w:hAnsi="宋体" w:cs="宋体" w:hint="eastAsia"/>
          <w:szCs w:val="24"/>
        </w:rPr>
        <w:t>。</w:t>
      </w:r>
    </w:p>
    <w:p>
      <w:pPr>
        <w:ind w:firstLine="480"/>
        <w:rPr>
          <w:rFonts w:ascii="宋体" w:hAnsi="宋体" w:cs="宋体"/>
        </w:rPr>
      </w:pPr>
      <w:r>
        <w:rPr>
          <w:rFonts w:ascii="宋体" w:hAnsi="宋体" w:cs="宋体" w:hint="eastAsia"/>
          <w:szCs w:val="24"/>
          <w:lang w:val="en-US" w:eastAsia="zh-CN"/>
        </w:rPr>
        <w:t>开采</w:t>
      </w:r>
      <w:r>
        <w:rPr>
          <w:rFonts w:ascii="宋体" w:hAnsi="宋体" w:cs="宋体" w:hint="eastAsia"/>
          <w:szCs w:val="24"/>
        </w:rPr>
        <w:t>区</w:t>
      </w:r>
      <w:r>
        <w:rPr>
          <w:rFonts w:ascii="宋体" w:hAnsi="宋体" w:cs="宋体" w:hint="eastAsia"/>
        </w:rPr>
        <w:t>上部地表未见塌陷坑、地裂缝等地质灾害。</w:t>
      </w:r>
      <w:r>
        <w:rPr>
          <w:rFonts w:ascii="宋体" w:hAnsi="宋体" w:cs="宋体" w:hint="eastAsia"/>
          <w:szCs w:val="24"/>
        </w:rPr>
        <w:t>现状开采区地表投影区未见塌陷坑、地裂缝等地质灾害。</w:t>
      </w:r>
      <w:r>
        <w:rPr>
          <w:rFonts w:ascii="宋体" w:hAnsi="宋体" w:cs="宋体" w:hint="eastAsia"/>
        </w:rPr>
        <w:t>现状条件下除地面</w:t>
      </w:r>
      <w:r>
        <w:rPr>
          <w:rFonts w:ascii="宋体" w:hAnsi="宋体" w:cs="宋体" w:hint="eastAsia"/>
          <w:lang w:val="en-US" w:eastAsia="zh-CN"/>
        </w:rPr>
        <w:t>有轻微缓沉</w:t>
      </w:r>
      <w:r>
        <w:rPr>
          <w:rFonts w:ascii="宋体" w:hAnsi="宋体" w:cs="宋体" w:hint="eastAsia"/>
        </w:rPr>
        <w:t>外，其它地质灾害不发育。</w:t>
      </w:r>
    </w:p>
    <w:p>
      <w:pPr>
        <w:ind w:firstLine="480"/>
        <w:rPr>
          <w:rFonts w:ascii="宋体" w:hAnsi="宋体" w:cs="宋体"/>
          <w:szCs w:val="24"/>
        </w:rPr>
      </w:pPr>
      <w:r>
        <w:rPr>
          <w:rFonts w:ascii="宋体" w:hAnsi="宋体" w:cs="宋体" w:hint="eastAsia"/>
          <w:szCs w:val="24"/>
        </w:rPr>
        <w:t>（2）含水层影响与破坏</w:t>
      </w:r>
    </w:p>
    <w:p>
      <w:pPr>
        <w:ind w:firstLine="480"/>
        <w:rPr>
          <w:rFonts w:ascii="宋体" w:hAnsi="宋体" w:cs="宋体"/>
        </w:rPr>
      </w:pPr>
      <w:r>
        <w:rPr>
          <w:rFonts w:ascii="宋体" w:hAnsi="宋体" w:cs="宋体" w:hint="eastAsia"/>
        </w:rPr>
        <w:t>地下开采标高为+488m~+100m，地下水位线近于地表，施工井巷工程凿穿基岩，揭露基岩含水层，对含水层结构有一定影响。</w:t>
      </w:r>
    </w:p>
    <w:p>
      <w:pPr>
        <w:ind w:firstLine="480"/>
        <w:rPr>
          <w:rFonts w:ascii="宋体" w:hAnsi="宋体" w:cs="宋体"/>
          <w:szCs w:val="24"/>
        </w:rPr>
        <w:sectPr>
          <w:headerReference w:type="even" r:id="rId71"/>
          <w:headerReference w:type="default" r:id="rId72"/>
          <w:footerReference w:type="even" r:id="rId73"/>
          <w:footerReference w:type="default" r:id="rId74"/>
          <w:headerReference w:type="first" r:id="rId75"/>
          <w:footerReference w:type="first" r:id="rId76"/>
          <w:type w:val="nextPage"/>
          <w:pgSz w:w="11907" w:h="16839"/>
          <w:pgMar w:top="1440" w:right="1797" w:bottom="1440" w:left="1797" w:header="851" w:footer="992" w:gutter="0"/>
          <w:pgNumType w:start="9"/>
          <w:cols w:num="1" w:space="720"/>
          <w:titlePg w:val="0"/>
          <w:docGrid w:linePitch="326" w:charSpace="0"/>
        </w:sectPr>
      </w:pPr>
    </w:p>
    <w:p>
      <w:pPr>
        <w:ind w:firstLine="480"/>
        <w:rPr>
          <w:rFonts w:ascii="宋体" w:hAnsi="宋体" w:cs="宋体"/>
          <w:szCs w:val="24"/>
        </w:rPr>
      </w:pPr>
      <w:r>
        <w:rPr>
          <w:rFonts w:ascii="宋体" w:hAnsi="宋体" w:cs="宋体" w:hint="eastAsia"/>
          <w:szCs w:val="24"/>
        </w:rPr>
        <w:t>目前开采界面下开拓联络巷道破坏了地下含水层结构，该矿自生产以来，未发生透水事故。随开采深度和采空面积扩大，井下涌水量有所增加，矿井正常涌水量为190m</w:t>
      </w:r>
      <w:r>
        <w:rPr>
          <w:rFonts w:ascii="宋体" w:hAnsi="宋体" w:cs="宋体" w:hint="eastAsia"/>
          <w:szCs w:val="24"/>
          <w:vertAlign w:val="superscript"/>
        </w:rPr>
        <w:t>3</w:t>
      </w:r>
      <w:r>
        <w:rPr>
          <w:rFonts w:ascii="宋体" w:hAnsi="宋体" w:cs="宋体" w:hint="eastAsia"/>
          <w:szCs w:val="24"/>
        </w:rPr>
        <w:t>/h，最大涌水量为290m</w:t>
      </w:r>
      <w:r>
        <w:rPr>
          <w:rFonts w:ascii="宋体" w:hAnsi="宋体" w:cs="宋体" w:hint="eastAsia"/>
          <w:szCs w:val="24"/>
          <w:vertAlign w:val="superscript"/>
        </w:rPr>
        <w:t>3</w:t>
      </w:r>
      <w:r>
        <w:rPr>
          <w:rFonts w:ascii="宋体" w:hAnsi="宋体" w:cs="宋体" w:hint="eastAsia"/>
          <w:szCs w:val="24"/>
        </w:rPr>
        <w:t>/h。地下水清水排放至排水渠内，污水用于洗煤及充填站。疏干水改变了含水层赋水层位，破坏了含水层结构。</w:t>
      </w:r>
    </w:p>
    <w:p>
      <w:pPr>
        <w:autoSpaceDE w:val="0"/>
        <w:autoSpaceDN w:val="0"/>
        <w:ind w:firstLine="360" w:firstLineChars="150"/>
        <w:jc w:val="left"/>
        <w:rPr>
          <w:rFonts w:ascii="宋体" w:hAnsi="宋体" w:cs="宋体"/>
          <w:szCs w:val="24"/>
        </w:rPr>
      </w:pPr>
      <w:r>
        <w:rPr>
          <w:rFonts w:ascii="宋体" w:hAnsi="宋体" w:cs="宋体" w:hint="eastAsia"/>
          <w:szCs w:val="24"/>
        </w:rPr>
        <w:t>（3）地形地貌景观影响与破坏</w:t>
      </w:r>
    </w:p>
    <w:p>
      <w:pPr>
        <w:autoSpaceDE w:val="0"/>
        <w:autoSpaceDN w:val="0"/>
        <w:ind w:firstLine="360" w:firstLineChars="150"/>
        <w:jc w:val="left"/>
        <w:rPr>
          <w:rFonts w:ascii="宋体" w:hAnsi="宋体" w:cs="宋体"/>
          <w:szCs w:val="24"/>
        </w:rPr>
      </w:pPr>
      <w:r>
        <w:rPr>
          <w:rFonts w:ascii="宋体" w:hAnsi="宋体" w:cs="宋体" w:hint="eastAsia"/>
          <w:szCs w:val="24"/>
        </w:rPr>
        <w:t>现状采空区及开采界面地表投影区未见塌陷坑、地裂缝等地质灾害。对地形地貌景观影响程度较小。</w:t>
      </w:r>
    </w:p>
    <w:p>
      <w:pPr>
        <w:autoSpaceDE w:val="0"/>
        <w:autoSpaceDN w:val="0"/>
        <w:ind w:firstLine="360" w:firstLineChars="150"/>
        <w:jc w:val="left"/>
        <w:rPr>
          <w:rFonts w:ascii="宋体" w:hAnsi="宋体" w:cs="宋体"/>
          <w:szCs w:val="24"/>
        </w:rPr>
      </w:pPr>
      <w:r>
        <w:rPr>
          <w:rFonts w:ascii="宋体" w:hAnsi="宋体" w:cs="宋体" w:hint="eastAsia"/>
          <w:szCs w:val="24"/>
        </w:rPr>
        <w:t>（4）土地资源影响与破坏</w:t>
      </w:r>
    </w:p>
    <w:p>
      <w:pPr>
        <w:ind w:firstLine="480"/>
        <w:rPr>
          <w:rFonts w:ascii="宋体" w:hAnsi="宋体" w:cs="宋体"/>
          <w:color w:val="FF0000"/>
          <w:szCs w:val="24"/>
        </w:rPr>
      </w:pPr>
      <w:r>
        <w:rPr>
          <w:rFonts w:ascii="宋体" w:hAnsi="宋体" w:cs="宋体" w:hint="eastAsia"/>
          <w:szCs w:val="24"/>
        </w:rPr>
        <w:t>采空区及现状开采界面地表总投影面积415063m</w:t>
      </w:r>
      <w:r>
        <w:rPr>
          <w:rFonts w:ascii="宋体" w:hAnsi="宋体" w:cs="宋体" w:hint="eastAsia"/>
          <w:szCs w:val="24"/>
          <w:vertAlign w:val="superscript"/>
        </w:rPr>
        <w:t>2</w:t>
      </w:r>
      <w:r>
        <w:rPr>
          <w:rFonts w:ascii="宋体" w:hAnsi="宋体" w:cs="宋体" w:hint="eastAsia"/>
          <w:szCs w:val="24"/>
        </w:rPr>
        <w:t>，影响土地类型为水浇地、旱地、有林地、其他草地、铁路用地、公路用地、沟渠、村庄、采矿用地。其中水浇地170749m</w:t>
      </w:r>
      <w:r>
        <w:rPr>
          <w:rFonts w:ascii="宋体" w:hAnsi="宋体" w:cs="宋体" w:hint="eastAsia"/>
          <w:szCs w:val="24"/>
          <w:vertAlign w:val="superscript"/>
        </w:rPr>
        <w:t>2</w:t>
      </w:r>
      <w:r>
        <w:rPr>
          <w:rFonts w:ascii="宋体" w:hAnsi="宋体" w:cs="宋体" w:hint="eastAsia"/>
          <w:szCs w:val="24"/>
        </w:rPr>
        <w:t>、旱地10407m</w:t>
      </w:r>
      <w:r>
        <w:rPr>
          <w:rFonts w:ascii="宋体" w:hAnsi="宋体" w:cs="宋体" w:hint="eastAsia"/>
          <w:szCs w:val="24"/>
          <w:vertAlign w:val="superscript"/>
        </w:rPr>
        <w:t>2</w:t>
      </w:r>
      <w:r>
        <w:rPr>
          <w:rFonts w:ascii="宋体" w:hAnsi="宋体" w:cs="宋体" w:hint="eastAsia"/>
          <w:szCs w:val="24"/>
        </w:rPr>
        <w:t>、有林地1839m</w:t>
      </w:r>
      <w:r>
        <w:rPr>
          <w:rFonts w:ascii="宋体" w:hAnsi="宋体" w:cs="宋体" w:hint="eastAsia"/>
          <w:szCs w:val="24"/>
          <w:vertAlign w:val="superscript"/>
        </w:rPr>
        <w:t>2</w:t>
      </w:r>
      <w:r>
        <w:rPr>
          <w:rFonts w:ascii="宋体" w:hAnsi="宋体" w:cs="宋体" w:hint="eastAsia"/>
          <w:szCs w:val="24"/>
        </w:rPr>
        <w:t>、其他草地5030m</w:t>
      </w:r>
      <w:r>
        <w:rPr>
          <w:rFonts w:ascii="宋体" w:hAnsi="宋体" w:cs="宋体" w:hint="eastAsia"/>
          <w:szCs w:val="24"/>
          <w:vertAlign w:val="superscript"/>
        </w:rPr>
        <w:t>2</w:t>
      </w:r>
      <w:r>
        <w:rPr>
          <w:rFonts w:ascii="宋体" w:hAnsi="宋体" w:cs="宋体" w:hint="eastAsia"/>
          <w:szCs w:val="24"/>
        </w:rPr>
        <w:t>、铁路用地18305m²、公路用地5970m²、沟渠6519m²、村庄182997m</w:t>
      </w:r>
      <w:r>
        <w:rPr>
          <w:rFonts w:ascii="宋体" w:hAnsi="宋体" w:cs="宋体" w:hint="eastAsia"/>
          <w:szCs w:val="24"/>
          <w:vertAlign w:val="superscript"/>
        </w:rPr>
        <w:t>2</w:t>
      </w:r>
      <w:r>
        <w:rPr>
          <w:rFonts w:ascii="宋体" w:hAnsi="宋体" w:cs="宋体" w:hint="eastAsia"/>
          <w:szCs w:val="24"/>
        </w:rPr>
        <w:t>、采矿用地13247m²。</w:t>
      </w:r>
    </w:p>
    <w:p>
      <w:pPr>
        <w:ind w:firstLine="480"/>
        <w:rPr>
          <w:rFonts w:ascii="宋体" w:hAnsi="宋体" w:cs="宋体"/>
          <w:color w:val="000000"/>
          <w:szCs w:val="24"/>
        </w:rPr>
      </w:pPr>
      <w:r>
        <w:rPr>
          <w:rFonts w:ascii="宋体" w:hAnsi="宋体" w:cs="宋体" w:hint="eastAsia"/>
          <w:color w:val="000000"/>
          <w:szCs w:val="24"/>
        </w:rPr>
        <w:t>3、工业场地</w:t>
      </w:r>
    </w:p>
    <w:p>
      <w:pPr>
        <w:ind w:firstLine="480"/>
        <w:rPr>
          <w:rFonts w:ascii="宋体" w:hAnsi="宋体" w:cs="宋体"/>
          <w:bCs/>
          <w:szCs w:val="24"/>
        </w:rPr>
      </w:pPr>
      <w:r>
        <w:rPr>
          <w:rFonts w:ascii="宋体" w:hAnsi="宋体" w:cs="宋体" w:hint="eastAsia"/>
          <w:color w:val="000000"/>
          <w:szCs w:val="24"/>
        </w:rPr>
        <w:t>工业场地位于矿区中部。不规则状。</w:t>
      </w:r>
      <w:r>
        <w:rPr>
          <w:rFonts w:ascii="宋体" w:hAnsi="宋体" w:cs="宋体" w:hint="eastAsia"/>
          <w:bCs/>
          <w:szCs w:val="24"/>
        </w:rPr>
        <w:t>长约150m，宽约90～100m，面积14192m</w:t>
      </w:r>
      <w:r>
        <w:rPr>
          <w:rFonts w:ascii="宋体" w:hAnsi="宋体" w:cs="宋体" w:hint="eastAsia"/>
          <w:bCs/>
          <w:szCs w:val="24"/>
          <w:vertAlign w:val="superscript"/>
        </w:rPr>
        <w:t>2</w:t>
      </w:r>
      <w:r>
        <w:rPr>
          <w:rFonts w:ascii="宋体" w:hAnsi="宋体" w:cs="宋体" w:hint="eastAsia"/>
          <w:bCs/>
          <w:szCs w:val="24"/>
        </w:rPr>
        <w:t>。内设有两个竖井、机房、车棚、配电室、水塔、维修车间等。</w:t>
      </w:r>
    </w:p>
    <w:p>
      <w:pPr>
        <w:ind w:firstLine="480"/>
        <w:rPr>
          <w:rFonts w:ascii="宋体" w:hAnsi="宋体" w:cs="宋体"/>
          <w:color w:val="000000"/>
          <w:szCs w:val="24"/>
        </w:rPr>
      </w:pPr>
      <w:r>
        <w:rPr>
          <w:rFonts w:ascii="宋体" w:hAnsi="宋体" w:cs="宋体" w:hint="eastAsia"/>
          <w:color w:val="000000"/>
          <w:szCs w:val="24"/>
        </w:rPr>
        <w:t>主井：倾角 90°，井筒为圆形，净直径 3.0m，净断面面积 7.07m</w:t>
      </w:r>
      <w:r>
        <w:rPr>
          <w:rFonts w:ascii="宋体" w:hAnsi="宋体" w:cs="宋体" w:hint="eastAsia"/>
          <w:color w:val="000000"/>
          <w:szCs w:val="24"/>
          <w:vertAlign w:val="superscript"/>
        </w:rPr>
        <w:t>2</w:t>
      </w:r>
      <w:r>
        <w:rPr>
          <w:rFonts w:ascii="宋体" w:hAnsi="宋体" w:cs="宋体" w:hint="eastAsia"/>
          <w:color w:val="000000"/>
          <w:szCs w:val="24"/>
        </w:rPr>
        <w:t>，井口标高489.211m，井底标高+320m。主要担负矿井的煤炭提升任务，同事兼做通风井。井筒内设梯子间，作为安全出口。</w:t>
      </w:r>
    </w:p>
    <w:p>
      <w:pPr>
        <w:ind w:firstLine="480"/>
        <w:rPr>
          <w:rFonts w:ascii="宋体" w:hAnsi="宋体" w:cs="宋体"/>
          <w:bCs/>
          <w:szCs w:val="24"/>
        </w:rPr>
      </w:pPr>
      <w:r>
        <w:rPr>
          <w:rFonts w:ascii="宋体" w:hAnsi="宋体" w:cs="宋体" w:hint="eastAsia"/>
          <w:color w:val="000000"/>
          <w:szCs w:val="24"/>
        </w:rPr>
        <w:t>副井：倾角 90°，井筒为圆形，净直径 3.0m，净断面面积 7.07m</w:t>
      </w:r>
      <w:r>
        <w:rPr>
          <w:rFonts w:ascii="宋体" w:hAnsi="宋体" w:cs="宋体" w:hint="eastAsia"/>
          <w:color w:val="000000"/>
          <w:szCs w:val="24"/>
          <w:vertAlign w:val="superscript"/>
        </w:rPr>
        <w:t>2</w:t>
      </w:r>
      <w:r>
        <w:rPr>
          <w:rFonts w:ascii="宋体" w:hAnsi="宋体" w:cs="宋体" w:hint="eastAsia"/>
          <w:color w:val="000000"/>
          <w:szCs w:val="24"/>
        </w:rPr>
        <w:t>，井口标高489.20m，井底标高+320m。主要担负矿井的下料、下设备、升降人员任务，同时兼做主要通风井和安全出口。井筒内设梯子间，作为安全出口。并敷设排水管路、洒水管路和电力电缆、线号电缆等。配备单层单车罐笼。</w:t>
      </w:r>
    </w:p>
    <w:p>
      <w:pPr>
        <w:autoSpaceDE w:val="0"/>
        <w:autoSpaceDN w:val="0"/>
        <w:ind w:firstLine="360" w:firstLineChars="150"/>
        <w:jc w:val="left"/>
        <w:rPr>
          <w:rFonts w:ascii="宋体" w:hAnsi="宋体" w:cs="宋体"/>
          <w:color w:val="000000"/>
          <w:szCs w:val="24"/>
        </w:rPr>
      </w:pPr>
      <w:r>
        <w:rPr>
          <w:rFonts w:ascii="宋体" w:hAnsi="宋体" w:cs="宋体" w:hint="eastAsia"/>
          <w:color w:val="000000"/>
          <w:szCs w:val="24"/>
        </w:rPr>
        <w:t>（1）地质灾害</w:t>
      </w:r>
    </w:p>
    <w:p>
      <w:pPr>
        <w:ind w:firstLine="480"/>
        <w:rPr>
          <w:rFonts w:ascii="宋体" w:hAnsi="宋体" w:cs="宋体"/>
          <w:color w:val="000000"/>
          <w:szCs w:val="24"/>
        </w:rPr>
      </w:pPr>
      <w:r>
        <w:rPr>
          <w:rFonts w:ascii="宋体" w:hAnsi="宋体" w:cs="宋体" w:hint="eastAsia"/>
          <w:color w:val="000000"/>
          <w:szCs w:val="24"/>
        </w:rPr>
        <w:t>场地周围宽阔平缓，工</w:t>
      </w:r>
      <w:r>
        <w:rPr>
          <w:rFonts w:ascii="宋体" w:hAnsi="宋体" w:cs="宋体" w:hint="eastAsia"/>
          <w:szCs w:val="24"/>
        </w:rPr>
        <w:t>业场地建设在地下采场之上，根据现场调查，场地较平整，结合周边监测数据，下沉幅度达0.1~0.125m，为地面整体轻微下沉，与地下采煤有关。场地内多</w:t>
      </w:r>
      <w:r>
        <w:rPr>
          <w:rFonts w:ascii="宋体" w:hAnsi="宋体" w:cs="宋体" w:hint="eastAsia"/>
          <w:color w:val="000000"/>
          <w:szCs w:val="24"/>
        </w:rPr>
        <w:t>被硬化或占用，</w:t>
      </w:r>
      <w:r>
        <w:rPr>
          <w:rFonts w:ascii="宋体" w:hAnsi="宋体" w:cs="宋体" w:hint="eastAsia"/>
          <w:szCs w:val="24"/>
        </w:rPr>
        <w:t>场地内</w:t>
      </w:r>
      <w:r>
        <w:rPr>
          <w:rFonts w:ascii="宋体" w:hAnsi="宋体" w:cs="宋体" w:hint="eastAsia"/>
          <w:color w:val="000000"/>
          <w:szCs w:val="24"/>
        </w:rPr>
        <w:t>未发现有地裂缝、塌陷坑等。现状条件下</w:t>
      </w:r>
      <w:r>
        <w:rPr>
          <w:rFonts w:ascii="宋体" w:hAnsi="宋体" w:cs="宋体" w:hint="eastAsia"/>
          <w:szCs w:val="24"/>
        </w:rPr>
        <w:t>除地面轻微沉陷外，</w:t>
      </w:r>
      <w:r>
        <w:rPr>
          <w:rFonts w:ascii="宋体" w:hAnsi="宋体" w:cs="宋体" w:hint="eastAsia"/>
          <w:color w:val="000000"/>
          <w:szCs w:val="24"/>
        </w:rPr>
        <w:t>其他地质灾害不发育。</w:t>
      </w:r>
    </w:p>
    <w:p>
      <w:pPr>
        <w:autoSpaceDE w:val="0"/>
        <w:autoSpaceDN w:val="0"/>
        <w:ind w:firstLine="360" w:firstLineChars="150"/>
        <w:jc w:val="left"/>
        <w:rPr>
          <w:rFonts w:ascii="宋体" w:hAnsi="宋体" w:cs="宋体"/>
          <w:color w:val="000000"/>
          <w:szCs w:val="24"/>
        </w:rPr>
      </w:pPr>
      <w:r>
        <w:rPr>
          <w:rFonts w:ascii="宋体" w:hAnsi="宋体" w:cs="宋体" w:hint="eastAsia"/>
          <w:color w:val="000000"/>
          <w:szCs w:val="24"/>
        </w:rPr>
        <w:t>（2）含水层影响与破坏</w:t>
      </w:r>
    </w:p>
    <w:p>
      <w:pPr>
        <w:ind w:firstLine="480"/>
        <w:jc w:val="left"/>
        <w:rPr>
          <w:rFonts w:ascii="宋体" w:hAnsi="宋体" w:cs="宋体"/>
          <w:color w:val="000000"/>
          <w:szCs w:val="24"/>
        </w:rPr>
        <w:sectPr>
          <w:headerReference w:type="even" r:id="rId77"/>
          <w:headerReference w:type="default" r:id="rId78"/>
          <w:footerReference w:type="even" r:id="rId79"/>
          <w:footerReference w:type="default" r:id="rId80"/>
          <w:headerReference w:type="first" r:id="rId81"/>
          <w:footerReference w:type="first" r:id="rId82"/>
          <w:type w:val="nextPage"/>
          <w:pgSz w:w="11907" w:h="16839"/>
          <w:pgMar w:top="1440" w:right="1797" w:bottom="1440" w:left="1797" w:header="851" w:footer="992" w:gutter="0"/>
          <w:pgNumType w:start="10"/>
          <w:cols w:num="1" w:space="720"/>
          <w:titlePg w:val="0"/>
          <w:docGrid w:linePitch="326" w:charSpace="0"/>
        </w:sectPr>
      </w:pPr>
    </w:p>
    <w:p>
      <w:pPr>
        <w:ind w:firstLine="480"/>
        <w:jc w:val="left"/>
        <w:rPr>
          <w:rFonts w:ascii="宋体" w:hAnsi="宋体" w:cs="宋体"/>
          <w:color w:val="000000"/>
          <w:szCs w:val="24"/>
        </w:rPr>
      </w:pPr>
      <w:r>
        <w:rPr>
          <w:rFonts w:ascii="宋体" w:hAnsi="宋体" w:cs="宋体" w:hint="eastAsia"/>
          <w:color w:val="000000"/>
          <w:szCs w:val="24"/>
        </w:rPr>
        <w:t>工业场地内主副竖井标高均为489m，井深175m，地下水位线近于地表，矿区内含水层厚5.75-50.25m，平均23.4m，厚度变化规律矿区北部较厚，南部相对较薄。井下开采水平均位于地下水位之下，井巷工程破坏了含水层，目前矿坑涌水量为190m</w:t>
      </w:r>
      <w:r>
        <w:rPr>
          <w:rFonts w:ascii="宋体" w:hAnsi="宋体" w:cs="宋体" w:hint="eastAsia"/>
          <w:color w:val="000000"/>
          <w:szCs w:val="24"/>
          <w:vertAlign w:val="superscript"/>
        </w:rPr>
        <w:t>3</w:t>
      </w:r>
      <w:r>
        <w:rPr>
          <w:rFonts w:ascii="宋体" w:hAnsi="宋体" w:cs="宋体" w:hint="eastAsia"/>
          <w:color w:val="000000"/>
          <w:szCs w:val="24"/>
        </w:rPr>
        <w:t>/h，排水疏干了局部地下含水层。已对含水层结构造成破坏。结合矿山提供最新（2019年4月23日）水质检测报告，监测参数PH、六价铬、悬浮物、砷、汞、铅、镉、锌、锰、铬、石油类、氮化物、铁的监测结果符合</w:t>
      </w:r>
      <w:r>
        <w:rPr>
          <w:rFonts w:ascii="宋体" w:hAnsi="宋体" w:cs="宋体" w:hint="eastAsia"/>
        </w:rPr>
        <w:t>《煤炭工业污染物排放标准》（GB20426-2006）标准限值的要求。</w:t>
      </w:r>
    </w:p>
    <w:p>
      <w:pPr>
        <w:autoSpaceDE w:val="0"/>
        <w:autoSpaceDN w:val="0"/>
        <w:ind w:firstLine="360" w:firstLineChars="150"/>
        <w:jc w:val="left"/>
        <w:rPr>
          <w:rFonts w:ascii="宋体" w:hAnsi="宋体" w:cs="宋体"/>
          <w:color w:val="000000"/>
          <w:szCs w:val="24"/>
        </w:rPr>
      </w:pPr>
      <w:r>
        <w:rPr>
          <w:rFonts w:ascii="宋体" w:hAnsi="宋体" w:cs="宋体" w:hint="eastAsia"/>
          <w:color w:val="000000"/>
          <w:szCs w:val="24"/>
        </w:rPr>
        <w:t>（3）地形地貌景观影响与破坏</w:t>
      </w:r>
    </w:p>
    <w:p>
      <w:pPr>
        <w:autoSpaceDE w:val="0"/>
        <w:autoSpaceDN w:val="0"/>
        <w:ind w:firstLine="480"/>
        <w:jc w:val="left"/>
        <w:rPr>
          <w:rFonts w:ascii="宋体" w:hAnsi="宋体" w:cs="宋体"/>
          <w:szCs w:val="24"/>
        </w:rPr>
      </w:pPr>
      <w:r>
        <w:rPr>
          <w:rFonts w:ascii="宋体" w:hAnsi="宋体" w:cs="宋体" w:hint="eastAsia"/>
          <w:szCs w:val="24"/>
        </w:rPr>
        <w:t>场地内人工建筑的建设形成与原地貌不相协调的斑块景观，</w:t>
      </w:r>
      <w:r>
        <w:rPr>
          <w:rFonts w:ascii="宋体" w:hAnsi="宋体" w:cs="宋体" w:hint="eastAsia"/>
          <w:bCs/>
          <w:color w:val="000000"/>
          <w:szCs w:val="24"/>
        </w:rPr>
        <w:t>破坏地表植被，影响改变了</w:t>
      </w:r>
      <w:r>
        <w:rPr>
          <w:rFonts w:ascii="宋体" w:hAnsi="宋体" w:cs="宋体" w:hint="eastAsia"/>
          <w:color w:val="000000"/>
          <w:szCs w:val="24"/>
        </w:rPr>
        <w:t>原生地形地貌景</w:t>
      </w:r>
      <w:r>
        <w:rPr>
          <w:rFonts w:ascii="宋体" w:hAnsi="宋体" w:cs="宋体" w:hint="eastAsia"/>
          <w:szCs w:val="24"/>
        </w:rPr>
        <w:t>观（照片4-1至照片4-2）。</w:t>
      </w:r>
    </w:p>
    <w:p>
      <w:pPr>
        <w:ind w:firstLine="360" w:firstLineChars="150"/>
        <w:rPr>
          <w:rFonts w:ascii="宋体" w:hAnsi="宋体" w:cs="宋体"/>
          <w:szCs w:val="24"/>
        </w:rPr>
      </w:pPr>
      <w:r>
        <w:rPr>
          <w:rFonts w:ascii="宋体" w:hAnsi="宋体" w:cs="宋体" w:hint="eastAsia"/>
          <w:szCs w:val="24"/>
        </w:rPr>
        <w:t>（4）土地资源影响与破坏</w:t>
      </w:r>
    </w:p>
    <w:p>
      <w:pPr>
        <w:autoSpaceDE w:val="0"/>
        <w:autoSpaceDN w:val="0"/>
        <w:ind w:firstLine="480"/>
        <w:jc w:val="left"/>
        <w:rPr>
          <w:rFonts w:ascii="宋体" w:hAnsi="宋体" w:cs="宋体"/>
          <w:color w:val="000000"/>
          <w:szCs w:val="24"/>
        </w:rPr>
      </w:pPr>
      <w:r>
        <w:rPr>
          <w:rFonts w:ascii="宋体" w:hAnsi="宋体" w:cs="宋体" w:hint="eastAsia"/>
          <w:color w:val="000000"/>
          <w:szCs w:val="24"/>
        </w:rPr>
        <w:t>工业场地面积</w:t>
      </w:r>
      <w:r>
        <w:rPr>
          <w:rFonts w:ascii="宋体" w:hAnsi="宋体" w:cs="宋体" w:hint="eastAsia"/>
          <w:bCs/>
          <w:color w:val="000000"/>
          <w:szCs w:val="24"/>
        </w:rPr>
        <w:t>14192</w:t>
      </w:r>
      <w:r>
        <w:rPr>
          <w:rFonts w:ascii="宋体" w:hAnsi="宋体" w:cs="宋体" w:hint="eastAsia"/>
          <w:color w:val="000000"/>
          <w:szCs w:val="24"/>
        </w:rPr>
        <w:t>m</w:t>
      </w:r>
      <w:r>
        <w:rPr>
          <w:rFonts w:ascii="宋体" w:hAnsi="宋体" w:cs="宋体" w:hint="eastAsia"/>
          <w:color w:val="000000"/>
          <w:szCs w:val="24"/>
          <w:vertAlign w:val="superscript"/>
        </w:rPr>
        <w:t>2</w:t>
      </w:r>
      <w:r>
        <w:rPr>
          <w:rFonts w:ascii="宋体" w:hAnsi="宋体" w:cs="宋体" w:hint="eastAsia"/>
          <w:color w:val="000000"/>
          <w:szCs w:val="24"/>
        </w:rPr>
        <w:t>，破坏土地类型为水浇地、其他草地、采矿用地。其中水浇地350m</w:t>
      </w:r>
      <w:r>
        <w:rPr>
          <w:rFonts w:ascii="宋体" w:hAnsi="宋体" w:cs="宋体" w:hint="eastAsia"/>
          <w:color w:val="000000"/>
          <w:szCs w:val="24"/>
          <w:vertAlign w:val="superscript"/>
        </w:rPr>
        <w:t>2</w:t>
      </w:r>
      <w:r>
        <w:rPr>
          <w:rFonts w:ascii="宋体" w:hAnsi="宋体" w:cs="宋体" w:hint="eastAsia"/>
          <w:color w:val="000000"/>
          <w:szCs w:val="24"/>
        </w:rPr>
        <w:t>、其他草地13086m</w:t>
      </w:r>
      <w:r>
        <w:rPr>
          <w:rFonts w:ascii="宋体" w:hAnsi="宋体" w:cs="宋体" w:hint="eastAsia"/>
          <w:color w:val="000000"/>
          <w:szCs w:val="24"/>
          <w:vertAlign w:val="superscript"/>
        </w:rPr>
        <w:t>2</w:t>
      </w:r>
      <w:r>
        <w:rPr>
          <w:rFonts w:ascii="宋体" w:hAnsi="宋体" w:cs="宋体" w:hint="eastAsia"/>
          <w:color w:val="000000"/>
          <w:szCs w:val="24"/>
        </w:rPr>
        <w:t>、采矿用地756m</w:t>
      </w:r>
      <w:r>
        <w:rPr>
          <w:rFonts w:ascii="宋体" w:hAnsi="宋体" w:cs="宋体" w:hint="eastAsia"/>
          <w:color w:val="000000"/>
          <w:szCs w:val="24"/>
          <w:vertAlign w:val="superscript"/>
        </w:rPr>
        <w:t>2</w:t>
      </w:r>
      <w:r>
        <w:rPr>
          <w:rFonts w:ascii="宋体" w:hAnsi="宋体" w:cs="宋体" w:hint="eastAsia"/>
          <w:color w:val="000000"/>
          <w:szCs w:val="24"/>
        </w:rPr>
        <w:t>。</w:t>
      </w:r>
    </w:p>
    <w:tbl>
      <w:tblPr>
        <w:tblStyle w:val="TableGrid0"/>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4264"/>
        <w:gridCol w:w="4265"/>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c>
          <w:tcPr>
            <w:tcW w:w="4264" w:type="dxa"/>
            <w:vAlign w:val="center"/>
          </w:tcPr>
          <w:p>
            <w:pPr>
              <w:autoSpaceDE w:val="0"/>
              <w:autoSpaceDN w:val="0"/>
              <w:ind w:firstLine="0" w:firstLineChars="0"/>
              <w:jc w:val="left"/>
              <w:rPr>
                <w:rFonts w:ascii="宋体" w:hAnsi="宋体" w:cs="宋体"/>
                <w:color w:val="000000"/>
                <w:szCs w:val="24"/>
              </w:rPr>
            </w:pPr>
            <w:r>
              <w:rPr>
                <w:rFonts w:ascii="宋体" w:hAnsi="宋体" w:cs="宋体" w:hint="eastAsia"/>
                <w:color w:val="000000"/>
                <w:szCs w:val="24"/>
              </w:rPr>
              <w:drawing>
                <wp:anchor distT="0" distB="0" distL="114300" distR="114300" simplePos="0" relativeHeight="251661312" behindDoc="0" locked="0" layoutInCell="1" allowOverlap="1">
                  <wp:simplePos x="0" y="0"/>
                  <wp:positionH relativeFrom="column">
                    <wp:posOffset>-44450</wp:posOffset>
                  </wp:positionH>
                  <wp:positionV relativeFrom="paragraph">
                    <wp:posOffset>-2178050</wp:posOffset>
                  </wp:positionV>
                  <wp:extent cx="2619375" cy="2175510"/>
                  <wp:effectExtent l="19050" t="0" r="9525" b="0"/>
                  <wp:wrapSquare wrapText="bothSides"/>
                  <wp:docPr id="1" name="图片 28" descr="IMG_20180809_091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8" descr="IMG_20180809_091856"/>
                          <pic:cNvPicPr>
                            <a:picLocks noChangeAspect="1"/>
                          </pic:cNvPicPr>
                        </pic:nvPicPr>
                        <pic:blipFill>
                          <a:blip xmlns:r="http://schemas.openxmlformats.org/officeDocument/2006/relationships" r:embed="rId83"/>
                          <a:stretch>
                            <a:fillRect/>
                          </a:stretch>
                        </pic:blipFill>
                        <pic:spPr>
                          <a:xfrm>
                            <a:off x="0" y="0"/>
                            <a:ext cx="2619375" cy="2175510"/>
                          </a:xfrm>
                          <a:prstGeom prst="rect">
                            <a:avLst/>
                          </a:prstGeom>
                          <a:noFill/>
                          <a:ln>
                            <a:noFill/>
                          </a:ln>
                        </pic:spPr>
                      </pic:pic>
                    </a:graphicData>
                  </a:graphic>
                </wp:anchor>
              </w:drawing>
            </w:r>
          </w:p>
        </w:tc>
        <w:tc>
          <w:tcPr>
            <w:tcW w:w="4265" w:type="dxa"/>
            <w:vAlign w:val="center"/>
          </w:tcPr>
          <w:p>
            <w:pPr>
              <w:autoSpaceDE w:val="0"/>
              <w:autoSpaceDN w:val="0"/>
              <w:ind w:firstLine="0" w:firstLineChars="0"/>
              <w:jc w:val="left"/>
              <w:rPr>
                <w:rFonts w:ascii="宋体" w:hAnsi="宋体" w:cs="宋体"/>
                <w:color w:val="000000"/>
                <w:szCs w:val="24"/>
              </w:rPr>
            </w:pPr>
            <w:r>
              <w:rPr>
                <w:rFonts w:ascii="宋体" w:hAnsi="宋体" w:cs="宋体"/>
                <w:color w:val="000000"/>
                <w:szCs w:val="24"/>
              </w:rPr>
              <w:drawing>
                <wp:anchor distT="0" distB="0" distL="114300" distR="114300" simplePos="0" relativeHeight="251662336" behindDoc="0" locked="0" layoutInCell="1" allowOverlap="1">
                  <wp:simplePos x="0" y="0"/>
                  <wp:positionH relativeFrom="column">
                    <wp:posOffset>-63500</wp:posOffset>
                  </wp:positionH>
                  <wp:positionV relativeFrom="paragraph">
                    <wp:posOffset>-2168525</wp:posOffset>
                  </wp:positionV>
                  <wp:extent cx="2762250" cy="2156460"/>
                  <wp:effectExtent l="19050" t="0" r="0" b="0"/>
                  <wp:wrapSquare wrapText="bothSides"/>
                  <wp:docPr id="3" name="图片 31" descr="IMG_20180809_091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1" descr="IMG_20180809_091844"/>
                          <pic:cNvPicPr>
                            <a:picLocks noChangeAspect="1"/>
                          </pic:cNvPicPr>
                        </pic:nvPicPr>
                        <pic:blipFill>
                          <a:blip xmlns:r="http://schemas.openxmlformats.org/officeDocument/2006/relationships" r:embed="rId84"/>
                          <a:stretch>
                            <a:fillRect/>
                          </a:stretch>
                        </pic:blipFill>
                        <pic:spPr>
                          <a:xfrm>
                            <a:off x="0" y="0"/>
                            <a:ext cx="2762250" cy="2156460"/>
                          </a:xfrm>
                          <a:prstGeom prst="rect">
                            <a:avLst/>
                          </a:prstGeom>
                          <a:noFill/>
                          <a:ln>
                            <a:noFill/>
                          </a:ln>
                        </pic:spPr>
                      </pic:pic>
                    </a:graphicData>
                  </a:graphic>
                </wp:anchor>
              </w:drawing>
            </w:r>
          </w:p>
        </w:tc>
      </w:tr>
      <w:tr>
        <w:tblPrEx>
          <w:tblW w:w="0" w:type="auto"/>
          <w:tblInd w:w="0" w:type="dxa"/>
          <w:tblCellMar>
            <w:top w:w="0" w:type="dxa"/>
            <w:left w:w="108" w:type="dxa"/>
            <w:bottom w:w="0" w:type="dxa"/>
            <w:right w:w="108" w:type="dxa"/>
          </w:tblCellMar>
        </w:tblPrEx>
        <w:tc>
          <w:tcPr>
            <w:tcW w:w="4264" w:type="dxa"/>
            <w:vAlign w:val="center"/>
          </w:tcPr>
          <w:p>
            <w:pPr>
              <w:autoSpaceDE w:val="0"/>
              <w:autoSpaceDN w:val="0"/>
              <w:ind w:firstLine="0" w:firstLineChars="0"/>
              <w:rPr>
                <w:rFonts w:ascii="宋体" w:hAnsi="宋体" w:cs="宋体"/>
                <w:color w:val="000000"/>
                <w:szCs w:val="24"/>
              </w:rPr>
            </w:pPr>
            <w:r>
              <w:rPr>
                <w:rFonts w:hint="eastAsia"/>
                <w:b/>
              </w:rPr>
              <w:t>照片4-1  工业场地主副井</w:t>
            </w:r>
          </w:p>
        </w:tc>
        <w:tc>
          <w:tcPr>
            <w:tcW w:w="4265" w:type="dxa"/>
            <w:vAlign w:val="center"/>
          </w:tcPr>
          <w:p>
            <w:pPr>
              <w:autoSpaceDE w:val="0"/>
              <w:autoSpaceDN w:val="0"/>
              <w:ind w:firstLine="0" w:firstLineChars="0"/>
              <w:rPr>
                <w:rFonts w:ascii="宋体" w:hAnsi="宋体" w:cs="宋体"/>
                <w:color w:val="000000"/>
                <w:szCs w:val="24"/>
              </w:rPr>
            </w:pPr>
            <w:r>
              <w:rPr>
                <w:rFonts w:hint="eastAsia"/>
                <w:b/>
              </w:rPr>
              <w:t>照片4-2  工业场地主</w:t>
            </w:r>
          </w:p>
        </w:tc>
      </w:tr>
    </w:tbl>
    <w:p>
      <w:pPr>
        <w:spacing w:before="240" w:beforeLines="100"/>
        <w:ind w:firstLine="480"/>
        <w:rPr>
          <w:color w:val="000000"/>
          <w:szCs w:val="24"/>
        </w:rPr>
      </w:pPr>
      <w:r>
        <w:rPr>
          <w:rFonts w:hint="eastAsia"/>
          <w:color w:val="000000"/>
          <w:szCs w:val="24"/>
        </w:rPr>
        <w:t>4、洗煤厂</w:t>
      </w:r>
    </w:p>
    <w:p>
      <w:pPr>
        <w:ind w:firstLine="480"/>
        <w:rPr>
          <w:color w:val="FF0000"/>
          <w:szCs w:val="24"/>
        </w:rPr>
      </w:pPr>
      <w:r>
        <w:rPr>
          <w:rFonts w:hint="eastAsia"/>
          <w:color w:val="000000"/>
          <w:szCs w:val="24"/>
        </w:rPr>
        <w:t>洗煤厂位于工业场地南侧。场地呈不规则状，长约390</w:t>
      </w:r>
      <w:r>
        <w:rPr>
          <w:color w:val="000000"/>
          <w:szCs w:val="24"/>
        </w:rPr>
        <w:t>m，宽</w:t>
      </w:r>
      <w:r>
        <w:rPr>
          <w:rFonts w:hint="eastAsia"/>
          <w:color w:val="000000"/>
          <w:szCs w:val="24"/>
        </w:rPr>
        <w:t>约50</w:t>
      </w:r>
      <w:r>
        <w:rPr>
          <w:color w:val="000000"/>
          <w:szCs w:val="24"/>
        </w:rPr>
        <w:t>～</w:t>
      </w:r>
      <w:r>
        <w:rPr>
          <w:rFonts w:hint="eastAsia"/>
          <w:color w:val="000000"/>
          <w:szCs w:val="24"/>
        </w:rPr>
        <w:t>80m，面积27240</w:t>
      </w:r>
      <w:r>
        <w:rPr>
          <w:color w:val="000000"/>
          <w:szCs w:val="24"/>
        </w:rPr>
        <w:t>m</w:t>
      </w:r>
      <w:r>
        <w:rPr>
          <w:color w:val="000000"/>
          <w:szCs w:val="24"/>
          <w:vertAlign w:val="superscript"/>
        </w:rPr>
        <w:t>2</w:t>
      </w:r>
      <w:r>
        <w:rPr>
          <w:rFonts w:hint="eastAsia"/>
          <w:color w:val="000000"/>
          <w:szCs w:val="24"/>
        </w:rPr>
        <w:t>。内设有选煤厂、储煤场、门卫等</w:t>
      </w:r>
      <w:r>
        <w:rPr>
          <w:rFonts w:hint="eastAsia"/>
          <w:szCs w:val="24"/>
        </w:rPr>
        <w:t>。</w:t>
      </w:r>
    </w:p>
    <w:p>
      <w:pPr>
        <w:autoSpaceDE w:val="0"/>
        <w:autoSpaceDN w:val="0"/>
        <w:ind w:firstLine="360" w:firstLineChars="150"/>
        <w:jc w:val="left"/>
        <w:rPr>
          <w:color w:val="000000"/>
          <w:szCs w:val="24"/>
        </w:rPr>
      </w:pPr>
      <w:r>
        <w:rPr>
          <w:rFonts w:hint="eastAsia"/>
          <w:color w:val="000000"/>
          <w:szCs w:val="24"/>
        </w:rPr>
        <w:t>（1）地质灾害</w:t>
      </w:r>
    </w:p>
    <w:p>
      <w:pPr>
        <w:ind w:firstLine="480"/>
        <w:rPr>
          <w:color w:val="000000"/>
          <w:szCs w:val="24"/>
        </w:rPr>
        <w:sectPr>
          <w:headerReference w:type="even" r:id="rId85"/>
          <w:headerReference w:type="default" r:id="rId86"/>
          <w:footerReference w:type="even" r:id="rId87"/>
          <w:footerReference w:type="default" r:id="rId88"/>
          <w:headerReference w:type="first" r:id="rId89"/>
          <w:footerReference w:type="first" r:id="rId90"/>
          <w:type w:val="nextPage"/>
          <w:pgSz w:w="11907" w:h="16839"/>
          <w:pgMar w:top="1440" w:right="1797" w:bottom="1440" w:left="1797" w:header="851" w:footer="992" w:gutter="0"/>
          <w:pgNumType w:start="11"/>
          <w:cols w:num="1" w:space="720"/>
          <w:titlePg w:val="0"/>
          <w:docGrid w:linePitch="326" w:charSpace="0"/>
        </w:sectPr>
      </w:pPr>
      <w:r>
        <w:rPr>
          <w:rFonts w:hint="eastAsia"/>
          <w:color w:val="000000"/>
          <w:szCs w:val="24"/>
        </w:rPr>
        <w:t>根据现场调查，场地较为平整，根据周边最新监测数据</w:t>
      </w:r>
      <w:r>
        <w:rPr>
          <w:color w:val="000000"/>
          <w:szCs w:val="24"/>
        </w:rPr>
        <w:t>，洗煤厂内沉陷幅</w:t>
      </w:r>
      <w:r>
        <w:rPr>
          <w:szCs w:val="24"/>
        </w:rPr>
        <w:t>度为0</w:t>
      </w:r>
      <w:r>
        <w:rPr>
          <w:rFonts w:hint="eastAsia"/>
          <w:szCs w:val="24"/>
        </w:rPr>
        <w:t>.</w:t>
      </w:r>
      <w:r>
        <w:rPr>
          <w:rFonts w:hAnsi="宋体" w:hint="eastAsia"/>
          <w:szCs w:val="24"/>
        </w:rPr>
        <w:t>06</w:t>
      </w:r>
      <w:r>
        <w:rPr>
          <w:rFonts w:hint="eastAsia"/>
          <w:szCs w:val="24"/>
        </w:rPr>
        <w:t>~</w:t>
      </w:r>
      <w:r>
        <w:rPr>
          <w:rFonts w:hAnsi="宋体"/>
          <w:szCs w:val="24"/>
        </w:rPr>
        <w:t>0.</w:t>
      </w:r>
      <w:r>
        <w:rPr>
          <w:rFonts w:hAnsi="宋体" w:hint="eastAsia"/>
          <w:szCs w:val="24"/>
        </w:rPr>
        <w:t>08</w:t>
      </w:r>
      <w:r>
        <w:rPr>
          <w:rFonts w:hAnsi="宋体"/>
          <w:szCs w:val="24"/>
        </w:rPr>
        <w:t>m</w:t>
      </w:r>
      <w:r>
        <w:rPr>
          <w:rFonts w:hAnsi="宋体" w:hint="eastAsia"/>
          <w:szCs w:val="24"/>
        </w:rPr>
        <w:t>，为</w:t>
      </w:r>
      <w:r>
        <w:rPr>
          <w:rFonts w:hAnsi="宋体"/>
          <w:szCs w:val="24"/>
        </w:rPr>
        <w:t>地面</w:t>
      </w:r>
      <w:r>
        <w:rPr>
          <w:rFonts w:hAnsi="宋体" w:hint="eastAsia"/>
          <w:szCs w:val="24"/>
        </w:rPr>
        <w:t>整体轻微</w:t>
      </w:r>
      <w:r>
        <w:rPr>
          <w:rFonts w:hAnsi="宋体"/>
          <w:szCs w:val="24"/>
        </w:rPr>
        <w:t>下沉</w:t>
      </w:r>
      <w:r>
        <w:rPr>
          <w:rFonts w:hAnsi="宋体" w:hint="eastAsia"/>
          <w:szCs w:val="24"/>
        </w:rPr>
        <w:t>，与地下采煤有关。</w:t>
      </w:r>
      <w:r>
        <w:rPr>
          <w:rFonts w:hint="eastAsia"/>
          <w:szCs w:val="24"/>
        </w:rPr>
        <w:t>现状场地内</w:t>
      </w:r>
      <w:r>
        <w:rPr>
          <w:szCs w:val="24"/>
        </w:rPr>
        <w:t>未发现有地</w:t>
      </w:r>
      <w:r>
        <w:rPr>
          <w:color w:val="000000"/>
          <w:szCs w:val="24"/>
        </w:rPr>
        <w:t>裂缝</w:t>
      </w:r>
      <w:r>
        <w:rPr>
          <w:rFonts w:hint="eastAsia"/>
          <w:color w:val="000000"/>
          <w:szCs w:val="24"/>
        </w:rPr>
        <w:t>、塌陷坑等。周围地势宽阔平缓，储煤场</w:t>
      </w:r>
      <w:r>
        <w:rPr>
          <w:rFonts w:hint="eastAsia"/>
          <w:szCs w:val="24"/>
        </w:rPr>
        <w:t>堆高约1</w:t>
      </w:r>
      <w:r>
        <w:rPr>
          <w:szCs w:val="24"/>
        </w:rPr>
        <w:t>～</w:t>
      </w:r>
      <w:r>
        <w:rPr>
          <w:rFonts w:hint="eastAsia"/>
          <w:szCs w:val="24"/>
        </w:rPr>
        <w:t>3m，坡度20</w:t>
      </w:r>
      <w:r>
        <w:rPr>
          <w:szCs w:val="24"/>
        </w:rPr>
        <w:t>～</w:t>
      </w:r>
      <w:r>
        <w:rPr>
          <w:rFonts w:hint="eastAsia"/>
          <w:szCs w:val="24"/>
        </w:rPr>
        <w:t>4</w:t>
      </w:r>
      <w:r>
        <w:rPr>
          <w:szCs w:val="24"/>
        </w:rPr>
        <w:t>0°</w:t>
      </w:r>
      <w:r>
        <w:rPr>
          <w:rFonts w:hint="eastAsia"/>
          <w:szCs w:val="24"/>
        </w:rPr>
        <w:t>，规模</w:t>
      </w:r>
      <w:r>
        <w:rPr>
          <w:rFonts w:hint="eastAsia"/>
          <w:color w:val="000000"/>
          <w:szCs w:val="24"/>
        </w:rPr>
        <w:t>小，无崩塌灾害。现状条件下</w:t>
      </w:r>
      <w:r>
        <w:rPr>
          <w:rFonts w:hAnsi="宋体" w:hint="eastAsia"/>
          <w:szCs w:val="24"/>
        </w:rPr>
        <w:t>除地面沉陷外，</w:t>
      </w:r>
      <w:r>
        <w:rPr>
          <w:rFonts w:hint="eastAsia"/>
          <w:color w:val="000000"/>
          <w:szCs w:val="24"/>
        </w:rPr>
        <w:t>其他地质灾害不发育。</w:t>
      </w:r>
    </w:p>
    <w:p>
      <w:pPr>
        <w:autoSpaceDE w:val="0"/>
        <w:autoSpaceDN w:val="0"/>
        <w:ind w:firstLine="360" w:firstLineChars="150"/>
        <w:jc w:val="left"/>
        <w:rPr>
          <w:color w:val="000000"/>
          <w:szCs w:val="24"/>
        </w:rPr>
      </w:pPr>
      <w:r>
        <w:rPr>
          <w:rFonts w:hint="eastAsia"/>
          <w:color w:val="000000"/>
          <w:szCs w:val="24"/>
        </w:rPr>
        <w:t>（2）含水层影响与破坏</w:t>
      </w:r>
    </w:p>
    <w:p>
      <w:pPr>
        <w:ind w:firstLine="480"/>
        <w:rPr>
          <w:color w:val="000000"/>
          <w:szCs w:val="24"/>
        </w:rPr>
      </w:pPr>
      <w:r>
        <w:rPr>
          <w:rFonts w:hint="eastAsia"/>
          <w:color w:val="000000"/>
          <w:szCs w:val="24"/>
        </w:rPr>
        <w:t>洗煤厂所用水源为矿坑疏干水，洗煤产生的污水输送至沉淀池，之后被充填站重新利用。对地下含水层无影响。</w:t>
      </w:r>
    </w:p>
    <w:p>
      <w:pPr>
        <w:autoSpaceDE w:val="0"/>
        <w:autoSpaceDN w:val="0"/>
        <w:ind w:firstLine="360" w:firstLineChars="150"/>
        <w:jc w:val="left"/>
        <w:rPr>
          <w:color w:val="000000"/>
          <w:szCs w:val="24"/>
        </w:rPr>
      </w:pPr>
      <w:r>
        <w:rPr>
          <w:rFonts w:hint="eastAsia"/>
          <w:color w:val="000000"/>
          <w:szCs w:val="24"/>
        </w:rPr>
        <w:t>（3）地形地貌景观影响与破坏</w:t>
      </w:r>
    </w:p>
    <w:p>
      <w:pPr>
        <w:ind w:firstLine="480"/>
        <w:rPr>
          <w:color w:val="000000"/>
          <w:szCs w:val="24"/>
        </w:rPr>
      </w:pPr>
      <w:r>
        <w:rPr>
          <w:rFonts w:hint="eastAsia"/>
          <w:color w:val="000000"/>
          <w:szCs w:val="24"/>
        </w:rPr>
        <w:t>场地内人工</w:t>
      </w:r>
      <w:r>
        <w:rPr>
          <w:color w:val="000000"/>
          <w:szCs w:val="24"/>
        </w:rPr>
        <w:t>建筑</w:t>
      </w:r>
      <w:r>
        <w:rPr>
          <w:rFonts w:hint="eastAsia"/>
          <w:color w:val="000000"/>
          <w:szCs w:val="24"/>
        </w:rPr>
        <w:t>及煤堆</w:t>
      </w:r>
      <w:r>
        <w:rPr>
          <w:color w:val="000000"/>
          <w:szCs w:val="24"/>
        </w:rPr>
        <w:t>形成</w:t>
      </w:r>
      <w:r>
        <w:rPr>
          <w:rFonts w:hint="eastAsia"/>
          <w:color w:val="000000"/>
          <w:szCs w:val="24"/>
        </w:rPr>
        <w:t>斑块</w:t>
      </w:r>
      <w:r>
        <w:rPr>
          <w:color w:val="000000"/>
          <w:szCs w:val="24"/>
        </w:rPr>
        <w:t>景观。造成与原生自然景观的不协调，</w:t>
      </w:r>
      <w:r>
        <w:rPr>
          <w:rFonts w:hint="eastAsia"/>
          <w:color w:val="000000"/>
          <w:szCs w:val="24"/>
        </w:rPr>
        <w:t>影响改变了</w:t>
      </w:r>
      <w:r>
        <w:rPr>
          <w:color w:val="000000"/>
          <w:szCs w:val="24"/>
        </w:rPr>
        <w:t>原生地形地貌景观</w:t>
      </w:r>
      <w:r>
        <w:rPr>
          <w:rFonts w:hint="eastAsia"/>
          <w:szCs w:val="24"/>
        </w:rPr>
        <w:t>（照片4-3至照片4-6）</w:t>
      </w:r>
      <w:r>
        <w:rPr>
          <w:rFonts w:hint="eastAsia"/>
          <w:color w:val="000000"/>
          <w:szCs w:val="24"/>
        </w:rPr>
        <w:t>。</w:t>
      </w:r>
    </w:p>
    <w:p>
      <w:pPr>
        <w:ind w:firstLine="360" w:firstLineChars="150"/>
        <w:rPr>
          <w:rFonts w:hAnsi="宋体"/>
          <w:szCs w:val="24"/>
        </w:rPr>
      </w:pPr>
      <w:r>
        <w:rPr>
          <w:rFonts w:hAnsi="宋体" w:hint="eastAsia"/>
          <w:szCs w:val="24"/>
        </w:rPr>
        <w:t>（4）土地资源影响与破坏</w:t>
      </w:r>
    </w:p>
    <w:p>
      <w:pPr>
        <w:ind w:firstLine="480"/>
        <w:rPr>
          <w:color w:val="000000"/>
          <w:szCs w:val="24"/>
        </w:rPr>
      </w:pPr>
      <w:r>
        <w:rPr>
          <w:rFonts w:hint="eastAsia"/>
          <w:color w:val="000000"/>
          <w:szCs w:val="24"/>
        </w:rPr>
        <w:t>洗煤厂</w:t>
      </w:r>
      <w:r>
        <w:rPr>
          <w:rFonts w:hAnsi="宋体" w:hint="eastAsia"/>
          <w:bCs/>
          <w:color w:val="000000"/>
          <w:szCs w:val="24"/>
        </w:rPr>
        <w:t>损毁</w:t>
      </w:r>
      <w:r>
        <w:rPr>
          <w:rFonts w:hAnsi="宋体"/>
          <w:color w:val="000000"/>
          <w:szCs w:val="24"/>
        </w:rPr>
        <w:t>面积</w:t>
      </w:r>
      <w:r>
        <w:rPr>
          <w:rFonts w:hint="eastAsia"/>
          <w:color w:val="000000"/>
          <w:szCs w:val="24"/>
        </w:rPr>
        <w:t>27240</w:t>
      </w:r>
      <w:r>
        <w:rPr>
          <w:color w:val="000000"/>
          <w:szCs w:val="24"/>
        </w:rPr>
        <w:t>m</w:t>
      </w:r>
      <w:r>
        <w:rPr>
          <w:color w:val="000000"/>
          <w:szCs w:val="24"/>
          <w:vertAlign w:val="superscript"/>
        </w:rPr>
        <w:t>2</w:t>
      </w:r>
      <w:r>
        <w:rPr>
          <w:rFonts w:hAnsi="宋体"/>
          <w:color w:val="000000"/>
          <w:szCs w:val="24"/>
        </w:rPr>
        <w:t>，损毁土地类型为</w:t>
      </w:r>
      <w:r>
        <w:rPr>
          <w:rFonts w:hAnsi="宋体" w:hint="eastAsia"/>
          <w:color w:val="000000"/>
          <w:szCs w:val="24"/>
        </w:rPr>
        <w:t>其他草地、</w:t>
      </w:r>
      <w:r>
        <w:rPr>
          <w:rFonts w:hAnsi="宋体"/>
          <w:color w:val="000000"/>
          <w:szCs w:val="24"/>
        </w:rPr>
        <w:t>采矿用地，其中</w:t>
      </w:r>
      <w:r>
        <w:rPr>
          <w:rFonts w:hAnsi="宋体" w:hint="eastAsia"/>
          <w:color w:val="000000"/>
          <w:szCs w:val="24"/>
        </w:rPr>
        <w:t>其他草地</w:t>
      </w:r>
      <w:r>
        <w:rPr>
          <w:rFonts w:hAnsi="宋体"/>
          <w:color w:val="000000"/>
          <w:szCs w:val="24"/>
        </w:rPr>
        <w:t>为</w:t>
      </w:r>
      <w:r>
        <w:rPr>
          <w:rFonts w:hint="eastAsia"/>
          <w:color w:val="000000"/>
          <w:szCs w:val="24"/>
        </w:rPr>
        <w:t>4259</w:t>
      </w:r>
      <w:r>
        <w:rPr>
          <w:color w:val="000000"/>
          <w:szCs w:val="24"/>
        </w:rPr>
        <w:t>m</w:t>
      </w:r>
      <w:r>
        <w:rPr>
          <w:color w:val="000000"/>
          <w:szCs w:val="24"/>
          <w:vertAlign w:val="superscript"/>
        </w:rPr>
        <w:t>2</w:t>
      </w:r>
      <w:r>
        <w:rPr>
          <w:rFonts w:hAnsi="宋体"/>
          <w:color w:val="000000"/>
          <w:szCs w:val="24"/>
        </w:rPr>
        <w:t>，采矿用地为</w:t>
      </w:r>
      <w:r>
        <w:rPr>
          <w:rFonts w:hint="eastAsia"/>
          <w:color w:val="000000"/>
          <w:szCs w:val="24"/>
        </w:rPr>
        <w:t>22981</w:t>
      </w:r>
      <w:r>
        <w:rPr>
          <w:color w:val="000000"/>
          <w:szCs w:val="24"/>
        </w:rPr>
        <w:t>m</w:t>
      </w:r>
      <w:r>
        <w:rPr>
          <w:color w:val="000000"/>
          <w:szCs w:val="24"/>
          <w:vertAlign w:val="superscript"/>
        </w:rPr>
        <w:t>2</w:t>
      </w:r>
      <w:r>
        <w:rPr>
          <w:rFonts w:hAnsi="宋体"/>
          <w:color w:val="000000"/>
          <w:szCs w:val="24"/>
        </w:rPr>
        <w:t>。</w:t>
      </w:r>
    </w:p>
    <w:p>
      <w:pPr>
        <w:ind w:firstLine="480"/>
        <w:rPr>
          <w:color w:val="000000"/>
          <w:szCs w:val="24"/>
        </w:rPr>
      </w:pPr>
      <w:r>
        <w:drawing>
          <wp:anchor distT="0" distB="0" distL="114300" distR="114300" simplePos="0" relativeHeight="251668480" behindDoc="0" locked="0" layoutInCell="1" allowOverlap="1">
            <wp:simplePos x="0" y="0"/>
            <wp:positionH relativeFrom="column">
              <wp:posOffset>-342900</wp:posOffset>
            </wp:positionH>
            <wp:positionV relativeFrom="paragraph">
              <wp:posOffset>359410</wp:posOffset>
            </wp:positionV>
            <wp:extent cx="2872740" cy="2156460"/>
            <wp:effectExtent l="0" t="0" r="3810" b="15240"/>
            <wp:wrapSquare wrapText="bothSides"/>
            <wp:docPr id="24" name="图片 33" descr="IMG_20180809_100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3" descr="IMG_20180809_100544"/>
                    <pic:cNvPicPr>
                      <a:picLocks noChangeAspect="1"/>
                    </pic:cNvPicPr>
                  </pic:nvPicPr>
                  <pic:blipFill>
                    <a:blip xmlns:r="http://schemas.openxmlformats.org/officeDocument/2006/relationships" r:embed="rId91"/>
                    <a:stretch>
                      <a:fillRect/>
                    </a:stretch>
                  </pic:blipFill>
                  <pic:spPr>
                    <a:xfrm>
                      <a:off x="0" y="0"/>
                      <a:ext cx="2872740" cy="2156460"/>
                    </a:xfrm>
                    <a:prstGeom prst="rect">
                      <a:avLst/>
                    </a:prstGeom>
                    <a:noFill/>
                    <a:ln>
                      <a:noFill/>
                    </a:ln>
                  </pic:spPr>
                </pic:pic>
              </a:graphicData>
            </a:graphic>
          </wp:anchor>
        </w:drawing>
      </w:r>
      <w:r>
        <w:drawing>
          <wp:anchor distT="0" distB="0" distL="114300" distR="114300" simplePos="0" relativeHeight="251663360" behindDoc="0" locked="0" layoutInCell="1" allowOverlap="1">
            <wp:simplePos x="0" y="0"/>
            <wp:positionH relativeFrom="column">
              <wp:posOffset>2743200</wp:posOffset>
            </wp:positionH>
            <wp:positionV relativeFrom="paragraph">
              <wp:posOffset>359410</wp:posOffset>
            </wp:positionV>
            <wp:extent cx="2872740" cy="2156460"/>
            <wp:effectExtent l="0" t="0" r="3810" b="15240"/>
            <wp:wrapSquare wrapText="bothSides"/>
            <wp:docPr id="25" name="图片 34" descr="IMG_20180809_095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4" descr="IMG_20180809_095302"/>
                    <pic:cNvPicPr>
                      <a:picLocks noChangeAspect="1"/>
                    </pic:cNvPicPr>
                  </pic:nvPicPr>
                  <pic:blipFill>
                    <a:blip xmlns:r="http://schemas.openxmlformats.org/officeDocument/2006/relationships" r:embed="rId92"/>
                    <a:stretch>
                      <a:fillRect/>
                    </a:stretch>
                  </pic:blipFill>
                  <pic:spPr>
                    <a:xfrm>
                      <a:off x="0" y="0"/>
                      <a:ext cx="2872740" cy="2156460"/>
                    </a:xfrm>
                    <a:prstGeom prst="rect">
                      <a:avLst/>
                    </a:prstGeom>
                    <a:noFill/>
                    <a:ln>
                      <a:noFill/>
                    </a:ln>
                  </pic:spPr>
                </pic:pic>
              </a:graphicData>
            </a:graphic>
          </wp:anchor>
        </w:drawing>
      </w:r>
    </w:p>
    <w:p>
      <w:pPr>
        <w:ind w:firstLine="480"/>
        <w:rPr>
          <w:color w:val="000000"/>
          <w:szCs w:val="24"/>
        </w:rPr>
      </w:pPr>
      <w:r>
        <w:rPr>
          <w:color w:val="000000"/>
          <w:szCs w:val="24"/>
        </w:rPr>
        <w:pict>
          <v:shape id="_x0000_s1044" o:spid="_x0000_s1026" type="#_x0000_t202" style="width:169.5pt;height:23.4pt;margin-top:179.2pt;margin-left:236.4pt;mso-height-relative:page;mso-width-relative:page;position:absolute;z-index:251665408" coordsize="21600,21600" filled="f" stroked="f">
            <v:stroke joinstyle="miter"/>
            <v:textbox>
              <w:txbxContent>
                <w:p>
                  <w:pPr>
                    <w:ind w:firstLine="482"/>
                    <w:rPr>
                      <w:b/>
                    </w:rPr>
                  </w:pPr>
                  <w:r>
                    <w:rPr>
                      <w:rFonts w:hint="eastAsia"/>
                      <w:b/>
                    </w:rPr>
                    <w:t>照片4-4  选煤站</w:t>
                  </w:r>
                </w:p>
                <w:p>
                  <w:pPr>
                    <w:ind w:firstLine="480"/>
                  </w:pPr>
                </w:p>
              </w:txbxContent>
            </v:textbox>
          </v:shape>
        </w:pict>
      </w:r>
      <w:r>
        <w:rPr>
          <w:color w:val="000000"/>
          <w:szCs w:val="24"/>
        </w:rPr>
        <w:pict>
          <v:shape id="_x0000_s1045" o:spid="_x0000_s1027" type="#_x0000_t202" style="width:170.25pt;height:23.4pt;margin-top:179.2pt;margin-left:-2.1pt;mso-height-relative:page;mso-width-relative:page;position:absolute;z-index:251664384" coordsize="21600,21600" filled="f" stroked="f">
            <v:stroke joinstyle="miter"/>
            <v:textbox>
              <w:txbxContent>
                <w:p>
                  <w:pPr>
                    <w:ind w:firstLine="482"/>
                    <w:rPr>
                      <w:b/>
                    </w:rPr>
                  </w:pPr>
                  <w:r>
                    <w:rPr>
                      <w:rFonts w:hint="eastAsia"/>
                      <w:b/>
                    </w:rPr>
                    <w:t xml:space="preserve">照片4-3  传送带  </w:t>
                  </w:r>
                </w:p>
                <w:p>
                  <w:pPr>
                    <w:ind w:firstLine="480"/>
                  </w:pPr>
                </w:p>
              </w:txbxContent>
            </v:textbox>
          </v:shape>
        </w:pict>
      </w:r>
    </w:p>
    <w:p>
      <w:pPr>
        <w:ind w:firstLine="480"/>
        <w:rPr>
          <w:color w:val="000000"/>
          <w:szCs w:val="24"/>
        </w:rPr>
      </w:pPr>
      <w:r>
        <w:pict>
          <v:shape id="_x0000_s1042" o:spid="_x0000_s1028" type="#_x0000_t202" style="width:174.9pt;height:23.4pt;margin-top:171.6pt;margin-left:251.25pt;mso-height-relative:page;mso-width-relative:page;position:absolute;z-index:251669504" coordsize="21600,21600" filled="f" stroked="f">
            <v:stroke joinstyle="miter"/>
            <v:textbox>
              <w:txbxContent>
                <w:p>
                  <w:pPr>
                    <w:ind w:firstLine="482"/>
                    <w:rPr>
                      <w:b/>
                    </w:rPr>
                  </w:pPr>
                  <w:r>
                    <w:rPr>
                      <w:rFonts w:hint="eastAsia"/>
                      <w:b/>
                    </w:rPr>
                    <w:t>照片4-6  煤堆</w:t>
                  </w:r>
                </w:p>
                <w:p>
                  <w:pPr>
                    <w:ind w:firstLine="480"/>
                  </w:pPr>
                </w:p>
              </w:txbxContent>
            </v:textbox>
          </v:shape>
        </w:pict>
      </w:r>
      <w:r>
        <w:rPr>
          <w:color w:val="000000"/>
          <w:szCs w:val="24"/>
        </w:rPr>
        <w:pict>
          <v:shape id="_x0000_s1043" o:spid="_x0000_s1029" type="#_x0000_t202" style="width:189.75pt;height:23.4pt;margin-top:171.6pt;margin-left:-13.35pt;mso-height-relative:page;mso-width-relative:page;position:absolute;z-index:251670528" coordsize="21600,21600" filled="f" stroked="f">
            <v:stroke joinstyle="miter"/>
            <v:textbox>
              <w:txbxContent>
                <w:p>
                  <w:pPr>
                    <w:ind w:firstLine="482"/>
                    <w:rPr>
                      <w:b/>
                    </w:rPr>
                  </w:pPr>
                  <w:r>
                    <w:rPr>
                      <w:rFonts w:hint="eastAsia"/>
                      <w:b/>
                    </w:rPr>
                    <w:t>照片4-5  煤堆</w:t>
                  </w:r>
                </w:p>
                <w:p>
                  <w:pPr>
                    <w:ind w:firstLine="480"/>
                  </w:pPr>
                </w:p>
              </w:txbxContent>
            </v:textbox>
          </v:shape>
        </w:pict>
      </w:r>
      <w:r>
        <w:drawing>
          <wp:anchor distT="0" distB="0" distL="114300" distR="114300" simplePos="0" relativeHeight="251667456" behindDoc="0" locked="0" layoutInCell="1" allowOverlap="1">
            <wp:simplePos x="0" y="0"/>
            <wp:positionH relativeFrom="column">
              <wp:posOffset>2743200</wp:posOffset>
            </wp:positionH>
            <wp:positionV relativeFrom="paragraph">
              <wp:posOffset>0</wp:posOffset>
            </wp:positionV>
            <wp:extent cx="2872740" cy="2156460"/>
            <wp:effectExtent l="0" t="0" r="3810" b="15240"/>
            <wp:wrapSquare wrapText="bothSides"/>
            <wp:docPr id="52" name="图片 39" descr="IMG_20180809_095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39" descr="IMG_20180809_095244"/>
                    <pic:cNvPicPr>
                      <a:picLocks noChangeAspect="1"/>
                    </pic:cNvPicPr>
                  </pic:nvPicPr>
                  <pic:blipFill>
                    <a:blip xmlns:r="http://schemas.openxmlformats.org/officeDocument/2006/relationships" r:embed="rId93"/>
                    <a:stretch>
                      <a:fillRect/>
                    </a:stretch>
                  </pic:blipFill>
                  <pic:spPr>
                    <a:xfrm>
                      <a:off x="0" y="0"/>
                      <a:ext cx="2872740" cy="2156460"/>
                    </a:xfrm>
                    <a:prstGeom prst="rect">
                      <a:avLst/>
                    </a:prstGeom>
                    <a:noFill/>
                    <a:ln>
                      <a:noFill/>
                    </a:ln>
                  </pic:spPr>
                </pic:pic>
              </a:graphicData>
            </a:graphic>
          </wp:anchor>
        </w:drawing>
      </w:r>
      <w:r>
        <w:drawing>
          <wp:anchor distT="0" distB="0" distL="114300" distR="114300" simplePos="0" relativeHeight="251666432" behindDoc="0" locked="0" layoutInCell="1" allowOverlap="1">
            <wp:simplePos x="0" y="0"/>
            <wp:positionH relativeFrom="column">
              <wp:posOffset>-342900</wp:posOffset>
            </wp:positionH>
            <wp:positionV relativeFrom="paragraph">
              <wp:posOffset>0</wp:posOffset>
            </wp:positionV>
            <wp:extent cx="2872740" cy="2156460"/>
            <wp:effectExtent l="0" t="0" r="3810" b="15240"/>
            <wp:wrapSquare wrapText="bothSides"/>
            <wp:docPr id="53" name="图片 40" descr="IMG_20180809_094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40" descr="IMG_20180809_094708"/>
                    <pic:cNvPicPr>
                      <a:picLocks noChangeAspect="1"/>
                    </pic:cNvPicPr>
                  </pic:nvPicPr>
                  <pic:blipFill>
                    <a:blip xmlns:r="http://schemas.openxmlformats.org/officeDocument/2006/relationships" r:embed="rId94"/>
                    <a:stretch>
                      <a:fillRect/>
                    </a:stretch>
                  </pic:blipFill>
                  <pic:spPr>
                    <a:xfrm>
                      <a:off x="0" y="0"/>
                      <a:ext cx="2872740" cy="2156460"/>
                    </a:xfrm>
                    <a:prstGeom prst="rect">
                      <a:avLst/>
                    </a:prstGeom>
                    <a:noFill/>
                    <a:ln>
                      <a:noFill/>
                    </a:ln>
                  </pic:spPr>
                </pic:pic>
              </a:graphicData>
            </a:graphic>
          </wp:anchor>
        </w:drawing>
      </w:r>
    </w:p>
    <w:p>
      <w:pPr>
        <w:spacing w:before="120" w:beforeLines="50"/>
        <w:ind w:firstLine="480"/>
        <w:rPr>
          <w:color w:val="000000"/>
          <w:szCs w:val="24"/>
        </w:rPr>
      </w:pPr>
      <w:r>
        <w:rPr>
          <w:rFonts w:hint="eastAsia"/>
          <w:color w:val="000000"/>
          <w:szCs w:val="24"/>
        </w:rPr>
        <w:t>5、沉淀池</w:t>
      </w:r>
    </w:p>
    <w:p>
      <w:pPr>
        <w:ind w:firstLine="480"/>
        <w:rPr>
          <w:szCs w:val="24"/>
        </w:rPr>
        <w:sectPr>
          <w:headerReference w:type="even" r:id="rId95"/>
          <w:headerReference w:type="default" r:id="rId96"/>
          <w:footerReference w:type="even" r:id="rId97"/>
          <w:footerReference w:type="default" r:id="rId98"/>
          <w:headerReference w:type="first" r:id="rId99"/>
          <w:footerReference w:type="first" r:id="rId100"/>
          <w:type w:val="nextPage"/>
          <w:pgSz w:w="11907" w:h="16839"/>
          <w:pgMar w:top="1440" w:right="1797" w:bottom="1440" w:left="1797" w:header="851" w:footer="992" w:gutter="0"/>
          <w:pgNumType w:start="12"/>
          <w:cols w:num="1" w:space="720"/>
          <w:titlePg w:val="0"/>
          <w:docGrid w:linePitch="326" w:charSpace="0"/>
        </w:sectPr>
      </w:pPr>
      <w:r>
        <w:rPr>
          <w:rFonts w:hint="eastAsia"/>
          <w:szCs w:val="24"/>
        </w:rPr>
        <w:t>沉淀池位于工业场地东侧。场地占地总面积38932</w:t>
      </w:r>
      <w:r>
        <w:rPr>
          <w:szCs w:val="24"/>
        </w:rPr>
        <w:t xml:space="preserve"> m</w:t>
      </w:r>
      <w:r>
        <w:rPr>
          <w:szCs w:val="24"/>
          <w:vertAlign w:val="superscript"/>
        </w:rPr>
        <w:t>2</w:t>
      </w:r>
    </w:p>
    <w:p>
      <w:pPr>
        <w:ind w:firstLine="480"/>
        <w:rPr>
          <w:szCs w:val="24"/>
        </w:rPr>
      </w:pPr>
      <w:r>
        <w:rPr>
          <w:rFonts w:hint="eastAsia"/>
          <w:szCs w:val="24"/>
        </w:rPr>
        <w:t>，呈不规则状。洗煤厂产生污水输送至沉淀池内，现状有2个沉淀池，总挖方11204</w:t>
      </w:r>
      <w:r>
        <w:rPr>
          <w:szCs w:val="24"/>
        </w:rPr>
        <w:t xml:space="preserve"> m</w:t>
      </w:r>
      <w:r>
        <w:rPr>
          <w:rFonts w:hint="eastAsia"/>
          <w:szCs w:val="24"/>
          <w:vertAlign w:val="superscript"/>
        </w:rPr>
        <w:t>3</w:t>
      </w:r>
      <w:r>
        <w:rPr>
          <w:rFonts w:hint="eastAsia"/>
          <w:szCs w:val="24"/>
        </w:rPr>
        <w:t>。原场地有三个沉淀池，2018年矿山自主回填治理了一个，另一个回填了一半，总回填方量10690</w:t>
      </w:r>
      <w:r>
        <w:rPr>
          <w:szCs w:val="24"/>
        </w:rPr>
        <w:t xml:space="preserve"> m</w:t>
      </w:r>
      <w:r>
        <w:rPr>
          <w:rFonts w:hint="eastAsia"/>
          <w:szCs w:val="24"/>
          <w:vertAlign w:val="superscript"/>
        </w:rPr>
        <w:t>3</w:t>
      </w:r>
      <w:r>
        <w:rPr>
          <w:rFonts w:hint="eastAsia"/>
          <w:szCs w:val="24"/>
        </w:rPr>
        <w:t>，剩下现状两个沉淀池，编号沉淀池1、沉淀池2。沉淀池1呈矩形，分两段组成，总长约260m，宽约17m，深2~4m，场地已硬化，防止污水渗透至地下，周围设有防护栏，形成挖方8334.2</w:t>
      </w:r>
      <w:r>
        <w:rPr>
          <w:szCs w:val="24"/>
        </w:rPr>
        <w:t xml:space="preserve"> m</w:t>
      </w:r>
      <w:r>
        <w:rPr>
          <w:rFonts w:hint="eastAsia"/>
          <w:szCs w:val="24"/>
          <w:vertAlign w:val="superscript"/>
        </w:rPr>
        <w:t>3</w:t>
      </w:r>
      <w:r>
        <w:rPr>
          <w:rFonts w:hint="eastAsia"/>
          <w:szCs w:val="24"/>
        </w:rPr>
        <w:t>；沉淀池2未硬化，近似矩形，边坡与底部为土质，长约60m，宽约30m，深1~2m，目前用作沉淀煤泥，挖方2869.8</w:t>
      </w:r>
      <w:r>
        <w:rPr>
          <w:szCs w:val="24"/>
        </w:rPr>
        <w:t xml:space="preserve"> m</w:t>
      </w:r>
      <w:r>
        <w:rPr>
          <w:rFonts w:hint="eastAsia"/>
          <w:szCs w:val="24"/>
          <w:vertAlign w:val="superscript"/>
        </w:rPr>
        <w:t>3</w:t>
      </w:r>
      <w:r>
        <w:rPr>
          <w:rFonts w:hint="eastAsia"/>
          <w:szCs w:val="24"/>
        </w:rPr>
        <w:t>。现状沉淀池其他场地未利用面积较大，后期将作为工业场地使用。</w:t>
      </w:r>
    </w:p>
    <w:p>
      <w:pPr>
        <w:autoSpaceDE w:val="0"/>
        <w:autoSpaceDN w:val="0"/>
        <w:ind w:firstLine="360" w:firstLineChars="150"/>
        <w:jc w:val="left"/>
        <w:rPr>
          <w:szCs w:val="24"/>
        </w:rPr>
      </w:pPr>
      <w:r>
        <w:rPr>
          <w:rFonts w:hint="eastAsia"/>
          <w:szCs w:val="24"/>
        </w:rPr>
        <w:t>（1）地质灾害</w:t>
      </w:r>
    </w:p>
    <w:p>
      <w:pPr>
        <w:ind w:firstLine="480"/>
        <w:rPr>
          <w:szCs w:val="24"/>
        </w:rPr>
      </w:pPr>
      <w:r>
        <w:rPr>
          <w:rFonts w:hAnsi="宋体" w:hint="eastAsia"/>
          <w:szCs w:val="24"/>
        </w:rPr>
        <w:t>根据现场调查，场地较为平整，</w:t>
      </w:r>
      <w:r>
        <w:rPr>
          <w:rFonts w:hint="eastAsia"/>
          <w:szCs w:val="24"/>
        </w:rPr>
        <w:t>结合附近最新监测数据，</w:t>
      </w:r>
      <w:r>
        <w:rPr>
          <w:szCs w:val="24"/>
        </w:rPr>
        <w:t>沉陷幅度为0.</w:t>
      </w:r>
      <w:r>
        <w:rPr>
          <w:rFonts w:hint="eastAsia"/>
          <w:szCs w:val="24"/>
        </w:rPr>
        <w:t>1~</w:t>
      </w:r>
      <w:r>
        <w:rPr>
          <w:szCs w:val="24"/>
        </w:rPr>
        <w:t>0.</w:t>
      </w:r>
      <w:r>
        <w:rPr>
          <w:rFonts w:hint="eastAsia"/>
          <w:szCs w:val="24"/>
        </w:rPr>
        <w:t>2</w:t>
      </w:r>
      <w:r>
        <w:rPr>
          <w:szCs w:val="24"/>
        </w:rPr>
        <w:t>m</w:t>
      </w:r>
      <w:r>
        <w:rPr>
          <w:rFonts w:hint="eastAsia"/>
          <w:szCs w:val="24"/>
        </w:rPr>
        <w:t>，为</w:t>
      </w:r>
      <w:r>
        <w:rPr>
          <w:szCs w:val="24"/>
        </w:rPr>
        <w:t>地面</w:t>
      </w:r>
      <w:r>
        <w:rPr>
          <w:rFonts w:hint="eastAsia"/>
          <w:szCs w:val="24"/>
        </w:rPr>
        <w:t>整体轻微</w:t>
      </w:r>
      <w:r>
        <w:rPr>
          <w:szCs w:val="24"/>
        </w:rPr>
        <w:t>下沉</w:t>
      </w:r>
      <w:r>
        <w:rPr>
          <w:rFonts w:hint="eastAsia"/>
          <w:szCs w:val="24"/>
        </w:rPr>
        <w:t>，</w:t>
      </w:r>
      <w:r>
        <w:rPr>
          <w:rFonts w:hAnsi="宋体" w:hint="eastAsia"/>
          <w:szCs w:val="24"/>
        </w:rPr>
        <w:t>与地下采煤有关，</w:t>
      </w:r>
      <w:r>
        <w:rPr>
          <w:rFonts w:hint="eastAsia"/>
          <w:szCs w:val="24"/>
        </w:rPr>
        <w:t>。场地现状</w:t>
      </w:r>
      <w:r>
        <w:rPr>
          <w:szCs w:val="24"/>
        </w:rPr>
        <w:t>未发现有地裂缝</w:t>
      </w:r>
      <w:r>
        <w:rPr>
          <w:rFonts w:hint="eastAsia"/>
          <w:szCs w:val="24"/>
        </w:rPr>
        <w:t>、塌陷坑等。2个沉淀池四周边坡坡度30°~50°，深1~4m，且土质边坡较稳定，未发生崩塌地质灾害。周围地势宽阔平缓，现状条件下</w:t>
      </w:r>
      <w:r>
        <w:rPr>
          <w:rFonts w:hAnsi="宋体" w:hint="eastAsia"/>
          <w:szCs w:val="24"/>
        </w:rPr>
        <w:t>除地面沉陷外，</w:t>
      </w:r>
      <w:r>
        <w:rPr>
          <w:rFonts w:hint="eastAsia"/>
          <w:szCs w:val="24"/>
        </w:rPr>
        <w:t>其他地质灾害不发育。</w:t>
      </w:r>
    </w:p>
    <w:p>
      <w:pPr>
        <w:autoSpaceDE w:val="0"/>
        <w:autoSpaceDN w:val="0"/>
        <w:ind w:firstLine="360" w:firstLineChars="150"/>
        <w:jc w:val="left"/>
        <w:rPr>
          <w:color w:val="000000"/>
          <w:szCs w:val="24"/>
        </w:rPr>
      </w:pPr>
      <w:r>
        <w:rPr>
          <w:rFonts w:hint="eastAsia"/>
          <w:color w:val="000000"/>
          <w:szCs w:val="24"/>
        </w:rPr>
        <w:t>（2）含水层影响与破坏</w:t>
      </w:r>
    </w:p>
    <w:p>
      <w:pPr>
        <w:ind w:firstLine="480"/>
        <w:rPr>
          <w:color w:val="000000"/>
          <w:szCs w:val="24"/>
        </w:rPr>
      </w:pPr>
      <w:r>
        <w:rPr>
          <w:rFonts w:hint="eastAsia"/>
          <w:color w:val="000000"/>
          <w:szCs w:val="24"/>
        </w:rPr>
        <w:t>沉淀池1已全部硬化，沉淀池2已经做了防渗工程，污水不会渗进入地下含水层，也未破坏含水层结构，基本对地下含水层影无影响。</w:t>
      </w:r>
    </w:p>
    <w:p>
      <w:pPr>
        <w:autoSpaceDE w:val="0"/>
        <w:autoSpaceDN w:val="0"/>
        <w:ind w:firstLine="360" w:firstLineChars="150"/>
        <w:jc w:val="left"/>
        <w:rPr>
          <w:color w:val="000000"/>
          <w:szCs w:val="24"/>
        </w:rPr>
      </w:pPr>
      <w:r>
        <w:rPr>
          <w:rFonts w:hint="eastAsia"/>
          <w:color w:val="000000"/>
          <w:szCs w:val="24"/>
        </w:rPr>
        <w:t>（3）地形地貌景观影响与破坏</w:t>
      </w:r>
    </w:p>
    <w:p>
      <w:pPr>
        <w:ind w:firstLine="480"/>
        <w:rPr>
          <w:color w:val="000000"/>
          <w:szCs w:val="24"/>
        </w:rPr>
      </w:pPr>
      <w:r>
        <w:drawing>
          <wp:anchor distT="0" distB="0" distL="114300" distR="114300" simplePos="0" relativeHeight="251673600" behindDoc="0" locked="0" layoutInCell="1" allowOverlap="1">
            <wp:simplePos x="0" y="0"/>
            <wp:positionH relativeFrom="column">
              <wp:posOffset>2837815</wp:posOffset>
            </wp:positionH>
            <wp:positionV relativeFrom="paragraph">
              <wp:posOffset>739775</wp:posOffset>
            </wp:positionV>
            <wp:extent cx="3124835" cy="2339975"/>
            <wp:effectExtent l="0" t="0" r="18415" b="3175"/>
            <wp:wrapSquare wrapText="bothSides"/>
            <wp:docPr id="46" name="图片 46" descr="IMG_20190308_10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IMG_20190308_101027"/>
                    <pic:cNvPicPr>
                      <a:picLocks noChangeAspect="1"/>
                    </pic:cNvPicPr>
                  </pic:nvPicPr>
                  <pic:blipFill>
                    <a:blip xmlns:r="http://schemas.openxmlformats.org/officeDocument/2006/relationships" r:embed="rId101"/>
                    <a:stretch>
                      <a:fillRect/>
                    </a:stretch>
                  </pic:blipFill>
                  <pic:spPr>
                    <a:xfrm>
                      <a:off x="0" y="0"/>
                      <a:ext cx="3124835" cy="2339975"/>
                    </a:xfrm>
                    <a:prstGeom prst="rect">
                      <a:avLst/>
                    </a:prstGeom>
                    <a:noFill/>
                    <a:ln>
                      <a:noFill/>
                    </a:ln>
                  </pic:spPr>
                </pic:pic>
              </a:graphicData>
            </a:graphic>
          </wp:anchor>
        </w:drawing>
      </w:r>
      <w:r>
        <w:drawing>
          <wp:anchor distT="0" distB="0" distL="114300" distR="114300" simplePos="0" relativeHeight="251672576" behindDoc="0" locked="0" layoutInCell="1" allowOverlap="1">
            <wp:simplePos x="0" y="0"/>
            <wp:positionH relativeFrom="column">
              <wp:posOffset>-355600</wp:posOffset>
            </wp:positionH>
            <wp:positionV relativeFrom="paragraph">
              <wp:posOffset>719455</wp:posOffset>
            </wp:positionV>
            <wp:extent cx="3124835" cy="2339975"/>
            <wp:effectExtent l="0" t="0" r="18415" b="3175"/>
            <wp:wrapSquare wrapText="bothSides"/>
            <wp:docPr id="49" name="图片 43" descr="IMG_20190122_094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3" descr="IMG_20190122_094434"/>
                    <pic:cNvPicPr>
                      <a:picLocks noChangeAspect="1"/>
                    </pic:cNvPicPr>
                  </pic:nvPicPr>
                  <pic:blipFill>
                    <a:blip xmlns:r="http://schemas.openxmlformats.org/officeDocument/2006/relationships" r:embed="rId102"/>
                    <a:stretch>
                      <a:fillRect/>
                    </a:stretch>
                  </pic:blipFill>
                  <pic:spPr>
                    <a:xfrm>
                      <a:off x="0" y="0"/>
                      <a:ext cx="3124835" cy="2339975"/>
                    </a:xfrm>
                    <a:prstGeom prst="rect">
                      <a:avLst/>
                    </a:prstGeom>
                    <a:noFill/>
                    <a:ln>
                      <a:noFill/>
                    </a:ln>
                  </pic:spPr>
                </pic:pic>
              </a:graphicData>
            </a:graphic>
          </wp:anchor>
        </w:drawing>
      </w:r>
      <w:r>
        <w:rPr>
          <w:rFonts w:hint="eastAsia"/>
          <w:color w:val="000000"/>
          <w:szCs w:val="24"/>
        </w:rPr>
        <w:t>场地内2个沉淀池形成挖损地貌</w:t>
      </w:r>
      <w:r>
        <w:rPr>
          <w:color w:val="000000"/>
          <w:szCs w:val="24"/>
        </w:rPr>
        <w:t>。造成与原生自然景观的不协调，</w:t>
      </w:r>
      <w:r>
        <w:rPr>
          <w:rFonts w:hint="eastAsia"/>
          <w:color w:val="000000"/>
          <w:szCs w:val="24"/>
        </w:rPr>
        <w:t>影响改变了</w:t>
      </w:r>
      <w:r>
        <w:rPr>
          <w:color w:val="000000"/>
          <w:szCs w:val="24"/>
        </w:rPr>
        <w:t>原生地形地貌景观</w:t>
      </w:r>
      <w:r>
        <w:rPr>
          <w:rFonts w:hint="eastAsia"/>
          <w:szCs w:val="24"/>
        </w:rPr>
        <w:t>（照片4-7、4-8）</w:t>
      </w:r>
      <w:r>
        <w:rPr>
          <w:rFonts w:hint="eastAsia"/>
          <w:color w:val="000000"/>
          <w:szCs w:val="24"/>
        </w:rPr>
        <w:t>。</w:t>
      </w:r>
    </w:p>
    <w:p>
      <w:pPr>
        <w:ind w:firstLine="480"/>
        <w:rPr>
          <w:color w:val="000000"/>
          <w:szCs w:val="24"/>
        </w:rPr>
      </w:pPr>
      <w:r>
        <w:rPr>
          <w:color w:val="000000"/>
          <w:szCs w:val="24"/>
        </w:rPr>
        <w:pict>
          <v:shape id="_x0000_s1039" o:spid="_x0000_s1030" type="#_x0000_t202" style="width:156.9pt;height:23.4pt;margin-top:196.2pt;margin-left:4in;mso-height-relative:page;mso-width-relative:page;position:absolute;z-index:251674624" coordsize="21600,21600" filled="f" stroked="f">
            <v:stroke joinstyle="miter"/>
            <v:textbox>
              <w:txbxContent>
                <w:p>
                  <w:pPr>
                    <w:ind w:firstLine="482"/>
                    <w:rPr>
                      <w:b/>
                    </w:rPr>
                  </w:pPr>
                  <w:r>
                    <w:rPr>
                      <w:rFonts w:hint="eastAsia"/>
                      <w:b/>
                    </w:rPr>
                    <w:t>照片4-8  沉淀池2</w:t>
                  </w:r>
                </w:p>
                <w:p>
                  <w:pPr>
                    <w:ind w:firstLine="480"/>
                  </w:pPr>
                </w:p>
              </w:txbxContent>
            </v:textbox>
          </v:shape>
        </w:pict>
      </w:r>
      <w:r>
        <w:rPr>
          <w:color w:val="000000"/>
          <w:szCs w:val="24"/>
        </w:rPr>
        <w:pict>
          <v:shape id="_x0000_s1040" o:spid="_x0000_s1031" type="#_x0000_t202" style="width:164.25pt;height:23.4pt;margin-top:196.2pt;margin-left:9pt;mso-height-relative:page;mso-width-relative:page;position:absolute;z-index:251671552" coordsize="21600,21600" filled="f" stroked="f">
            <v:stroke joinstyle="miter"/>
            <v:textbox>
              <w:txbxContent>
                <w:p>
                  <w:pPr>
                    <w:ind w:firstLine="482"/>
                    <w:rPr>
                      <w:b/>
                    </w:rPr>
                  </w:pPr>
                  <w:r>
                    <w:rPr>
                      <w:rFonts w:hint="eastAsia"/>
                      <w:b/>
                    </w:rPr>
                    <w:t>照片4-7  沉淀池1</w:t>
                  </w:r>
                </w:p>
                <w:p>
                  <w:pPr>
                    <w:ind w:firstLine="480"/>
                  </w:pPr>
                </w:p>
              </w:txbxContent>
            </v:textbox>
          </v:shape>
        </w:pict>
      </w:r>
    </w:p>
    <w:p>
      <w:pPr>
        <w:spacing w:before="240" w:beforeLines="100"/>
        <w:ind w:firstLine="480"/>
        <w:rPr>
          <w:color w:val="000000"/>
          <w:szCs w:val="24"/>
        </w:rPr>
        <w:sectPr>
          <w:headerReference w:type="even" r:id="rId103"/>
          <w:headerReference w:type="default" r:id="rId104"/>
          <w:footerReference w:type="even" r:id="rId105"/>
          <w:footerReference w:type="default" r:id="rId106"/>
          <w:headerReference w:type="first" r:id="rId107"/>
          <w:footerReference w:type="first" r:id="rId108"/>
          <w:type w:val="nextPage"/>
          <w:pgSz w:w="11907" w:h="16839"/>
          <w:pgMar w:top="1440" w:right="1797" w:bottom="1440" w:left="1797" w:header="851" w:footer="992" w:gutter="0"/>
          <w:pgNumType w:start="13"/>
          <w:cols w:num="1" w:space="720"/>
          <w:titlePg w:val="0"/>
          <w:docGrid w:linePitch="326" w:charSpace="0"/>
        </w:sectPr>
      </w:pPr>
      <w:r>
        <w:rPr>
          <w:rFonts w:hint="eastAsia"/>
          <w:color w:val="000000"/>
          <w:szCs w:val="24"/>
        </w:rPr>
        <w:t>（4）土地资源影响与破坏</w:t>
      </w:r>
    </w:p>
    <w:p>
      <w:pPr>
        <w:ind w:firstLine="480"/>
        <w:rPr>
          <w:color w:val="000000"/>
          <w:szCs w:val="24"/>
        </w:rPr>
      </w:pPr>
      <w:r>
        <w:rPr>
          <w:rFonts w:hint="eastAsia"/>
          <w:color w:val="000000"/>
          <w:szCs w:val="24"/>
        </w:rPr>
        <w:t>沉淀池</w:t>
      </w:r>
      <w:r>
        <w:rPr>
          <w:rFonts w:hAnsi="宋体" w:hint="eastAsia"/>
          <w:bCs/>
          <w:color w:val="000000"/>
          <w:szCs w:val="24"/>
        </w:rPr>
        <w:t>损毁</w:t>
      </w:r>
      <w:r>
        <w:rPr>
          <w:rFonts w:hAnsi="宋体"/>
          <w:color w:val="000000"/>
          <w:szCs w:val="24"/>
        </w:rPr>
        <w:t>面积</w:t>
      </w:r>
      <w:r>
        <w:rPr>
          <w:rFonts w:hint="eastAsia"/>
          <w:color w:val="000000"/>
          <w:szCs w:val="24"/>
        </w:rPr>
        <w:t>38932</w:t>
      </w:r>
      <w:r>
        <w:rPr>
          <w:color w:val="000000"/>
          <w:szCs w:val="24"/>
        </w:rPr>
        <w:t>m</w:t>
      </w:r>
      <w:r>
        <w:rPr>
          <w:color w:val="000000"/>
          <w:szCs w:val="24"/>
          <w:vertAlign w:val="superscript"/>
        </w:rPr>
        <w:t>2</w:t>
      </w:r>
      <w:r>
        <w:rPr>
          <w:rFonts w:hAnsi="宋体"/>
          <w:color w:val="000000"/>
          <w:szCs w:val="24"/>
        </w:rPr>
        <w:t>，损毁土地类型</w:t>
      </w:r>
      <w:r>
        <w:rPr>
          <w:rFonts w:hAnsi="宋体" w:hint="eastAsia"/>
          <w:color w:val="000000"/>
          <w:szCs w:val="24"/>
        </w:rPr>
        <w:t>为其他草地</w:t>
      </w:r>
      <w:r>
        <w:rPr>
          <w:rFonts w:hAnsi="宋体"/>
          <w:color w:val="000000"/>
          <w:szCs w:val="24"/>
        </w:rPr>
        <w:t>。</w:t>
      </w:r>
    </w:p>
    <w:p>
      <w:pPr>
        <w:ind w:firstLine="480"/>
        <w:rPr>
          <w:color w:val="000000"/>
          <w:szCs w:val="24"/>
        </w:rPr>
      </w:pPr>
      <w:r>
        <w:rPr>
          <w:rFonts w:hint="eastAsia"/>
          <w:color w:val="000000"/>
          <w:szCs w:val="24"/>
        </w:rPr>
        <w:t>6、充填站</w:t>
      </w:r>
    </w:p>
    <w:p>
      <w:pPr>
        <w:ind w:firstLine="480"/>
        <w:rPr>
          <w:color w:val="FF0000"/>
          <w:szCs w:val="24"/>
        </w:rPr>
      </w:pPr>
      <w:r>
        <w:rPr>
          <w:rFonts w:hint="eastAsia"/>
          <w:color w:val="000000"/>
          <w:szCs w:val="24"/>
        </w:rPr>
        <w:t>充填站位于沉淀池南侧，呈不规则多边形状，场地占地总面</w:t>
      </w:r>
      <w:r>
        <w:rPr>
          <w:rFonts w:hint="eastAsia"/>
          <w:szCs w:val="24"/>
        </w:rPr>
        <w:t>积73584</w:t>
      </w:r>
      <w:r>
        <w:rPr>
          <w:szCs w:val="24"/>
        </w:rPr>
        <w:t>m</w:t>
      </w:r>
      <w:r>
        <w:rPr>
          <w:szCs w:val="24"/>
          <w:vertAlign w:val="superscript"/>
        </w:rPr>
        <w:t>2</w:t>
      </w:r>
      <w:r>
        <w:rPr>
          <w:rFonts w:hint="eastAsia"/>
          <w:szCs w:val="24"/>
        </w:rPr>
        <w:t>。内设有储量仓、泵站等，为</w:t>
      </w:r>
      <w:r>
        <w:rPr>
          <w:szCs w:val="24"/>
        </w:rPr>
        <w:t>矿山制作采空区填料</w:t>
      </w:r>
      <w:r>
        <w:rPr>
          <w:rFonts w:hint="eastAsia"/>
          <w:szCs w:val="24"/>
        </w:rPr>
        <w:t>和施工</w:t>
      </w:r>
      <w:r>
        <w:rPr>
          <w:szCs w:val="24"/>
        </w:rPr>
        <w:t>场所</w:t>
      </w:r>
      <w:r>
        <w:rPr>
          <w:rFonts w:hint="eastAsia"/>
          <w:szCs w:val="24"/>
        </w:rPr>
        <w:t>。场地内堆放填料有粉煤灰、煤矸石等，为充填采空区原料。另有渣土堆一处。粉煤灰堆总堆高3~8m，边坡坡度30°~50°；煤矸石堆1堆高3~4m，边坡坡度30°~50°，总堆放量14434.3</w:t>
      </w:r>
      <w:r>
        <w:rPr>
          <w:szCs w:val="24"/>
        </w:rPr>
        <w:t xml:space="preserve"> m</w:t>
      </w:r>
      <w:r>
        <w:rPr>
          <w:rFonts w:hint="eastAsia"/>
          <w:szCs w:val="24"/>
          <w:vertAlign w:val="superscript"/>
        </w:rPr>
        <w:t>3</w:t>
      </w:r>
      <w:r>
        <w:rPr>
          <w:rFonts w:hint="eastAsia"/>
          <w:szCs w:val="24"/>
        </w:rPr>
        <w:t>；煤矸石堆2堆高5m左右，锥形，边坡坡度50°左右，总堆放量302.1</w:t>
      </w:r>
      <w:r>
        <w:rPr>
          <w:szCs w:val="24"/>
        </w:rPr>
        <w:t xml:space="preserve"> m</w:t>
      </w:r>
      <w:r>
        <w:rPr>
          <w:rFonts w:hint="eastAsia"/>
          <w:szCs w:val="24"/>
          <w:vertAlign w:val="superscript"/>
        </w:rPr>
        <w:t>3</w:t>
      </w:r>
      <w:r>
        <w:rPr>
          <w:rFonts w:hint="eastAsia"/>
          <w:szCs w:val="24"/>
        </w:rPr>
        <w:t>；渣土堆横切面形态呈“M”型，南西和北东两侧形成近直立切坡，南西侧切坡长约66m，高2~3m，北东侧切坡长142m，高2~3m，内侧边坡较缓，坡度50°~60°。</w:t>
      </w:r>
    </w:p>
    <w:p>
      <w:pPr>
        <w:autoSpaceDE w:val="0"/>
        <w:autoSpaceDN w:val="0"/>
        <w:ind w:firstLine="360" w:firstLineChars="150"/>
        <w:jc w:val="left"/>
        <w:rPr>
          <w:color w:val="000000"/>
          <w:szCs w:val="24"/>
        </w:rPr>
      </w:pPr>
      <w:r>
        <w:rPr>
          <w:rFonts w:hint="eastAsia"/>
          <w:color w:val="000000"/>
          <w:szCs w:val="24"/>
        </w:rPr>
        <w:t>（1）地质灾害</w:t>
      </w:r>
    </w:p>
    <w:p>
      <w:pPr>
        <w:ind w:firstLine="480"/>
        <w:rPr>
          <w:color w:val="000000"/>
          <w:szCs w:val="24"/>
        </w:rPr>
      </w:pPr>
      <w:r>
        <w:rPr>
          <w:rFonts w:hAnsi="宋体" w:hint="eastAsia"/>
          <w:szCs w:val="24"/>
        </w:rPr>
        <w:t>根据现场调查，场地较为平整，</w:t>
      </w:r>
      <w:r>
        <w:rPr>
          <w:rFonts w:hint="eastAsia"/>
          <w:szCs w:val="24"/>
        </w:rPr>
        <w:t>本分期内场地内无最新监测数据，结合前期监测数据，充填站</w:t>
      </w:r>
      <w:r>
        <w:rPr>
          <w:szCs w:val="24"/>
        </w:rPr>
        <w:t>内</w:t>
      </w:r>
      <w:r>
        <w:rPr>
          <w:rFonts w:hAnsi="宋体" w:hint="eastAsia"/>
          <w:szCs w:val="24"/>
        </w:rPr>
        <w:t>局部</w:t>
      </w:r>
      <w:r>
        <w:rPr>
          <w:szCs w:val="24"/>
        </w:rPr>
        <w:t>沉陷幅度为0.</w:t>
      </w:r>
      <w:r>
        <w:rPr>
          <w:rFonts w:hint="eastAsia"/>
          <w:szCs w:val="24"/>
        </w:rPr>
        <w:t>27~</w:t>
      </w:r>
      <w:r>
        <w:rPr>
          <w:szCs w:val="24"/>
        </w:rPr>
        <w:t>0.</w:t>
      </w:r>
      <w:r>
        <w:rPr>
          <w:rFonts w:hint="eastAsia"/>
          <w:szCs w:val="24"/>
        </w:rPr>
        <w:t>4</w:t>
      </w:r>
      <w:r>
        <w:rPr>
          <w:szCs w:val="24"/>
        </w:rPr>
        <w:t>m</w:t>
      </w:r>
      <w:r>
        <w:rPr>
          <w:rFonts w:hint="eastAsia"/>
          <w:szCs w:val="24"/>
        </w:rPr>
        <w:t>，为</w:t>
      </w:r>
      <w:r>
        <w:rPr>
          <w:szCs w:val="24"/>
        </w:rPr>
        <w:t>地面</w:t>
      </w:r>
      <w:r>
        <w:rPr>
          <w:rFonts w:hint="eastAsia"/>
          <w:szCs w:val="24"/>
        </w:rPr>
        <w:t>整体</w:t>
      </w:r>
      <w:r>
        <w:rPr>
          <w:szCs w:val="24"/>
        </w:rPr>
        <w:t>下沉</w:t>
      </w:r>
      <w:r>
        <w:rPr>
          <w:rFonts w:hint="eastAsia"/>
          <w:szCs w:val="24"/>
        </w:rPr>
        <w:t>，与地下采煤有关。现状场地内</w:t>
      </w:r>
      <w:r>
        <w:rPr>
          <w:color w:val="000000"/>
          <w:szCs w:val="24"/>
        </w:rPr>
        <w:t>未发现有地裂缝</w:t>
      </w:r>
      <w:r>
        <w:rPr>
          <w:rFonts w:hint="eastAsia"/>
          <w:color w:val="000000"/>
          <w:szCs w:val="24"/>
        </w:rPr>
        <w:t>、塌陷坑等。煤矸</w:t>
      </w:r>
      <w:r>
        <w:rPr>
          <w:rFonts w:hint="eastAsia"/>
          <w:szCs w:val="24"/>
        </w:rPr>
        <w:t>石堆、粉煤灰堆、渣土堆边坡坡度30°~60°，较稳定未发生崩塌地质灾害。现状条件下</w:t>
      </w:r>
      <w:r>
        <w:rPr>
          <w:rFonts w:hAnsi="宋体" w:hint="eastAsia"/>
          <w:szCs w:val="24"/>
        </w:rPr>
        <w:t>除地面沉陷外，</w:t>
      </w:r>
      <w:r>
        <w:rPr>
          <w:rFonts w:hint="eastAsia"/>
          <w:szCs w:val="24"/>
        </w:rPr>
        <w:t>其他地质灾害不发育。</w:t>
      </w:r>
    </w:p>
    <w:p>
      <w:pPr>
        <w:autoSpaceDE w:val="0"/>
        <w:autoSpaceDN w:val="0"/>
        <w:ind w:firstLine="360" w:firstLineChars="150"/>
        <w:jc w:val="left"/>
        <w:rPr>
          <w:color w:val="000000"/>
          <w:szCs w:val="24"/>
        </w:rPr>
      </w:pPr>
      <w:r>
        <w:rPr>
          <w:rFonts w:hint="eastAsia"/>
          <w:color w:val="000000"/>
          <w:szCs w:val="24"/>
        </w:rPr>
        <w:t>（2）含水层影响与破坏</w:t>
      </w:r>
    </w:p>
    <w:p>
      <w:pPr>
        <w:ind w:firstLine="480"/>
        <w:jc w:val="left"/>
        <w:rPr>
          <w:color w:val="000000"/>
          <w:szCs w:val="24"/>
        </w:rPr>
      </w:pPr>
      <w:r>
        <w:rPr>
          <w:rFonts w:hint="eastAsia"/>
          <w:color w:val="000000"/>
          <w:szCs w:val="24"/>
        </w:rPr>
        <w:t>充填站水源取自沉淀池内的废水，废水与充填原料混合，经高压泵站输送至地下采空区进行采空区回填。部分污水通过下渗进入地下含水层。结合矿山提供最新（2019年4月23日）水质检测报告，监测参数PH、六价铬、悬浮物、砷、汞、铅、镉、锌、锰、铬、石油类、氮化物、铁的监测结果符合</w:t>
      </w:r>
      <w:r>
        <w:rPr>
          <w:rFonts w:hint="eastAsia"/>
        </w:rPr>
        <w:t>《煤炭工业污染物排放标准》（GB20426-2006）标准限值的要求。</w:t>
      </w:r>
    </w:p>
    <w:p>
      <w:pPr>
        <w:autoSpaceDE w:val="0"/>
        <w:autoSpaceDN w:val="0"/>
        <w:ind w:firstLine="360" w:firstLineChars="150"/>
        <w:jc w:val="left"/>
        <w:rPr>
          <w:color w:val="000000"/>
          <w:szCs w:val="24"/>
        </w:rPr>
      </w:pPr>
      <w:r>
        <w:rPr>
          <w:rFonts w:hint="eastAsia"/>
          <w:color w:val="000000"/>
          <w:szCs w:val="24"/>
        </w:rPr>
        <w:t>（3）地形地貌景观影响与破坏</w:t>
      </w:r>
    </w:p>
    <w:p>
      <w:pPr>
        <w:ind w:firstLine="480"/>
        <w:rPr>
          <w:color w:val="000000"/>
          <w:szCs w:val="24"/>
        </w:rPr>
      </w:pPr>
      <w:r>
        <w:rPr>
          <w:rFonts w:hint="eastAsia"/>
          <w:color w:val="000000"/>
          <w:szCs w:val="24"/>
        </w:rPr>
        <w:t>场地依原地貌</w:t>
      </w:r>
      <w:r>
        <w:rPr>
          <w:color w:val="000000"/>
          <w:szCs w:val="24"/>
        </w:rPr>
        <w:t>而建</w:t>
      </w:r>
      <w:r>
        <w:rPr>
          <w:rFonts w:hint="eastAsia"/>
          <w:color w:val="000000"/>
          <w:szCs w:val="24"/>
        </w:rPr>
        <w:t>，人工</w:t>
      </w:r>
      <w:r>
        <w:rPr>
          <w:color w:val="000000"/>
          <w:szCs w:val="24"/>
        </w:rPr>
        <w:t>建筑</w:t>
      </w:r>
      <w:r>
        <w:rPr>
          <w:rFonts w:hint="eastAsia"/>
          <w:color w:val="000000"/>
          <w:szCs w:val="24"/>
        </w:rPr>
        <w:t>及土石方堆放破坏了原有地形地貌景观</w:t>
      </w:r>
      <w:r>
        <w:rPr>
          <w:color w:val="000000"/>
          <w:szCs w:val="24"/>
        </w:rPr>
        <w:t>观赏性</w:t>
      </w:r>
      <w:r>
        <w:rPr>
          <w:rFonts w:hint="eastAsia"/>
          <w:color w:val="000000"/>
          <w:szCs w:val="24"/>
        </w:rPr>
        <w:t>，</w:t>
      </w:r>
      <w:r>
        <w:rPr>
          <w:color w:val="000000"/>
          <w:szCs w:val="24"/>
        </w:rPr>
        <w:t>造成与原生自然景观的不协调</w:t>
      </w:r>
      <w:r>
        <w:rPr>
          <w:rFonts w:hint="eastAsia"/>
          <w:szCs w:val="24"/>
        </w:rPr>
        <w:t>（照片4-9至照片4-16）</w:t>
      </w:r>
      <w:r>
        <w:rPr>
          <w:rFonts w:hint="eastAsia"/>
          <w:color w:val="000000"/>
          <w:szCs w:val="24"/>
        </w:rPr>
        <w:t>。</w:t>
      </w:r>
    </w:p>
    <w:p>
      <w:pPr>
        <w:ind w:firstLine="360" w:firstLineChars="150"/>
        <w:rPr>
          <w:rFonts w:hAnsi="宋体"/>
          <w:szCs w:val="24"/>
        </w:rPr>
      </w:pPr>
      <w:r>
        <w:rPr>
          <w:rFonts w:hAnsi="宋体" w:hint="eastAsia"/>
          <w:szCs w:val="24"/>
        </w:rPr>
        <w:t>（4）土地资源影响与破坏</w:t>
      </w:r>
    </w:p>
    <w:p>
      <w:pPr>
        <w:ind w:firstLine="480"/>
        <w:rPr>
          <w:color w:val="000000"/>
          <w:szCs w:val="24"/>
        </w:rPr>
      </w:pPr>
      <w:r>
        <w:rPr>
          <w:rFonts w:hint="eastAsia"/>
          <w:color w:val="000000"/>
          <w:szCs w:val="24"/>
        </w:rPr>
        <w:t>充填站</w:t>
      </w:r>
      <w:r>
        <w:rPr>
          <w:rFonts w:hAnsi="宋体" w:hint="eastAsia"/>
          <w:bCs/>
          <w:color w:val="000000"/>
          <w:szCs w:val="24"/>
        </w:rPr>
        <w:t>损毁</w:t>
      </w:r>
      <w:r>
        <w:rPr>
          <w:rFonts w:hAnsi="宋体"/>
          <w:color w:val="000000"/>
          <w:szCs w:val="24"/>
        </w:rPr>
        <w:t>面积</w:t>
      </w:r>
      <w:r>
        <w:rPr>
          <w:rFonts w:hint="eastAsia"/>
          <w:szCs w:val="24"/>
        </w:rPr>
        <w:t>73584</w:t>
      </w:r>
      <w:r>
        <w:rPr>
          <w:color w:val="000000"/>
          <w:szCs w:val="24"/>
        </w:rPr>
        <w:t>m</w:t>
      </w:r>
      <w:r>
        <w:rPr>
          <w:color w:val="000000"/>
          <w:szCs w:val="24"/>
          <w:vertAlign w:val="superscript"/>
        </w:rPr>
        <w:t>2</w:t>
      </w:r>
      <w:r>
        <w:rPr>
          <w:rFonts w:hAnsi="宋体"/>
          <w:color w:val="000000"/>
          <w:szCs w:val="24"/>
        </w:rPr>
        <w:t>，损毁土地类型为</w:t>
      </w:r>
      <w:r>
        <w:rPr>
          <w:rFonts w:hAnsi="宋体" w:hint="eastAsia"/>
          <w:color w:val="000000"/>
          <w:szCs w:val="24"/>
        </w:rPr>
        <w:t>其他草地、</w:t>
      </w:r>
      <w:r>
        <w:rPr>
          <w:rFonts w:hAnsi="宋体"/>
          <w:color w:val="000000"/>
          <w:szCs w:val="24"/>
        </w:rPr>
        <w:t>采矿用地，其中</w:t>
      </w:r>
      <w:r>
        <w:rPr>
          <w:rFonts w:hAnsi="宋体" w:hint="eastAsia"/>
          <w:color w:val="000000"/>
          <w:szCs w:val="24"/>
        </w:rPr>
        <w:t>其他草地</w:t>
      </w:r>
      <w:r>
        <w:rPr>
          <w:rFonts w:hAnsi="宋体"/>
          <w:color w:val="000000"/>
          <w:szCs w:val="24"/>
        </w:rPr>
        <w:t>为</w:t>
      </w:r>
      <w:r>
        <w:rPr>
          <w:rFonts w:hint="eastAsia"/>
          <w:color w:val="000000"/>
          <w:szCs w:val="24"/>
        </w:rPr>
        <w:t>70570</w:t>
      </w:r>
      <w:r>
        <w:rPr>
          <w:color w:val="000000"/>
          <w:szCs w:val="24"/>
        </w:rPr>
        <w:t>m</w:t>
      </w:r>
      <w:r>
        <w:rPr>
          <w:color w:val="000000"/>
          <w:szCs w:val="24"/>
          <w:vertAlign w:val="superscript"/>
        </w:rPr>
        <w:t>2</w:t>
      </w:r>
      <w:r>
        <w:rPr>
          <w:rFonts w:hAnsi="宋体"/>
          <w:color w:val="000000"/>
          <w:szCs w:val="24"/>
        </w:rPr>
        <w:t>，采矿用地为</w:t>
      </w:r>
      <w:r>
        <w:rPr>
          <w:rFonts w:hint="eastAsia"/>
          <w:color w:val="000000"/>
          <w:szCs w:val="24"/>
        </w:rPr>
        <w:t>3014</w:t>
      </w:r>
      <w:r>
        <w:rPr>
          <w:color w:val="000000"/>
          <w:szCs w:val="24"/>
        </w:rPr>
        <w:t>m</w:t>
      </w:r>
      <w:r>
        <w:rPr>
          <w:color w:val="000000"/>
          <w:szCs w:val="24"/>
          <w:vertAlign w:val="superscript"/>
        </w:rPr>
        <w:t>2</w:t>
      </w:r>
      <w:r>
        <w:rPr>
          <w:rFonts w:hint="eastAsia"/>
          <w:color w:val="000000"/>
          <w:szCs w:val="24"/>
        </w:rPr>
        <w:t>。</w:t>
      </w:r>
      <w:r>
        <w:rPr>
          <w:color w:val="000000"/>
          <w:szCs w:val="24"/>
        </w:rPr>
        <w:br/>
      </w:r>
      <w:r>
        <w:rPr>
          <w:color w:val="000000"/>
          <w:szCs w:val="24"/>
        </w:rPr>
        <w:br/>
      </w:r>
    </w:p>
    <w:p>
      <w:pPr>
        <w:widowControl/>
        <w:adjustRightInd/>
        <w:snapToGrid/>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9" w:history="1">
        <w:r>
          <w:rPr>
            <w:rFonts w:ascii="SimSun" w:eastAsia="SimSun" w:hAnsi="SimSun" w:cs="SimSun"/>
            <w:b/>
            <w:bCs/>
            <w:color w:val="0000EE"/>
            <w:kern w:val="0"/>
            <w:sz w:val="30"/>
            <w:szCs w:val="30"/>
            <w:u w:val="single" w:color="0000EE"/>
          </w:rPr>
          <w:t>https://d.book118.com/656140131240010030</w:t>
        </w:r>
      </w:hyperlink>
    </w:p>
    <w:p>
      <w:pPr>
        <w:ind w:firstLine="480"/>
        <w:rPr>
          <w:color w:val="000000"/>
          <w:szCs w:val="24"/>
        </w:rPr>
      </w:pPr>
    </w:p>
    <w:sectPr>
      <w:headerReference w:type="even" r:id="rId110"/>
      <w:headerReference w:type="default" r:id="rId111"/>
      <w:footerReference w:type="even" r:id="rId112"/>
      <w:footerReference w:type="default" r:id="rId113"/>
      <w:headerReference w:type="first" r:id="rId114"/>
      <w:footerReference w:type="first" r:id="rId115"/>
      <w:type w:val="nextPage"/>
      <w:pgSz w:w="11907" w:h="16839"/>
      <w:pgMar w:top="1440" w:right="1797" w:bottom="1440" w:left="1797" w:header="851" w:footer="992" w:gutter="0"/>
      <w:pgNumType w:start="14"/>
      <w:cols w:num="1" w:space="720"/>
      <w:titlePg w:val="0"/>
      <w:docGrid w:linePitch="326"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华文中宋">
    <w:altName w:val="宋体"/>
    <w:panose1 w:val="02010600040101010101"/>
    <w:charset w:val="86"/>
    <w:family w:val="auto"/>
    <w:pitch w:val="default"/>
    <w:sig w:usb0="00000000" w:usb1="00000000" w:usb2="00000000" w:usb3="00000000" w:csb0="0004009F" w:csb1="DFD70000"/>
  </w:font>
  <w:font w:name="隶书">
    <w:altName w:val="微软雅黑"/>
    <w:panose1 w:val="0201050906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Arial Narrow">
    <w:altName w:val="Arial"/>
    <w:panose1 w:val="020B0606020202030204"/>
    <w:charset w:val="00"/>
    <w:family w:val="swiss"/>
    <w:pitch w:val="default"/>
    <w:sig w:usb0="00000000" w:usb1="00000000" w:usb2="00000000" w:usb3="00000000" w:csb0="0000009F" w:csb1="00000000"/>
  </w:font>
  <w:font w:name="TimesNewRoman">
    <w:altName w:val="Times New Roman"/>
    <w:panose1 w:val="00000000000000000000"/>
    <w:charset w:val="00"/>
    <w:family w:val="roman"/>
    <w:pitch w:val="default"/>
    <w:sig w:usb0="00000000" w:usb1="00000000" w:usb2="00000000"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p>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p>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p>
  <w:p>
    <w:pPr>
      <w:pStyle w:val="Footer"/>
      <w:ind w:firstLine="360"/>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lang w:val="zh-CN"/>
      </w:rPr>
      <w:t>1</w:t>
    </w:r>
    <w:r>
      <w:rPr>
        <w:rFonts w:ascii="Times New Roman" w:hAnsi="Times New Roman"/>
      </w:rPr>
      <w:fldChar w:fldCharType="end"/>
    </w:r>
  </w:p>
  <w:p>
    <w:pPr>
      <w:pStyle w:val="Footer"/>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p>
  <w:p>
    <w:pPr>
      <w:pStyle w:val="Footer"/>
      <w:ind w:firstLine="360"/>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p>
  <w:p>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p>
  <w:p>
    <w:pPr>
      <w:pStyle w:val="Footer"/>
      <w:ind w:firstLine="360"/>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lang w:val="zh-CN"/>
      </w:rPr>
      <w:t>3</w:t>
    </w:r>
    <w:r>
      <w:rPr>
        <w:rFonts w:ascii="Times New Roman" w:hAnsi="Times New Roman"/>
      </w:rPr>
      <w:fldChar w:fldCharType="end"/>
    </w:r>
  </w:p>
  <w:p>
    <w:pPr>
      <w:pStyle w:val="Footer"/>
      <w:ind w:firstLine="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p>
  <w:p>
    <w:pPr>
      <w:pStyle w:val="Footer"/>
      <w:ind w:firstLine="360"/>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lang w:val="zh-CN"/>
      </w:rPr>
      <w:t>4</w:t>
    </w:r>
    <w:r>
      <w:rPr>
        <w:rFonts w:ascii="Times New Roman" w:hAnsi="Times New Roman"/>
      </w:rPr>
      <w:fldChar w:fldCharType="end"/>
    </w:r>
  </w:p>
  <w:p>
    <w:pPr>
      <w:pStyle w:val="Footer"/>
      <w:ind w:firstLine="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p>
  <w:p>
    <w:pPr>
      <w:pStyle w:val="Footer"/>
      <w:ind w:firstLine="360"/>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lang w:val="zh-CN"/>
      </w:rPr>
      <w:t>5</w:t>
    </w:r>
    <w:r>
      <w:rPr>
        <w:rFonts w:ascii="Times New Roman" w:hAnsi="Times New Roman"/>
      </w:rPr>
      <w:fldChar w:fldCharType="end"/>
    </w:r>
  </w:p>
  <w:p>
    <w:pPr>
      <w:pStyle w:val="Footer"/>
      <w:ind w:firstLine="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p>
  <w:p>
    <w:pPr>
      <w:pStyle w:val="Footer"/>
      <w:ind w:firstLine="360"/>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lang w:val="zh-CN"/>
      </w:rPr>
      <w:t>6</w:t>
    </w:r>
    <w:r>
      <w:rPr>
        <w:rFonts w:ascii="Times New Roman" w:hAnsi="Times New Roman"/>
      </w:rPr>
      <w:fldChar w:fldCharType="end"/>
    </w:r>
  </w:p>
  <w:p>
    <w:pPr>
      <w:pStyle w:val="Footer"/>
      <w:ind w:firstLine="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p>
  <w:p>
    <w:pPr>
      <w:pStyle w:val="Footer"/>
      <w:ind w:firstLine="360"/>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lang w:val="zh-CN"/>
      </w:rPr>
      <w:t>7</w:t>
    </w:r>
    <w:r>
      <w:rPr>
        <w:rFonts w:ascii="Times New Roman" w:hAnsi="Times New Roman"/>
      </w:rPr>
      <w:fldChar w:fldCharType="end"/>
    </w:r>
  </w:p>
  <w:p>
    <w:pPr>
      <w:pStyle w:val="Footer"/>
      <w:ind w:firstLine="360"/>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p>
  <w:p>
    <w:pPr>
      <w:pStyle w:val="Footer"/>
      <w:ind w:firstLine="360"/>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lang w:val="zh-CN"/>
      </w:rPr>
      <w:t>8</w:t>
    </w:r>
    <w:r>
      <w:rPr>
        <w:rFonts w:ascii="Times New Roman" w:hAnsi="Times New Roman"/>
      </w:rPr>
      <w:fldChar w:fldCharType="end"/>
    </w:r>
  </w:p>
  <w:p>
    <w:pPr>
      <w:pStyle w:val="Footer"/>
      <w:ind w:firstLine="36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p>
  <w:p>
    <w:pPr>
      <w:pStyle w:val="Footer"/>
      <w:ind w:firstLine="360"/>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lang w:val="zh-CN"/>
      </w:rPr>
      <w:t>9</w:t>
    </w:r>
    <w:r>
      <w:rPr>
        <w:rFonts w:ascii="Times New Roman" w:hAnsi="Times New Roman"/>
      </w:rPr>
      <w:fldChar w:fldCharType="end"/>
    </w:r>
  </w:p>
  <w:p>
    <w:pPr>
      <w:pStyle w:val="Footer"/>
      <w:ind w:firstLine="360"/>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p>
  <w:p>
    <w:pPr>
      <w:pStyle w:val="Footer"/>
      <w:ind w:firstLine="360"/>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lang w:val="zh-CN"/>
      </w:rPr>
      <w:t>10</w:t>
    </w:r>
    <w:r>
      <w:rPr>
        <w:rFonts w:ascii="Times New Roman" w:hAnsi="Times New Roman"/>
      </w:rPr>
      <w:fldChar w:fldCharType="end"/>
    </w:r>
  </w:p>
  <w:p>
    <w:pPr>
      <w:pStyle w:val="Footer"/>
      <w:ind w:firstLine="360"/>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p>
  <w:p>
    <w:pPr>
      <w:pStyle w:val="Footer"/>
      <w:ind w:firstLine="360"/>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lang w:val="zh-CN"/>
      </w:rPr>
      <w:t>12</w:t>
    </w:r>
    <w:r>
      <w:rPr>
        <w:rFonts w:ascii="Times New Roman" w:hAnsi="Times New Roman"/>
      </w:rPr>
      <w:fldChar w:fldCharType="end"/>
    </w:r>
  </w:p>
  <w:p>
    <w:pPr>
      <w:pStyle w:val="Footer"/>
      <w:ind w:firstLine="360"/>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p>
  <w:p>
    <w:pPr>
      <w:pStyle w:val="Footer"/>
      <w:ind w:firstLine="360"/>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lang w:val="zh-CN"/>
      </w:rPr>
      <w:t>12</w:t>
    </w:r>
    <w:r>
      <w:rPr>
        <w:rFonts w:ascii="Times New Roman" w:hAnsi="Times New Roman"/>
      </w:rPr>
      <w:fldChar w:fldCharType="end"/>
    </w:r>
  </w:p>
  <w:p>
    <w:pPr>
      <w:pStyle w:val="Footer"/>
      <w:ind w:firstLine="360"/>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p>
  <w:p>
    <w:pPr>
      <w:pStyle w:val="Footer"/>
      <w:ind w:firstLine="360"/>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lang w:val="zh-CN"/>
      </w:rPr>
      <w:t>14</w:t>
    </w:r>
    <w:r>
      <w:rPr>
        <w:rFonts w:ascii="Times New Roman" w:hAnsi="Times New Roman"/>
      </w:rPr>
      <w:fldChar w:fldCharType="end"/>
    </w:r>
  </w:p>
  <w:p>
    <w:pPr>
      <w:pStyle w:val="Footer"/>
      <w:ind w:firstLine="360"/>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p>
  <w:p>
    <w:pPr>
      <w:pStyle w:val="Footer"/>
      <w:ind w:firstLine="360"/>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lang w:val="zh-CN"/>
      </w:rPr>
      <w:t>14</w:t>
    </w:r>
    <w:r>
      <w:rPr>
        <w:rFonts w:ascii="Times New Roman" w:hAnsi="Times New Roman"/>
      </w:rPr>
      <w:fldChar w:fldCharType="end"/>
    </w:r>
  </w:p>
  <w:p>
    <w:pPr>
      <w:pStyle w:val="Footer"/>
      <w:ind w:firstLine="360"/>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874FBC7"/>
    <w:multiLevelType w:val="singleLevel"/>
    <w:tmpl w:val="C874FBC7"/>
    <w:lvl w:ilvl="0">
      <w:start w:val="3"/>
      <w:numFmt w:val="decimal"/>
      <w:suff w:val="nothing"/>
      <w:lvlText w:val="%1、"/>
      <w:lvlJc w:val="left"/>
    </w:lvl>
  </w:abstractNum>
  <w:abstractNum w:abstractNumId="1">
    <w:nsid w:val="5316D6F3"/>
    <w:multiLevelType w:val="singleLevel"/>
    <w:tmpl w:val="5316D6F3"/>
    <w:lvl w:ilvl="0">
      <w:start w:val="1"/>
      <w:numFmt w:val="decimal"/>
      <w:suff w:val="space"/>
      <w:lvlText w:val="（%1）"/>
      <w:lvlJc w:val="left"/>
      <w:pPr>
        <w:ind w:left="240" w:firstLine="0"/>
      </w:pPr>
    </w:lvl>
  </w:abstractNum>
  <w:abstractNum w:abstractNumId="2">
    <w:nsid w:val="6752FB35"/>
    <w:multiLevelType w:val="singleLevel"/>
    <w:tmpl w:val="6752FB35"/>
    <w:lvl w:ilvl="0">
      <w:start w:val="1"/>
      <w:numFmt w:val="decimal"/>
      <w:suff w:val="space"/>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60"/>
  <w:displayBackgroundShape/>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6CB"/>
    <w:rsid w:val="00000A0C"/>
    <w:rsid w:val="00000C08"/>
    <w:rsid w:val="000026B9"/>
    <w:rsid w:val="00002E9E"/>
    <w:rsid w:val="00002F5C"/>
    <w:rsid w:val="00003620"/>
    <w:rsid w:val="00003C73"/>
    <w:rsid w:val="00004B40"/>
    <w:rsid w:val="00004E33"/>
    <w:rsid w:val="0000586E"/>
    <w:rsid w:val="00005CBF"/>
    <w:rsid w:val="00005D05"/>
    <w:rsid w:val="00006020"/>
    <w:rsid w:val="0000613E"/>
    <w:rsid w:val="00006194"/>
    <w:rsid w:val="00006617"/>
    <w:rsid w:val="0000757C"/>
    <w:rsid w:val="0001021D"/>
    <w:rsid w:val="00011106"/>
    <w:rsid w:val="00011209"/>
    <w:rsid w:val="000114A6"/>
    <w:rsid w:val="000116EF"/>
    <w:rsid w:val="000119CA"/>
    <w:rsid w:val="00012213"/>
    <w:rsid w:val="000122B8"/>
    <w:rsid w:val="000124F7"/>
    <w:rsid w:val="000131FA"/>
    <w:rsid w:val="00013A78"/>
    <w:rsid w:val="00013DFB"/>
    <w:rsid w:val="00013EB4"/>
    <w:rsid w:val="0001592D"/>
    <w:rsid w:val="00015B6F"/>
    <w:rsid w:val="00015E62"/>
    <w:rsid w:val="00015EA5"/>
    <w:rsid w:val="00015FEC"/>
    <w:rsid w:val="00016330"/>
    <w:rsid w:val="0001673B"/>
    <w:rsid w:val="000169C3"/>
    <w:rsid w:val="00016E9E"/>
    <w:rsid w:val="00017383"/>
    <w:rsid w:val="00020472"/>
    <w:rsid w:val="00020505"/>
    <w:rsid w:val="00021790"/>
    <w:rsid w:val="00021CAE"/>
    <w:rsid w:val="00022994"/>
    <w:rsid w:val="00022C5B"/>
    <w:rsid w:val="000230C4"/>
    <w:rsid w:val="000230D8"/>
    <w:rsid w:val="00024403"/>
    <w:rsid w:val="00024824"/>
    <w:rsid w:val="00024976"/>
    <w:rsid w:val="00024A62"/>
    <w:rsid w:val="00024A70"/>
    <w:rsid w:val="00024B60"/>
    <w:rsid w:val="00024CA8"/>
    <w:rsid w:val="0002536F"/>
    <w:rsid w:val="0002619B"/>
    <w:rsid w:val="0002633C"/>
    <w:rsid w:val="0002675F"/>
    <w:rsid w:val="00026EFA"/>
    <w:rsid w:val="0002701C"/>
    <w:rsid w:val="00027243"/>
    <w:rsid w:val="000275C1"/>
    <w:rsid w:val="00027749"/>
    <w:rsid w:val="00027949"/>
    <w:rsid w:val="00027B4A"/>
    <w:rsid w:val="00030423"/>
    <w:rsid w:val="00031309"/>
    <w:rsid w:val="00031D48"/>
    <w:rsid w:val="00031DA0"/>
    <w:rsid w:val="00032417"/>
    <w:rsid w:val="00032630"/>
    <w:rsid w:val="000327EF"/>
    <w:rsid w:val="00032A25"/>
    <w:rsid w:val="00032D66"/>
    <w:rsid w:val="00033F16"/>
    <w:rsid w:val="00034894"/>
    <w:rsid w:val="0003518C"/>
    <w:rsid w:val="0003580E"/>
    <w:rsid w:val="0003663F"/>
    <w:rsid w:val="00036A8F"/>
    <w:rsid w:val="00037192"/>
    <w:rsid w:val="000373E3"/>
    <w:rsid w:val="00037553"/>
    <w:rsid w:val="000375C1"/>
    <w:rsid w:val="00037E8F"/>
    <w:rsid w:val="00040021"/>
    <w:rsid w:val="00040A7E"/>
    <w:rsid w:val="0004110E"/>
    <w:rsid w:val="000418E2"/>
    <w:rsid w:val="00041AA0"/>
    <w:rsid w:val="00042D27"/>
    <w:rsid w:val="0004387C"/>
    <w:rsid w:val="00043884"/>
    <w:rsid w:val="00043C49"/>
    <w:rsid w:val="00043E54"/>
    <w:rsid w:val="000442B2"/>
    <w:rsid w:val="0004493B"/>
    <w:rsid w:val="00044E50"/>
    <w:rsid w:val="000472AE"/>
    <w:rsid w:val="0004767D"/>
    <w:rsid w:val="00047F85"/>
    <w:rsid w:val="00050624"/>
    <w:rsid w:val="00050944"/>
    <w:rsid w:val="00050BA6"/>
    <w:rsid w:val="0005117B"/>
    <w:rsid w:val="00051CEF"/>
    <w:rsid w:val="00052746"/>
    <w:rsid w:val="00053A2F"/>
    <w:rsid w:val="00053C98"/>
    <w:rsid w:val="00053CF8"/>
    <w:rsid w:val="00054058"/>
    <w:rsid w:val="00054194"/>
    <w:rsid w:val="00054236"/>
    <w:rsid w:val="0005448B"/>
    <w:rsid w:val="000544DD"/>
    <w:rsid w:val="00054B9F"/>
    <w:rsid w:val="00054EAF"/>
    <w:rsid w:val="00054ECB"/>
    <w:rsid w:val="0005575B"/>
    <w:rsid w:val="00056159"/>
    <w:rsid w:val="00056459"/>
    <w:rsid w:val="00056484"/>
    <w:rsid w:val="0005655E"/>
    <w:rsid w:val="00056EFB"/>
    <w:rsid w:val="00057316"/>
    <w:rsid w:val="00057687"/>
    <w:rsid w:val="0005798E"/>
    <w:rsid w:val="00060174"/>
    <w:rsid w:val="00060D5F"/>
    <w:rsid w:val="00060DCB"/>
    <w:rsid w:val="00061317"/>
    <w:rsid w:val="00061614"/>
    <w:rsid w:val="00061687"/>
    <w:rsid w:val="000618F1"/>
    <w:rsid w:val="00062444"/>
    <w:rsid w:val="00062873"/>
    <w:rsid w:val="00062D97"/>
    <w:rsid w:val="00063511"/>
    <w:rsid w:val="00063C2E"/>
    <w:rsid w:val="00063DA1"/>
    <w:rsid w:val="00064089"/>
    <w:rsid w:val="00064A2C"/>
    <w:rsid w:val="00064C94"/>
    <w:rsid w:val="00065550"/>
    <w:rsid w:val="000663A0"/>
    <w:rsid w:val="000669BF"/>
    <w:rsid w:val="00067117"/>
    <w:rsid w:val="00067464"/>
    <w:rsid w:val="000679A4"/>
    <w:rsid w:val="00067C73"/>
    <w:rsid w:val="00067D34"/>
    <w:rsid w:val="000704CC"/>
    <w:rsid w:val="00070910"/>
    <w:rsid w:val="00070996"/>
    <w:rsid w:val="000711DE"/>
    <w:rsid w:val="00071453"/>
    <w:rsid w:val="00072AAB"/>
    <w:rsid w:val="00072BCE"/>
    <w:rsid w:val="000731BF"/>
    <w:rsid w:val="000732DD"/>
    <w:rsid w:val="0007341E"/>
    <w:rsid w:val="00073720"/>
    <w:rsid w:val="00073DAD"/>
    <w:rsid w:val="0007439A"/>
    <w:rsid w:val="00074421"/>
    <w:rsid w:val="0007492B"/>
    <w:rsid w:val="00074EBB"/>
    <w:rsid w:val="000758B7"/>
    <w:rsid w:val="0007655F"/>
    <w:rsid w:val="00076631"/>
    <w:rsid w:val="00076902"/>
    <w:rsid w:val="0007693A"/>
    <w:rsid w:val="00076DFA"/>
    <w:rsid w:val="00077A0C"/>
    <w:rsid w:val="00077B1A"/>
    <w:rsid w:val="00077FAE"/>
    <w:rsid w:val="00080382"/>
    <w:rsid w:val="000808C7"/>
    <w:rsid w:val="00080BCE"/>
    <w:rsid w:val="00081021"/>
    <w:rsid w:val="000810E7"/>
    <w:rsid w:val="00081176"/>
    <w:rsid w:val="00081461"/>
    <w:rsid w:val="00081628"/>
    <w:rsid w:val="000828AF"/>
    <w:rsid w:val="00082A5E"/>
    <w:rsid w:val="00082AD3"/>
    <w:rsid w:val="00082DAA"/>
    <w:rsid w:val="0008372E"/>
    <w:rsid w:val="000846BD"/>
    <w:rsid w:val="00084E42"/>
    <w:rsid w:val="0008539A"/>
    <w:rsid w:val="00086AAE"/>
    <w:rsid w:val="000874F4"/>
    <w:rsid w:val="000876EA"/>
    <w:rsid w:val="00087EB4"/>
    <w:rsid w:val="000906B4"/>
    <w:rsid w:val="00090F9F"/>
    <w:rsid w:val="000913E1"/>
    <w:rsid w:val="00091C0C"/>
    <w:rsid w:val="00092669"/>
    <w:rsid w:val="00092AD9"/>
    <w:rsid w:val="00093181"/>
    <w:rsid w:val="00094276"/>
    <w:rsid w:val="0009522D"/>
    <w:rsid w:val="00095233"/>
    <w:rsid w:val="000963B4"/>
    <w:rsid w:val="000963FA"/>
    <w:rsid w:val="0009651C"/>
    <w:rsid w:val="000967EE"/>
    <w:rsid w:val="00096B93"/>
    <w:rsid w:val="00096FBB"/>
    <w:rsid w:val="000970C4"/>
    <w:rsid w:val="0009767A"/>
    <w:rsid w:val="00097E79"/>
    <w:rsid w:val="000A004E"/>
    <w:rsid w:val="000A0356"/>
    <w:rsid w:val="000A0A50"/>
    <w:rsid w:val="000A102F"/>
    <w:rsid w:val="000A161B"/>
    <w:rsid w:val="000A1CA6"/>
    <w:rsid w:val="000A2B05"/>
    <w:rsid w:val="000A2E11"/>
    <w:rsid w:val="000A2FA7"/>
    <w:rsid w:val="000A358B"/>
    <w:rsid w:val="000A39D3"/>
    <w:rsid w:val="000A3E60"/>
    <w:rsid w:val="000A4663"/>
    <w:rsid w:val="000A4671"/>
    <w:rsid w:val="000A4701"/>
    <w:rsid w:val="000A4BCC"/>
    <w:rsid w:val="000A52FE"/>
    <w:rsid w:val="000A5412"/>
    <w:rsid w:val="000A5723"/>
    <w:rsid w:val="000A59F5"/>
    <w:rsid w:val="000A5E82"/>
    <w:rsid w:val="000A5F7D"/>
    <w:rsid w:val="000A6AAA"/>
    <w:rsid w:val="000A6EF2"/>
    <w:rsid w:val="000A7D37"/>
    <w:rsid w:val="000A7F4A"/>
    <w:rsid w:val="000B0C5A"/>
    <w:rsid w:val="000B1CDD"/>
    <w:rsid w:val="000B1EE6"/>
    <w:rsid w:val="000B28E0"/>
    <w:rsid w:val="000B2CF4"/>
    <w:rsid w:val="000B2D4E"/>
    <w:rsid w:val="000B2F1C"/>
    <w:rsid w:val="000B3743"/>
    <w:rsid w:val="000B429C"/>
    <w:rsid w:val="000B4C02"/>
    <w:rsid w:val="000B6289"/>
    <w:rsid w:val="000B68ED"/>
    <w:rsid w:val="000B6D2B"/>
    <w:rsid w:val="000C03D7"/>
    <w:rsid w:val="000C0E79"/>
    <w:rsid w:val="000C22B5"/>
    <w:rsid w:val="000C2D15"/>
    <w:rsid w:val="000C2E4A"/>
    <w:rsid w:val="000C2F22"/>
    <w:rsid w:val="000C3102"/>
    <w:rsid w:val="000C3C17"/>
    <w:rsid w:val="000C3D6D"/>
    <w:rsid w:val="000C5852"/>
    <w:rsid w:val="000C5BB0"/>
    <w:rsid w:val="000C6B04"/>
    <w:rsid w:val="000C6FDB"/>
    <w:rsid w:val="000C7599"/>
    <w:rsid w:val="000D0727"/>
    <w:rsid w:val="000D0AEE"/>
    <w:rsid w:val="000D0B79"/>
    <w:rsid w:val="000D100D"/>
    <w:rsid w:val="000D10D5"/>
    <w:rsid w:val="000D1122"/>
    <w:rsid w:val="000D142B"/>
    <w:rsid w:val="000D1739"/>
    <w:rsid w:val="000D1A9E"/>
    <w:rsid w:val="000D1ADB"/>
    <w:rsid w:val="000D1D7E"/>
    <w:rsid w:val="000D2977"/>
    <w:rsid w:val="000D2D12"/>
    <w:rsid w:val="000D3BB8"/>
    <w:rsid w:val="000D40A9"/>
    <w:rsid w:val="000D40ED"/>
    <w:rsid w:val="000D4240"/>
    <w:rsid w:val="000D4715"/>
    <w:rsid w:val="000D4EC7"/>
    <w:rsid w:val="000D578D"/>
    <w:rsid w:val="000D5823"/>
    <w:rsid w:val="000D5D57"/>
    <w:rsid w:val="000D62B7"/>
    <w:rsid w:val="000D6ED4"/>
    <w:rsid w:val="000D7A6A"/>
    <w:rsid w:val="000E0F4F"/>
    <w:rsid w:val="000E1303"/>
    <w:rsid w:val="000E13FB"/>
    <w:rsid w:val="000E17DE"/>
    <w:rsid w:val="000E1DAA"/>
    <w:rsid w:val="000E22F4"/>
    <w:rsid w:val="000E283A"/>
    <w:rsid w:val="000E2859"/>
    <w:rsid w:val="000E2BB1"/>
    <w:rsid w:val="000E3365"/>
    <w:rsid w:val="000E3374"/>
    <w:rsid w:val="000E35C5"/>
    <w:rsid w:val="000E40C4"/>
    <w:rsid w:val="000E47C9"/>
    <w:rsid w:val="000E5B0E"/>
    <w:rsid w:val="000E5CD2"/>
    <w:rsid w:val="000E5F95"/>
    <w:rsid w:val="000E5FE0"/>
    <w:rsid w:val="000E602F"/>
    <w:rsid w:val="000E61EE"/>
    <w:rsid w:val="000E6365"/>
    <w:rsid w:val="000E63A3"/>
    <w:rsid w:val="000E69A6"/>
    <w:rsid w:val="000E73A4"/>
    <w:rsid w:val="000E755D"/>
    <w:rsid w:val="000E7F9A"/>
    <w:rsid w:val="000F0BE3"/>
    <w:rsid w:val="000F102D"/>
    <w:rsid w:val="000F1109"/>
    <w:rsid w:val="000F1E55"/>
    <w:rsid w:val="000F2D7F"/>
    <w:rsid w:val="000F3122"/>
    <w:rsid w:val="000F31D7"/>
    <w:rsid w:val="000F3317"/>
    <w:rsid w:val="000F39B5"/>
    <w:rsid w:val="000F4169"/>
    <w:rsid w:val="000F4176"/>
    <w:rsid w:val="000F42BD"/>
    <w:rsid w:val="000F4545"/>
    <w:rsid w:val="000F4A9B"/>
    <w:rsid w:val="000F5099"/>
    <w:rsid w:val="000F5257"/>
    <w:rsid w:val="000F562E"/>
    <w:rsid w:val="000F5E52"/>
    <w:rsid w:val="000F5E7A"/>
    <w:rsid w:val="000F7D2B"/>
    <w:rsid w:val="001009FB"/>
    <w:rsid w:val="00100FD9"/>
    <w:rsid w:val="001015E9"/>
    <w:rsid w:val="00101625"/>
    <w:rsid w:val="00101946"/>
    <w:rsid w:val="001023AF"/>
    <w:rsid w:val="001024B4"/>
    <w:rsid w:val="0010270A"/>
    <w:rsid w:val="00102813"/>
    <w:rsid w:val="00102E48"/>
    <w:rsid w:val="00103098"/>
    <w:rsid w:val="0010383E"/>
    <w:rsid w:val="00103A27"/>
    <w:rsid w:val="001045D9"/>
    <w:rsid w:val="001056C4"/>
    <w:rsid w:val="001057E9"/>
    <w:rsid w:val="00106593"/>
    <w:rsid w:val="00106EBA"/>
    <w:rsid w:val="0010739F"/>
    <w:rsid w:val="001075DA"/>
    <w:rsid w:val="00107DA6"/>
    <w:rsid w:val="00107F25"/>
    <w:rsid w:val="00110A42"/>
    <w:rsid w:val="00110BFD"/>
    <w:rsid w:val="00110F77"/>
    <w:rsid w:val="001112D6"/>
    <w:rsid w:val="00112646"/>
    <w:rsid w:val="00112922"/>
    <w:rsid w:val="00112EFF"/>
    <w:rsid w:val="00112F1C"/>
    <w:rsid w:val="00113634"/>
    <w:rsid w:val="00113821"/>
    <w:rsid w:val="00113FA4"/>
    <w:rsid w:val="00114262"/>
    <w:rsid w:val="00114C2B"/>
    <w:rsid w:val="00114E7B"/>
    <w:rsid w:val="00114F9D"/>
    <w:rsid w:val="001152C5"/>
    <w:rsid w:val="001159C2"/>
    <w:rsid w:val="00115E64"/>
    <w:rsid w:val="00115FCD"/>
    <w:rsid w:val="001160BC"/>
    <w:rsid w:val="001166F8"/>
    <w:rsid w:val="00116ABC"/>
    <w:rsid w:val="0011774D"/>
    <w:rsid w:val="00117B81"/>
    <w:rsid w:val="00117EC8"/>
    <w:rsid w:val="00120105"/>
    <w:rsid w:val="0012031A"/>
    <w:rsid w:val="00120BD0"/>
    <w:rsid w:val="00120E60"/>
    <w:rsid w:val="00121179"/>
    <w:rsid w:val="0012117F"/>
    <w:rsid w:val="00121788"/>
    <w:rsid w:val="001218D2"/>
    <w:rsid w:val="001225F5"/>
    <w:rsid w:val="00122A7F"/>
    <w:rsid w:val="00123083"/>
    <w:rsid w:val="0012401D"/>
    <w:rsid w:val="00125C70"/>
    <w:rsid w:val="00126256"/>
    <w:rsid w:val="00126B26"/>
    <w:rsid w:val="00127168"/>
    <w:rsid w:val="001276E1"/>
    <w:rsid w:val="00127CEF"/>
    <w:rsid w:val="00130180"/>
    <w:rsid w:val="0013052A"/>
    <w:rsid w:val="001319F3"/>
    <w:rsid w:val="00131F0C"/>
    <w:rsid w:val="001322BB"/>
    <w:rsid w:val="001332A5"/>
    <w:rsid w:val="001343A5"/>
    <w:rsid w:val="001344F6"/>
    <w:rsid w:val="001350E7"/>
    <w:rsid w:val="00135455"/>
    <w:rsid w:val="001359A4"/>
    <w:rsid w:val="00135A87"/>
    <w:rsid w:val="00136778"/>
    <w:rsid w:val="00136CA6"/>
    <w:rsid w:val="001375EB"/>
    <w:rsid w:val="00137907"/>
    <w:rsid w:val="00137927"/>
    <w:rsid w:val="00137ADA"/>
    <w:rsid w:val="00137E36"/>
    <w:rsid w:val="001400AF"/>
    <w:rsid w:val="001405FF"/>
    <w:rsid w:val="00141CF8"/>
    <w:rsid w:val="001422EF"/>
    <w:rsid w:val="00142C4C"/>
    <w:rsid w:val="00142C9F"/>
    <w:rsid w:val="00144121"/>
    <w:rsid w:val="00144146"/>
    <w:rsid w:val="001442CD"/>
    <w:rsid w:val="001447F4"/>
    <w:rsid w:val="0014510D"/>
    <w:rsid w:val="00145900"/>
    <w:rsid w:val="00145B2F"/>
    <w:rsid w:val="00146210"/>
    <w:rsid w:val="001463AD"/>
    <w:rsid w:val="00146C93"/>
    <w:rsid w:val="00146E31"/>
    <w:rsid w:val="00146F7C"/>
    <w:rsid w:val="00150FF3"/>
    <w:rsid w:val="00151686"/>
    <w:rsid w:val="001516A7"/>
    <w:rsid w:val="001516CF"/>
    <w:rsid w:val="001516E7"/>
    <w:rsid w:val="00151702"/>
    <w:rsid w:val="00151DB4"/>
    <w:rsid w:val="00152334"/>
    <w:rsid w:val="001553F7"/>
    <w:rsid w:val="001555F3"/>
    <w:rsid w:val="001559B1"/>
    <w:rsid w:val="00155CDE"/>
    <w:rsid w:val="00155F10"/>
    <w:rsid w:val="00156152"/>
    <w:rsid w:val="001565CE"/>
    <w:rsid w:val="001566AF"/>
    <w:rsid w:val="001576E0"/>
    <w:rsid w:val="00157B43"/>
    <w:rsid w:val="00157D38"/>
    <w:rsid w:val="001602F9"/>
    <w:rsid w:val="00160BE6"/>
    <w:rsid w:val="00161335"/>
    <w:rsid w:val="00163726"/>
    <w:rsid w:val="00164B9B"/>
    <w:rsid w:val="0016531A"/>
    <w:rsid w:val="00166D4A"/>
    <w:rsid w:val="00167E5B"/>
    <w:rsid w:val="00167FBB"/>
    <w:rsid w:val="00170AB2"/>
    <w:rsid w:val="00171007"/>
    <w:rsid w:val="001712C9"/>
    <w:rsid w:val="001713C9"/>
    <w:rsid w:val="0017200D"/>
    <w:rsid w:val="0017262C"/>
    <w:rsid w:val="00172A27"/>
    <w:rsid w:val="00172BEE"/>
    <w:rsid w:val="00172D88"/>
    <w:rsid w:val="00172F05"/>
    <w:rsid w:val="00173943"/>
    <w:rsid w:val="00173A94"/>
    <w:rsid w:val="00173B05"/>
    <w:rsid w:val="00173C6E"/>
    <w:rsid w:val="001740DD"/>
    <w:rsid w:val="001757C4"/>
    <w:rsid w:val="00175C21"/>
    <w:rsid w:val="00175E2C"/>
    <w:rsid w:val="00175E6F"/>
    <w:rsid w:val="001764FA"/>
    <w:rsid w:val="00176EC5"/>
    <w:rsid w:val="00177317"/>
    <w:rsid w:val="0017732C"/>
    <w:rsid w:val="00177C6C"/>
    <w:rsid w:val="00177E02"/>
    <w:rsid w:val="00177E93"/>
    <w:rsid w:val="00177F3C"/>
    <w:rsid w:val="0018021B"/>
    <w:rsid w:val="00180707"/>
    <w:rsid w:val="00181656"/>
    <w:rsid w:val="001823D8"/>
    <w:rsid w:val="00182718"/>
    <w:rsid w:val="00182D19"/>
    <w:rsid w:val="00182F79"/>
    <w:rsid w:val="00183497"/>
    <w:rsid w:val="00183AAD"/>
    <w:rsid w:val="00184314"/>
    <w:rsid w:val="00184721"/>
    <w:rsid w:val="00184A7B"/>
    <w:rsid w:val="00184C93"/>
    <w:rsid w:val="0018503B"/>
    <w:rsid w:val="0018569D"/>
    <w:rsid w:val="00186042"/>
    <w:rsid w:val="00187124"/>
    <w:rsid w:val="00187658"/>
    <w:rsid w:val="0018766D"/>
    <w:rsid w:val="001877CB"/>
    <w:rsid w:val="001900A9"/>
    <w:rsid w:val="00190206"/>
    <w:rsid w:val="00190415"/>
    <w:rsid w:val="0019050E"/>
    <w:rsid w:val="0019069C"/>
    <w:rsid w:val="0019147C"/>
    <w:rsid w:val="00191FB2"/>
    <w:rsid w:val="001923B7"/>
    <w:rsid w:val="001928B9"/>
    <w:rsid w:val="00192BE7"/>
    <w:rsid w:val="00192F97"/>
    <w:rsid w:val="0019313E"/>
    <w:rsid w:val="00193364"/>
    <w:rsid w:val="001935C4"/>
    <w:rsid w:val="00193C6C"/>
    <w:rsid w:val="00193ED6"/>
    <w:rsid w:val="00193F33"/>
    <w:rsid w:val="0019450B"/>
    <w:rsid w:val="00195329"/>
    <w:rsid w:val="001954C8"/>
    <w:rsid w:val="001954F3"/>
    <w:rsid w:val="0019595D"/>
    <w:rsid w:val="0019615C"/>
    <w:rsid w:val="00196447"/>
    <w:rsid w:val="00196EA0"/>
    <w:rsid w:val="001971C6"/>
    <w:rsid w:val="0019726C"/>
    <w:rsid w:val="0019774D"/>
    <w:rsid w:val="00197835"/>
    <w:rsid w:val="00197B83"/>
    <w:rsid w:val="00197EC2"/>
    <w:rsid w:val="001A0554"/>
    <w:rsid w:val="001A134D"/>
    <w:rsid w:val="001A20CB"/>
    <w:rsid w:val="001A261E"/>
    <w:rsid w:val="001A329E"/>
    <w:rsid w:val="001A4983"/>
    <w:rsid w:val="001A5320"/>
    <w:rsid w:val="001A55E5"/>
    <w:rsid w:val="001A5EA2"/>
    <w:rsid w:val="001A605D"/>
    <w:rsid w:val="001A6068"/>
    <w:rsid w:val="001A75A0"/>
    <w:rsid w:val="001A79D3"/>
    <w:rsid w:val="001B00D9"/>
    <w:rsid w:val="001B0186"/>
    <w:rsid w:val="001B075D"/>
    <w:rsid w:val="001B0855"/>
    <w:rsid w:val="001B0AC3"/>
    <w:rsid w:val="001B11F6"/>
    <w:rsid w:val="001B1708"/>
    <w:rsid w:val="001B210C"/>
    <w:rsid w:val="001B27B0"/>
    <w:rsid w:val="001B2877"/>
    <w:rsid w:val="001B3487"/>
    <w:rsid w:val="001B3824"/>
    <w:rsid w:val="001B3B34"/>
    <w:rsid w:val="001B4419"/>
    <w:rsid w:val="001B474F"/>
    <w:rsid w:val="001B5337"/>
    <w:rsid w:val="001B5FC7"/>
    <w:rsid w:val="001B63D4"/>
    <w:rsid w:val="001B6743"/>
    <w:rsid w:val="001B6D84"/>
    <w:rsid w:val="001B70CC"/>
    <w:rsid w:val="001C0EA8"/>
    <w:rsid w:val="001C1D7B"/>
    <w:rsid w:val="001C2011"/>
    <w:rsid w:val="001C2530"/>
    <w:rsid w:val="001C26E3"/>
    <w:rsid w:val="001C3858"/>
    <w:rsid w:val="001C3C29"/>
    <w:rsid w:val="001C3DAF"/>
    <w:rsid w:val="001C429D"/>
    <w:rsid w:val="001C47E3"/>
    <w:rsid w:val="001C4943"/>
    <w:rsid w:val="001C4BB6"/>
    <w:rsid w:val="001C4CCE"/>
    <w:rsid w:val="001C55C1"/>
    <w:rsid w:val="001C58FC"/>
    <w:rsid w:val="001C66C6"/>
    <w:rsid w:val="001C6F82"/>
    <w:rsid w:val="001C7E8B"/>
    <w:rsid w:val="001D03EA"/>
    <w:rsid w:val="001D054A"/>
    <w:rsid w:val="001D07EE"/>
    <w:rsid w:val="001D0E0A"/>
    <w:rsid w:val="001D0F29"/>
    <w:rsid w:val="001D0FD3"/>
    <w:rsid w:val="001D1A00"/>
    <w:rsid w:val="001D1ADF"/>
    <w:rsid w:val="001D1E97"/>
    <w:rsid w:val="001D2452"/>
    <w:rsid w:val="001D2AFF"/>
    <w:rsid w:val="001D2C53"/>
    <w:rsid w:val="001D40BC"/>
    <w:rsid w:val="001D42AA"/>
    <w:rsid w:val="001D4A62"/>
    <w:rsid w:val="001D4B39"/>
    <w:rsid w:val="001D4BCB"/>
    <w:rsid w:val="001D4C2A"/>
    <w:rsid w:val="001D511B"/>
    <w:rsid w:val="001D5E6D"/>
    <w:rsid w:val="001D664F"/>
    <w:rsid w:val="001D68C8"/>
    <w:rsid w:val="001D6B9D"/>
    <w:rsid w:val="001D6E10"/>
    <w:rsid w:val="001D7208"/>
    <w:rsid w:val="001D7332"/>
    <w:rsid w:val="001D7B4B"/>
    <w:rsid w:val="001D7B8A"/>
    <w:rsid w:val="001E0485"/>
    <w:rsid w:val="001E0648"/>
    <w:rsid w:val="001E1048"/>
    <w:rsid w:val="001E1F89"/>
    <w:rsid w:val="001E202E"/>
    <w:rsid w:val="001E2533"/>
    <w:rsid w:val="001E2AA8"/>
    <w:rsid w:val="001E2C6F"/>
    <w:rsid w:val="001E316F"/>
    <w:rsid w:val="001E374D"/>
    <w:rsid w:val="001E38FD"/>
    <w:rsid w:val="001E3C1F"/>
    <w:rsid w:val="001E3E3B"/>
    <w:rsid w:val="001E3EE4"/>
    <w:rsid w:val="001E49EA"/>
    <w:rsid w:val="001E53F5"/>
    <w:rsid w:val="001E5490"/>
    <w:rsid w:val="001E56FA"/>
    <w:rsid w:val="001E5FF5"/>
    <w:rsid w:val="001E65F6"/>
    <w:rsid w:val="001E6918"/>
    <w:rsid w:val="001E7001"/>
    <w:rsid w:val="001E76CD"/>
    <w:rsid w:val="001E7E41"/>
    <w:rsid w:val="001E7E5D"/>
    <w:rsid w:val="001F0255"/>
    <w:rsid w:val="001F071A"/>
    <w:rsid w:val="001F09B9"/>
    <w:rsid w:val="001F09F9"/>
    <w:rsid w:val="001F0FB2"/>
    <w:rsid w:val="001F17B1"/>
    <w:rsid w:val="001F18F6"/>
    <w:rsid w:val="001F1B53"/>
    <w:rsid w:val="001F1EEF"/>
    <w:rsid w:val="001F2439"/>
    <w:rsid w:val="001F2B09"/>
    <w:rsid w:val="001F34CB"/>
    <w:rsid w:val="001F3A31"/>
    <w:rsid w:val="001F3D66"/>
    <w:rsid w:val="001F3D80"/>
    <w:rsid w:val="001F4741"/>
    <w:rsid w:val="001F478C"/>
    <w:rsid w:val="001F4860"/>
    <w:rsid w:val="001F510E"/>
    <w:rsid w:val="001F52A2"/>
    <w:rsid w:val="001F52F9"/>
    <w:rsid w:val="001F54F3"/>
    <w:rsid w:val="001F56E0"/>
    <w:rsid w:val="001F583A"/>
    <w:rsid w:val="001F59EE"/>
    <w:rsid w:val="001F6772"/>
    <w:rsid w:val="001F678F"/>
    <w:rsid w:val="001F722D"/>
    <w:rsid w:val="001F7294"/>
    <w:rsid w:val="001F75C8"/>
    <w:rsid w:val="001F783D"/>
    <w:rsid w:val="00200302"/>
    <w:rsid w:val="00200785"/>
    <w:rsid w:val="00200C62"/>
    <w:rsid w:val="00200E0D"/>
    <w:rsid w:val="0020155B"/>
    <w:rsid w:val="00201959"/>
    <w:rsid w:val="002019A5"/>
    <w:rsid w:val="0020239B"/>
    <w:rsid w:val="0020459D"/>
    <w:rsid w:val="00204786"/>
    <w:rsid w:val="00204B0F"/>
    <w:rsid w:val="00204B3B"/>
    <w:rsid w:val="00205250"/>
    <w:rsid w:val="00205706"/>
    <w:rsid w:val="002075F8"/>
    <w:rsid w:val="00207D51"/>
    <w:rsid w:val="0021021C"/>
    <w:rsid w:val="00210530"/>
    <w:rsid w:val="002109AE"/>
    <w:rsid w:val="00210CAF"/>
    <w:rsid w:val="00211035"/>
    <w:rsid w:val="00211B76"/>
    <w:rsid w:val="002121A8"/>
    <w:rsid w:val="00212F11"/>
    <w:rsid w:val="0021335E"/>
    <w:rsid w:val="00213396"/>
    <w:rsid w:val="002133EB"/>
    <w:rsid w:val="002133EC"/>
    <w:rsid w:val="00213A2F"/>
    <w:rsid w:val="00213E1F"/>
    <w:rsid w:val="00214377"/>
    <w:rsid w:val="00214ADA"/>
    <w:rsid w:val="00214CDC"/>
    <w:rsid w:val="002150B2"/>
    <w:rsid w:val="002160A4"/>
    <w:rsid w:val="002162AB"/>
    <w:rsid w:val="002167D4"/>
    <w:rsid w:val="00216981"/>
    <w:rsid w:val="00217658"/>
    <w:rsid w:val="002201E4"/>
    <w:rsid w:val="00220704"/>
    <w:rsid w:val="00221815"/>
    <w:rsid w:val="00221DAF"/>
    <w:rsid w:val="00222368"/>
    <w:rsid w:val="00223380"/>
    <w:rsid w:val="002236B2"/>
    <w:rsid w:val="0022484E"/>
    <w:rsid w:val="00224CF9"/>
    <w:rsid w:val="00224D2B"/>
    <w:rsid w:val="00226E37"/>
    <w:rsid w:val="00226E64"/>
    <w:rsid w:val="002271DC"/>
    <w:rsid w:val="00227339"/>
    <w:rsid w:val="00227B13"/>
    <w:rsid w:val="00230174"/>
    <w:rsid w:val="002302FB"/>
    <w:rsid w:val="00230C6A"/>
    <w:rsid w:val="00230D1A"/>
    <w:rsid w:val="0023249B"/>
    <w:rsid w:val="00232D11"/>
    <w:rsid w:val="00232E0B"/>
    <w:rsid w:val="0023447C"/>
    <w:rsid w:val="0023452B"/>
    <w:rsid w:val="002348E3"/>
    <w:rsid w:val="00234E8E"/>
    <w:rsid w:val="00235F62"/>
    <w:rsid w:val="00236A82"/>
    <w:rsid w:val="00236CF6"/>
    <w:rsid w:val="002377F8"/>
    <w:rsid w:val="00237804"/>
    <w:rsid w:val="00237939"/>
    <w:rsid w:val="00237A91"/>
    <w:rsid w:val="0024056F"/>
    <w:rsid w:val="00240947"/>
    <w:rsid w:val="00240FB8"/>
    <w:rsid w:val="0024182E"/>
    <w:rsid w:val="002419E1"/>
    <w:rsid w:val="00241BAE"/>
    <w:rsid w:val="00242161"/>
    <w:rsid w:val="002424E9"/>
    <w:rsid w:val="00242C29"/>
    <w:rsid w:val="002438F4"/>
    <w:rsid w:val="0024394C"/>
    <w:rsid w:val="00243E07"/>
    <w:rsid w:val="00243E3F"/>
    <w:rsid w:val="00244818"/>
    <w:rsid w:val="00245750"/>
    <w:rsid w:val="00246391"/>
    <w:rsid w:val="00250426"/>
    <w:rsid w:val="002506C8"/>
    <w:rsid w:val="00250B14"/>
    <w:rsid w:val="00250C3B"/>
    <w:rsid w:val="00251727"/>
    <w:rsid w:val="00251B39"/>
    <w:rsid w:val="00251F97"/>
    <w:rsid w:val="00253160"/>
    <w:rsid w:val="00253281"/>
    <w:rsid w:val="00253296"/>
    <w:rsid w:val="00253476"/>
    <w:rsid w:val="00254562"/>
    <w:rsid w:val="00254A17"/>
    <w:rsid w:val="0025591E"/>
    <w:rsid w:val="00255EEA"/>
    <w:rsid w:val="002564C3"/>
    <w:rsid w:val="00256607"/>
    <w:rsid w:val="002567F6"/>
    <w:rsid w:val="002569F9"/>
    <w:rsid w:val="0025702E"/>
    <w:rsid w:val="0025727B"/>
    <w:rsid w:val="0025737E"/>
    <w:rsid w:val="00257B3A"/>
    <w:rsid w:val="00260FBB"/>
    <w:rsid w:val="002616BE"/>
    <w:rsid w:val="00262088"/>
    <w:rsid w:val="002628E4"/>
    <w:rsid w:val="0026317E"/>
    <w:rsid w:val="002631A7"/>
    <w:rsid w:val="00263637"/>
    <w:rsid w:val="002657E1"/>
    <w:rsid w:val="00265C0C"/>
    <w:rsid w:val="00265E6C"/>
    <w:rsid w:val="00266008"/>
    <w:rsid w:val="002669A4"/>
    <w:rsid w:val="002669B6"/>
    <w:rsid w:val="002669E7"/>
    <w:rsid w:val="00267012"/>
    <w:rsid w:val="00267316"/>
    <w:rsid w:val="00270875"/>
    <w:rsid w:val="00270F0D"/>
    <w:rsid w:val="002710B7"/>
    <w:rsid w:val="002718E5"/>
    <w:rsid w:val="00271CB4"/>
    <w:rsid w:val="0027298B"/>
    <w:rsid w:val="00272D98"/>
    <w:rsid w:val="00273336"/>
    <w:rsid w:val="0027366D"/>
    <w:rsid w:val="0027410F"/>
    <w:rsid w:val="00274DAD"/>
    <w:rsid w:val="00275267"/>
    <w:rsid w:val="0027531E"/>
    <w:rsid w:val="00275780"/>
    <w:rsid w:val="002759B6"/>
    <w:rsid w:val="00275E84"/>
    <w:rsid w:val="00276E51"/>
    <w:rsid w:val="002812B5"/>
    <w:rsid w:val="002822EC"/>
    <w:rsid w:val="002827DC"/>
    <w:rsid w:val="00282C2E"/>
    <w:rsid w:val="00282FE3"/>
    <w:rsid w:val="00284625"/>
    <w:rsid w:val="002858AF"/>
    <w:rsid w:val="00285E75"/>
    <w:rsid w:val="00285F6B"/>
    <w:rsid w:val="002864DD"/>
    <w:rsid w:val="00286EBB"/>
    <w:rsid w:val="002900D1"/>
    <w:rsid w:val="00290431"/>
    <w:rsid w:val="00290F56"/>
    <w:rsid w:val="00291003"/>
    <w:rsid w:val="00291C6F"/>
    <w:rsid w:val="00293315"/>
    <w:rsid w:val="00293CF6"/>
    <w:rsid w:val="0029493A"/>
    <w:rsid w:val="00294DC8"/>
    <w:rsid w:val="00295EC0"/>
    <w:rsid w:val="0029669E"/>
    <w:rsid w:val="00296AC0"/>
    <w:rsid w:val="0029759C"/>
    <w:rsid w:val="00297705"/>
    <w:rsid w:val="00297D65"/>
    <w:rsid w:val="002A0227"/>
    <w:rsid w:val="002A05CB"/>
    <w:rsid w:val="002A15B0"/>
    <w:rsid w:val="002A2017"/>
    <w:rsid w:val="002A2037"/>
    <w:rsid w:val="002A267D"/>
    <w:rsid w:val="002A2A52"/>
    <w:rsid w:val="002A3CED"/>
    <w:rsid w:val="002A4A15"/>
    <w:rsid w:val="002A4DB4"/>
    <w:rsid w:val="002A599B"/>
    <w:rsid w:val="002A5D07"/>
    <w:rsid w:val="002A5D74"/>
    <w:rsid w:val="002A5E29"/>
    <w:rsid w:val="002A64B7"/>
    <w:rsid w:val="002A6B7C"/>
    <w:rsid w:val="002A71EF"/>
    <w:rsid w:val="002A720A"/>
    <w:rsid w:val="002B0A08"/>
    <w:rsid w:val="002B10E0"/>
    <w:rsid w:val="002B1215"/>
    <w:rsid w:val="002B13C3"/>
    <w:rsid w:val="002B164B"/>
    <w:rsid w:val="002B19F8"/>
    <w:rsid w:val="002B1A19"/>
    <w:rsid w:val="002B1D05"/>
    <w:rsid w:val="002B2C76"/>
    <w:rsid w:val="002B2CE5"/>
    <w:rsid w:val="002B3945"/>
    <w:rsid w:val="002B3DEC"/>
    <w:rsid w:val="002B3E1E"/>
    <w:rsid w:val="002B49A0"/>
    <w:rsid w:val="002B58E0"/>
    <w:rsid w:val="002B5C22"/>
    <w:rsid w:val="002B669D"/>
    <w:rsid w:val="002B72D4"/>
    <w:rsid w:val="002B7868"/>
    <w:rsid w:val="002B7AC8"/>
    <w:rsid w:val="002C06E1"/>
    <w:rsid w:val="002C0841"/>
    <w:rsid w:val="002C0911"/>
    <w:rsid w:val="002C0F97"/>
    <w:rsid w:val="002C155B"/>
    <w:rsid w:val="002C2507"/>
    <w:rsid w:val="002C2BEA"/>
    <w:rsid w:val="002C3170"/>
    <w:rsid w:val="002C3B68"/>
    <w:rsid w:val="002C3BD4"/>
    <w:rsid w:val="002C3DCA"/>
    <w:rsid w:val="002C3F26"/>
    <w:rsid w:val="002C3F3C"/>
    <w:rsid w:val="002C4CDA"/>
    <w:rsid w:val="002C4DA4"/>
    <w:rsid w:val="002C50C0"/>
    <w:rsid w:val="002C5BAE"/>
    <w:rsid w:val="002C5C03"/>
    <w:rsid w:val="002C62E2"/>
    <w:rsid w:val="002C7130"/>
    <w:rsid w:val="002C750E"/>
    <w:rsid w:val="002C75A8"/>
    <w:rsid w:val="002C7FAD"/>
    <w:rsid w:val="002D0F48"/>
    <w:rsid w:val="002D1011"/>
    <w:rsid w:val="002D1BD3"/>
    <w:rsid w:val="002D233E"/>
    <w:rsid w:val="002D23DB"/>
    <w:rsid w:val="002D2445"/>
    <w:rsid w:val="002D35E6"/>
    <w:rsid w:val="002D3682"/>
    <w:rsid w:val="002D489A"/>
    <w:rsid w:val="002D4DE9"/>
    <w:rsid w:val="002D52DE"/>
    <w:rsid w:val="002D6179"/>
    <w:rsid w:val="002D63EA"/>
    <w:rsid w:val="002D679C"/>
    <w:rsid w:val="002D6FE3"/>
    <w:rsid w:val="002D7CD5"/>
    <w:rsid w:val="002E04D1"/>
    <w:rsid w:val="002E0CC0"/>
    <w:rsid w:val="002E0E5D"/>
    <w:rsid w:val="002E12CF"/>
    <w:rsid w:val="002E1B00"/>
    <w:rsid w:val="002E25B4"/>
    <w:rsid w:val="002E3118"/>
    <w:rsid w:val="002E4D1A"/>
    <w:rsid w:val="002E4E33"/>
    <w:rsid w:val="002E546C"/>
    <w:rsid w:val="002E6846"/>
    <w:rsid w:val="002E6E64"/>
    <w:rsid w:val="002E7389"/>
    <w:rsid w:val="002E76CB"/>
    <w:rsid w:val="002F00B5"/>
    <w:rsid w:val="002F04ED"/>
    <w:rsid w:val="002F19FF"/>
    <w:rsid w:val="002F1EF7"/>
    <w:rsid w:val="002F2123"/>
    <w:rsid w:val="002F2219"/>
    <w:rsid w:val="002F230D"/>
    <w:rsid w:val="002F3E01"/>
    <w:rsid w:val="002F40E6"/>
    <w:rsid w:val="002F4482"/>
    <w:rsid w:val="002F4571"/>
    <w:rsid w:val="002F514E"/>
    <w:rsid w:val="002F5367"/>
    <w:rsid w:val="002F611F"/>
    <w:rsid w:val="002F62C2"/>
    <w:rsid w:val="002F7178"/>
    <w:rsid w:val="002F77D6"/>
    <w:rsid w:val="00300258"/>
    <w:rsid w:val="0030074F"/>
    <w:rsid w:val="00300B93"/>
    <w:rsid w:val="00301E64"/>
    <w:rsid w:val="00301F75"/>
    <w:rsid w:val="0030292E"/>
    <w:rsid w:val="00302ABD"/>
    <w:rsid w:val="00302C76"/>
    <w:rsid w:val="00302D3A"/>
    <w:rsid w:val="00302D7E"/>
    <w:rsid w:val="00302FB3"/>
    <w:rsid w:val="003033EC"/>
    <w:rsid w:val="00304006"/>
    <w:rsid w:val="00304894"/>
    <w:rsid w:val="0030503C"/>
    <w:rsid w:val="00305236"/>
    <w:rsid w:val="00305C2B"/>
    <w:rsid w:val="00305D67"/>
    <w:rsid w:val="00306886"/>
    <w:rsid w:val="00306BBD"/>
    <w:rsid w:val="003079AB"/>
    <w:rsid w:val="00310684"/>
    <w:rsid w:val="00311421"/>
    <w:rsid w:val="00311FC9"/>
    <w:rsid w:val="00312096"/>
    <w:rsid w:val="0031223E"/>
    <w:rsid w:val="00312412"/>
    <w:rsid w:val="00312B0E"/>
    <w:rsid w:val="0031357E"/>
    <w:rsid w:val="003139CC"/>
    <w:rsid w:val="00313D0B"/>
    <w:rsid w:val="00313F43"/>
    <w:rsid w:val="003142B2"/>
    <w:rsid w:val="0031456B"/>
    <w:rsid w:val="00314588"/>
    <w:rsid w:val="00315156"/>
    <w:rsid w:val="00315BD7"/>
    <w:rsid w:val="00315EB3"/>
    <w:rsid w:val="003162A9"/>
    <w:rsid w:val="00316AF0"/>
    <w:rsid w:val="00316C7C"/>
    <w:rsid w:val="0031794F"/>
    <w:rsid w:val="00320166"/>
    <w:rsid w:val="00321AD2"/>
    <w:rsid w:val="0032285E"/>
    <w:rsid w:val="00323A8A"/>
    <w:rsid w:val="00323FD4"/>
    <w:rsid w:val="003240EE"/>
    <w:rsid w:val="003243AA"/>
    <w:rsid w:val="00324D12"/>
    <w:rsid w:val="0032574F"/>
    <w:rsid w:val="0032614A"/>
    <w:rsid w:val="003263E4"/>
    <w:rsid w:val="003273D6"/>
    <w:rsid w:val="00327A34"/>
    <w:rsid w:val="00327B87"/>
    <w:rsid w:val="003300F4"/>
    <w:rsid w:val="0033047B"/>
    <w:rsid w:val="0033109B"/>
    <w:rsid w:val="00331F11"/>
    <w:rsid w:val="00331F8F"/>
    <w:rsid w:val="00332070"/>
    <w:rsid w:val="003320CF"/>
    <w:rsid w:val="003325C0"/>
    <w:rsid w:val="003329DB"/>
    <w:rsid w:val="00332B0F"/>
    <w:rsid w:val="0033390F"/>
    <w:rsid w:val="00333D80"/>
    <w:rsid w:val="0033549C"/>
    <w:rsid w:val="003355FF"/>
    <w:rsid w:val="003356D6"/>
    <w:rsid w:val="00335BF2"/>
    <w:rsid w:val="00335FC4"/>
    <w:rsid w:val="003361CB"/>
    <w:rsid w:val="003361EA"/>
    <w:rsid w:val="00336749"/>
    <w:rsid w:val="00336BE6"/>
    <w:rsid w:val="00336DEC"/>
    <w:rsid w:val="0033700F"/>
    <w:rsid w:val="00340373"/>
    <w:rsid w:val="003403B5"/>
    <w:rsid w:val="003404AD"/>
    <w:rsid w:val="003404C2"/>
    <w:rsid w:val="0034076E"/>
    <w:rsid w:val="00340A86"/>
    <w:rsid w:val="003411BA"/>
    <w:rsid w:val="0034121D"/>
    <w:rsid w:val="0034293E"/>
    <w:rsid w:val="00342FB8"/>
    <w:rsid w:val="0034335E"/>
    <w:rsid w:val="00343A11"/>
    <w:rsid w:val="00343E77"/>
    <w:rsid w:val="00343F3E"/>
    <w:rsid w:val="0034443A"/>
    <w:rsid w:val="003447AC"/>
    <w:rsid w:val="00344EC2"/>
    <w:rsid w:val="003450F0"/>
    <w:rsid w:val="00345CEE"/>
    <w:rsid w:val="0034790A"/>
    <w:rsid w:val="00351AA1"/>
    <w:rsid w:val="00351C47"/>
    <w:rsid w:val="00351CFB"/>
    <w:rsid w:val="00351F44"/>
    <w:rsid w:val="00352447"/>
    <w:rsid w:val="00352624"/>
    <w:rsid w:val="0035276E"/>
    <w:rsid w:val="00352A75"/>
    <w:rsid w:val="00352BF8"/>
    <w:rsid w:val="00353E0F"/>
    <w:rsid w:val="00354590"/>
    <w:rsid w:val="003549D8"/>
    <w:rsid w:val="00355035"/>
    <w:rsid w:val="00355357"/>
    <w:rsid w:val="00355588"/>
    <w:rsid w:val="00355893"/>
    <w:rsid w:val="00355B6D"/>
    <w:rsid w:val="00355BB6"/>
    <w:rsid w:val="00355FB6"/>
    <w:rsid w:val="003561E6"/>
    <w:rsid w:val="00356E42"/>
    <w:rsid w:val="00357014"/>
    <w:rsid w:val="003571B4"/>
    <w:rsid w:val="00357BA0"/>
    <w:rsid w:val="00357C5B"/>
    <w:rsid w:val="0036010C"/>
    <w:rsid w:val="0036026F"/>
    <w:rsid w:val="00360337"/>
    <w:rsid w:val="0036037C"/>
    <w:rsid w:val="00361D7D"/>
    <w:rsid w:val="00361EC7"/>
    <w:rsid w:val="00362068"/>
    <w:rsid w:val="003621AE"/>
    <w:rsid w:val="00362225"/>
    <w:rsid w:val="003622ED"/>
    <w:rsid w:val="00362EB9"/>
    <w:rsid w:val="00362F21"/>
    <w:rsid w:val="0036420E"/>
    <w:rsid w:val="003642B1"/>
    <w:rsid w:val="003642F9"/>
    <w:rsid w:val="003644B5"/>
    <w:rsid w:val="003646C7"/>
    <w:rsid w:val="00364898"/>
    <w:rsid w:val="00365A65"/>
    <w:rsid w:val="00365D8E"/>
    <w:rsid w:val="00365E71"/>
    <w:rsid w:val="00366CD6"/>
    <w:rsid w:val="00367773"/>
    <w:rsid w:val="003677A0"/>
    <w:rsid w:val="003678C2"/>
    <w:rsid w:val="003702FF"/>
    <w:rsid w:val="00370314"/>
    <w:rsid w:val="00370449"/>
    <w:rsid w:val="00370523"/>
    <w:rsid w:val="00370C76"/>
    <w:rsid w:val="00371334"/>
    <w:rsid w:val="0037195C"/>
    <w:rsid w:val="00371EEF"/>
    <w:rsid w:val="00372197"/>
    <w:rsid w:val="003721CE"/>
    <w:rsid w:val="003726B1"/>
    <w:rsid w:val="00372C47"/>
    <w:rsid w:val="00372D3D"/>
    <w:rsid w:val="00372DB5"/>
    <w:rsid w:val="00373214"/>
    <w:rsid w:val="00373956"/>
    <w:rsid w:val="00373C51"/>
    <w:rsid w:val="003748F5"/>
    <w:rsid w:val="00374A0B"/>
    <w:rsid w:val="003751A2"/>
    <w:rsid w:val="003751C9"/>
    <w:rsid w:val="0037528C"/>
    <w:rsid w:val="00375515"/>
    <w:rsid w:val="00375EB4"/>
    <w:rsid w:val="0037609D"/>
    <w:rsid w:val="00376A48"/>
    <w:rsid w:val="00377301"/>
    <w:rsid w:val="003773E6"/>
    <w:rsid w:val="00377647"/>
    <w:rsid w:val="00377B06"/>
    <w:rsid w:val="0038001D"/>
    <w:rsid w:val="0038006D"/>
    <w:rsid w:val="003803D8"/>
    <w:rsid w:val="003807D0"/>
    <w:rsid w:val="003817FD"/>
    <w:rsid w:val="003820F8"/>
    <w:rsid w:val="00382BB1"/>
    <w:rsid w:val="00383F34"/>
    <w:rsid w:val="00383F45"/>
    <w:rsid w:val="00384713"/>
    <w:rsid w:val="00384F38"/>
    <w:rsid w:val="00385FD4"/>
    <w:rsid w:val="003865BC"/>
    <w:rsid w:val="00386BB8"/>
    <w:rsid w:val="00386DBF"/>
    <w:rsid w:val="0038707D"/>
    <w:rsid w:val="0038755B"/>
    <w:rsid w:val="00387F0E"/>
    <w:rsid w:val="003901A0"/>
    <w:rsid w:val="00390862"/>
    <w:rsid w:val="00391562"/>
    <w:rsid w:val="003918DA"/>
    <w:rsid w:val="00391C96"/>
    <w:rsid w:val="003925C1"/>
    <w:rsid w:val="003937DC"/>
    <w:rsid w:val="00393A62"/>
    <w:rsid w:val="00394580"/>
    <w:rsid w:val="003947D0"/>
    <w:rsid w:val="003948D2"/>
    <w:rsid w:val="00394FE0"/>
    <w:rsid w:val="00395047"/>
    <w:rsid w:val="003956FA"/>
    <w:rsid w:val="003957BD"/>
    <w:rsid w:val="00395D01"/>
    <w:rsid w:val="00396586"/>
    <w:rsid w:val="003978BE"/>
    <w:rsid w:val="00397CA0"/>
    <w:rsid w:val="00397D71"/>
    <w:rsid w:val="003A009E"/>
    <w:rsid w:val="003A05A0"/>
    <w:rsid w:val="003A1830"/>
    <w:rsid w:val="003A1CFB"/>
    <w:rsid w:val="003A21FA"/>
    <w:rsid w:val="003A286A"/>
    <w:rsid w:val="003A2BEB"/>
    <w:rsid w:val="003A30E7"/>
    <w:rsid w:val="003A33D6"/>
    <w:rsid w:val="003A34A3"/>
    <w:rsid w:val="003A40F5"/>
    <w:rsid w:val="003A4174"/>
    <w:rsid w:val="003A4739"/>
    <w:rsid w:val="003A4FD0"/>
    <w:rsid w:val="003A5179"/>
    <w:rsid w:val="003A69AA"/>
    <w:rsid w:val="003A6E77"/>
    <w:rsid w:val="003A706A"/>
    <w:rsid w:val="003A7266"/>
    <w:rsid w:val="003A7331"/>
    <w:rsid w:val="003A7926"/>
    <w:rsid w:val="003A7A27"/>
    <w:rsid w:val="003A7B27"/>
    <w:rsid w:val="003A7B95"/>
    <w:rsid w:val="003B1681"/>
    <w:rsid w:val="003B1872"/>
    <w:rsid w:val="003B2190"/>
    <w:rsid w:val="003B2202"/>
    <w:rsid w:val="003B227E"/>
    <w:rsid w:val="003B2366"/>
    <w:rsid w:val="003B25FA"/>
    <w:rsid w:val="003B3535"/>
    <w:rsid w:val="003B44C9"/>
    <w:rsid w:val="003B44E9"/>
    <w:rsid w:val="003B4D4A"/>
    <w:rsid w:val="003B5817"/>
    <w:rsid w:val="003B601A"/>
    <w:rsid w:val="003B774D"/>
    <w:rsid w:val="003C070B"/>
    <w:rsid w:val="003C1145"/>
    <w:rsid w:val="003C141B"/>
    <w:rsid w:val="003C1460"/>
    <w:rsid w:val="003C22CA"/>
    <w:rsid w:val="003C2568"/>
    <w:rsid w:val="003C30A3"/>
    <w:rsid w:val="003C345B"/>
    <w:rsid w:val="003C3649"/>
    <w:rsid w:val="003C41F0"/>
    <w:rsid w:val="003C4932"/>
    <w:rsid w:val="003C4DB4"/>
    <w:rsid w:val="003C4F9F"/>
    <w:rsid w:val="003C51C5"/>
    <w:rsid w:val="003C55C3"/>
    <w:rsid w:val="003C61D4"/>
    <w:rsid w:val="003C62B9"/>
    <w:rsid w:val="003C6879"/>
    <w:rsid w:val="003C6BB6"/>
    <w:rsid w:val="003C6E54"/>
    <w:rsid w:val="003C6EFD"/>
    <w:rsid w:val="003C6FB9"/>
    <w:rsid w:val="003C7745"/>
    <w:rsid w:val="003C7B77"/>
    <w:rsid w:val="003D0042"/>
    <w:rsid w:val="003D0352"/>
    <w:rsid w:val="003D1A67"/>
    <w:rsid w:val="003D1A88"/>
    <w:rsid w:val="003D1D5F"/>
    <w:rsid w:val="003D2158"/>
    <w:rsid w:val="003D22AF"/>
    <w:rsid w:val="003D31A0"/>
    <w:rsid w:val="003D34F7"/>
    <w:rsid w:val="003D3E1A"/>
    <w:rsid w:val="003D4B92"/>
    <w:rsid w:val="003D53D4"/>
    <w:rsid w:val="003D5579"/>
    <w:rsid w:val="003D6451"/>
    <w:rsid w:val="003D65DA"/>
    <w:rsid w:val="003D6720"/>
    <w:rsid w:val="003D69C8"/>
    <w:rsid w:val="003D6F6D"/>
    <w:rsid w:val="003D73E2"/>
    <w:rsid w:val="003D7919"/>
    <w:rsid w:val="003D7946"/>
    <w:rsid w:val="003D7E52"/>
    <w:rsid w:val="003E0995"/>
    <w:rsid w:val="003E1095"/>
    <w:rsid w:val="003E112F"/>
    <w:rsid w:val="003E1456"/>
    <w:rsid w:val="003E280B"/>
    <w:rsid w:val="003E28D1"/>
    <w:rsid w:val="003E3362"/>
    <w:rsid w:val="003E3908"/>
    <w:rsid w:val="003E4548"/>
    <w:rsid w:val="003E4B4A"/>
    <w:rsid w:val="003E4D7B"/>
    <w:rsid w:val="003E57A9"/>
    <w:rsid w:val="003E602B"/>
    <w:rsid w:val="003E60A9"/>
    <w:rsid w:val="003E6622"/>
    <w:rsid w:val="003E6724"/>
    <w:rsid w:val="003E6A9C"/>
    <w:rsid w:val="003E6BD5"/>
    <w:rsid w:val="003E6C15"/>
    <w:rsid w:val="003E70DF"/>
    <w:rsid w:val="003E7503"/>
    <w:rsid w:val="003E7C1B"/>
    <w:rsid w:val="003E7F7F"/>
    <w:rsid w:val="003F004C"/>
    <w:rsid w:val="003F0861"/>
    <w:rsid w:val="003F0891"/>
    <w:rsid w:val="003F1077"/>
    <w:rsid w:val="003F1663"/>
    <w:rsid w:val="003F18AA"/>
    <w:rsid w:val="003F264B"/>
    <w:rsid w:val="003F29C8"/>
    <w:rsid w:val="003F36C1"/>
    <w:rsid w:val="003F3760"/>
    <w:rsid w:val="003F37A4"/>
    <w:rsid w:val="003F4057"/>
    <w:rsid w:val="003F471A"/>
    <w:rsid w:val="003F4AC0"/>
    <w:rsid w:val="003F511C"/>
    <w:rsid w:val="003F5271"/>
    <w:rsid w:val="003F6357"/>
    <w:rsid w:val="003F6643"/>
    <w:rsid w:val="003F671E"/>
    <w:rsid w:val="003F7563"/>
    <w:rsid w:val="003F7837"/>
    <w:rsid w:val="003F791E"/>
    <w:rsid w:val="003F79C5"/>
    <w:rsid w:val="00400FF4"/>
    <w:rsid w:val="00401264"/>
    <w:rsid w:val="00401404"/>
    <w:rsid w:val="0040159D"/>
    <w:rsid w:val="00401CAD"/>
    <w:rsid w:val="00401CC6"/>
    <w:rsid w:val="00401F10"/>
    <w:rsid w:val="00401F39"/>
    <w:rsid w:val="004021B1"/>
    <w:rsid w:val="00402930"/>
    <w:rsid w:val="00402E62"/>
    <w:rsid w:val="004031BB"/>
    <w:rsid w:val="004043A7"/>
    <w:rsid w:val="00404BB2"/>
    <w:rsid w:val="00404D87"/>
    <w:rsid w:val="00404E05"/>
    <w:rsid w:val="0040532E"/>
    <w:rsid w:val="00405358"/>
    <w:rsid w:val="00405A0E"/>
    <w:rsid w:val="0040621C"/>
    <w:rsid w:val="00406F13"/>
    <w:rsid w:val="0040728C"/>
    <w:rsid w:val="004072BD"/>
    <w:rsid w:val="00407ED4"/>
    <w:rsid w:val="0041029A"/>
    <w:rsid w:val="00411F9E"/>
    <w:rsid w:val="00412C35"/>
    <w:rsid w:val="0041339E"/>
    <w:rsid w:val="00414237"/>
    <w:rsid w:val="00414738"/>
    <w:rsid w:val="004149B2"/>
    <w:rsid w:val="00414E57"/>
    <w:rsid w:val="00415288"/>
    <w:rsid w:val="00415839"/>
    <w:rsid w:val="00415BCB"/>
    <w:rsid w:val="0041603C"/>
    <w:rsid w:val="004161FE"/>
    <w:rsid w:val="00416843"/>
    <w:rsid w:val="00416EF0"/>
    <w:rsid w:val="0041734C"/>
    <w:rsid w:val="00417EE6"/>
    <w:rsid w:val="00420AA5"/>
    <w:rsid w:val="00421C1D"/>
    <w:rsid w:val="00421DF2"/>
    <w:rsid w:val="00422189"/>
    <w:rsid w:val="00422415"/>
    <w:rsid w:val="00422CC2"/>
    <w:rsid w:val="0042326D"/>
    <w:rsid w:val="00424770"/>
    <w:rsid w:val="004247B4"/>
    <w:rsid w:val="00424A29"/>
    <w:rsid w:val="00424BA3"/>
    <w:rsid w:val="004253E5"/>
    <w:rsid w:val="0042558D"/>
    <w:rsid w:val="00426D80"/>
    <w:rsid w:val="00427399"/>
    <w:rsid w:val="00427B72"/>
    <w:rsid w:val="00430F30"/>
    <w:rsid w:val="00431356"/>
    <w:rsid w:val="00431455"/>
    <w:rsid w:val="004315AD"/>
    <w:rsid w:val="0043183F"/>
    <w:rsid w:val="00431C7F"/>
    <w:rsid w:val="00432479"/>
    <w:rsid w:val="00432ABB"/>
    <w:rsid w:val="00433458"/>
    <w:rsid w:val="00434C71"/>
    <w:rsid w:val="00435482"/>
    <w:rsid w:val="00435D83"/>
    <w:rsid w:val="00435E57"/>
    <w:rsid w:val="0043617B"/>
    <w:rsid w:val="004365C4"/>
    <w:rsid w:val="00436F36"/>
    <w:rsid w:val="00437E9C"/>
    <w:rsid w:val="0044063D"/>
    <w:rsid w:val="00440D03"/>
    <w:rsid w:val="004418CC"/>
    <w:rsid w:val="00441C87"/>
    <w:rsid w:val="00441F13"/>
    <w:rsid w:val="00442D9E"/>
    <w:rsid w:val="00442DAA"/>
    <w:rsid w:val="00443654"/>
    <w:rsid w:val="00443940"/>
    <w:rsid w:val="004447E4"/>
    <w:rsid w:val="00445104"/>
    <w:rsid w:val="00445478"/>
    <w:rsid w:val="004459C3"/>
    <w:rsid w:val="00445CB8"/>
    <w:rsid w:val="00446D14"/>
    <w:rsid w:val="00446F01"/>
    <w:rsid w:val="004473A0"/>
    <w:rsid w:val="00447B71"/>
    <w:rsid w:val="00447D41"/>
    <w:rsid w:val="00450E39"/>
    <w:rsid w:val="00451036"/>
    <w:rsid w:val="00451793"/>
    <w:rsid w:val="00451DEE"/>
    <w:rsid w:val="004524AB"/>
    <w:rsid w:val="00452D79"/>
    <w:rsid w:val="00453B6C"/>
    <w:rsid w:val="00454689"/>
    <w:rsid w:val="004547D0"/>
    <w:rsid w:val="004548C4"/>
    <w:rsid w:val="00454D3D"/>
    <w:rsid w:val="00456094"/>
    <w:rsid w:val="0045688D"/>
    <w:rsid w:val="00456BA9"/>
    <w:rsid w:val="004573E5"/>
    <w:rsid w:val="00461A77"/>
    <w:rsid w:val="00462D4F"/>
    <w:rsid w:val="00463548"/>
    <w:rsid w:val="00463BC2"/>
    <w:rsid w:val="004645A6"/>
    <w:rsid w:val="00464606"/>
    <w:rsid w:val="00464AC3"/>
    <w:rsid w:val="00464DB6"/>
    <w:rsid w:val="00464E03"/>
    <w:rsid w:val="00464FCF"/>
    <w:rsid w:val="00465641"/>
    <w:rsid w:val="004658AE"/>
    <w:rsid w:val="00465E69"/>
    <w:rsid w:val="00466244"/>
    <w:rsid w:val="004662ED"/>
    <w:rsid w:val="004665FE"/>
    <w:rsid w:val="00466C0E"/>
    <w:rsid w:val="00466CAF"/>
    <w:rsid w:val="00466D89"/>
    <w:rsid w:val="00467BF2"/>
    <w:rsid w:val="004702E6"/>
    <w:rsid w:val="004709BD"/>
    <w:rsid w:val="004711A0"/>
    <w:rsid w:val="00472108"/>
    <w:rsid w:val="0047229C"/>
    <w:rsid w:val="00472593"/>
    <w:rsid w:val="0047259F"/>
    <w:rsid w:val="0047260A"/>
    <w:rsid w:val="00472964"/>
    <w:rsid w:val="00472D38"/>
    <w:rsid w:val="00472E10"/>
    <w:rsid w:val="00473458"/>
    <w:rsid w:val="00473563"/>
    <w:rsid w:val="004743AF"/>
    <w:rsid w:val="0047469B"/>
    <w:rsid w:val="004749AD"/>
    <w:rsid w:val="00474C19"/>
    <w:rsid w:val="00474D68"/>
    <w:rsid w:val="00474DF7"/>
    <w:rsid w:val="004750DD"/>
    <w:rsid w:val="0047539A"/>
    <w:rsid w:val="004753B1"/>
    <w:rsid w:val="00475E47"/>
    <w:rsid w:val="00476AC6"/>
    <w:rsid w:val="0047748B"/>
    <w:rsid w:val="00477526"/>
    <w:rsid w:val="00477BD5"/>
    <w:rsid w:val="004801D2"/>
    <w:rsid w:val="00480448"/>
    <w:rsid w:val="004808DB"/>
    <w:rsid w:val="00481972"/>
    <w:rsid w:val="00481997"/>
    <w:rsid w:val="00481D77"/>
    <w:rsid w:val="00482040"/>
    <w:rsid w:val="00482F4B"/>
    <w:rsid w:val="0048373C"/>
    <w:rsid w:val="00483A27"/>
    <w:rsid w:val="00483ADF"/>
    <w:rsid w:val="00484999"/>
    <w:rsid w:val="00484F6F"/>
    <w:rsid w:val="004855D3"/>
    <w:rsid w:val="004857E9"/>
    <w:rsid w:val="00486696"/>
    <w:rsid w:val="004871C8"/>
    <w:rsid w:val="00487793"/>
    <w:rsid w:val="00490F6D"/>
    <w:rsid w:val="00491DE0"/>
    <w:rsid w:val="00491FB8"/>
    <w:rsid w:val="00492518"/>
    <w:rsid w:val="00492B96"/>
    <w:rsid w:val="00494061"/>
    <w:rsid w:val="0049553F"/>
    <w:rsid w:val="00495CB7"/>
    <w:rsid w:val="00495F61"/>
    <w:rsid w:val="004969F2"/>
    <w:rsid w:val="0049765A"/>
    <w:rsid w:val="004A0406"/>
    <w:rsid w:val="004A0455"/>
    <w:rsid w:val="004A107C"/>
    <w:rsid w:val="004A14B4"/>
    <w:rsid w:val="004A158E"/>
    <w:rsid w:val="004A1A76"/>
    <w:rsid w:val="004A206C"/>
    <w:rsid w:val="004A2F4B"/>
    <w:rsid w:val="004A3483"/>
    <w:rsid w:val="004A3A0A"/>
    <w:rsid w:val="004A4D77"/>
    <w:rsid w:val="004A4E08"/>
    <w:rsid w:val="004A509B"/>
    <w:rsid w:val="004A54AD"/>
    <w:rsid w:val="004A5628"/>
    <w:rsid w:val="004A57BB"/>
    <w:rsid w:val="004A5ADD"/>
    <w:rsid w:val="004A5B68"/>
    <w:rsid w:val="004A68E5"/>
    <w:rsid w:val="004A6F6F"/>
    <w:rsid w:val="004A7E67"/>
    <w:rsid w:val="004B046B"/>
    <w:rsid w:val="004B06FD"/>
    <w:rsid w:val="004B23DF"/>
    <w:rsid w:val="004B25C6"/>
    <w:rsid w:val="004B2B87"/>
    <w:rsid w:val="004B2CE7"/>
    <w:rsid w:val="004B2FAF"/>
    <w:rsid w:val="004B42CA"/>
    <w:rsid w:val="004B4995"/>
    <w:rsid w:val="004B5376"/>
    <w:rsid w:val="004B5494"/>
    <w:rsid w:val="004B5564"/>
    <w:rsid w:val="004B60D8"/>
    <w:rsid w:val="004B64D4"/>
    <w:rsid w:val="004B743A"/>
    <w:rsid w:val="004C0396"/>
    <w:rsid w:val="004C07B3"/>
    <w:rsid w:val="004C098C"/>
    <w:rsid w:val="004C0E02"/>
    <w:rsid w:val="004C13EC"/>
    <w:rsid w:val="004C1654"/>
    <w:rsid w:val="004C273B"/>
    <w:rsid w:val="004C3739"/>
    <w:rsid w:val="004C3B50"/>
    <w:rsid w:val="004C3C12"/>
    <w:rsid w:val="004C3D0B"/>
    <w:rsid w:val="004C46DC"/>
    <w:rsid w:val="004C4D01"/>
    <w:rsid w:val="004C568C"/>
    <w:rsid w:val="004C59AD"/>
    <w:rsid w:val="004C5E5B"/>
    <w:rsid w:val="004C6839"/>
    <w:rsid w:val="004C6BB9"/>
    <w:rsid w:val="004C6E38"/>
    <w:rsid w:val="004C6EB3"/>
    <w:rsid w:val="004C770B"/>
    <w:rsid w:val="004C7BD6"/>
    <w:rsid w:val="004D071E"/>
    <w:rsid w:val="004D1347"/>
    <w:rsid w:val="004D233E"/>
    <w:rsid w:val="004D2BB0"/>
    <w:rsid w:val="004D3213"/>
    <w:rsid w:val="004D3AB0"/>
    <w:rsid w:val="004D3B31"/>
    <w:rsid w:val="004D3CC7"/>
    <w:rsid w:val="004D4354"/>
    <w:rsid w:val="004D44ED"/>
    <w:rsid w:val="004D45B9"/>
    <w:rsid w:val="004D49EB"/>
    <w:rsid w:val="004D4E9B"/>
    <w:rsid w:val="004D59BC"/>
    <w:rsid w:val="004D61C4"/>
    <w:rsid w:val="004D662C"/>
    <w:rsid w:val="004D6D14"/>
    <w:rsid w:val="004D6E64"/>
    <w:rsid w:val="004D6FCF"/>
    <w:rsid w:val="004D71B9"/>
    <w:rsid w:val="004D7203"/>
    <w:rsid w:val="004D75C0"/>
    <w:rsid w:val="004D7D01"/>
    <w:rsid w:val="004E17EA"/>
    <w:rsid w:val="004E2DF9"/>
    <w:rsid w:val="004E2FA1"/>
    <w:rsid w:val="004E3239"/>
    <w:rsid w:val="004E3483"/>
    <w:rsid w:val="004E357F"/>
    <w:rsid w:val="004E376D"/>
    <w:rsid w:val="004E37A2"/>
    <w:rsid w:val="004E381F"/>
    <w:rsid w:val="004E38FE"/>
    <w:rsid w:val="004E4EF1"/>
    <w:rsid w:val="004E51F3"/>
    <w:rsid w:val="004E68A2"/>
    <w:rsid w:val="004E68BF"/>
    <w:rsid w:val="004E68C1"/>
    <w:rsid w:val="004E6A7C"/>
    <w:rsid w:val="004E6CD1"/>
    <w:rsid w:val="004E7AF2"/>
    <w:rsid w:val="004F01F0"/>
    <w:rsid w:val="004F02FA"/>
    <w:rsid w:val="004F041E"/>
    <w:rsid w:val="004F08AD"/>
    <w:rsid w:val="004F0EA1"/>
    <w:rsid w:val="004F100A"/>
    <w:rsid w:val="004F10F5"/>
    <w:rsid w:val="004F229B"/>
    <w:rsid w:val="004F251B"/>
    <w:rsid w:val="004F261D"/>
    <w:rsid w:val="004F2BDE"/>
    <w:rsid w:val="004F2C46"/>
    <w:rsid w:val="004F2ED3"/>
    <w:rsid w:val="004F3504"/>
    <w:rsid w:val="004F3CFA"/>
    <w:rsid w:val="004F403C"/>
    <w:rsid w:val="004F429C"/>
    <w:rsid w:val="004F45A2"/>
    <w:rsid w:val="004F4799"/>
    <w:rsid w:val="004F4B4F"/>
    <w:rsid w:val="004F4CE9"/>
    <w:rsid w:val="004F4F0E"/>
    <w:rsid w:val="004F6808"/>
    <w:rsid w:val="004F6C7E"/>
    <w:rsid w:val="004F6D61"/>
    <w:rsid w:val="004F798F"/>
    <w:rsid w:val="004F7996"/>
    <w:rsid w:val="00500653"/>
    <w:rsid w:val="005006A1"/>
    <w:rsid w:val="00501520"/>
    <w:rsid w:val="00501ECD"/>
    <w:rsid w:val="005027B3"/>
    <w:rsid w:val="005032CF"/>
    <w:rsid w:val="00504222"/>
    <w:rsid w:val="00504ECC"/>
    <w:rsid w:val="005051FB"/>
    <w:rsid w:val="00505202"/>
    <w:rsid w:val="00505A85"/>
    <w:rsid w:val="00505AC3"/>
    <w:rsid w:val="0050641E"/>
    <w:rsid w:val="00507329"/>
    <w:rsid w:val="005079BC"/>
    <w:rsid w:val="00510D1F"/>
    <w:rsid w:val="005123AC"/>
    <w:rsid w:val="00512907"/>
    <w:rsid w:val="00512FC9"/>
    <w:rsid w:val="00513641"/>
    <w:rsid w:val="00513A1F"/>
    <w:rsid w:val="00513CC4"/>
    <w:rsid w:val="00514707"/>
    <w:rsid w:val="0051489E"/>
    <w:rsid w:val="005159A0"/>
    <w:rsid w:val="00516838"/>
    <w:rsid w:val="0051795D"/>
    <w:rsid w:val="00520806"/>
    <w:rsid w:val="00521055"/>
    <w:rsid w:val="005212F7"/>
    <w:rsid w:val="005217AF"/>
    <w:rsid w:val="0052270E"/>
    <w:rsid w:val="005233FE"/>
    <w:rsid w:val="00524D9E"/>
    <w:rsid w:val="00524EC7"/>
    <w:rsid w:val="0052567A"/>
    <w:rsid w:val="00526471"/>
    <w:rsid w:val="0052655F"/>
    <w:rsid w:val="005267E3"/>
    <w:rsid w:val="00526915"/>
    <w:rsid w:val="00526FC6"/>
    <w:rsid w:val="005271FF"/>
    <w:rsid w:val="005277DB"/>
    <w:rsid w:val="005279EE"/>
    <w:rsid w:val="00527ACF"/>
    <w:rsid w:val="00530563"/>
    <w:rsid w:val="0053074F"/>
    <w:rsid w:val="00530D0C"/>
    <w:rsid w:val="00530D9F"/>
    <w:rsid w:val="005310EC"/>
    <w:rsid w:val="005312C7"/>
    <w:rsid w:val="0053146F"/>
    <w:rsid w:val="005328D2"/>
    <w:rsid w:val="00532906"/>
    <w:rsid w:val="00532BDE"/>
    <w:rsid w:val="0053322E"/>
    <w:rsid w:val="0053345F"/>
    <w:rsid w:val="00533B8A"/>
    <w:rsid w:val="00533E21"/>
    <w:rsid w:val="005349E9"/>
    <w:rsid w:val="00534BFE"/>
    <w:rsid w:val="005358B1"/>
    <w:rsid w:val="00535A0D"/>
    <w:rsid w:val="0053604B"/>
    <w:rsid w:val="00537390"/>
    <w:rsid w:val="0053744C"/>
    <w:rsid w:val="005378B1"/>
    <w:rsid w:val="00537ADE"/>
    <w:rsid w:val="00537D52"/>
    <w:rsid w:val="00537E71"/>
    <w:rsid w:val="00540067"/>
    <w:rsid w:val="00540198"/>
    <w:rsid w:val="005403D8"/>
    <w:rsid w:val="005409E1"/>
    <w:rsid w:val="00541026"/>
    <w:rsid w:val="005418FA"/>
    <w:rsid w:val="0054270E"/>
    <w:rsid w:val="00542C84"/>
    <w:rsid w:val="00542D27"/>
    <w:rsid w:val="00542F8D"/>
    <w:rsid w:val="00543067"/>
    <w:rsid w:val="00543269"/>
    <w:rsid w:val="00543B71"/>
    <w:rsid w:val="00543E1F"/>
    <w:rsid w:val="00544767"/>
    <w:rsid w:val="005447E2"/>
    <w:rsid w:val="00544AB9"/>
    <w:rsid w:val="00544F9C"/>
    <w:rsid w:val="0054609F"/>
    <w:rsid w:val="005461BC"/>
    <w:rsid w:val="005466E3"/>
    <w:rsid w:val="00547248"/>
    <w:rsid w:val="005474EA"/>
    <w:rsid w:val="005506C8"/>
    <w:rsid w:val="00550AF7"/>
    <w:rsid w:val="00550BEA"/>
    <w:rsid w:val="00551A33"/>
    <w:rsid w:val="00553015"/>
    <w:rsid w:val="005533AE"/>
    <w:rsid w:val="00553BDD"/>
    <w:rsid w:val="00553D9E"/>
    <w:rsid w:val="00553EF5"/>
    <w:rsid w:val="00553F00"/>
    <w:rsid w:val="00553FD0"/>
    <w:rsid w:val="00554381"/>
    <w:rsid w:val="00554682"/>
    <w:rsid w:val="00554CDA"/>
    <w:rsid w:val="00554D7C"/>
    <w:rsid w:val="005551E9"/>
    <w:rsid w:val="0055530B"/>
    <w:rsid w:val="0055590A"/>
    <w:rsid w:val="00556F8D"/>
    <w:rsid w:val="00557174"/>
    <w:rsid w:val="0055774C"/>
    <w:rsid w:val="005579D5"/>
    <w:rsid w:val="00557A25"/>
    <w:rsid w:val="00557F45"/>
    <w:rsid w:val="0056046B"/>
    <w:rsid w:val="0056109D"/>
    <w:rsid w:val="0056131C"/>
    <w:rsid w:val="005615C7"/>
    <w:rsid w:val="0056268B"/>
    <w:rsid w:val="00562E54"/>
    <w:rsid w:val="00563162"/>
    <w:rsid w:val="00563BCD"/>
    <w:rsid w:val="00563CB0"/>
    <w:rsid w:val="00563D58"/>
    <w:rsid w:val="00563E75"/>
    <w:rsid w:val="00563F56"/>
    <w:rsid w:val="00564514"/>
    <w:rsid w:val="00564646"/>
    <w:rsid w:val="005651CD"/>
    <w:rsid w:val="00566401"/>
    <w:rsid w:val="00566488"/>
    <w:rsid w:val="00566A9A"/>
    <w:rsid w:val="005671FF"/>
    <w:rsid w:val="00567934"/>
    <w:rsid w:val="005709DF"/>
    <w:rsid w:val="00571A2F"/>
    <w:rsid w:val="00571FEB"/>
    <w:rsid w:val="005722C5"/>
    <w:rsid w:val="005724C1"/>
    <w:rsid w:val="00572A5E"/>
    <w:rsid w:val="00573F6D"/>
    <w:rsid w:val="00574795"/>
    <w:rsid w:val="00574CD3"/>
    <w:rsid w:val="00574D3D"/>
    <w:rsid w:val="00575712"/>
    <w:rsid w:val="00575717"/>
    <w:rsid w:val="00575D14"/>
    <w:rsid w:val="005774DD"/>
    <w:rsid w:val="005775E5"/>
    <w:rsid w:val="005775F7"/>
    <w:rsid w:val="00577665"/>
    <w:rsid w:val="0057779E"/>
    <w:rsid w:val="00577FE1"/>
    <w:rsid w:val="00581078"/>
    <w:rsid w:val="00581C60"/>
    <w:rsid w:val="0058293A"/>
    <w:rsid w:val="00582CFD"/>
    <w:rsid w:val="00582FDA"/>
    <w:rsid w:val="00583CDC"/>
    <w:rsid w:val="00584835"/>
    <w:rsid w:val="00584C5C"/>
    <w:rsid w:val="00585021"/>
    <w:rsid w:val="0058530E"/>
    <w:rsid w:val="00585CC9"/>
    <w:rsid w:val="005860E9"/>
    <w:rsid w:val="005864CC"/>
    <w:rsid w:val="005869FA"/>
    <w:rsid w:val="00586AB6"/>
    <w:rsid w:val="00587082"/>
    <w:rsid w:val="00587B90"/>
    <w:rsid w:val="00587BC8"/>
    <w:rsid w:val="00587ECF"/>
    <w:rsid w:val="0059001F"/>
    <w:rsid w:val="00590296"/>
    <w:rsid w:val="0059035E"/>
    <w:rsid w:val="00590DC7"/>
    <w:rsid w:val="0059167B"/>
    <w:rsid w:val="005919CD"/>
    <w:rsid w:val="00592330"/>
    <w:rsid w:val="00592B69"/>
    <w:rsid w:val="00592E40"/>
    <w:rsid w:val="00592EA4"/>
    <w:rsid w:val="0059360E"/>
    <w:rsid w:val="0059380D"/>
    <w:rsid w:val="005943CF"/>
    <w:rsid w:val="005948DE"/>
    <w:rsid w:val="00594BC7"/>
    <w:rsid w:val="0059503F"/>
    <w:rsid w:val="005973CF"/>
    <w:rsid w:val="005976C2"/>
    <w:rsid w:val="00597D9F"/>
    <w:rsid w:val="005A06EA"/>
    <w:rsid w:val="005A0DEB"/>
    <w:rsid w:val="005A10D0"/>
    <w:rsid w:val="005A1CB3"/>
    <w:rsid w:val="005A2AD5"/>
    <w:rsid w:val="005A2B21"/>
    <w:rsid w:val="005A2D49"/>
    <w:rsid w:val="005A37C7"/>
    <w:rsid w:val="005A38A0"/>
    <w:rsid w:val="005A3F88"/>
    <w:rsid w:val="005A4AD2"/>
    <w:rsid w:val="005A5049"/>
    <w:rsid w:val="005A51BC"/>
    <w:rsid w:val="005A5490"/>
    <w:rsid w:val="005A554C"/>
    <w:rsid w:val="005A631B"/>
    <w:rsid w:val="005A656F"/>
    <w:rsid w:val="005A68A9"/>
    <w:rsid w:val="005A6D8C"/>
    <w:rsid w:val="005A6E11"/>
    <w:rsid w:val="005A704D"/>
    <w:rsid w:val="005A77EB"/>
    <w:rsid w:val="005A785A"/>
    <w:rsid w:val="005A78E1"/>
    <w:rsid w:val="005A79CB"/>
    <w:rsid w:val="005A7D35"/>
    <w:rsid w:val="005B09E2"/>
    <w:rsid w:val="005B21B5"/>
    <w:rsid w:val="005B239D"/>
    <w:rsid w:val="005B275D"/>
    <w:rsid w:val="005B2DD1"/>
    <w:rsid w:val="005B2F9B"/>
    <w:rsid w:val="005B3612"/>
    <w:rsid w:val="005B37BF"/>
    <w:rsid w:val="005B3D74"/>
    <w:rsid w:val="005B42A2"/>
    <w:rsid w:val="005B4A18"/>
    <w:rsid w:val="005B4A9C"/>
    <w:rsid w:val="005B4B01"/>
    <w:rsid w:val="005B508E"/>
    <w:rsid w:val="005B51CA"/>
    <w:rsid w:val="005B584A"/>
    <w:rsid w:val="005B592C"/>
    <w:rsid w:val="005B6668"/>
    <w:rsid w:val="005B6738"/>
    <w:rsid w:val="005B6F53"/>
    <w:rsid w:val="005B6FCC"/>
    <w:rsid w:val="005B7387"/>
    <w:rsid w:val="005B73CA"/>
    <w:rsid w:val="005B7BDA"/>
    <w:rsid w:val="005C07B5"/>
    <w:rsid w:val="005C0E61"/>
    <w:rsid w:val="005C1AE1"/>
    <w:rsid w:val="005C1F65"/>
    <w:rsid w:val="005C2DA4"/>
    <w:rsid w:val="005C30B1"/>
    <w:rsid w:val="005C33D2"/>
    <w:rsid w:val="005C432F"/>
    <w:rsid w:val="005C4E63"/>
    <w:rsid w:val="005C5F74"/>
    <w:rsid w:val="005C5FBE"/>
    <w:rsid w:val="005C6253"/>
    <w:rsid w:val="005C63C8"/>
    <w:rsid w:val="005C6DFF"/>
    <w:rsid w:val="005C7099"/>
    <w:rsid w:val="005C75BB"/>
    <w:rsid w:val="005C75D8"/>
    <w:rsid w:val="005C7EB3"/>
    <w:rsid w:val="005D0873"/>
    <w:rsid w:val="005D0D0C"/>
    <w:rsid w:val="005D0F1E"/>
    <w:rsid w:val="005D0F69"/>
    <w:rsid w:val="005D1622"/>
    <w:rsid w:val="005D198C"/>
    <w:rsid w:val="005D1B04"/>
    <w:rsid w:val="005D1CA3"/>
    <w:rsid w:val="005D1DDA"/>
    <w:rsid w:val="005D3125"/>
    <w:rsid w:val="005D33FF"/>
    <w:rsid w:val="005D40B0"/>
    <w:rsid w:val="005D4243"/>
    <w:rsid w:val="005D4287"/>
    <w:rsid w:val="005D47E7"/>
    <w:rsid w:val="005D4952"/>
    <w:rsid w:val="005D577B"/>
    <w:rsid w:val="005D5BDE"/>
    <w:rsid w:val="005D6C4D"/>
    <w:rsid w:val="005D6D0F"/>
    <w:rsid w:val="005D74FA"/>
    <w:rsid w:val="005D75DE"/>
    <w:rsid w:val="005D7922"/>
    <w:rsid w:val="005D7B37"/>
    <w:rsid w:val="005E0274"/>
    <w:rsid w:val="005E030E"/>
    <w:rsid w:val="005E114A"/>
    <w:rsid w:val="005E12A8"/>
    <w:rsid w:val="005E12D1"/>
    <w:rsid w:val="005E14BC"/>
    <w:rsid w:val="005E1A1D"/>
    <w:rsid w:val="005E1F80"/>
    <w:rsid w:val="005E35A4"/>
    <w:rsid w:val="005E366E"/>
    <w:rsid w:val="005E367E"/>
    <w:rsid w:val="005E3AB8"/>
    <w:rsid w:val="005E4B8C"/>
    <w:rsid w:val="005E50BE"/>
    <w:rsid w:val="005E5572"/>
    <w:rsid w:val="005E57A4"/>
    <w:rsid w:val="005E60D2"/>
    <w:rsid w:val="005E61AC"/>
    <w:rsid w:val="005E62C1"/>
    <w:rsid w:val="005E69C0"/>
    <w:rsid w:val="005E7EC3"/>
    <w:rsid w:val="005F06AC"/>
    <w:rsid w:val="005F107C"/>
    <w:rsid w:val="005F15A4"/>
    <w:rsid w:val="005F2008"/>
    <w:rsid w:val="005F20A1"/>
    <w:rsid w:val="005F241E"/>
    <w:rsid w:val="005F2903"/>
    <w:rsid w:val="005F2C57"/>
    <w:rsid w:val="005F3418"/>
    <w:rsid w:val="005F4517"/>
    <w:rsid w:val="005F5091"/>
    <w:rsid w:val="005F50E9"/>
    <w:rsid w:val="005F561A"/>
    <w:rsid w:val="005F5851"/>
    <w:rsid w:val="005F5A11"/>
    <w:rsid w:val="005F5A5B"/>
    <w:rsid w:val="005F635A"/>
    <w:rsid w:val="005F635C"/>
    <w:rsid w:val="005F6DA7"/>
    <w:rsid w:val="005F6F28"/>
    <w:rsid w:val="005F71D0"/>
    <w:rsid w:val="005F723D"/>
    <w:rsid w:val="005F7663"/>
    <w:rsid w:val="005F772E"/>
    <w:rsid w:val="005F794C"/>
    <w:rsid w:val="005F7A2B"/>
    <w:rsid w:val="005F7C2F"/>
    <w:rsid w:val="00601697"/>
    <w:rsid w:val="0060174A"/>
    <w:rsid w:val="006027D9"/>
    <w:rsid w:val="00603265"/>
    <w:rsid w:val="006039F3"/>
    <w:rsid w:val="00603C67"/>
    <w:rsid w:val="00603E8C"/>
    <w:rsid w:val="00604203"/>
    <w:rsid w:val="00604DE9"/>
    <w:rsid w:val="006058D1"/>
    <w:rsid w:val="00605E8F"/>
    <w:rsid w:val="006065BA"/>
    <w:rsid w:val="006071BE"/>
    <w:rsid w:val="00610294"/>
    <w:rsid w:val="00610870"/>
    <w:rsid w:val="0061115A"/>
    <w:rsid w:val="00611999"/>
    <w:rsid w:val="00611BC4"/>
    <w:rsid w:val="00611D92"/>
    <w:rsid w:val="00612050"/>
    <w:rsid w:val="0061277B"/>
    <w:rsid w:val="006128F1"/>
    <w:rsid w:val="0061359D"/>
    <w:rsid w:val="00613FB9"/>
    <w:rsid w:val="006141DB"/>
    <w:rsid w:val="0061441B"/>
    <w:rsid w:val="006145B4"/>
    <w:rsid w:val="006146DB"/>
    <w:rsid w:val="006147B4"/>
    <w:rsid w:val="00614827"/>
    <w:rsid w:val="00614937"/>
    <w:rsid w:val="00614AAE"/>
    <w:rsid w:val="00615DA0"/>
    <w:rsid w:val="0061616E"/>
    <w:rsid w:val="00616DB9"/>
    <w:rsid w:val="006203FA"/>
    <w:rsid w:val="00620433"/>
    <w:rsid w:val="0062043B"/>
    <w:rsid w:val="00620CFA"/>
    <w:rsid w:val="00621492"/>
    <w:rsid w:val="00621793"/>
    <w:rsid w:val="00621B8B"/>
    <w:rsid w:val="00621E88"/>
    <w:rsid w:val="00622301"/>
    <w:rsid w:val="006223E9"/>
    <w:rsid w:val="006227DE"/>
    <w:rsid w:val="00623087"/>
    <w:rsid w:val="00623219"/>
    <w:rsid w:val="00623A15"/>
    <w:rsid w:val="00624530"/>
    <w:rsid w:val="00624FC2"/>
    <w:rsid w:val="0062527C"/>
    <w:rsid w:val="00625B5C"/>
    <w:rsid w:val="00625B7A"/>
    <w:rsid w:val="006264F1"/>
    <w:rsid w:val="00627192"/>
    <w:rsid w:val="006272D7"/>
    <w:rsid w:val="00627D20"/>
    <w:rsid w:val="006304D7"/>
    <w:rsid w:val="0063053B"/>
    <w:rsid w:val="00631427"/>
    <w:rsid w:val="00632E49"/>
    <w:rsid w:val="00633803"/>
    <w:rsid w:val="00633987"/>
    <w:rsid w:val="0063512C"/>
    <w:rsid w:val="00635EA5"/>
    <w:rsid w:val="00636F0B"/>
    <w:rsid w:val="00637016"/>
    <w:rsid w:val="00637131"/>
    <w:rsid w:val="00637162"/>
    <w:rsid w:val="00637367"/>
    <w:rsid w:val="00637EBA"/>
    <w:rsid w:val="00640BB7"/>
    <w:rsid w:val="0064118F"/>
    <w:rsid w:val="00642658"/>
    <w:rsid w:val="006427FE"/>
    <w:rsid w:val="0064382F"/>
    <w:rsid w:val="00643B10"/>
    <w:rsid w:val="00643B77"/>
    <w:rsid w:val="00643B94"/>
    <w:rsid w:val="00643D79"/>
    <w:rsid w:val="0064430F"/>
    <w:rsid w:val="006454BB"/>
    <w:rsid w:val="006457E1"/>
    <w:rsid w:val="00645EC2"/>
    <w:rsid w:val="00646F1C"/>
    <w:rsid w:val="0064705D"/>
    <w:rsid w:val="00647146"/>
    <w:rsid w:val="00647432"/>
    <w:rsid w:val="00647521"/>
    <w:rsid w:val="00647641"/>
    <w:rsid w:val="00647AAA"/>
    <w:rsid w:val="0065126F"/>
    <w:rsid w:val="0065147E"/>
    <w:rsid w:val="00651F22"/>
    <w:rsid w:val="00651F56"/>
    <w:rsid w:val="006521EA"/>
    <w:rsid w:val="006528FD"/>
    <w:rsid w:val="00652C3F"/>
    <w:rsid w:val="006530F1"/>
    <w:rsid w:val="0065310A"/>
    <w:rsid w:val="00653D62"/>
    <w:rsid w:val="00653E6A"/>
    <w:rsid w:val="00654141"/>
    <w:rsid w:val="00654A4C"/>
    <w:rsid w:val="00656288"/>
    <w:rsid w:val="00656314"/>
    <w:rsid w:val="00656577"/>
    <w:rsid w:val="00656785"/>
    <w:rsid w:val="00656E25"/>
    <w:rsid w:val="0065756B"/>
    <w:rsid w:val="0065760F"/>
    <w:rsid w:val="00657894"/>
    <w:rsid w:val="006602A4"/>
    <w:rsid w:val="00660841"/>
    <w:rsid w:val="00661839"/>
    <w:rsid w:val="00661882"/>
    <w:rsid w:val="00661A8C"/>
    <w:rsid w:val="00662345"/>
    <w:rsid w:val="00662870"/>
    <w:rsid w:val="0066352C"/>
    <w:rsid w:val="0066387C"/>
    <w:rsid w:val="00663FBA"/>
    <w:rsid w:val="0066408B"/>
    <w:rsid w:val="00664753"/>
    <w:rsid w:val="00664867"/>
    <w:rsid w:val="00664BDC"/>
    <w:rsid w:val="00664ED7"/>
    <w:rsid w:val="00664FEC"/>
    <w:rsid w:val="00665009"/>
    <w:rsid w:val="006658BE"/>
    <w:rsid w:val="00665B06"/>
    <w:rsid w:val="00665BBF"/>
    <w:rsid w:val="00665BD2"/>
    <w:rsid w:val="00665EFC"/>
    <w:rsid w:val="00670BC9"/>
    <w:rsid w:val="00671AA0"/>
    <w:rsid w:val="00671BB5"/>
    <w:rsid w:val="00672198"/>
    <w:rsid w:val="006723A0"/>
    <w:rsid w:val="00672ABD"/>
    <w:rsid w:val="00672FB5"/>
    <w:rsid w:val="00673D44"/>
    <w:rsid w:val="00673F8F"/>
    <w:rsid w:val="00674460"/>
    <w:rsid w:val="00674CEA"/>
    <w:rsid w:val="0067539C"/>
    <w:rsid w:val="0067562D"/>
    <w:rsid w:val="00675B08"/>
    <w:rsid w:val="0067601E"/>
    <w:rsid w:val="006765C2"/>
    <w:rsid w:val="00676B5A"/>
    <w:rsid w:val="00676C81"/>
    <w:rsid w:val="00676EBC"/>
    <w:rsid w:val="00677DDA"/>
    <w:rsid w:val="0068117C"/>
    <w:rsid w:val="00681E26"/>
    <w:rsid w:val="006821F2"/>
    <w:rsid w:val="006827C6"/>
    <w:rsid w:val="006829EF"/>
    <w:rsid w:val="00683572"/>
    <w:rsid w:val="00683E56"/>
    <w:rsid w:val="006841CF"/>
    <w:rsid w:val="006843AB"/>
    <w:rsid w:val="00684564"/>
    <w:rsid w:val="0068483A"/>
    <w:rsid w:val="00684F4A"/>
    <w:rsid w:val="00685914"/>
    <w:rsid w:val="00686B27"/>
    <w:rsid w:val="00686EA8"/>
    <w:rsid w:val="006870C8"/>
    <w:rsid w:val="006872FB"/>
    <w:rsid w:val="00687365"/>
    <w:rsid w:val="00687515"/>
    <w:rsid w:val="00687EE9"/>
    <w:rsid w:val="00690589"/>
    <w:rsid w:val="006908B1"/>
    <w:rsid w:val="00691065"/>
    <w:rsid w:val="006910FF"/>
    <w:rsid w:val="006912DD"/>
    <w:rsid w:val="0069148F"/>
    <w:rsid w:val="0069163A"/>
    <w:rsid w:val="006923F6"/>
    <w:rsid w:val="0069271F"/>
    <w:rsid w:val="00692A25"/>
    <w:rsid w:val="00692E05"/>
    <w:rsid w:val="00693151"/>
    <w:rsid w:val="00693CAD"/>
    <w:rsid w:val="00695061"/>
    <w:rsid w:val="00695563"/>
    <w:rsid w:val="006960E9"/>
    <w:rsid w:val="00696126"/>
    <w:rsid w:val="00696433"/>
    <w:rsid w:val="006976EF"/>
    <w:rsid w:val="006978C5"/>
    <w:rsid w:val="006A00D3"/>
    <w:rsid w:val="006A0337"/>
    <w:rsid w:val="006A052D"/>
    <w:rsid w:val="006A063B"/>
    <w:rsid w:val="006A0B5C"/>
    <w:rsid w:val="006A0ED9"/>
    <w:rsid w:val="006A10F7"/>
    <w:rsid w:val="006A151E"/>
    <w:rsid w:val="006A174F"/>
    <w:rsid w:val="006A1DD0"/>
    <w:rsid w:val="006A2E27"/>
    <w:rsid w:val="006A3166"/>
    <w:rsid w:val="006A327C"/>
    <w:rsid w:val="006A36F2"/>
    <w:rsid w:val="006A3FDA"/>
    <w:rsid w:val="006A4290"/>
    <w:rsid w:val="006A4FAB"/>
    <w:rsid w:val="006A54EE"/>
    <w:rsid w:val="006A59A7"/>
    <w:rsid w:val="006A59B0"/>
    <w:rsid w:val="006A5D69"/>
    <w:rsid w:val="006A60D6"/>
    <w:rsid w:val="006A6203"/>
    <w:rsid w:val="006A62B3"/>
    <w:rsid w:val="006A6319"/>
    <w:rsid w:val="006A6A27"/>
    <w:rsid w:val="006A6D16"/>
    <w:rsid w:val="006A7FCD"/>
    <w:rsid w:val="006B00D6"/>
    <w:rsid w:val="006B01DA"/>
    <w:rsid w:val="006B02AB"/>
    <w:rsid w:val="006B0967"/>
    <w:rsid w:val="006B0C3B"/>
    <w:rsid w:val="006B0D98"/>
    <w:rsid w:val="006B23D8"/>
    <w:rsid w:val="006B271F"/>
    <w:rsid w:val="006B276A"/>
    <w:rsid w:val="006B32C3"/>
    <w:rsid w:val="006B430F"/>
    <w:rsid w:val="006B5392"/>
    <w:rsid w:val="006B5C9B"/>
    <w:rsid w:val="006B602A"/>
    <w:rsid w:val="006B6E4A"/>
    <w:rsid w:val="006B7328"/>
    <w:rsid w:val="006B7BD0"/>
    <w:rsid w:val="006C0093"/>
    <w:rsid w:val="006C0957"/>
    <w:rsid w:val="006C18A6"/>
    <w:rsid w:val="006C1F5C"/>
    <w:rsid w:val="006C2486"/>
    <w:rsid w:val="006C35D1"/>
    <w:rsid w:val="006C3840"/>
    <w:rsid w:val="006C397C"/>
    <w:rsid w:val="006C3B21"/>
    <w:rsid w:val="006C3FFE"/>
    <w:rsid w:val="006C484E"/>
    <w:rsid w:val="006C51BA"/>
    <w:rsid w:val="006C5508"/>
    <w:rsid w:val="006C58EE"/>
    <w:rsid w:val="006C6664"/>
    <w:rsid w:val="006C6EAC"/>
    <w:rsid w:val="006C6F57"/>
    <w:rsid w:val="006C739B"/>
    <w:rsid w:val="006D077E"/>
    <w:rsid w:val="006D09B2"/>
    <w:rsid w:val="006D0F80"/>
    <w:rsid w:val="006D12F3"/>
    <w:rsid w:val="006D2035"/>
    <w:rsid w:val="006D251C"/>
    <w:rsid w:val="006D2CBE"/>
    <w:rsid w:val="006D3FC8"/>
    <w:rsid w:val="006D4163"/>
    <w:rsid w:val="006D4577"/>
    <w:rsid w:val="006D45C4"/>
    <w:rsid w:val="006D46D7"/>
    <w:rsid w:val="006D4ABB"/>
    <w:rsid w:val="006D54C6"/>
    <w:rsid w:val="006D564A"/>
    <w:rsid w:val="006D582D"/>
    <w:rsid w:val="006D6732"/>
    <w:rsid w:val="006D717B"/>
    <w:rsid w:val="006D722F"/>
    <w:rsid w:val="006D79A9"/>
    <w:rsid w:val="006D7D75"/>
    <w:rsid w:val="006E0108"/>
    <w:rsid w:val="006E01D4"/>
    <w:rsid w:val="006E01EF"/>
    <w:rsid w:val="006E01F8"/>
    <w:rsid w:val="006E115C"/>
    <w:rsid w:val="006E1426"/>
    <w:rsid w:val="006E1465"/>
    <w:rsid w:val="006E17BF"/>
    <w:rsid w:val="006E1A38"/>
    <w:rsid w:val="006E1BC9"/>
    <w:rsid w:val="006E1F84"/>
    <w:rsid w:val="006E2241"/>
    <w:rsid w:val="006E2F71"/>
    <w:rsid w:val="006E4992"/>
    <w:rsid w:val="006E544E"/>
    <w:rsid w:val="006E564C"/>
    <w:rsid w:val="006E5AE6"/>
    <w:rsid w:val="006E6097"/>
    <w:rsid w:val="006E681E"/>
    <w:rsid w:val="006E7DDE"/>
    <w:rsid w:val="006E7FDE"/>
    <w:rsid w:val="006F07BE"/>
    <w:rsid w:val="006F0FA9"/>
    <w:rsid w:val="006F0FDC"/>
    <w:rsid w:val="006F1DF7"/>
    <w:rsid w:val="006F2013"/>
    <w:rsid w:val="006F2491"/>
    <w:rsid w:val="006F24A7"/>
    <w:rsid w:val="006F24EB"/>
    <w:rsid w:val="006F2711"/>
    <w:rsid w:val="006F2713"/>
    <w:rsid w:val="006F3693"/>
    <w:rsid w:val="006F4820"/>
    <w:rsid w:val="006F59E9"/>
    <w:rsid w:val="006F5C07"/>
    <w:rsid w:val="006F65D9"/>
    <w:rsid w:val="006F6630"/>
    <w:rsid w:val="006F678A"/>
    <w:rsid w:val="006F6A31"/>
    <w:rsid w:val="006F7043"/>
    <w:rsid w:val="007004DE"/>
    <w:rsid w:val="007005EE"/>
    <w:rsid w:val="0070073F"/>
    <w:rsid w:val="00700B17"/>
    <w:rsid w:val="00700E3F"/>
    <w:rsid w:val="00701020"/>
    <w:rsid w:val="0070190B"/>
    <w:rsid w:val="00701E12"/>
    <w:rsid w:val="007020C6"/>
    <w:rsid w:val="007033D7"/>
    <w:rsid w:val="0070414A"/>
    <w:rsid w:val="00704920"/>
    <w:rsid w:val="00704BB7"/>
    <w:rsid w:val="00704BEE"/>
    <w:rsid w:val="00705245"/>
    <w:rsid w:val="00705A4F"/>
    <w:rsid w:val="00705F3B"/>
    <w:rsid w:val="00706438"/>
    <w:rsid w:val="00706549"/>
    <w:rsid w:val="00706756"/>
    <w:rsid w:val="007069E0"/>
    <w:rsid w:val="00706C12"/>
    <w:rsid w:val="00707148"/>
    <w:rsid w:val="0070764B"/>
    <w:rsid w:val="007078DE"/>
    <w:rsid w:val="00707A88"/>
    <w:rsid w:val="00707FF3"/>
    <w:rsid w:val="007107B7"/>
    <w:rsid w:val="00710C6D"/>
    <w:rsid w:val="00710DDC"/>
    <w:rsid w:val="007125F8"/>
    <w:rsid w:val="00712953"/>
    <w:rsid w:val="00714365"/>
    <w:rsid w:val="00714612"/>
    <w:rsid w:val="00715A49"/>
    <w:rsid w:val="00715C8C"/>
    <w:rsid w:val="00717038"/>
    <w:rsid w:val="007175F9"/>
    <w:rsid w:val="0071795F"/>
    <w:rsid w:val="00720242"/>
    <w:rsid w:val="0072071C"/>
    <w:rsid w:val="007207C3"/>
    <w:rsid w:val="007209B1"/>
    <w:rsid w:val="00720F49"/>
    <w:rsid w:val="00720FFF"/>
    <w:rsid w:val="00721BD0"/>
    <w:rsid w:val="00721C6F"/>
    <w:rsid w:val="00722262"/>
    <w:rsid w:val="007225D4"/>
    <w:rsid w:val="007229BB"/>
    <w:rsid w:val="00722E3C"/>
    <w:rsid w:val="00722E6E"/>
    <w:rsid w:val="00723F14"/>
    <w:rsid w:val="00724093"/>
    <w:rsid w:val="007240D4"/>
    <w:rsid w:val="007241B1"/>
    <w:rsid w:val="007244AF"/>
    <w:rsid w:val="0072452A"/>
    <w:rsid w:val="00724816"/>
    <w:rsid w:val="007257DF"/>
    <w:rsid w:val="00725EBF"/>
    <w:rsid w:val="007262AD"/>
    <w:rsid w:val="0072732B"/>
    <w:rsid w:val="0072732E"/>
    <w:rsid w:val="00730682"/>
    <w:rsid w:val="007308D4"/>
    <w:rsid w:val="0073171C"/>
    <w:rsid w:val="00731C28"/>
    <w:rsid w:val="00731CDE"/>
    <w:rsid w:val="00733191"/>
    <w:rsid w:val="0073407A"/>
    <w:rsid w:val="00734275"/>
    <w:rsid w:val="007349D5"/>
    <w:rsid w:val="00734B28"/>
    <w:rsid w:val="00734DBB"/>
    <w:rsid w:val="00735167"/>
    <w:rsid w:val="007355E5"/>
    <w:rsid w:val="007358FF"/>
    <w:rsid w:val="00736444"/>
    <w:rsid w:val="00736454"/>
    <w:rsid w:val="00736A3A"/>
    <w:rsid w:val="00736BC9"/>
    <w:rsid w:val="00736D20"/>
    <w:rsid w:val="00736DD1"/>
    <w:rsid w:val="007370E7"/>
    <w:rsid w:val="00737116"/>
    <w:rsid w:val="00737EDC"/>
    <w:rsid w:val="007402CC"/>
    <w:rsid w:val="007403BB"/>
    <w:rsid w:val="00740760"/>
    <w:rsid w:val="007407E1"/>
    <w:rsid w:val="0074091A"/>
    <w:rsid w:val="00740C20"/>
    <w:rsid w:val="007412AE"/>
    <w:rsid w:val="0074174D"/>
    <w:rsid w:val="00741EFA"/>
    <w:rsid w:val="0074231F"/>
    <w:rsid w:val="007424E7"/>
    <w:rsid w:val="0074264F"/>
    <w:rsid w:val="007427AC"/>
    <w:rsid w:val="007429D7"/>
    <w:rsid w:val="00742A06"/>
    <w:rsid w:val="00742E1C"/>
    <w:rsid w:val="00742F90"/>
    <w:rsid w:val="007437CD"/>
    <w:rsid w:val="0074396A"/>
    <w:rsid w:val="00745437"/>
    <w:rsid w:val="00746B08"/>
    <w:rsid w:val="00747405"/>
    <w:rsid w:val="0074799A"/>
    <w:rsid w:val="00747E71"/>
    <w:rsid w:val="00750490"/>
    <w:rsid w:val="00750F19"/>
    <w:rsid w:val="00751777"/>
    <w:rsid w:val="007517E1"/>
    <w:rsid w:val="00751D9E"/>
    <w:rsid w:val="00751DFF"/>
    <w:rsid w:val="00751E34"/>
    <w:rsid w:val="00752014"/>
    <w:rsid w:val="00752616"/>
    <w:rsid w:val="00752BD5"/>
    <w:rsid w:val="00753465"/>
    <w:rsid w:val="00753E9C"/>
    <w:rsid w:val="007541F4"/>
    <w:rsid w:val="007548DD"/>
    <w:rsid w:val="00755D21"/>
    <w:rsid w:val="00756271"/>
    <w:rsid w:val="00756B64"/>
    <w:rsid w:val="00756D7E"/>
    <w:rsid w:val="00757066"/>
    <w:rsid w:val="007575E9"/>
    <w:rsid w:val="0075792F"/>
    <w:rsid w:val="00760191"/>
    <w:rsid w:val="007601D0"/>
    <w:rsid w:val="00760343"/>
    <w:rsid w:val="00760501"/>
    <w:rsid w:val="007605BD"/>
    <w:rsid w:val="00760E14"/>
    <w:rsid w:val="00761740"/>
    <w:rsid w:val="00761A19"/>
    <w:rsid w:val="0076346A"/>
    <w:rsid w:val="007638BF"/>
    <w:rsid w:val="0076397B"/>
    <w:rsid w:val="007646FA"/>
    <w:rsid w:val="00765516"/>
    <w:rsid w:val="007655DC"/>
    <w:rsid w:val="00765D6B"/>
    <w:rsid w:val="007662FD"/>
    <w:rsid w:val="007668AE"/>
    <w:rsid w:val="00770A98"/>
    <w:rsid w:val="00770D64"/>
    <w:rsid w:val="00770EBA"/>
    <w:rsid w:val="007712E6"/>
    <w:rsid w:val="007716A6"/>
    <w:rsid w:val="007719C2"/>
    <w:rsid w:val="00771DD6"/>
    <w:rsid w:val="00771F70"/>
    <w:rsid w:val="00772C84"/>
    <w:rsid w:val="0077382D"/>
    <w:rsid w:val="00773B57"/>
    <w:rsid w:val="00774CA4"/>
    <w:rsid w:val="00774DDF"/>
    <w:rsid w:val="00774F3C"/>
    <w:rsid w:val="0077570B"/>
    <w:rsid w:val="00775DDA"/>
    <w:rsid w:val="00775EE1"/>
    <w:rsid w:val="007762B7"/>
    <w:rsid w:val="007762F1"/>
    <w:rsid w:val="00776778"/>
    <w:rsid w:val="00777517"/>
    <w:rsid w:val="007776CF"/>
    <w:rsid w:val="00777AB8"/>
    <w:rsid w:val="00780027"/>
    <w:rsid w:val="007801B1"/>
    <w:rsid w:val="00780242"/>
    <w:rsid w:val="007802D1"/>
    <w:rsid w:val="00780D2E"/>
    <w:rsid w:val="00780E82"/>
    <w:rsid w:val="00781266"/>
    <w:rsid w:val="007814B1"/>
    <w:rsid w:val="00782169"/>
    <w:rsid w:val="00782173"/>
    <w:rsid w:val="0078316F"/>
    <w:rsid w:val="0078335F"/>
    <w:rsid w:val="00783426"/>
    <w:rsid w:val="00783C9D"/>
    <w:rsid w:val="00784242"/>
    <w:rsid w:val="0078487C"/>
    <w:rsid w:val="00785322"/>
    <w:rsid w:val="007853F9"/>
    <w:rsid w:val="0078548D"/>
    <w:rsid w:val="00785BF4"/>
    <w:rsid w:val="00785C72"/>
    <w:rsid w:val="00786010"/>
    <w:rsid w:val="007861B1"/>
    <w:rsid w:val="0078639A"/>
    <w:rsid w:val="0078672F"/>
    <w:rsid w:val="00786818"/>
    <w:rsid w:val="00786AF7"/>
    <w:rsid w:val="00787114"/>
    <w:rsid w:val="0078768F"/>
    <w:rsid w:val="00790106"/>
    <w:rsid w:val="0079020D"/>
    <w:rsid w:val="007904F0"/>
    <w:rsid w:val="0079163C"/>
    <w:rsid w:val="0079258C"/>
    <w:rsid w:val="00792C4B"/>
    <w:rsid w:val="0079307E"/>
    <w:rsid w:val="007935E2"/>
    <w:rsid w:val="00793DC2"/>
    <w:rsid w:val="00793DF5"/>
    <w:rsid w:val="00793EB6"/>
    <w:rsid w:val="00794005"/>
    <w:rsid w:val="0079412C"/>
    <w:rsid w:val="00794209"/>
    <w:rsid w:val="00794309"/>
    <w:rsid w:val="0079446B"/>
    <w:rsid w:val="00794BED"/>
    <w:rsid w:val="007959BF"/>
    <w:rsid w:val="00795AB1"/>
    <w:rsid w:val="00796011"/>
    <w:rsid w:val="007A0CE4"/>
    <w:rsid w:val="007A1684"/>
    <w:rsid w:val="007A1D02"/>
    <w:rsid w:val="007A1D1B"/>
    <w:rsid w:val="007A2E1F"/>
    <w:rsid w:val="007A339F"/>
    <w:rsid w:val="007A3B45"/>
    <w:rsid w:val="007A3D94"/>
    <w:rsid w:val="007A3E03"/>
    <w:rsid w:val="007A48CE"/>
    <w:rsid w:val="007A4B06"/>
    <w:rsid w:val="007A60A9"/>
    <w:rsid w:val="007A62DC"/>
    <w:rsid w:val="007A639E"/>
    <w:rsid w:val="007A6D3F"/>
    <w:rsid w:val="007A7379"/>
    <w:rsid w:val="007A7391"/>
    <w:rsid w:val="007A774A"/>
    <w:rsid w:val="007A7C95"/>
    <w:rsid w:val="007A7D17"/>
    <w:rsid w:val="007B047A"/>
    <w:rsid w:val="007B08D1"/>
    <w:rsid w:val="007B0CA2"/>
    <w:rsid w:val="007B1049"/>
    <w:rsid w:val="007B121C"/>
    <w:rsid w:val="007B142D"/>
    <w:rsid w:val="007B145B"/>
    <w:rsid w:val="007B14ED"/>
    <w:rsid w:val="007B1B0B"/>
    <w:rsid w:val="007B3C8A"/>
    <w:rsid w:val="007B53CF"/>
    <w:rsid w:val="007B5764"/>
    <w:rsid w:val="007B5A8E"/>
    <w:rsid w:val="007B61D9"/>
    <w:rsid w:val="007B6D47"/>
    <w:rsid w:val="007B6EBD"/>
    <w:rsid w:val="007B6F17"/>
    <w:rsid w:val="007B709A"/>
    <w:rsid w:val="007B7BE0"/>
    <w:rsid w:val="007C014B"/>
    <w:rsid w:val="007C018D"/>
    <w:rsid w:val="007C0A39"/>
    <w:rsid w:val="007C0B3E"/>
    <w:rsid w:val="007C0DF4"/>
    <w:rsid w:val="007C2C04"/>
    <w:rsid w:val="007C2C09"/>
    <w:rsid w:val="007C31F0"/>
    <w:rsid w:val="007C332D"/>
    <w:rsid w:val="007C3BF4"/>
    <w:rsid w:val="007C3C9A"/>
    <w:rsid w:val="007C43BD"/>
    <w:rsid w:val="007C44EC"/>
    <w:rsid w:val="007C45E9"/>
    <w:rsid w:val="007C4E5E"/>
    <w:rsid w:val="007C53C3"/>
    <w:rsid w:val="007C5952"/>
    <w:rsid w:val="007C62B4"/>
    <w:rsid w:val="007C6BC8"/>
    <w:rsid w:val="007C7081"/>
    <w:rsid w:val="007C730C"/>
    <w:rsid w:val="007D02BC"/>
    <w:rsid w:val="007D081B"/>
    <w:rsid w:val="007D1452"/>
    <w:rsid w:val="007D1862"/>
    <w:rsid w:val="007D198D"/>
    <w:rsid w:val="007D1E4C"/>
    <w:rsid w:val="007D2AE4"/>
    <w:rsid w:val="007D347A"/>
    <w:rsid w:val="007D3737"/>
    <w:rsid w:val="007D4213"/>
    <w:rsid w:val="007D4B39"/>
    <w:rsid w:val="007D4BE7"/>
    <w:rsid w:val="007D4FEA"/>
    <w:rsid w:val="007D5787"/>
    <w:rsid w:val="007D63FA"/>
    <w:rsid w:val="007D6D5D"/>
    <w:rsid w:val="007D76BB"/>
    <w:rsid w:val="007D7903"/>
    <w:rsid w:val="007D7913"/>
    <w:rsid w:val="007D7A83"/>
    <w:rsid w:val="007D7FE0"/>
    <w:rsid w:val="007E001D"/>
    <w:rsid w:val="007E06F0"/>
    <w:rsid w:val="007E0704"/>
    <w:rsid w:val="007E0A08"/>
    <w:rsid w:val="007E135B"/>
    <w:rsid w:val="007E13C5"/>
    <w:rsid w:val="007E17DD"/>
    <w:rsid w:val="007E1887"/>
    <w:rsid w:val="007E1DB6"/>
    <w:rsid w:val="007E20F1"/>
    <w:rsid w:val="007E222A"/>
    <w:rsid w:val="007E23FF"/>
    <w:rsid w:val="007E2E9A"/>
    <w:rsid w:val="007E3B63"/>
    <w:rsid w:val="007E40E9"/>
    <w:rsid w:val="007E42EE"/>
    <w:rsid w:val="007E437D"/>
    <w:rsid w:val="007E4B2B"/>
    <w:rsid w:val="007E4BE1"/>
    <w:rsid w:val="007E597E"/>
    <w:rsid w:val="007E5B6E"/>
    <w:rsid w:val="007E7CC2"/>
    <w:rsid w:val="007E7CDE"/>
    <w:rsid w:val="007E7E7A"/>
    <w:rsid w:val="007F0135"/>
    <w:rsid w:val="007F0297"/>
    <w:rsid w:val="007F0535"/>
    <w:rsid w:val="007F0757"/>
    <w:rsid w:val="007F1236"/>
    <w:rsid w:val="007F12EB"/>
    <w:rsid w:val="007F1742"/>
    <w:rsid w:val="007F1D93"/>
    <w:rsid w:val="007F2114"/>
    <w:rsid w:val="007F2367"/>
    <w:rsid w:val="007F33E9"/>
    <w:rsid w:val="007F37D6"/>
    <w:rsid w:val="007F4448"/>
    <w:rsid w:val="007F453F"/>
    <w:rsid w:val="007F5040"/>
    <w:rsid w:val="007F5534"/>
    <w:rsid w:val="007F5737"/>
    <w:rsid w:val="007F6AFE"/>
    <w:rsid w:val="007F6B10"/>
    <w:rsid w:val="007F6D28"/>
    <w:rsid w:val="007F6E38"/>
    <w:rsid w:val="007F72A8"/>
    <w:rsid w:val="007F7445"/>
    <w:rsid w:val="00800B86"/>
    <w:rsid w:val="00800EF6"/>
    <w:rsid w:val="0080145E"/>
    <w:rsid w:val="00801781"/>
    <w:rsid w:val="00801C7A"/>
    <w:rsid w:val="00802502"/>
    <w:rsid w:val="00803577"/>
    <w:rsid w:val="00803B70"/>
    <w:rsid w:val="00804D5A"/>
    <w:rsid w:val="00805212"/>
    <w:rsid w:val="0080560F"/>
    <w:rsid w:val="00805B58"/>
    <w:rsid w:val="00806E0A"/>
    <w:rsid w:val="00807A49"/>
    <w:rsid w:val="00807C36"/>
    <w:rsid w:val="00807DCF"/>
    <w:rsid w:val="008104DB"/>
    <w:rsid w:val="00810FAA"/>
    <w:rsid w:val="00812A38"/>
    <w:rsid w:val="00812B7D"/>
    <w:rsid w:val="00812BDF"/>
    <w:rsid w:val="00813519"/>
    <w:rsid w:val="00813A3F"/>
    <w:rsid w:val="00814675"/>
    <w:rsid w:val="00814959"/>
    <w:rsid w:val="00814AD3"/>
    <w:rsid w:val="00814DF5"/>
    <w:rsid w:val="0081584E"/>
    <w:rsid w:val="008158BD"/>
    <w:rsid w:val="00816037"/>
    <w:rsid w:val="00816908"/>
    <w:rsid w:val="00816912"/>
    <w:rsid w:val="008169E1"/>
    <w:rsid w:val="00816B93"/>
    <w:rsid w:val="00816BB5"/>
    <w:rsid w:val="00816DEA"/>
    <w:rsid w:val="0082008C"/>
    <w:rsid w:val="00820177"/>
    <w:rsid w:val="00820CD0"/>
    <w:rsid w:val="0082191F"/>
    <w:rsid w:val="00821FA7"/>
    <w:rsid w:val="00822312"/>
    <w:rsid w:val="00822658"/>
    <w:rsid w:val="00822757"/>
    <w:rsid w:val="00822A7D"/>
    <w:rsid w:val="00822C32"/>
    <w:rsid w:val="00822C48"/>
    <w:rsid w:val="00822D42"/>
    <w:rsid w:val="00823658"/>
    <w:rsid w:val="00823AA0"/>
    <w:rsid w:val="00824B26"/>
    <w:rsid w:val="00825174"/>
    <w:rsid w:val="008254F0"/>
    <w:rsid w:val="0082558D"/>
    <w:rsid w:val="0082672B"/>
    <w:rsid w:val="00826A26"/>
    <w:rsid w:val="00827B07"/>
    <w:rsid w:val="00827DB8"/>
    <w:rsid w:val="0083051F"/>
    <w:rsid w:val="00830B88"/>
    <w:rsid w:val="00830EE9"/>
    <w:rsid w:val="008312E8"/>
    <w:rsid w:val="008322D8"/>
    <w:rsid w:val="00832634"/>
    <w:rsid w:val="00832A8B"/>
    <w:rsid w:val="00833A1D"/>
    <w:rsid w:val="00833EC6"/>
    <w:rsid w:val="0083419F"/>
    <w:rsid w:val="008353A4"/>
    <w:rsid w:val="008361B0"/>
    <w:rsid w:val="008361DE"/>
    <w:rsid w:val="00836439"/>
    <w:rsid w:val="0083705D"/>
    <w:rsid w:val="0083787E"/>
    <w:rsid w:val="008402D1"/>
    <w:rsid w:val="008407DB"/>
    <w:rsid w:val="00840CB3"/>
    <w:rsid w:val="00841008"/>
    <w:rsid w:val="00841F14"/>
    <w:rsid w:val="00841FC2"/>
    <w:rsid w:val="00842E6B"/>
    <w:rsid w:val="00843BB3"/>
    <w:rsid w:val="00844429"/>
    <w:rsid w:val="00844B7D"/>
    <w:rsid w:val="00845917"/>
    <w:rsid w:val="00845BD7"/>
    <w:rsid w:val="00845BDD"/>
    <w:rsid w:val="00845DED"/>
    <w:rsid w:val="00846230"/>
    <w:rsid w:val="008463AE"/>
    <w:rsid w:val="00846E7A"/>
    <w:rsid w:val="00847080"/>
    <w:rsid w:val="008476DB"/>
    <w:rsid w:val="00847B96"/>
    <w:rsid w:val="00847D95"/>
    <w:rsid w:val="00850822"/>
    <w:rsid w:val="00850B84"/>
    <w:rsid w:val="00851677"/>
    <w:rsid w:val="00851BF9"/>
    <w:rsid w:val="00851C58"/>
    <w:rsid w:val="0085249E"/>
    <w:rsid w:val="00852C27"/>
    <w:rsid w:val="00853274"/>
    <w:rsid w:val="0085347A"/>
    <w:rsid w:val="00853500"/>
    <w:rsid w:val="0085359D"/>
    <w:rsid w:val="008536C6"/>
    <w:rsid w:val="00853AAF"/>
    <w:rsid w:val="00853C2B"/>
    <w:rsid w:val="0085408D"/>
    <w:rsid w:val="00854B50"/>
    <w:rsid w:val="00854C9D"/>
    <w:rsid w:val="00855301"/>
    <w:rsid w:val="00855678"/>
    <w:rsid w:val="00855802"/>
    <w:rsid w:val="00855B65"/>
    <w:rsid w:val="00855ED1"/>
    <w:rsid w:val="00855F3B"/>
    <w:rsid w:val="008566A6"/>
    <w:rsid w:val="008566FA"/>
    <w:rsid w:val="00856766"/>
    <w:rsid w:val="00856AFC"/>
    <w:rsid w:val="00856CE9"/>
    <w:rsid w:val="008572DF"/>
    <w:rsid w:val="008574D4"/>
    <w:rsid w:val="008577C4"/>
    <w:rsid w:val="00857E35"/>
    <w:rsid w:val="00857FF6"/>
    <w:rsid w:val="00857FF8"/>
    <w:rsid w:val="0086058C"/>
    <w:rsid w:val="008607AA"/>
    <w:rsid w:val="0086105D"/>
    <w:rsid w:val="00861E35"/>
    <w:rsid w:val="0086279B"/>
    <w:rsid w:val="00862939"/>
    <w:rsid w:val="00862FA9"/>
    <w:rsid w:val="00863553"/>
    <w:rsid w:val="00863688"/>
    <w:rsid w:val="0086379E"/>
    <w:rsid w:val="0086379F"/>
    <w:rsid w:val="00863F06"/>
    <w:rsid w:val="00864B2D"/>
    <w:rsid w:val="00864FBB"/>
    <w:rsid w:val="008650FA"/>
    <w:rsid w:val="0086579F"/>
    <w:rsid w:val="00865B1B"/>
    <w:rsid w:val="00865D8F"/>
    <w:rsid w:val="00865E97"/>
    <w:rsid w:val="00865F11"/>
    <w:rsid w:val="00866377"/>
    <w:rsid w:val="008663FE"/>
    <w:rsid w:val="00866423"/>
    <w:rsid w:val="00866EC4"/>
    <w:rsid w:val="0086735A"/>
    <w:rsid w:val="00867418"/>
    <w:rsid w:val="0086783A"/>
    <w:rsid w:val="008678B1"/>
    <w:rsid w:val="008678FD"/>
    <w:rsid w:val="00867E54"/>
    <w:rsid w:val="0087005F"/>
    <w:rsid w:val="00870117"/>
    <w:rsid w:val="00870184"/>
    <w:rsid w:val="00870AAC"/>
    <w:rsid w:val="008712D0"/>
    <w:rsid w:val="008712ED"/>
    <w:rsid w:val="008713C3"/>
    <w:rsid w:val="00871823"/>
    <w:rsid w:val="00871885"/>
    <w:rsid w:val="0087191A"/>
    <w:rsid w:val="008732CF"/>
    <w:rsid w:val="0087332C"/>
    <w:rsid w:val="00873A28"/>
    <w:rsid w:val="00873C32"/>
    <w:rsid w:val="00874665"/>
    <w:rsid w:val="00874C6D"/>
    <w:rsid w:val="008752A1"/>
    <w:rsid w:val="00875824"/>
    <w:rsid w:val="00875F9F"/>
    <w:rsid w:val="008766E4"/>
    <w:rsid w:val="00876828"/>
    <w:rsid w:val="0087693C"/>
    <w:rsid w:val="00876C49"/>
    <w:rsid w:val="00877514"/>
    <w:rsid w:val="00877D96"/>
    <w:rsid w:val="0088006B"/>
    <w:rsid w:val="00880425"/>
    <w:rsid w:val="00880C13"/>
    <w:rsid w:val="00880EDB"/>
    <w:rsid w:val="00881375"/>
    <w:rsid w:val="00881943"/>
    <w:rsid w:val="00881A4F"/>
    <w:rsid w:val="0088265A"/>
    <w:rsid w:val="008826F1"/>
    <w:rsid w:val="00882A1B"/>
    <w:rsid w:val="008833CD"/>
    <w:rsid w:val="00883446"/>
    <w:rsid w:val="00883563"/>
    <w:rsid w:val="008835E9"/>
    <w:rsid w:val="0088436E"/>
    <w:rsid w:val="00884BA3"/>
    <w:rsid w:val="008859C6"/>
    <w:rsid w:val="00885CEC"/>
    <w:rsid w:val="0088640E"/>
    <w:rsid w:val="008866D2"/>
    <w:rsid w:val="008867F8"/>
    <w:rsid w:val="0088691E"/>
    <w:rsid w:val="00886AC7"/>
    <w:rsid w:val="0088738F"/>
    <w:rsid w:val="008875A6"/>
    <w:rsid w:val="0088763F"/>
    <w:rsid w:val="00887F9D"/>
    <w:rsid w:val="00890554"/>
    <w:rsid w:val="00890663"/>
    <w:rsid w:val="00892257"/>
    <w:rsid w:val="00892725"/>
    <w:rsid w:val="00892DED"/>
    <w:rsid w:val="00892E70"/>
    <w:rsid w:val="0089319C"/>
    <w:rsid w:val="00893254"/>
    <w:rsid w:val="0089499D"/>
    <w:rsid w:val="00894F7B"/>
    <w:rsid w:val="00895747"/>
    <w:rsid w:val="008958D5"/>
    <w:rsid w:val="00895D5E"/>
    <w:rsid w:val="0089636B"/>
    <w:rsid w:val="00896C59"/>
    <w:rsid w:val="00896FE3"/>
    <w:rsid w:val="008972CF"/>
    <w:rsid w:val="008975F1"/>
    <w:rsid w:val="008979E0"/>
    <w:rsid w:val="00897C03"/>
    <w:rsid w:val="008A0170"/>
    <w:rsid w:val="008A0B71"/>
    <w:rsid w:val="008A0DA2"/>
    <w:rsid w:val="008A0F1A"/>
    <w:rsid w:val="008A1102"/>
    <w:rsid w:val="008A13DB"/>
    <w:rsid w:val="008A1C9D"/>
    <w:rsid w:val="008A1DC7"/>
    <w:rsid w:val="008A20E6"/>
    <w:rsid w:val="008A276B"/>
    <w:rsid w:val="008A37EE"/>
    <w:rsid w:val="008A4AB1"/>
    <w:rsid w:val="008A4EE0"/>
    <w:rsid w:val="008A50F7"/>
    <w:rsid w:val="008A5229"/>
    <w:rsid w:val="008A5431"/>
    <w:rsid w:val="008A5DB6"/>
    <w:rsid w:val="008A6D7A"/>
    <w:rsid w:val="008A729C"/>
    <w:rsid w:val="008A73C8"/>
    <w:rsid w:val="008A79F9"/>
    <w:rsid w:val="008A7B69"/>
    <w:rsid w:val="008A7EB4"/>
    <w:rsid w:val="008A7ED4"/>
    <w:rsid w:val="008B045E"/>
    <w:rsid w:val="008B0889"/>
    <w:rsid w:val="008B08D8"/>
    <w:rsid w:val="008B1342"/>
    <w:rsid w:val="008B229C"/>
    <w:rsid w:val="008B3BA5"/>
    <w:rsid w:val="008B4A4A"/>
    <w:rsid w:val="008B4C50"/>
    <w:rsid w:val="008B519D"/>
    <w:rsid w:val="008B5E0A"/>
    <w:rsid w:val="008B5FA0"/>
    <w:rsid w:val="008B6116"/>
    <w:rsid w:val="008B691C"/>
    <w:rsid w:val="008B6B9A"/>
    <w:rsid w:val="008B733D"/>
    <w:rsid w:val="008B7C40"/>
    <w:rsid w:val="008C0104"/>
    <w:rsid w:val="008C04C2"/>
    <w:rsid w:val="008C079D"/>
    <w:rsid w:val="008C093B"/>
    <w:rsid w:val="008C0C65"/>
    <w:rsid w:val="008C0D69"/>
    <w:rsid w:val="008C1447"/>
    <w:rsid w:val="008C15D7"/>
    <w:rsid w:val="008C269A"/>
    <w:rsid w:val="008C28C1"/>
    <w:rsid w:val="008C2B9A"/>
    <w:rsid w:val="008C2F68"/>
    <w:rsid w:val="008C3C59"/>
    <w:rsid w:val="008C4348"/>
    <w:rsid w:val="008C457D"/>
    <w:rsid w:val="008C4D6A"/>
    <w:rsid w:val="008C5A6B"/>
    <w:rsid w:val="008C601C"/>
    <w:rsid w:val="008C6055"/>
    <w:rsid w:val="008C6170"/>
    <w:rsid w:val="008C62D9"/>
    <w:rsid w:val="008C6426"/>
    <w:rsid w:val="008C6D4B"/>
    <w:rsid w:val="008C753B"/>
    <w:rsid w:val="008C79B2"/>
    <w:rsid w:val="008C7FCC"/>
    <w:rsid w:val="008D017C"/>
    <w:rsid w:val="008D04C5"/>
    <w:rsid w:val="008D1576"/>
    <w:rsid w:val="008D1F74"/>
    <w:rsid w:val="008D2385"/>
    <w:rsid w:val="008D26C5"/>
    <w:rsid w:val="008D335A"/>
    <w:rsid w:val="008D380C"/>
    <w:rsid w:val="008D3AD7"/>
    <w:rsid w:val="008D3C8B"/>
    <w:rsid w:val="008D4731"/>
    <w:rsid w:val="008D48F4"/>
    <w:rsid w:val="008D5134"/>
    <w:rsid w:val="008D5408"/>
    <w:rsid w:val="008D5E1D"/>
    <w:rsid w:val="008D5EDB"/>
    <w:rsid w:val="008D6060"/>
    <w:rsid w:val="008D6109"/>
    <w:rsid w:val="008D6223"/>
    <w:rsid w:val="008D66B2"/>
    <w:rsid w:val="008D6938"/>
    <w:rsid w:val="008D6B14"/>
    <w:rsid w:val="008D6CEF"/>
    <w:rsid w:val="008D6D49"/>
    <w:rsid w:val="008D7521"/>
    <w:rsid w:val="008D7F58"/>
    <w:rsid w:val="008E0EDA"/>
    <w:rsid w:val="008E0F9E"/>
    <w:rsid w:val="008E14DE"/>
    <w:rsid w:val="008E1AD3"/>
    <w:rsid w:val="008E1FD1"/>
    <w:rsid w:val="008E4259"/>
    <w:rsid w:val="008E45D6"/>
    <w:rsid w:val="008E4634"/>
    <w:rsid w:val="008E4979"/>
    <w:rsid w:val="008E4C70"/>
    <w:rsid w:val="008E5033"/>
    <w:rsid w:val="008E61F4"/>
    <w:rsid w:val="008E66CB"/>
    <w:rsid w:val="008E68C0"/>
    <w:rsid w:val="008E6914"/>
    <w:rsid w:val="008E77B8"/>
    <w:rsid w:val="008E7C32"/>
    <w:rsid w:val="008F047E"/>
    <w:rsid w:val="008F0FA1"/>
    <w:rsid w:val="008F1694"/>
    <w:rsid w:val="008F221A"/>
    <w:rsid w:val="008F275D"/>
    <w:rsid w:val="008F2CAF"/>
    <w:rsid w:val="008F2ECC"/>
    <w:rsid w:val="008F451F"/>
    <w:rsid w:val="008F4DE9"/>
    <w:rsid w:val="008F6778"/>
    <w:rsid w:val="008F6DF8"/>
    <w:rsid w:val="008F6EA8"/>
    <w:rsid w:val="008F7245"/>
    <w:rsid w:val="008F76EE"/>
    <w:rsid w:val="008F7AA3"/>
    <w:rsid w:val="008F7ECF"/>
    <w:rsid w:val="00900D67"/>
    <w:rsid w:val="00901098"/>
    <w:rsid w:val="00901853"/>
    <w:rsid w:val="009019B3"/>
    <w:rsid w:val="00901F16"/>
    <w:rsid w:val="00902342"/>
    <w:rsid w:val="00902388"/>
    <w:rsid w:val="009025FD"/>
    <w:rsid w:val="00903494"/>
    <w:rsid w:val="00903ABB"/>
    <w:rsid w:val="00904780"/>
    <w:rsid w:val="00904903"/>
    <w:rsid w:val="00904C3A"/>
    <w:rsid w:val="00904C78"/>
    <w:rsid w:val="00904CD0"/>
    <w:rsid w:val="00904FCB"/>
    <w:rsid w:val="00905174"/>
    <w:rsid w:val="0090523B"/>
    <w:rsid w:val="00905580"/>
    <w:rsid w:val="00906140"/>
    <w:rsid w:val="00906C46"/>
    <w:rsid w:val="00907AEA"/>
    <w:rsid w:val="009102E7"/>
    <w:rsid w:val="009109E6"/>
    <w:rsid w:val="00910BC8"/>
    <w:rsid w:val="009116CA"/>
    <w:rsid w:val="00911AC3"/>
    <w:rsid w:val="00911FCD"/>
    <w:rsid w:val="00912786"/>
    <w:rsid w:val="009130E5"/>
    <w:rsid w:val="00913267"/>
    <w:rsid w:val="009135E1"/>
    <w:rsid w:val="00913D34"/>
    <w:rsid w:val="0091447D"/>
    <w:rsid w:val="00914952"/>
    <w:rsid w:val="00914C3F"/>
    <w:rsid w:val="009156AF"/>
    <w:rsid w:val="00915832"/>
    <w:rsid w:val="0091591B"/>
    <w:rsid w:val="009159D2"/>
    <w:rsid w:val="00915C30"/>
    <w:rsid w:val="0091672D"/>
    <w:rsid w:val="00917E71"/>
    <w:rsid w:val="00917E9E"/>
    <w:rsid w:val="009201E5"/>
    <w:rsid w:val="009212C1"/>
    <w:rsid w:val="009212F5"/>
    <w:rsid w:val="00921E93"/>
    <w:rsid w:val="00922383"/>
    <w:rsid w:val="00922691"/>
    <w:rsid w:val="00923638"/>
    <w:rsid w:val="00923DBA"/>
    <w:rsid w:val="00923F7B"/>
    <w:rsid w:val="0092447C"/>
    <w:rsid w:val="00924840"/>
    <w:rsid w:val="0092521B"/>
    <w:rsid w:val="009252D0"/>
    <w:rsid w:val="00925F0C"/>
    <w:rsid w:val="00926569"/>
    <w:rsid w:val="0092697D"/>
    <w:rsid w:val="00927370"/>
    <w:rsid w:val="00927B40"/>
    <w:rsid w:val="00927C47"/>
    <w:rsid w:val="009302D5"/>
    <w:rsid w:val="00930A0D"/>
    <w:rsid w:val="00930C14"/>
    <w:rsid w:val="00930C24"/>
    <w:rsid w:val="0093171E"/>
    <w:rsid w:val="009318D5"/>
    <w:rsid w:val="00931907"/>
    <w:rsid w:val="0093255B"/>
    <w:rsid w:val="009329C2"/>
    <w:rsid w:val="00932D3D"/>
    <w:rsid w:val="00932F05"/>
    <w:rsid w:val="00934036"/>
    <w:rsid w:val="009352A7"/>
    <w:rsid w:val="00935381"/>
    <w:rsid w:val="0093539E"/>
    <w:rsid w:val="0093566E"/>
    <w:rsid w:val="009358D5"/>
    <w:rsid w:val="009363CC"/>
    <w:rsid w:val="00936B85"/>
    <w:rsid w:val="00936E80"/>
    <w:rsid w:val="009400DF"/>
    <w:rsid w:val="00940435"/>
    <w:rsid w:val="009405AB"/>
    <w:rsid w:val="009406BA"/>
    <w:rsid w:val="009411E7"/>
    <w:rsid w:val="009413BE"/>
    <w:rsid w:val="00941B01"/>
    <w:rsid w:val="00942417"/>
    <w:rsid w:val="00942D23"/>
    <w:rsid w:val="009436C1"/>
    <w:rsid w:val="0094388F"/>
    <w:rsid w:val="0094440E"/>
    <w:rsid w:val="0094484C"/>
    <w:rsid w:val="00944AA6"/>
    <w:rsid w:val="009455C2"/>
    <w:rsid w:val="0094595E"/>
    <w:rsid w:val="00945B20"/>
    <w:rsid w:val="00945F61"/>
    <w:rsid w:val="0094618A"/>
    <w:rsid w:val="00946D2F"/>
    <w:rsid w:val="00946E9F"/>
    <w:rsid w:val="00947290"/>
    <w:rsid w:val="0094759C"/>
    <w:rsid w:val="00947631"/>
    <w:rsid w:val="00947CB4"/>
    <w:rsid w:val="009506F4"/>
    <w:rsid w:val="00950D57"/>
    <w:rsid w:val="00951E2C"/>
    <w:rsid w:val="0095236A"/>
    <w:rsid w:val="00952B07"/>
    <w:rsid w:val="00952E83"/>
    <w:rsid w:val="009531E3"/>
    <w:rsid w:val="009535D7"/>
    <w:rsid w:val="00953C80"/>
    <w:rsid w:val="00953D3B"/>
    <w:rsid w:val="00954789"/>
    <w:rsid w:val="009551B5"/>
    <w:rsid w:val="009557D9"/>
    <w:rsid w:val="00955A86"/>
    <w:rsid w:val="00955A9F"/>
    <w:rsid w:val="00955FBD"/>
    <w:rsid w:val="00956A77"/>
    <w:rsid w:val="009570EB"/>
    <w:rsid w:val="0095728C"/>
    <w:rsid w:val="00957290"/>
    <w:rsid w:val="009572FD"/>
    <w:rsid w:val="0095731B"/>
    <w:rsid w:val="00957DB7"/>
    <w:rsid w:val="00957FC2"/>
    <w:rsid w:val="0096086E"/>
    <w:rsid w:val="00960DE1"/>
    <w:rsid w:val="00960EE3"/>
    <w:rsid w:val="009610F2"/>
    <w:rsid w:val="009612B7"/>
    <w:rsid w:val="00961634"/>
    <w:rsid w:val="00961A1F"/>
    <w:rsid w:val="00962C17"/>
    <w:rsid w:val="00963835"/>
    <w:rsid w:val="00963B9F"/>
    <w:rsid w:val="00963C74"/>
    <w:rsid w:val="00963D03"/>
    <w:rsid w:val="00964105"/>
    <w:rsid w:val="00964587"/>
    <w:rsid w:val="0096537E"/>
    <w:rsid w:val="009660A0"/>
    <w:rsid w:val="009660B3"/>
    <w:rsid w:val="00966DF1"/>
    <w:rsid w:val="0096727A"/>
    <w:rsid w:val="00970414"/>
    <w:rsid w:val="0097120C"/>
    <w:rsid w:val="00971248"/>
    <w:rsid w:val="009721A9"/>
    <w:rsid w:val="0097229C"/>
    <w:rsid w:val="0097251F"/>
    <w:rsid w:val="00972998"/>
    <w:rsid w:val="00972B9E"/>
    <w:rsid w:val="00972BDD"/>
    <w:rsid w:val="00972E4A"/>
    <w:rsid w:val="009736A3"/>
    <w:rsid w:val="0097374B"/>
    <w:rsid w:val="00974587"/>
    <w:rsid w:val="00974E65"/>
    <w:rsid w:val="009750F8"/>
    <w:rsid w:val="00975C26"/>
    <w:rsid w:val="00975C67"/>
    <w:rsid w:val="00976A05"/>
    <w:rsid w:val="00976B83"/>
    <w:rsid w:val="00976FA6"/>
    <w:rsid w:val="00980577"/>
    <w:rsid w:val="00980B0E"/>
    <w:rsid w:val="009810A8"/>
    <w:rsid w:val="0098142C"/>
    <w:rsid w:val="009816A8"/>
    <w:rsid w:val="009818C6"/>
    <w:rsid w:val="00982AD3"/>
    <w:rsid w:val="0098308E"/>
    <w:rsid w:val="0098419A"/>
    <w:rsid w:val="009841B1"/>
    <w:rsid w:val="00985346"/>
    <w:rsid w:val="0098599D"/>
    <w:rsid w:val="00985BB6"/>
    <w:rsid w:val="009868A8"/>
    <w:rsid w:val="00986BDF"/>
    <w:rsid w:val="00986D94"/>
    <w:rsid w:val="00987371"/>
    <w:rsid w:val="00987A6A"/>
    <w:rsid w:val="00987BE7"/>
    <w:rsid w:val="0099034A"/>
    <w:rsid w:val="0099051A"/>
    <w:rsid w:val="00990816"/>
    <w:rsid w:val="009908D5"/>
    <w:rsid w:val="00991308"/>
    <w:rsid w:val="00991A91"/>
    <w:rsid w:val="00991D7D"/>
    <w:rsid w:val="00991F29"/>
    <w:rsid w:val="0099237F"/>
    <w:rsid w:val="00992E07"/>
    <w:rsid w:val="009932F2"/>
    <w:rsid w:val="00993828"/>
    <w:rsid w:val="0099457E"/>
    <w:rsid w:val="0099461E"/>
    <w:rsid w:val="00994B26"/>
    <w:rsid w:val="00994DD9"/>
    <w:rsid w:val="00994E9D"/>
    <w:rsid w:val="00995C53"/>
    <w:rsid w:val="00995E97"/>
    <w:rsid w:val="009966E0"/>
    <w:rsid w:val="00997183"/>
    <w:rsid w:val="009975DB"/>
    <w:rsid w:val="0099782D"/>
    <w:rsid w:val="00997D25"/>
    <w:rsid w:val="00997D2F"/>
    <w:rsid w:val="009A0EE0"/>
    <w:rsid w:val="009A16FE"/>
    <w:rsid w:val="009A2995"/>
    <w:rsid w:val="009A299E"/>
    <w:rsid w:val="009A39A8"/>
    <w:rsid w:val="009A3AB2"/>
    <w:rsid w:val="009A3D28"/>
    <w:rsid w:val="009A3D88"/>
    <w:rsid w:val="009A3E1B"/>
    <w:rsid w:val="009A3F31"/>
    <w:rsid w:val="009A48CA"/>
    <w:rsid w:val="009A52F6"/>
    <w:rsid w:val="009A5699"/>
    <w:rsid w:val="009A5C6F"/>
    <w:rsid w:val="009A6BA2"/>
    <w:rsid w:val="009A6BE2"/>
    <w:rsid w:val="009A7376"/>
    <w:rsid w:val="009A73F2"/>
    <w:rsid w:val="009B005B"/>
    <w:rsid w:val="009B018C"/>
    <w:rsid w:val="009B0F37"/>
    <w:rsid w:val="009B12F4"/>
    <w:rsid w:val="009B17EE"/>
    <w:rsid w:val="009B1B69"/>
    <w:rsid w:val="009B2F02"/>
    <w:rsid w:val="009B35E4"/>
    <w:rsid w:val="009B3F79"/>
    <w:rsid w:val="009B411F"/>
    <w:rsid w:val="009B56E6"/>
    <w:rsid w:val="009B5748"/>
    <w:rsid w:val="009B58AD"/>
    <w:rsid w:val="009B62AB"/>
    <w:rsid w:val="009B6909"/>
    <w:rsid w:val="009B6B19"/>
    <w:rsid w:val="009B7478"/>
    <w:rsid w:val="009B7A48"/>
    <w:rsid w:val="009B7E8A"/>
    <w:rsid w:val="009C0BE7"/>
    <w:rsid w:val="009C0BF4"/>
    <w:rsid w:val="009C0DAC"/>
    <w:rsid w:val="009C165B"/>
    <w:rsid w:val="009C25B3"/>
    <w:rsid w:val="009C2D70"/>
    <w:rsid w:val="009C3848"/>
    <w:rsid w:val="009C466A"/>
    <w:rsid w:val="009C5235"/>
    <w:rsid w:val="009C52FA"/>
    <w:rsid w:val="009C557D"/>
    <w:rsid w:val="009C5867"/>
    <w:rsid w:val="009C5878"/>
    <w:rsid w:val="009C60C9"/>
    <w:rsid w:val="009C6A75"/>
    <w:rsid w:val="009C6DEB"/>
    <w:rsid w:val="009C6F90"/>
    <w:rsid w:val="009C7427"/>
    <w:rsid w:val="009C7F89"/>
    <w:rsid w:val="009C7FCB"/>
    <w:rsid w:val="009C7FD5"/>
    <w:rsid w:val="009D0F36"/>
    <w:rsid w:val="009D1710"/>
    <w:rsid w:val="009D1C4A"/>
    <w:rsid w:val="009D1F8A"/>
    <w:rsid w:val="009D206C"/>
    <w:rsid w:val="009D265C"/>
    <w:rsid w:val="009D26E0"/>
    <w:rsid w:val="009D35CD"/>
    <w:rsid w:val="009D395B"/>
    <w:rsid w:val="009D3C93"/>
    <w:rsid w:val="009D40E3"/>
    <w:rsid w:val="009D4443"/>
    <w:rsid w:val="009D4515"/>
    <w:rsid w:val="009D4890"/>
    <w:rsid w:val="009D4A04"/>
    <w:rsid w:val="009D4B8E"/>
    <w:rsid w:val="009D4E48"/>
    <w:rsid w:val="009D5031"/>
    <w:rsid w:val="009D5682"/>
    <w:rsid w:val="009D5C8C"/>
    <w:rsid w:val="009D5E09"/>
    <w:rsid w:val="009D615C"/>
    <w:rsid w:val="009D68D4"/>
    <w:rsid w:val="009D69B5"/>
    <w:rsid w:val="009D6D08"/>
    <w:rsid w:val="009D7585"/>
    <w:rsid w:val="009D774C"/>
    <w:rsid w:val="009D7864"/>
    <w:rsid w:val="009D7D39"/>
    <w:rsid w:val="009E0CC9"/>
    <w:rsid w:val="009E0DC1"/>
    <w:rsid w:val="009E134B"/>
    <w:rsid w:val="009E188D"/>
    <w:rsid w:val="009E1AAF"/>
    <w:rsid w:val="009E1C20"/>
    <w:rsid w:val="009E224F"/>
    <w:rsid w:val="009E277E"/>
    <w:rsid w:val="009E2C73"/>
    <w:rsid w:val="009E37FE"/>
    <w:rsid w:val="009E3EDE"/>
    <w:rsid w:val="009E4235"/>
    <w:rsid w:val="009E447D"/>
    <w:rsid w:val="009E457D"/>
    <w:rsid w:val="009E46D3"/>
    <w:rsid w:val="009E522D"/>
    <w:rsid w:val="009E5664"/>
    <w:rsid w:val="009E595A"/>
    <w:rsid w:val="009E5FC9"/>
    <w:rsid w:val="009E606C"/>
    <w:rsid w:val="009E67BD"/>
    <w:rsid w:val="009E6A28"/>
    <w:rsid w:val="009E7420"/>
    <w:rsid w:val="009E7539"/>
    <w:rsid w:val="009E7874"/>
    <w:rsid w:val="009E7B5C"/>
    <w:rsid w:val="009F0125"/>
    <w:rsid w:val="009F01BE"/>
    <w:rsid w:val="009F0C00"/>
    <w:rsid w:val="009F0E9E"/>
    <w:rsid w:val="009F13C4"/>
    <w:rsid w:val="009F1947"/>
    <w:rsid w:val="009F1A1A"/>
    <w:rsid w:val="009F2166"/>
    <w:rsid w:val="009F2633"/>
    <w:rsid w:val="009F26EE"/>
    <w:rsid w:val="009F3960"/>
    <w:rsid w:val="009F3A20"/>
    <w:rsid w:val="009F3C6E"/>
    <w:rsid w:val="009F485A"/>
    <w:rsid w:val="009F573A"/>
    <w:rsid w:val="009F5887"/>
    <w:rsid w:val="009F58B7"/>
    <w:rsid w:val="009F63A6"/>
    <w:rsid w:val="009F6404"/>
    <w:rsid w:val="009F6788"/>
    <w:rsid w:val="009F67E7"/>
    <w:rsid w:val="009F6901"/>
    <w:rsid w:val="009F69D9"/>
    <w:rsid w:val="009F6B1D"/>
    <w:rsid w:val="009F767C"/>
    <w:rsid w:val="009F77C1"/>
    <w:rsid w:val="009F7869"/>
    <w:rsid w:val="009F7A0A"/>
    <w:rsid w:val="00A003F7"/>
    <w:rsid w:val="00A0077B"/>
    <w:rsid w:val="00A008B9"/>
    <w:rsid w:val="00A016E3"/>
    <w:rsid w:val="00A02229"/>
    <w:rsid w:val="00A02567"/>
    <w:rsid w:val="00A033E5"/>
    <w:rsid w:val="00A03A11"/>
    <w:rsid w:val="00A03F8D"/>
    <w:rsid w:val="00A04711"/>
    <w:rsid w:val="00A047BB"/>
    <w:rsid w:val="00A04D27"/>
    <w:rsid w:val="00A050A3"/>
    <w:rsid w:val="00A055B0"/>
    <w:rsid w:val="00A05ABB"/>
    <w:rsid w:val="00A05FCF"/>
    <w:rsid w:val="00A06225"/>
    <w:rsid w:val="00A0767D"/>
    <w:rsid w:val="00A07C12"/>
    <w:rsid w:val="00A10223"/>
    <w:rsid w:val="00A102AA"/>
    <w:rsid w:val="00A1058A"/>
    <w:rsid w:val="00A10854"/>
    <w:rsid w:val="00A10EA6"/>
    <w:rsid w:val="00A10EF8"/>
    <w:rsid w:val="00A11A89"/>
    <w:rsid w:val="00A11EF5"/>
    <w:rsid w:val="00A122C1"/>
    <w:rsid w:val="00A127F3"/>
    <w:rsid w:val="00A12865"/>
    <w:rsid w:val="00A13319"/>
    <w:rsid w:val="00A138A7"/>
    <w:rsid w:val="00A141BA"/>
    <w:rsid w:val="00A14249"/>
    <w:rsid w:val="00A1485C"/>
    <w:rsid w:val="00A14AAE"/>
    <w:rsid w:val="00A14C03"/>
    <w:rsid w:val="00A14C3D"/>
    <w:rsid w:val="00A15229"/>
    <w:rsid w:val="00A15D6C"/>
    <w:rsid w:val="00A16852"/>
    <w:rsid w:val="00A16C31"/>
    <w:rsid w:val="00A16F3C"/>
    <w:rsid w:val="00A17044"/>
    <w:rsid w:val="00A2090F"/>
    <w:rsid w:val="00A20E30"/>
    <w:rsid w:val="00A20FC2"/>
    <w:rsid w:val="00A21518"/>
    <w:rsid w:val="00A21AE6"/>
    <w:rsid w:val="00A21AFC"/>
    <w:rsid w:val="00A22286"/>
    <w:rsid w:val="00A25C6E"/>
    <w:rsid w:val="00A25CB8"/>
    <w:rsid w:val="00A25DF8"/>
    <w:rsid w:val="00A25F8A"/>
    <w:rsid w:val="00A263F4"/>
    <w:rsid w:val="00A26858"/>
    <w:rsid w:val="00A26D5C"/>
    <w:rsid w:val="00A2778A"/>
    <w:rsid w:val="00A304C0"/>
    <w:rsid w:val="00A30879"/>
    <w:rsid w:val="00A30A8F"/>
    <w:rsid w:val="00A30B2D"/>
    <w:rsid w:val="00A31429"/>
    <w:rsid w:val="00A31AB7"/>
    <w:rsid w:val="00A31CD0"/>
    <w:rsid w:val="00A32E81"/>
    <w:rsid w:val="00A32EF8"/>
    <w:rsid w:val="00A33421"/>
    <w:rsid w:val="00A345B6"/>
    <w:rsid w:val="00A34EF0"/>
    <w:rsid w:val="00A35E7A"/>
    <w:rsid w:val="00A36192"/>
    <w:rsid w:val="00A363BB"/>
    <w:rsid w:val="00A364ED"/>
    <w:rsid w:val="00A36545"/>
    <w:rsid w:val="00A36C58"/>
    <w:rsid w:val="00A36F36"/>
    <w:rsid w:val="00A37750"/>
    <w:rsid w:val="00A37ACE"/>
    <w:rsid w:val="00A37CAB"/>
    <w:rsid w:val="00A37ECA"/>
    <w:rsid w:val="00A4098A"/>
    <w:rsid w:val="00A40DE9"/>
    <w:rsid w:val="00A41058"/>
    <w:rsid w:val="00A414C3"/>
    <w:rsid w:val="00A416F8"/>
    <w:rsid w:val="00A41D0F"/>
    <w:rsid w:val="00A41DA8"/>
    <w:rsid w:val="00A42751"/>
    <w:rsid w:val="00A429A7"/>
    <w:rsid w:val="00A43511"/>
    <w:rsid w:val="00A43710"/>
    <w:rsid w:val="00A43E40"/>
    <w:rsid w:val="00A44014"/>
    <w:rsid w:val="00A4424B"/>
    <w:rsid w:val="00A45755"/>
    <w:rsid w:val="00A459C0"/>
    <w:rsid w:val="00A45E80"/>
    <w:rsid w:val="00A466D1"/>
    <w:rsid w:val="00A468A1"/>
    <w:rsid w:val="00A47009"/>
    <w:rsid w:val="00A470A1"/>
    <w:rsid w:val="00A501D1"/>
    <w:rsid w:val="00A50922"/>
    <w:rsid w:val="00A50F15"/>
    <w:rsid w:val="00A51C1C"/>
    <w:rsid w:val="00A52544"/>
    <w:rsid w:val="00A527C3"/>
    <w:rsid w:val="00A53030"/>
    <w:rsid w:val="00A5332B"/>
    <w:rsid w:val="00A53439"/>
    <w:rsid w:val="00A5370A"/>
    <w:rsid w:val="00A53CF7"/>
    <w:rsid w:val="00A545DA"/>
    <w:rsid w:val="00A546E3"/>
    <w:rsid w:val="00A547D4"/>
    <w:rsid w:val="00A55E0C"/>
    <w:rsid w:val="00A56C10"/>
    <w:rsid w:val="00A56E4A"/>
    <w:rsid w:val="00A574C3"/>
    <w:rsid w:val="00A57B5B"/>
    <w:rsid w:val="00A57D02"/>
    <w:rsid w:val="00A603EF"/>
    <w:rsid w:val="00A60524"/>
    <w:rsid w:val="00A60606"/>
    <w:rsid w:val="00A6148F"/>
    <w:rsid w:val="00A621F0"/>
    <w:rsid w:val="00A629DD"/>
    <w:rsid w:val="00A631EE"/>
    <w:rsid w:val="00A6375A"/>
    <w:rsid w:val="00A63CCD"/>
    <w:rsid w:val="00A63E21"/>
    <w:rsid w:val="00A63F74"/>
    <w:rsid w:val="00A6505B"/>
    <w:rsid w:val="00A65E94"/>
    <w:rsid w:val="00A66627"/>
    <w:rsid w:val="00A67360"/>
    <w:rsid w:val="00A67483"/>
    <w:rsid w:val="00A67A58"/>
    <w:rsid w:val="00A705C4"/>
    <w:rsid w:val="00A705CF"/>
    <w:rsid w:val="00A70858"/>
    <w:rsid w:val="00A70C9E"/>
    <w:rsid w:val="00A714E2"/>
    <w:rsid w:val="00A71530"/>
    <w:rsid w:val="00A71D78"/>
    <w:rsid w:val="00A72A24"/>
    <w:rsid w:val="00A7378A"/>
    <w:rsid w:val="00A737B6"/>
    <w:rsid w:val="00A738A3"/>
    <w:rsid w:val="00A73CA3"/>
    <w:rsid w:val="00A740AD"/>
    <w:rsid w:val="00A74EEC"/>
    <w:rsid w:val="00A7503D"/>
    <w:rsid w:val="00A754A3"/>
    <w:rsid w:val="00A75C27"/>
    <w:rsid w:val="00A75F2F"/>
    <w:rsid w:val="00A765F7"/>
    <w:rsid w:val="00A76C32"/>
    <w:rsid w:val="00A76DB8"/>
    <w:rsid w:val="00A77735"/>
    <w:rsid w:val="00A77792"/>
    <w:rsid w:val="00A7790B"/>
    <w:rsid w:val="00A7797B"/>
    <w:rsid w:val="00A77D08"/>
    <w:rsid w:val="00A77EBE"/>
    <w:rsid w:val="00A8063A"/>
    <w:rsid w:val="00A8120B"/>
    <w:rsid w:val="00A8132D"/>
    <w:rsid w:val="00A8180C"/>
    <w:rsid w:val="00A839CD"/>
    <w:rsid w:val="00A83D7B"/>
    <w:rsid w:val="00A83ECB"/>
    <w:rsid w:val="00A84234"/>
    <w:rsid w:val="00A84337"/>
    <w:rsid w:val="00A84413"/>
    <w:rsid w:val="00A84D9F"/>
    <w:rsid w:val="00A85BCE"/>
    <w:rsid w:val="00A86C63"/>
    <w:rsid w:val="00A87540"/>
    <w:rsid w:val="00A9011B"/>
    <w:rsid w:val="00A90237"/>
    <w:rsid w:val="00A905D6"/>
    <w:rsid w:val="00A9095F"/>
    <w:rsid w:val="00A90C58"/>
    <w:rsid w:val="00A90DF9"/>
    <w:rsid w:val="00A91309"/>
    <w:rsid w:val="00A91AD1"/>
    <w:rsid w:val="00A920CC"/>
    <w:rsid w:val="00A9252E"/>
    <w:rsid w:val="00A926A0"/>
    <w:rsid w:val="00A93BE0"/>
    <w:rsid w:val="00A9438C"/>
    <w:rsid w:val="00A943DE"/>
    <w:rsid w:val="00A950A6"/>
    <w:rsid w:val="00A95B2B"/>
    <w:rsid w:val="00A95D00"/>
    <w:rsid w:val="00A96127"/>
    <w:rsid w:val="00A9627F"/>
    <w:rsid w:val="00A9645B"/>
    <w:rsid w:val="00A9660E"/>
    <w:rsid w:val="00A9678C"/>
    <w:rsid w:val="00A967D2"/>
    <w:rsid w:val="00A96970"/>
    <w:rsid w:val="00A96E4F"/>
    <w:rsid w:val="00A96F50"/>
    <w:rsid w:val="00A9713D"/>
    <w:rsid w:val="00A97432"/>
    <w:rsid w:val="00A97CC0"/>
    <w:rsid w:val="00A97D7A"/>
    <w:rsid w:val="00AA02F5"/>
    <w:rsid w:val="00AA10CF"/>
    <w:rsid w:val="00AA1CE4"/>
    <w:rsid w:val="00AA2377"/>
    <w:rsid w:val="00AA2A29"/>
    <w:rsid w:val="00AA300D"/>
    <w:rsid w:val="00AA3402"/>
    <w:rsid w:val="00AA3BC5"/>
    <w:rsid w:val="00AA3C5C"/>
    <w:rsid w:val="00AA4C13"/>
    <w:rsid w:val="00AA4C57"/>
    <w:rsid w:val="00AA4F75"/>
    <w:rsid w:val="00AA4F88"/>
    <w:rsid w:val="00AA6239"/>
    <w:rsid w:val="00AA7431"/>
    <w:rsid w:val="00AA773F"/>
    <w:rsid w:val="00AA77A4"/>
    <w:rsid w:val="00AB0036"/>
    <w:rsid w:val="00AB07DA"/>
    <w:rsid w:val="00AB089C"/>
    <w:rsid w:val="00AB19A6"/>
    <w:rsid w:val="00AB1A9D"/>
    <w:rsid w:val="00AB23A9"/>
    <w:rsid w:val="00AB23F5"/>
    <w:rsid w:val="00AB2862"/>
    <w:rsid w:val="00AB38EC"/>
    <w:rsid w:val="00AB3DC0"/>
    <w:rsid w:val="00AB4082"/>
    <w:rsid w:val="00AB4A3E"/>
    <w:rsid w:val="00AB4C46"/>
    <w:rsid w:val="00AB4C92"/>
    <w:rsid w:val="00AB4EA5"/>
    <w:rsid w:val="00AB5402"/>
    <w:rsid w:val="00AB58AA"/>
    <w:rsid w:val="00AB594C"/>
    <w:rsid w:val="00AB5AB9"/>
    <w:rsid w:val="00AB5F6C"/>
    <w:rsid w:val="00AB6050"/>
    <w:rsid w:val="00AB653F"/>
    <w:rsid w:val="00AB6F6A"/>
    <w:rsid w:val="00AB6F71"/>
    <w:rsid w:val="00AB7200"/>
    <w:rsid w:val="00AB7628"/>
    <w:rsid w:val="00AB79A3"/>
    <w:rsid w:val="00AB79AC"/>
    <w:rsid w:val="00AC08BF"/>
    <w:rsid w:val="00AC098F"/>
    <w:rsid w:val="00AC2C08"/>
    <w:rsid w:val="00AC3290"/>
    <w:rsid w:val="00AC36C5"/>
    <w:rsid w:val="00AC3FBA"/>
    <w:rsid w:val="00AC4A16"/>
    <w:rsid w:val="00AC6221"/>
    <w:rsid w:val="00AC63C3"/>
    <w:rsid w:val="00AC6ED3"/>
    <w:rsid w:val="00AC7940"/>
    <w:rsid w:val="00AC7C93"/>
    <w:rsid w:val="00AD0825"/>
    <w:rsid w:val="00AD22FA"/>
    <w:rsid w:val="00AD2BD2"/>
    <w:rsid w:val="00AD2F15"/>
    <w:rsid w:val="00AD32C1"/>
    <w:rsid w:val="00AD33E2"/>
    <w:rsid w:val="00AD3BEE"/>
    <w:rsid w:val="00AD4236"/>
    <w:rsid w:val="00AD454B"/>
    <w:rsid w:val="00AD4887"/>
    <w:rsid w:val="00AD546F"/>
    <w:rsid w:val="00AD57E0"/>
    <w:rsid w:val="00AD60FF"/>
    <w:rsid w:val="00AD6458"/>
    <w:rsid w:val="00AD6475"/>
    <w:rsid w:val="00AD6604"/>
    <w:rsid w:val="00AD68B0"/>
    <w:rsid w:val="00AD7188"/>
    <w:rsid w:val="00AD7353"/>
    <w:rsid w:val="00AD7640"/>
    <w:rsid w:val="00AE01FB"/>
    <w:rsid w:val="00AE0865"/>
    <w:rsid w:val="00AE0DA9"/>
    <w:rsid w:val="00AE1183"/>
    <w:rsid w:val="00AE16E9"/>
    <w:rsid w:val="00AE18DB"/>
    <w:rsid w:val="00AE1A60"/>
    <w:rsid w:val="00AE39F6"/>
    <w:rsid w:val="00AE3BBD"/>
    <w:rsid w:val="00AE451A"/>
    <w:rsid w:val="00AE533D"/>
    <w:rsid w:val="00AE556E"/>
    <w:rsid w:val="00AE563D"/>
    <w:rsid w:val="00AE5A6A"/>
    <w:rsid w:val="00AE5AFA"/>
    <w:rsid w:val="00AE6118"/>
    <w:rsid w:val="00AE6568"/>
    <w:rsid w:val="00AE6C22"/>
    <w:rsid w:val="00AE7550"/>
    <w:rsid w:val="00AE7D9A"/>
    <w:rsid w:val="00AF0048"/>
    <w:rsid w:val="00AF0657"/>
    <w:rsid w:val="00AF118C"/>
    <w:rsid w:val="00AF19DB"/>
    <w:rsid w:val="00AF1DEA"/>
    <w:rsid w:val="00AF2781"/>
    <w:rsid w:val="00AF29C8"/>
    <w:rsid w:val="00AF2B2A"/>
    <w:rsid w:val="00AF3332"/>
    <w:rsid w:val="00AF3334"/>
    <w:rsid w:val="00AF355D"/>
    <w:rsid w:val="00AF3C9B"/>
    <w:rsid w:val="00AF43E5"/>
    <w:rsid w:val="00AF4B17"/>
    <w:rsid w:val="00AF528B"/>
    <w:rsid w:val="00AF5562"/>
    <w:rsid w:val="00AF64CE"/>
    <w:rsid w:val="00AF66AC"/>
    <w:rsid w:val="00AF6CD6"/>
    <w:rsid w:val="00B002A5"/>
    <w:rsid w:val="00B007AE"/>
    <w:rsid w:val="00B00BE0"/>
    <w:rsid w:val="00B00D11"/>
    <w:rsid w:val="00B0145B"/>
    <w:rsid w:val="00B019D3"/>
    <w:rsid w:val="00B026B1"/>
    <w:rsid w:val="00B02913"/>
    <w:rsid w:val="00B02B0D"/>
    <w:rsid w:val="00B0445D"/>
    <w:rsid w:val="00B0470B"/>
    <w:rsid w:val="00B048A9"/>
    <w:rsid w:val="00B0498E"/>
    <w:rsid w:val="00B05D64"/>
    <w:rsid w:val="00B0695E"/>
    <w:rsid w:val="00B06B67"/>
    <w:rsid w:val="00B06E45"/>
    <w:rsid w:val="00B07F04"/>
    <w:rsid w:val="00B10227"/>
    <w:rsid w:val="00B1064C"/>
    <w:rsid w:val="00B118B7"/>
    <w:rsid w:val="00B123E3"/>
    <w:rsid w:val="00B1260C"/>
    <w:rsid w:val="00B1267D"/>
    <w:rsid w:val="00B12A68"/>
    <w:rsid w:val="00B137A2"/>
    <w:rsid w:val="00B1392F"/>
    <w:rsid w:val="00B13D8E"/>
    <w:rsid w:val="00B147D2"/>
    <w:rsid w:val="00B15073"/>
    <w:rsid w:val="00B15438"/>
    <w:rsid w:val="00B15CCC"/>
    <w:rsid w:val="00B15DFA"/>
    <w:rsid w:val="00B16082"/>
    <w:rsid w:val="00B161B7"/>
    <w:rsid w:val="00B16E23"/>
    <w:rsid w:val="00B174C1"/>
    <w:rsid w:val="00B17AA0"/>
    <w:rsid w:val="00B17B2B"/>
    <w:rsid w:val="00B20535"/>
    <w:rsid w:val="00B20AB6"/>
    <w:rsid w:val="00B21748"/>
    <w:rsid w:val="00B217D1"/>
    <w:rsid w:val="00B219A8"/>
    <w:rsid w:val="00B21C92"/>
    <w:rsid w:val="00B2322F"/>
    <w:rsid w:val="00B23410"/>
    <w:rsid w:val="00B241D5"/>
    <w:rsid w:val="00B243D5"/>
    <w:rsid w:val="00B24580"/>
    <w:rsid w:val="00B249B1"/>
    <w:rsid w:val="00B253B9"/>
    <w:rsid w:val="00B25501"/>
    <w:rsid w:val="00B25BFE"/>
    <w:rsid w:val="00B25FB4"/>
    <w:rsid w:val="00B2672A"/>
    <w:rsid w:val="00B27295"/>
    <w:rsid w:val="00B275BB"/>
    <w:rsid w:val="00B30090"/>
    <w:rsid w:val="00B306E6"/>
    <w:rsid w:val="00B3080A"/>
    <w:rsid w:val="00B318D0"/>
    <w:rsid w:val="00B3204D"/>
    <w:rsid w:val="00B3257A"/>
    <w:rsid w:val="00B333A7"/>
    <w:rsid w:val="00B3385A"/>
    <w:rsid w:val="00B345B5"/>
    <w:rsid w:val="00B35686"/>
    <w:rsid w:val="00B35B42"/>
    <w:rsid w:val="00B36530"/>
    <w:rsid w:val="00B36DC3"/>
    <w:rsid w:val="00B36DE0"/>
    <w:rsid w:val="00B36F32"/>
    <w:rsid w:val="00B36F6D"/>
    <w:rsid w:val="00B3729F"/>
    <w:rsid w:val="00B408E3"/>
    <w:rsid w:val="00B41439"/>
    <w:rsid w:val="00B41DFE"/>
    <w:rsid w:val="00B41E23"/>
    <w:rsid w:val="00B42010"/>
    <w:rsid w:val="00B422E5"/>
    <w:rsid w:val="00B428A2"/>
    <w:rsid w:val="00B43A10"/>
    <w:rsid w:val="00B43B39"/>
    <w:rsid w:val="00B43C5A"/>
    <w:rsid w:val="00B44007"/>
    <w:rsid w:val="00B4431A"/>
    <w:rsid w:val="00B444C0"/>
    <w:rsid w:val="00B44919"/>
    <w:rsid w:val="00B44A8C"/>
    <w:rsid w:val="00B44BAD"/>
    <w:rsid w:val="00B451BD"/>
    <w:rsid w:val="00B45254"/>
    <w:rsid w:val="00B45EE5"/>
    <w:rsid w:val="00B462E1"/>
    <w:rsid w:val="00B4792D"/>
    <w:rsid w:val="00B47A06"/>
    <w:rsid w:val="00B47AF2"/>
    <w:rsid w:val="00B50100"/>
    <w:rsid w:val="00B503AB"/>
    <w:rsid w:val="00B50CCD"/>
    <w:rsid w:val="00B50CF8"/>
    <w:rsid w:val="00B50CFC"/>
    <w:rsid w:val="00B50D5F"/>
    <w:rsid w:val="00B51348"/>
    <w:rsid w:val="00B51449"/>
    <w:rsid w:val="00B520C3"/>
    <w:rsid w:val="00B52D0E"/>
    <w:rsid w:val="00B53141"/>
    <w:rsid w:val="00B5356C"/>
    <w:rsid w:val="00B546BA"/>
    <w:rsid w:val="00B54885"/>
    <w:rsid w:val="00B5596D"/>
    <w:rsid w:val="00B55AB1"/>
    <w:rsid w:val="00B55D77"/>
    <w:rsid w:val="00B55F2D"/>
    <w:rsid w:val="00B5673D"/>
    <w:rsid w:val="00B579A2"/>
    <w:rsid w:val="00B60253"/>
    <w:rsid w:val="00B6091F"/>
    <w:rsid w:val="00B60E6A"/>
    <w:rsid w:val="00B61FB2"/>
    <w:rsid w:val="00B620F5"/>
    <w:rsid w:val="00B621B3"/>
    <w:rsid w:val="00B6226C"/>
    <w:rsid w:val="00B62830"/>
    <w:rsid w:val="00B62F68"/>
    <w:rsid w:val="00B63A4C"/>
    <w:rsid w:val="00B63DF6"/>
    <w:rsid w:val="00B647CF"/>
    <w:rsid w:val="00B64D51"/>
    <w:rsid w:val="00B658AD"/>
    <w:rsid w:val="00B661F3"/>
    <w:rsid w:val="00B6685D"/>
    <w:rsid w:val="00B66CCE"/>
    <w:rsid w:val="00B66D37"/>
    <w:rsid w:val="00B70C57"/>
    <w:rsid w:val="00B70D5D"/>
    <w:rsid w:val="00B71621"/>
    <w:rsid w:val="00B716B0"/>
    <w:rsid w:val="00B71D5A"/>
    <w:rsid w:val="00B72011"/>
    <w:rsid w:val="00B720F0"/>
    <w:rsid w:val="00B72BAB"/>
    <w:rsid w:val="00B72E40"/>
    <w:rsid w:val="00B72E61"/>
    <w:rsid w:val="00B732FE"/>
    <w:rsid w:val="00B736D1"/>
    <w:rsid w:val="00B73D52"/>
    <w:rsid w:val="00B73FA4"/>
    <w:rsid w:val="00B7429D"/>
    <w:rsid w:val="00B7551F"/>
    <w:rsid w:val="00B75B05"/>
    <w:rsid w:val="00B75C1C"/>
    <w:rsid w:val="00B75C68"/>
    <w:rsid w:val="00B772CD"/>
    <w:rsid w:val="00B774F4"/>
    <w:rsid w:val="00B77A4B"/>
    <w:rsid w:val="00B77C33"/>
    <w:rsid w:val="00B77DAE"/>
    <w:rsid w:val="00B77F90"/>
    <w:rsid w:val="00B80439"/>
    <w:rsid w:val="00B804BB"/>
    <w:rsid w:val="00B805E2"/>
    <w:rsid w:val="00B812D5"/>
    <w:rsid w:val="00B8162B"/>
    <w:rsid w:val="00B8185A"/>
    <w:rsid w:val="00B81874"/>
    <w:rsid w:val="00B81A17"/>
    <w:rsid w:val="00B81A4E"/>
    <w:rsid w:val="00B81C6A"/>
    <w:rsid w:val="00B8261B"/>
    <w:rsid w:val="00B83006"/>
    <w:rsid w:val="00B83876"/>
    <w:rsid w:val="00B83EB4"/>
    <w:rsid w:val="00B847BE"/>
    <w:rsid w:val="00B85019"/>
    <w:rsid w:val="00B85268"/>
    <w:rsid w:val="00B85412"/>
    <w:rsid w:val="00B86961"/>
    <w:rsid w:val="00B86B9F"/>
    <w:rsid w:val="00B86D3D"/>
    <w:rsid w:val="00B8723C"/>
    <w:rsid w:val="00B87B12"/>
    <w:rsid w:val="00B87D33"/>
    <w:rsid w:val="00B90441"/>
    <w:rsid w:val="00B90533"/>
    <w:rsid w:val="00B90A0F"/>
    <w:rsid w:val="00B922F3"/>
    <w:rsid w:val="00B92B8D"/>
    <w:rsid w:val="00B92BAB"/>
    <w:rsid w:val="00B92FE7"/>
    <w:rsid w:val="00B9391B"/>
    <w:rsid w:val="00B9423F"/>
    <w:rsid w:val="00B94469"/>
    <w:rsid w:val="00B9446B"/>
    <w:rsid w:val="00B94DF9"/>
    <w:rsid w:val="00B95272"/>
    <w:rsid w:val="00B95397"/>
    <w:rsid w:val="00B9587A"/>
    <w:rsid w:val="00B95FB5"/>
    <w:rsid w:val="00B96523"/>
    <w:rsid w:val="00B96909"/>
    <w:rsid w:val="00B9690B"/>
    <w:rsid w:val="00BA0056"/>
    <w:rsid w:val="00BA0059"/>
    <w:rsid w:val="00BA00F8"/>
    <w:rsid w:val="00BA216D"/>
    <w:rsid w:val="00BA29AC"/>
    <w:rsid w:val="00BA2B10"/>
    <w:rsid w:val="00BA35F3"/>
    <w:rsid w:val="00BA373C"/>
    <w:rsid w:val="00BA3DBD"/>
    <w:rsid w:val="00BA3F4F"/>
    <w:rsid w:val="00BA405B"/>
    <w:rsid w:val="00BA475D"/>
    <w:rsid w:val="00BA4B53"/>
    <w:rsid w:val="00BA4D96"/>
    <w:rsid w:val="00BA5872"/>
    <w:rsid w:val="00BA5951"/>
    <w:rsid w:val="00BA5B45"/>
    <w:rsid w:val="00BA5F8B"/>
    <w:rsid w:val="00BA6129"/>
    <w:rsid w:val="00BA759D"/>
    <w:rsid w:val="00BA7A00"/>
    <w:rsid w:val="00BA7AED"/>
    <w:rsid w:val="00BB090A"/>
    <w:rsid w:val="00BB0A63"/>
    <w:rsid w:val="00BB0BF5"/>
    <w:rsid w:val="00BB0C55"/>
    <w:rsid w:val="00BB0E03"/>
    <w:rsid w:val="00BB1296"/>
    <w:rsid w:val="00BB194C"/>
    <w:rsid w:val="00BB1C2D"/>
    <w:rsid w:val="00BB2607"/>
    <w:rsid w:val="00BB2A3C"/>
    <w:rsid w:val="00BB34F6"/>
    <w:rsid w:val="00BB3D88"/>
    <w:rsid w:val="00BB422F"/>
    <w:rsid w:val="00BB447B"/>
    <w:rsid w:val="00BB457B"/>
    <w:rsid w:val="00BB47CE"/>
    <w:rsid w:val="00BB5D51"/>
    <w:rsid w:val="00BB61F7"/>
    <w:rsid w:val="00BB6327"/>
    <w:rsid w:val="00BB66DE"/>
    <w:rsid w:val="00BB6E07"/>
    <w:rsid w:val="00BB75E1"/>
    <w:rsid w:val="00BB7C58"/>
    <w:rsid w:val="00BC0E69"/>
    <w:rsid w:val="00BC1356"/>
    <w:rsid w:val="00BC22A7"/>
    <w:rsid w:val="00BC24FB"/>
    <w:rsid w:val="00BC275A"/>
    <w:rsid w:val="00BC2B2F"/>
    <w:rsid w:val="00BC2D87"/>
    <w:rsid w:val="00BC2D8B"/>
    <w:rsid w:val="00BC37C1"/>
    <w:rsid w:val="00BC3B04"/>
    <w:rsid w:val="00BC4092"/>
    <w:rsid w:val="00BC41BD"/>
    <w:rsid w:val="00BC4BFD"/>
    <w:rsid w:val="00BC4CBB"/>
    <w:rsid w:val="00BC4DC0"/>
    <w:rsid w:val="00BC4E77"/>
    <w:rsid w:val="00BC5013"/>
    <w:rsid w:val="00BC531B"/>
    <w:rsid w:val="00BC5E4D"/>
    <w:rsid w:val="00BC69C9"/>
    <w:rsid w:val="00BC6C4D"/>
    <w:rsid w:val="00BC6FDD"/>
    <w:rsid w:val="00BC7231"/>
    <w:rsid w:val="00BD0BD4"/>
    <w:rsid w:val="00BD0E2D"/>
    <w:rsid w:val="00BD1642"/>
    <w:rsid w:val="00BD17B7"/>
    <w:rsid w:val="00BD23FD"/>
    <w:rsid w:val="00BD25EE"/>
    <w:rsid w:val="00BD267C"/>
    <w:rsid w:val="00BD31AC"/>
    <w:rsid w:val="00BD36DD"/>
    <w:rsid w:val="00BD3746"/>
    <w:rsid w:val="00BD3E75"/>
    <w:rsid w:val="00BD3FD7"/>
    <w:rsid w:val="00BD448A"/>
    <w:rsid w:val="00BD48C8"/>
    <w:rsid w:val="00BD4A04"/>
    <w:rsid w:val="00BD620E"/>
    <w:rsid w:val="00BD6281"/>
    <w:rsid w:val="00BD6508"/>
    <w:rsid w:val="00BD6873"/>
    <w:rsid w:val="00BD6C9B"/>
    <w:rsid w:val="00BD7629"/>
    <w:rsid w:val="00BD7E9B"/>
    <w:rsid w:val="00BD7F68"/>
    <w:rsid w:val="00BE09C2"/>
    <w:rsid w:val="00BE0EF3"/>
    <w:rsid w:val="00BE1246"/>
    <w:rsid w:val="00BE138F"/>
    <w:rsid w:val="00BE142B"/>
    <w:rsid w:val="00BE1655"/>
    <w:rsid w:val="00BE2102"/>
    <w:rsid w:val="00BE2130"/>
    <w:rsid w:val="00BE2411"/>
    <w:rsid w:val="00BE3025"/>
    <w:rsid w:val="00BE3C75"/>
    <w:rsid w:val="00BE3CB8"/>
    <w:rsid w:val="00BE4F8D"/>
    <w:rsid w:val="00BE5014"/>
    <w:rsid w:val="00BE54DE"/>
    <w:rsid w:val="00BE5B26"/>
    <w:rsid w:val="00BE62FF"/>
    <w:rsid w:val="00BE6404"/>
    <w:rsid w:val="00BE6AC5"/>
    <w:rsid w:val="00BE77CD"/>
    <w:rsid w:val="00BE79ED"/>
    <w:rsid w:val="00BE7B62"/>
    <w:rsid w:val="00BE7BC6"/>
    <w:rsid w:val="00BF0A8C"/>
    <w:rsid w:val="00BF134E"/>
    <w:rsid w:val="00BF27DB"/>
    <w:rsid w:val="00BF2E92"/>
    <w:rsid w:val="00BF3099"/>
    <w:rsid w:val="00BF3789"/>
    <w:rsid w:val="00BF3BDC"/>
    <w:rsid w:val="00BF3F83"/>
    <w:rsid w:val="00BF46B3"/>
    <w:rsid w:val="00BF4783"/>
    <w:rsid w:val="00BF5112"/>
    <w:rsid w:val="00BF56D5"/>
    <w:rsid w:val="00BF57AA"/>
    <w:rsid w:val="00BF5ACA"/>
    <w:rsid w:val="00BF5D9A"/>
    <w:rsid w:val="00BF5F29"/>
    <w:rsid w:val="00BF62E7"/>
    <w:rsid w:val="00BF6CE4"/>
    <w:rsid w:val="00BF7110"/>
    <w:rsid w:val="00BF79AE"/>
    <w:rsid w:val="00C0047C"/>
    <w:rsid w:val="00C00505"/>
    <w:rsid w:val="00C009FE"/>
    <w:rsid w:val="00C01084"/>
    <w:rsid w:val="00C01818"/>
    <w:rsid w:val="00C01BC7"/>
    <w:rsid w:val="00C01D1F"/>
    <w:rsid w:val="00C021BA"/>
    <w:rsid w:val="00C027DE"/>
    <w:rsid w:val="00C0339C"/>
    <w:rsid w:val="00C03E69"/>
    <w:rsid w:val="00C03EAB"/>
    <w:rsid w:val="00C04142"/>
    <w:rsid w:val="00C04A9A"/>
    <w:rsid w:val="00C04D3D"/>
    <w:rsid w:val="00C052B3"/>
    <w:rsid w:val="00C05D34"/>
    <w:rsid w:val="00C066E3"/>
    <w:rsid w:val="00C06788"/>
    <w:rsid w:val="00C06BB0"/>
    <w:rsid w:val="00C06CD2"/>
    <w:rsid w:val="00C06E13"/>
    <w:rsid w:val="00C072A5"/>
    <w:rsid w:val="00C077CB"/>
    <w:rsid w:val="00C079B6"/>
    <w:rsid w:val="00C07AF6"/>
    <w:rsid w:val="00C100C1"/>
    <w:rsid w:val="00C10A57"/>
    <w:rsid w:val="00C10E37"/>
    <w:rsid w:val="00C11A27"/>
    <w:rsid w:val="00C11A33"/>
    <w:rsid w:val="00C11CD2"/>
    <w:rsid w:val="00C11E00"/>
    <w:rsid w:val="00C12666"/>
    <w:rsid w:val="00C12F31"/>
    <w:rsid w:val="00C13726"/>
    <w:rsid w:val="00C13E59"/>
    <w:rsid w:val="00C13F62"/>
    <w:rsid w:val="00C141E7"/>
    <w:rsid w:val="00C147ED"/>
    <w:rsid w:val="00C14A65"/>
    <w:rsid w:val="00C14C17"/>
    <w:rsid w:val="00C15793"/>
    <w:rsid w:val="00C159EA"/>
    <w:rsid w:val="00C15DC7"/>
    <w:rsid w:val="00C16AF9"/>
    <w:rsid w:val="00C1715B"/>
    <w:rsid w:val="00C1747A"/>
    <w:rsid w:val="00C174B3"/>
    <w:rsid w:val="00C179FA"/>
    <w:rsid w:val="00C17E44"/>
    <w:rsid w:val="00C2009A"/>
    <w:rsid w:val="00C20EAF"/>
    <w:rsid w:val="00C21029"/>
    <w:rsid w:val="00C21285"/>
    <w:rsid w:val="00C21435"/>
    <w:rsid w:val="00C21643"/>
    <w:rsid w:val="00C21921"/>
    <w:rsid w:val="00C22096"/>
    <w:rsid w:val="00C22DB2"/>
    <w:rsid w:val="00C23756"/>
    <w:rsid w:val="00C23895"/>
    <w:rsid w:val="00C23A5C"/>
    <w:rsid w:val="00C23AD7"/>
    <w:rsid w:val="00C24847"/>
    <w:rsid w:val="00C248B7"/>
    <w:rsid w:val="00C25005"/>
    <w:rsid w:val="00C25E24"/>
    <w:rsid w:val="00C26262"/>
    <w:rsid w:val="00C2629C"/>
    <w:rsid w:val="00C26490"/>
    <w:rsid w:val="00C2663C"/>
    <w:rsid w:val="00C26824"/>
    <w:rsid w:val="00C26F76"/>
    <w:rsid w:val="00C270D3"/>
    <w:rsid w:val="00C27445"/>
    <w:rsid w:val="00C27DB7"/>
    <w:rsid w:val="00C30A82"/>
    <w:rsid w:val="00C30B55"/>
    <w:rsid w:val="00C30EC9"/>
    <w:rsid w:val="00C3140B"/>
    <w:rsid w:val="00C31ECE"/>
    <w:rsid w:val="00C31FEF"/>
    <w:rsid w:val="00C3233B"/>
    <w:rsid w:val="00C332B9"/>
    <w:rsid w:val="00C33562"/>
    <w:rsid w:val="00C33D06"/>
    <w:rsid w:val="00C34628"/>
    <w:rsid w:val="00C34653"/>
    <w:rsid w:val="00C34D4E"/>
    <w:rsid w:val="00C35710"/>
    <w:rsid w:val="00C357B8"/>
    <w:rsid w:val="00C3687C"/>
    <w:rsid w:val="00C36982"/>
    <w:rsid w:val="00C36AF4"/>
    <w:rsid w:val="00C371E2"/>
    <w:rsid w:val="00C372B4"/>
    <w:rsid w:val="00C376DA"/>
    <w:rsid w:val="00C37B84"/>
    <w:rsid w:val="00C37C9C"/>
    <w:rsid w:val="00C40553"/>
    <w:rsid w:val="00C41155"/>
    <w:rsid w:val="00C41AFF"/>
    <w:rsid w:val="00C41C56"/>
    <w:rsid w:val="00C42CFB"/>
    <w:rsid w:val="00C438ED"/>
    <w:rsid w:val="00C44296"/>
    <w:rsid w:val="00C443CA"/>
    <w:rsid w:val="00C446EA"/>
    <w:rsid w:val="00C44773"/>
    <w:rsid w:val="00C448A0"/>
    <w:rsid w:val="00C4499F"/>
    <w:rsid w:val="00C44D52"/>
    <w:rsid w:val="00C44DA6"/>
    <w:rsid w:val="00C45A93"/>
    <w:rsid w:val="00C45D92"/>
    <w:rsid w:val="00C45E74"/>
    <w:rsid w:val="00C45E9B"/>
    <w:rsid w:val="00C4623E"/>
    <w:rsid w:val="00C46776"/>
    <w:rsid w:val="00C46E01"/>
    <w:rsid w:val="00C473A1"/>
    <w:rsid w:val="00C474DD"/>
    <w:rsid w:val="00C4776A"/>
    <w:rsid w:val="00C47C12"/>
    <w:rsid w:val="00C5142D"/>
    <w:rsid w:val="00C51E73"/>
    <w:rsid w:val="00C52503"/>
    <w:rsid w:val="00C52D61"/>
    <w:rsid w:val="00C53A55"/>
    <w:rsid w:val="00C540BD"/>
    <w:rsid w:val="00C547CF"/>
    <w:rsid w:val="00C54C7C"/>
    <w:rsid w:val="00C54D3F"/>
    <w:rsid w:val="00C554F0"/>
    <w:rsid w:val="00C55C8A"/>
    <w:rsid w:val="00C57539"/>
    <w:rsid w:val="00C5764C"/>
    <w:rsid w:val="00C57F88"/>
    <w:rsid w:val="00C60044"/>
    <w:rsid w:val="00C60529"/>
    <w:rsid w:val="00C6070E"/>
    <w:rsid w:val="00C60A86"/>
    <w:rsid w:val="00C60D50"/>
    <w:rsid w:val="00C60F3C"/>
    <w:rsid w:val="00C610CE"/>
    <w:rsid w:val="00C61157"/>
    <w:rsid w:val="00C6125F"/>
    <w:rsid w:val="00C61384"/>
    <w:rsid w:val="00C614EB"/>
    <w:rsid w:val="00C61BF0"/>
    <w:rsid w:val="00C61FB9"/>
    <w:rsid w:val="00C624EC"/>
    <w:rsid w:val="00C62B43"/>
    <w:rsid w:val="00C62B96"/>
    <w:rsid w:val="00C62DC9"/>
    <w:rsid w:val="00C62F6F"/>
    <w:rsid w:val="00C6355B"/>
    <w:rsid w:val="00C63E4E"/>
    <w:rsid w:val="00C64141"/>
    <w:rsid w:val="00C64494"/>
    <w:rsid w:val="00C64DD2"/>
    <w:rsid w:val="00C64F71"/>
    <w:rsid w:val="00C65611"/>
    <w:rsid w:val="00C65777"/>
    <w:rsid w:val="00C65DEC"/>
    <w:rsid w:val="00C66A2B"/>
    <w:rsid w:val="00C66C97"/>
    <w:rsid w:val="00C67539"/>
    <w:rsid w:val="00C701F7"/>
    <w:rsid w:val="00C70AD7"/>
    <w:rsid w:val="00C71243"/>
    <w:rsid w:val="00C71FBF"/>
    <w:rsid w:val="00C731D3"/>
    <w:rsid w:val="00C73B43"/>
    <w:rsid w:val="00C73EA4"/>
    <w:rsid w:val="00C7400B"/>
    <w:rsid w:val="00C74162"/>
    <w:rsid w:val="00C7448E"/>
    <w:rsid w:val="00C744CD"/>
    <w:rsid w:val="00C746F3"/>
    <w:rsid w:val="00C74E79"/>
    <w:rsid w:val="00C7537F"/>
    <w:rsid w:val="00C75560"/>
    <w:rsid w:val="00C756B1"/>
    <w:rsid w:val="00C76064"/>
    <w:rsid w:val="00C76218"/>
    <w:rsid w:val="00C7628A"/>
    <w:rsid w:val="00C7667D"/>
    <w:rsid w:val="00C769BD"/>
    <w:rsid w:val="00C76B8E"/>
    <w:rsid w:val="00C779FB"/>
    <w:rsid w:val="00C77AE9"/>
    <w:rsid w:val="00C77F56"/>
    <w:rsid w:val="00C80991"/>
    <w:rsid w:val="00C80FA7"/>
    <w:rsid w:val="00C810C6"/>
    <w:rsid w:val="00C812AE"/>
    <w:rsid w:val="00C81673"/>
    <w:rsid w:val="00C8190A"/>
    <w:rsid w:val="00C8191A"/>
    <w:rsid w:val="00C82C42"/>
    <w:rsid w:val="00C82FDD"/>
    <w:rsid w:val="00C837D0"/>
    <w:rsid w:val="00C83FF7"/>
    <w:rsid w:val="00C8498C"/>
    <w:rsid w:val="00C84A64"/>
    <w:rsid w:val="00C8531E"/>
    <w:rsid w:val="00C85C5A"/>
    <w:rsid w:val="00C85C8B"/>
    <w:rsid w:val="00C869ED"/>
    <w:rsid w:val="00C87358"/>
    <w:rsid w:val="00C87BCA"/>
    <w:rsid w:val="00C90D83"/>
    <w:rsid w:val="00C90ECA"/>
    <w:rsid w:val="00C90F3E"/>
    <w:rsid w:val="00C92003"/>
    <w:rsid w:val="00C925D1"/>
    <w:rsid w:val="00C9292F"/>
    <w:rsid w:val="00C92958"/>
    <w:rsid w:val="00C9326D"/>
    <w:rsid w:val="00C9327E"/>
    <w:rsid w:val="00C93482"/>
    <w:rsid w:val="00C93CBC"/>
    <w:rsid w:val="00C93FDA"/>
    <w:rsid w:val="00C9430F"/>
    <w:rsid w:val="00C94704"/>
    <w:rsid w:val="00C94FD7"/>
    <w:rsid w:val="00C954BD"/>
    <w:rsid w:val="00C957F0"/>
    <w:rsid w:val="00C961DF"/>
    <w:rsid w:val="00C96266"/>
    <w:rsid w:val="00C96B9D"/>
    <w:rsid w:val="00C97BCE"/>
    <w:rsid w:val="00CA100C"/>
    <w:rsid w:val="00CA13DD"/>
    <w:rsid w:val="00CA16CD"/>
    <w:rsid w:val="00CA2B03"/>
    <w:rsid w:val="00CA3151"/>
    <w:rsid w:val="00CA34EC"/>
    <w:rsid w:val="00CA3C6E"/>
    <w:rsid w:val="00CA4054"/>
    <w:rsid w:val="00CA40C4"/>
    <w:rsid w:val="00CA54A2"/>
    <w:rsid w:val="00CA57FD"/>
    <w:rsid w:val="00CA5881"/>
    <w:rsid w:val="00CA5B07"/>
    <w:rsid w:val="00CA5C51"/>
    <w:rsid w:val="00CA5D9D"/>
    <w:rsid w:val="00CA5E5D"/>
    <w:rsid w:val="00CA608E"/>
    <w:rsid w:val="00CA60FD"/>
    <w:rsid w:val="00CA62D1"/>
    <w:rsid w:val="00CA6496"/>
    <w:rsid w:val="00CA64E4"/>
    <w:rsid w:val="00CA6D37"/>
    <w:rsid w:val="00CA6E4A"/>
    <w:rsid w:val="00CA7333"/>
    <w:rsid w:val="00CA766E"/>
    <w:rsid w:val="00CA7CD7"/>
    <w:rsid w:val="00CA7D16"/>
    <w:rsid w:val="00CA7D28"/>
    <w:rsid w:val="00CA7DC4"/>
    <w:rsid w:val="00CA7E30"/>
    <w:rsid w:val="00CB0B5A"/>
    <w:rsid w:val="00CB0DC4"/>
    <w:rsid w:val="00CB0EFA"/>
    <w:rsid w:val="00CB16CF"/>
    <w:rsid w:val="00CB1A65"/>
    <w:rsid w:val="00CB1C32"/>
    <w:rsid w:val="00CB23DF"/>
    <w:rsid w:val="00CB2568"/>
    <w:rsid w:val="00CB2831"/>
    <w:rsid w:val="00CB2D89"/>
    <w:rsid w:val="00CB2E86"/>
    <w:rsid w:val="00CB3664"/>
    <w:rsid w:val="00CB445B"/>
    <w:rsid w:val="00CB47C9"/>
    <w:rsid w:val="00CB4AF0"/>
    <w:rsid w:val="00CB4F56"/>
    <w:rsid w:val="00CB559D"/>
    <w:rsid w:val="00CB5817"/>
    <w:rsid w:val="00CB5E24"/>
    <w:rsid w:val="00CB64A5"/>
    <w:rsid w:val="00CB7CC1"/>
    <w:rsid w:val="00CB7DD6"/>
    <w:rsid w:val="00CB7FFD"/>
    <w:rsid w:val="00CC02E6"/>
    <w:rsid w:val="00CC04CD"/>
    <w:rsid w:val="00CC0E0B"/>
    <w:rsid w:val="00CC12A5"/>
    <w:rsid w:val="00CC153D"/>
    <w:rsid w:val="00CC1B27"/>
    <w:rsid w:val="00CC1CCE"/>
    <w:rsid w:val="00CC2381"/>
    <w:rsid w:val="00CC2CFE"/>
    <w:rsid w:val="00CC362F"/>
    <w:rsid w:val="00CC3AB0"/>
    <w:rsid w:val="00CC3F0B"/>
    <w:rsid w:val="00CC42E0"/>
    <w:rsid w:val="00CC4657"/>
    <w:rsid w:val="00CC4C26"/>
    <w:rsid w:val="00CC4FE8"/>
    <w:rsid w:val="00CC5DF7"/>
    <w:rsid w:val="00CC636B"/>
    <w:rsid w:val="00CC672C"/>
    <w:rsid w:val="00CC6753"/>
    <w:rsid w:val="00CC7393"/>
    <w:rsid w:val="00CC740F"/>
    <w:rsid w:val="00CC75FD"/>
    <w:rsid w:val="00CC77AD"/>
    <w:rsid w:val="00CC7F31"/>
    <w:rsid w:val="00CC7F3C"/>
    <w:rsid w:val="00CD07C5"/>
    <w:rsid w:val="00CD0C4F"/>
    <w:rsid w:val="00CD1088"/>
    <w:rsid w:val="00CD1308"/>
    <w:rsid w:val="00CD1410"/>
    <w:rsid w:val="00CD14D4"/>
    <w:rsid w:val="00CD171C"/>
    <w:rsid w:val="00CD1D05"/>
    <w:rsid w:val="00CD204E"/>
    <w:rsid w:val="00CD2DB0"/>
    <w:rsid w:val="00CD2F42"/>
    <w:rsid w:val="00CD34F6"/>
    <w:rsid w:val="00CD37A0"/>
    <w:rsid w:val="00CD409E"/>
    <w:rsid w:val="00CD423C"/>
    <w:rsid w:val="00CD4462"/>
    <w:rsid w:val="00CD4716"/>
    <w:rsid w:val="00CD473F"/>
    <w:rsid w:val="00CD4821"/>
    <w:rsid w:val="00CD4CE5"/>
    <w:rsid w:val="00CD6392"/>
    <w:rsid w:val="00CD67A1"/>
    <w:rsid w:val="00CD6DC3"/>
    <w:rsid w:val="00CD73F0"/>
    <w:rsid w:val="00CD75F3"/>
    <w:rsid w:val="00CE0236"/>
    <w:rsid w:val="00CE148B"/>
    <w:rsid w:val="00CE1C75"/>
    <w:rsid w:val="00CE2177"/>
    <w:rsid w:val="00CE2288"/>
    <w:rsid w:val="00CE2787"/>
    <w:rsid w:val="00CE2A29"/>
    <w:rsid w:val="00CE3246"/>
    <w:rsid w:val="00CE32DE"/>
    <w:rsid w:val="00CE339C"/>
    <w:rsid w:val="00CE3957"/>
    <w:rsid w:val="00CE3CE6"/>
    <w:rsid w:val="00CE46C1"/>
    <w:rsid w:val="00CE4785"/>
    <w:rsid w:val="00CE48E7"/>
    <w:rsid w:val="00CE4901"/>
    <w:rsid w:val="00CE4B7D"/>
    <w:rsid w:val="00CE55D1"/>
    <w:rsid w:val="00CE57EC"/>
    <w:rsid w:val="00CE5E91"/>
    <w:rsid w:val="00CE5F88"/>
    <w:rsid w:val="00CE649B"/>
    <w:rsid w:val="00CE6A22"/>
    <w:rsid w:val="00CE71C9"/>
    <w:rsid w:val="00CE7348"/>
    <w:rsid w:val="00CE777C"/>
    <w:rsid w:val="00CE7C84"/>
    <w:rsid w:val="00CE7CFC"/>
    <w:rsid w:val="00CF0602"/>
    <w:rsid w:val="00CF0B40"/>
    <w:rsid w:val="00CF0C76"/>
    <w:rsid w:val="00CF0D2C"/>
    <w:rsid w:val="00CF1C22"/>
    <w:rsid w:val="00CF2272"/>
    <w:rsid w:val="00CF2400"/>
    <w:rsid w:val="00CF3945"/>
    <w:rsid w:val="00CF3A9A"/>
    <w:rsid w:val="00CF3C0B"/>
    <w:rsid w:val="00CF3D52"/>
    <w:rsid w:val="00CF4ACE"/>
    <w:rsid w:val="00CF4BC5"/>
    <w:rsid w:val="00CF59D0"/>
    <w:rsid w:val="00CF5FF0"/>
    <w:rsid w:val="00CF6638"/>
    <w:rsid w:val="00CF7446"/>
    <w:rsid w:val="00CF7B24"/>
    <w:rsid w:val="00CF7C59"/>
    <w:rsid w:val="00CF7F48"/>
    <w:rsid w:val="00D008EE"/>
    <w:rsid w:val="00D0106E"/>
    <w:rsid w:val="00D019C1"/>
    <w:rsid w:val="00D01C00"/>
    <w:rsid w:val="00D03204"/>
    <w:rsid w:val="00D033C2"/>
    <w:rsid w:val="00D03453"/>
    <w:rsid w:val="00D03BED"/>
    <w:rsid w:val="00D03F9C"/>
    <w:rsid w:val="00D041DC"/>
    <w:rsid w:val="00D0424A"/>
    <w:rsid w:val="00D04E47"/>
    <w:rsid w:val="00D0549C"/>
    <w:rsid w:val="00D06731"/>
    <w:rsid w:val="00D071C2"/>
    <w:rsid w:val="00D071E2"/>
    <w:rsid w:val="00D07955"/>
    <w:rsid w:val="00D104D0"/>
    <w:rsid w:val="00D107C8"/>
    <w:rsid w:val="00D107E0"/>
    <w:rsid w:val="00D10CE3"/>
    <w:rsid w:val="00D11861"/>
    <w:rsid w:val="00D1260C"/>
    <w:rsid w:val="00D12661"/>
    <w:rsid w:val="00D12A45"/>
    <w:rsid w:val="00D12C38"/>
    <w:rsid w:val="00D12EFF"/>
    <w:rsid w:val="00D133FA"/>
    <w:rsid w:val="00D1373C"/>
    <w:rsid w:val="00D138F8"/>
    <w:rsid w:val="00D140FD"/>
    <w:rsid w:val="00D14782"/>
    <w:rsid w:val="00D14849"/>
    <w:rsid w:val="00D14E23"/>
    <w:rsid w:val="00D15AC3"/>
    <w:rsid w:val="00D16273"/>
    <w:rsid w:val="00D163E2"/>
    <w:rsid w:val="00D16490"/>
    <w:rsid w:val="00D17393"/>
    <w:rsid w:val="00D1778A"/>
    <w:rsid w:val="00D21257"/>
    <w:rsid w:val="00D21301"/>
    <w:rsid w:val="00D21531"/>
    <w:rsid w:val="00D21F8E"/>
    <w:rsid w:val="00D221FC"/>
    <w:rsid w:val="00D222CD"/>
    <w:rsid w:val="00D22A75"/>
    <w:rsid w:val="00D24545"/>
    <w:rsid w:val="00D2467F"/>
    <w:rsid w:val="00D248CE"/>
    <w:rsid w:val="00D25C71"/>
    <w:rsid w:val="00D25D6B"/>
    <w:rsid w:val="00D2603B"/>
    <w:rsid w:val="00D2663D"/>
    <w:rsid w:val="00D268DF"/>
    <w:rsid w:val="00D2737B"/>
    <w:rsid w:val="00D279C4"/>
    <w:rsid w:val="00D27C57"/>
    <w:rsid w:val="00D30EDC"/>
    <w:rsid w:val="00D310E8"/>
    <w:rsid w:val="00D312C1"/>
    <w:rsid w:val="00D3141E"/>
    <w:rsid w:val="00D31A44"/>
    <w:rsid w:val="00D32EE4"/>
    <w:rsid w:val="00D332AD"/>
    <w:rsid w:val="00D33823"/>
    <w:rsid w:val="00D339F9"/>
    <w:rsid w:val="00D33B1E"/>
    <w:rsid w:val="00D34FD1"/>
    <w:rsid w:val="00D34FFA"/>
    <w:rsid w:val="00D35C87"/>
    <w:rsid w:val="00D35DAF"/>
    <w:rsid w:val="00D361B2"/>
    <w:rsid w:val="00D365B0"/>
    <w:rsid w:val="00D37025"/>
    <w:rsid w:val="00D40186"/>
    <w:rsid w:val="00D415C9"/>
    <w:rsid w:val="00D41651"/>
    <w:rsid w:val="00D41E29"/>
    <w:rsid w:val="00D41F4D"/>
    <w:rsid w:val="00D42772"/>
    <w:rsid w:val="00D42C2E"/>
    <w:rsid w:val="00D42C4F"/>
    <w:rsid w:val="00D42F06"/>
    <w:rsid w:val="00D4320D"/>
    <w:rsid w:val="00D43274"/>
    <w:rsid w:val="00D439FE"/>
    <w:rsid w:val="00D4464A"/>
    <w:rsid w:val="00D447C7"/>
    <w:rsid w:val="00D447CB"/>
    <w:rsid w:val="00D44CA2"/>
    <w:rsid w:val="00D45021"/>
    <w:rsid w:val="00D45398"/>
    <w:rsid w:val="00D45F0A"/>
    <w:rsid w:val="00D46162"/>
    <w:rsid w:val="00D46354"/>
    <w:rsid w:val="00D4662E"/>
    <w:rsid w:val="00D468A8"/>
    <w:rsid w:val="00D46C5A"/>
    <w:rsid w:val="00D50D92"/>
    <w:rsid w:val="00D513CB"/>
    <w:rsid w:val="00D51C49"/>
    <w:rsid w:val="00D522D1"/>
    <w:rsid w:val="00D526CA"/>
    <w:rsid w:val="00D52E0A"/>
    <w:rsid w:val="00D53451"/>
    <w:rsid w:val="00D5373A"/>
    <w:rsid w:val="00D53C4E"/>
    <w:rsid w:val="00D53FFE"/>
    <w:rsid w:val="00D542F8"/>
    <w:rsid w:val="00D54CF2"/>
    <w:rsid w:val="00D54F8E"/>
    <w:rsid w:val="00D559BB"/>
    <w:rsid w:val="00D56350"/>
    <w:rsid w:val="00D56D06"/>
    <w:rsid w:val="00D6008F"/>
    <w:rsid w:val="00D606D5"/>
    <w:rsid w:val="00D60793"/>
    <w:rsid w:val="00D60817"/>
    <w:rsid w:val="00D60AD9"/>
    <w:rsid w:val="00D60FC9"/>
    <w:rsid w:val="00D61805"/>
    <w:rsid w:val="00D61B0F"/>
    <w:rsid w:val="00D61B6F"/>
    <w:rsid w:val="00D61EA9"/>
    <w:rsid w:val="00D62A98"/>
    <w:rsid w:val="00D632F5"/>
    <w:rsid w:val="00D63A57"/>
    <w:rsid w:val="00D63AC5"/>
    <w:rsid w:val="00D643CD"/>
    <w:rsid w:val="00D646E3"/>
    <w:rsid w:val="00D65482"/>
    <w:rsid w:val="00D6551A"/>
    <w:rsid w:val="00D65990"/>
    <w:rsid w:val="00D65EEC"/>
    <w:rsid w:val="00D66012"/>
    <w:rsid w:val="00D66614"/>
    <w:rsid w:val="00D66E54"/>
    <w:rsid w:val="00D67475"/>
    <w:rsid w:val="00D67ED1"/>
    <w:rsid w:val="00D67FCA"/>
    <w:rsid w:val="00D71253"/>
    <w:rsid w:val="00D714D3"/>
    <w:rsid w:val="00D71EE8"/>
    <w:rsid w:val="00D726CA"/>
    <w:rsid w:val="00D7283A"/>
    <w:rsid w:val="00D72D1A"/>
    <w:rsid w:val="00D735DE"/>
    <w:rsid w:val="00D73768"/>
    <w:rsid w:val="00D73ED4"/>
    <w:rsid w:val="00D741C5"/>
    <w:rsid w:val="00D7477F"/>
    <w:rsid w:val="00D74785"/>
    <w:rsid w:val="00D74ED3"/>
    <w:rsid w:val="00D750B0"/>
    <w:rsid w:val="00D75265"/>
    <w:rsid w:val="00D75F6D"/>
    <w:rsid w:val="00D76264"/>
    <w:rsid w:val="00D765C0"/>
    <w:rsid w:val="00D76BE2"/>
    <w:rsid w:val="00D76C75"/>
    <w:rsid w:val="00D77018"/>
    <w:rsid w:val="00D77575"/>
    <w:rsid w:val="00D77770"/>
    <w:rsid w:val="00D77D3C"/>
    <w:rsid w:val="00D80639"/>
    <w:rsid w:val="00D807AF"/>
    <w:rsid w:val="00D81EF6"/>
    <w:rsid w:val="00D82585"/>
    <w:rsid w:val="00D828A0"/>
    <w:rsid w:val="00D82D07"/>
    <w:rsid w:val="00D82D61"/>
    <w:rsid w:val="00D82E7F"/>
    <w:rsid w:val="00D83136"/>
    <w:rsid w:val="00D83724"/>
    <w:rsid w:val="00D844C7"/>
    <w:rsid w:val="00D84C3D"/>
    <w:rsid w:val="00D8511E"/>
    <w:rsid w:val="00D85432"/>
    <w:rsid w:val="00D85554"/>
    <w:rsid w:val="00D85B56"/>
    <w:rsid w:val="00D85B94"/>
    <w:rsid w:val="00D86444"/>
    <w:rsid w:val="00D864C6"/>
    <w:rsid w:val="00D8689C"/>
    <w:rsid w:val="00D8694E"/>
    <w:rsid w:val="00D86D5C"/>
    <w:rsid w:val="00D873B4"/>
    <w:rsid w:val="00D874BE"/>
    <w:rsid w:val="00D87710"/>
    <w:rsid w:val="00D877C5"/>
    <w:rsid w:val="00D90FF7"/>
    <w:rsid w:val="00D929E8"/>
    <w:rsid w:val="00D92ABB"/>
    <w:rsid w:val="00D932FE"/>
    <w:rsid w:val="00D93455"/>
    <w:rsid w:val="00D935AB"/>
    <w:rsid w:val="00D935F6"/>
    <w:rsid w:val="00D93B79"/>
    <w:rsid w:val="00D9401A"/>
    <w:rsid w:val="00D9404D"/>
    <w:rsid w:val="00D944F0"/>
    <w:rsid w:val="00D95136"/>
    <w:rsid w:val="00D951C7"/>
    <w:rsid w:val="00D9589D"/>
    <w:rsid w:val="00D95E53"/>
    <w:rsid w:val="00D974E3"/>
    <w:rsid w:val="00D976EB"/>
    <w:rsid w:val="00D97D9B"/>
    <w:rsid w:val="00D97F53"/>
    <w:rsid w:val="00D97F55"/>
    <w:rsid w:val="00DA04B6"/>
    <w:rsid w:val="00DA0636"/>
    <w:rsid w:val="00DA0F3B"/>
    <w:rsid w:val="00DA10FC"/>
    <w:rsid w:val="00DA1A0D"/>
    <w:rsid w:val="00DA2238"/>
    <w:rsid w:val="00DA2331"/>
    <w:rsid w:val="00DA2903"/>
    <w:rsid w:val="00DA3392"/>
    <w:rsid w:val="00DA3A31"/>
    <w:rsid w:val="00DA3DFB"/>
    <w:rsid w:val="00DA46EA"/>
    <w:rsid w:val="00DA5140"/>
    <w:rsid w:val="00DA5A94"/>
    <w:rsid w:val="00DA5D32"/>
    <w:rsid w:val="00DA65E9"/>
    <w:rsid w:val="00DA7AFD"/>
    <w:rsid w:val="00DB08B3"/>
    <w:rsid w:val="00DB1CCE"/>
    <w:rsid w:val="00DB2BBF"/>
    <w:rsid w:val="00DB2D6B"/>
    <w:rsid w:val="00DB3CD2"/>
    <w:rsid w:val="00DB3ECD"/>
    <w:rsid w:val="00DB4B79"/>
    <w:rsid w:val="00DB4CC7"/>
    <w:rsid w:val="00DB53FA"/>
    <w:rsid w:val="00DB63C8"/>
    <w:rsid w:val="00DB63F8"/>
    <w:rsid w:val="00DB67F8"/>
    <w:rsid w:val="00DB69EA"/>
    <w:rsid w:val="00DB75B4"/>
    <w:rsid w:val="00DB7DFD"/>
    <w:rsid w:val="00DC01CD"/>
    <w:rsid w:val="00DC01DA"/>
    <w:rsid w:val="00DC0611"/>
    <w:rsid w:val="00DC11FA"/>
    <w:rsid w:val="00DC131D"/>
    <w:rsid w:val="00DC19DC"/>
    <w:rsid w:val="00DC1D0C"/>
    <w:rsid w:val="00DC1D20"/>
    <w:rsid w:val="00DC3482"/>
    <w:rsid w:val="00DC3EB3"/>
    <w:rsid w:val="00DC441B"/>
    <w:rsid w:val="00DC47EB"/>
    <w:rsid w:val="00DC4E50"/>
    <w:rsid w:val="00DC6365"/>
    <w:rsid w:val="00DC6581"/>
    <w:rsid w:val="00DC729D"/>
    <w:rsid w:val="00DC7AC0"/>
    <w:rsid w:val="00DD028D"/>
    <w:rsid w:val="00DD083B"/>
    <w:rsid w:val="00DD0B48"/>
    <w:rsid w:val="00DD0BB4"/>
    <w:rsid w:val="00DD10BF"/>
    <w:rsid w:val="00DD1931"/>
    <w:rsid w:val="00DD1C3B"/>
    <w:rsid w:val="00DD23C6"/>
    <w:rsid w:val="00DD23ED"/>
    <w:rsid w:val="00DD2702"/>
    <w:rsid w:val="00DD2B35"/>
    <w:rsid w:val="00DD2F25"/>
    <w:rsid w:val="00DD309C"/>
    <w:rsid w:val="00DD3130"/>
    <w:rsid w:val="00DD3870"/>
    <w:rsid w:val="00DD4AFD"/>
    <w:rsid w:val="00DD63B5"/>
    <w:rsid w:val="00DD67C1"/>
    <w:rsid w:val="00DD71D1"/>
    <w:rsid w:val="00DD73FD"/>
    <w:rsid w:val="00DE0D87"/>
    <w:rsid w:val="00DE12C6"/>
    <w:rsid w:val="00DE14BA"/>
    <w:rsid w:val="00DE1C57"/>
    <w:rsid w:val="00DE1DD5"/>
    <w:rsid w:val="00DE3442"/>
    <w:rsid w:val="00DE3AC3"/>
    <w:rsid w:val="00DE3B61"/>
    <w:rsid w:val="00DE3F55"/>
    <w:rsid w:val="00DE4C8F"/>
    <w:rsid w:val="00DE4E7B"/>
    <w:rsid w:val="00DE532B"/>
    <w:rsid w:val="00DE617D"/>
    <w:rsid w:val="00DE632C"/>
    <w:rsid w:val="00DE6A5E"/>
    <w:rsid w:val="00DE6B49"/>
    <w:rsid w:val="00DE714E"/>
    <w:rsid w:val="00DE71C0"/>
    <w:rsid w:val="00DE760E"/>
    <w:rsid w:val="00DE77F7"/>
    <w:rsid w:val="00DF01D9"/>
    <w:rsid w:val="00DF0CC3"/>
    <w:rsid w:val="00DF1100"/>
    <w:rsid w:val="00DF1747"/>
    <w:rsid w:val="00DF1858"/>
    <w:rsid w:val="00DF1A1F"/>
    <w:rsid w:val="00DF1A70"/>
    <w:rsid w:val="00DF1EEC"/>
    <w:rsid w:val="00DF203B"/>
    <w:rsid w:val="00DF29CE"/>
    <w:rsid w:val="00DF2C63"/>
    <w:rsid w:val="00DF3D5D"/>
    <w:rsid w:val="00DF437C"/>
    <w:rsid w:val="00DF481B"/>
    <w:rsid w:val="00DF4826"/>
    <w:rsid w:val="00DF48E2"/>
    <w:rsid w:val="00DF4E61"/>
    <w:rsid w:val="00DF5C3D"/>
    <w:rsid w:val="00DF5E65"/>
    <w:rsid w:val="00DF66C7"/>
    <w:rsid w:val="00DF67D1"/>
    <w:rsid w:val="00DF6EB3"/>
    <w:rsid w:val="00DF7361"/>
    <w:rsid w:val="00E000FD"/>
    <w:rsid w:val="00E00150"/>
    <w:rsid w:val="00E0032B"/>
    <w:rsid w:val="00E00BD1"/>
    <w:rsid w:val="00E00E72"/>
    <w:rsid w:val="00E00FAF"/>
    <w:rsid w:val="00E01159"/>
    <w:rsid w:val="00E0123C"/>
    <w:rsid w:val="00E01576"/>
    <w:rsid w:val="00E01589"/>
    <w:rsid w:val="00E016C6"/>
    <w:rsid w:val="00E0180C"/>
    <w:rsid w:val="00E01F5F"/>
    <w:rsid w:val="00E01FD2"/>
    <w:rsid w:val="00E02252"/>
    <w:rsid w:val="00E02584"/>
    <w:rsid w:val="00E02D82"/>
    <w:rsid w:val="00E0336C"/>
    <w:rsid w:val="00E035C4"/>
    <w:rsid w:val="00E0409B"/>
    <w:rsid w:val="00E042BD"/>
    <w:rsid w:val="00E04BFF"/>
    <w:rsid w:val="00E04ECC"/>
    <w:rsid w:val="00E052F1"/>
    <w:rsid w:val="00E05B25"/>
    <w:rsid w:val="00E05CE3"/>
    <w:rsid w:val="00E063D7"/>
    <w:rsid w:val="00E0651F"/>
    <w:rsid w:val="00E06A89"/>
    <w:rsid w:val="00E06CBE"/>
    <w:rsid w:val="00E06EC5"/>
    <w:rsid w:val="00E07106"/>
    <w:rsid w:val="00E07133"/>
    <w:rsid w:val="00E07F42"/>
    <w:rsid w:val="00E102A8"/>
    <w:rsid w:val="00E10399"/>
    <w:rsid w:val="00E10C1F"/>
    <w:rsid w:val="00E112A8"/>
    <w:rsid w:val="00E1178D"/>
    <w:rsid w:val="00E12003"/>
    <w:rsid w:val="00E12938"/>
    <w:rsid w:val="00E1305B"/>
    <w:rsid w:val="00E1431E"/>
    <w:rsid w:val="00E1477D"/>
    <w:rsid w:val="00E148D7"/>
    <w:rsid w:val="00E154FC"/>
    <w:rsid w:val="00E15755"/>
    <w:rsid w:val="00E15ECF"/>
    <w:rsid w:val="00E162B0"/>
    <w:rsid w:val="00E1644D"/>
    <w:rsid w:val="00E1668E"/>
    <w:rsid w:val="00E167B9"/>
    <w:rsid w:val="00E168D4"/>
    <w:rsid w:val="00E16B9E"/>
    <w:rsid w:val="00E17052"/>
    <w:rsid w:val="00E17B82"/>
    <w:rsid w:val="00E17E0F"/>
    <w:rsid w:val="00E2030E"/>
    <w:rsid w:val="00E203D4"/>
    <w:rsid w:val="00E20696"/>
    <w:rsid w:val="00E21BD3"/>
    <w:rsid w:val="00E22725"/>
    <w:rsid w:val="00E238B9"/>
    <w:rsid w:val="00E23BF2"/>
    <w:rsid w:val="00E25990"/>
    <w:rsid w:val="00E26146"/>
    <w:rsid w:val="00E26351"/>
    <w:rsid w:val="00E266A2"/>
    <w:rsid w:val="00E27396"/>
    <w:rsid w:val="00E308D1"/>
    <w:rsid w:val="00E316C1"/>
    <w:rsid w:val="00E31834"/>
    <w:rsid w:val="00E31A43"/>
    <w:rsid w:val="00E32845"/>
    <w:rsid w:val="00E33695"/>
    <w:rsid w:val="00E36567"/>
    <w:rsid w:val="00E36EF0"/>
    <w:rsid w:val="00E374C1"/>
    <w:rsid w:val="00E37694"/>
    <w:rsid w:val="00E379A3"/>
    <w:rsid w:val="00E37A0F"/>
    <w:rsid w:val="00E37A9E"/>
    <w:rsid w:val="00E402F1"/>
    <w:rsid w:val="00E4030C"/>
    <w:rsid w:val="00E404C1"/>
    <w:rsid w:val="00E40823"/>
    <w:rsid w:val="00E4088A"/>
    <w:rsid w:val="00E40A80"/>
    <w:rsid w:val="00E40C85"/>
    <w:rsid w:val="00E4109A"/>
    <w:rsid w:val="00E41797"/>
    <w:rsid w:val="00E417AF"/>
    <w:rsid w:val="00E429C8"/>
    <w:rsid w:val="00E43338"/>
    <w:rsid w:val="00E442BF"/>
    <w:rsid w:val="00E4435E"/>
    <w:rsid w:val="00E44FA9"/>
    <w:rsid w:val="00E45562"/>
    <w:rsid w:val="00E457DD"/>
    <w:rsid w:val="00E45AED"/>
    <w:rsid w:val="00E45F55"/>
    <w:rsid w:val="00E46537"/>
    <w:rsid w:val="00E46869"/>
    <w:rsid w:val="00E46BC9"/>
    <w:rsid w:val="00E46CBC"/>
    <w:rsid w:val="00E46D09"/>
    <w:rsid w:val="00E47F27"/>
    <w:rsid w:val="00E50461"/>
    <w:rsid w:val="00E50C1C"/>
    <w:rsid w:val="00E510E9"/>
    <w:rsid w:val="00E516D8"/>
    <w:rsid w:val="00E517A9"/>
    <w:rsid w:val="00E518D7"/>
    <w:rsid w:val="00E51A0C"/>
    <w:rsid w:val="00E52B88"/>
    <w:rsid w:val="00E52D67"/>
    <w:rsid w:val="00E53950"/>
    <w:rsid w:val="00E53C58"/>
    <w:rsid w:val="00E5443A"/>
    <w:rsid w:val="00E54995"/>
    <w:rsid w:val="00E54F82"/>
    <w:rsid w:val="00E55CFB"/>
    <w:rsid w:val="00E56004"/>
    <w:rsid w:val="00E560EF"/>
    <w:rsid w:val="00E561A8"/>
    <w:rsid w:val="00E5651E"/>
    <w:rsid w:val="00E56A9C"/>
    <w:rsid w:val="00E56C9C"/>
    <w:rsid w:val="00E570D6"/>
    <w:rsid w:val="00E57BC0"/>
    <w:rsid w:val="00E601DA"/>
    <w:rsid w:val="00E605D5"/>
    <w:rsid w:val="00E60608"/>
    <w:rsid w:val="00E609C2"/>
    <w:rsid w:val="00E6100C"/>
    <w:rsid w:val="00E617A4"/>
    <w:rsid w:val="00E61987"/>
    <w:rsid w:val="00E619B3"/>
    <w:rsid w:val="00E61E40"/>
    <w:rsid w:val="00E62C21"/>
    <w:rsid w:val="00E62F2C"/>
    <w:rsid w:val="00E6310D"/>
    <w:rsid w:val="00E6393E"/>
    <w:rsid w:val="00E64F60"/>
    <w:rsid w:val="00E6568D"/>
    <w:rsid w:val="00E65AE2"/>
    <w:rsid w:val="00E6648C"/>
    <w:rsid w:val="00E67087"/>
    <w:rsid w:val="00E67B1E"/>
    <w:rsid w:val="00E67E2D"/>
    <w:rsid w:val="00E705D4"/>
    <w:rsid w:val="00E70855"/>
    <w:rsid w:val="00E70F27"/>
    <w:rsid w:val="00E7118E"/>
    <w:rsid w:val="00E719A9"/>
    <w:rsid w:val="00E719F0"/>
    <w:rsid w:val="00E720D4"/>
    <w:rsid w:val="00E7272B"/>
    <w:rsid w:val="00E72BC2"/>
    <w:rsid w:val="00E72D66"/>
    <w:rsid w:val="00E72DB4"/>
    <w:rsid w:val="00E72E5E"/>
    <w:rsid w:val="00E72F68"/>
    <w:rsid w:val="00E74018"/>
    <w:rsid w:val="00E742B9"/>
    <w:rsid w:val="00E7524B"/>
    <w:rsid w:val="00E7579E"/>
    <w:rsid w:val="00E75948"/>
    <w:rsid w:val="00E75999"/>
    <w:rsid w:val="00E76271"/>
    <w:rsid w:val="00E7691E"/>
    <w:rsid w:val="00E76EBF"/>
    <w:rsid w:val="00E7700F"/>
    <w:rsid w:val="00E77706"/>
    <w:rsid w:val="00E77AF3"/>
    <w:rsid w:val="00E77AF7"/>
    <w:rsid w:val="00E77CD8"/>
    <w:rsid w:val="00E77E56"/>
    <w:rsid w:val="00E77E90"/>
    <w:rsid w:val="00E77F37"/>
    <w:rsid w:val="00E801C6"/>
    <w:rsid w:val="00E80581"/>
    <w:rsid w:val="00E80966"/>
    <w:rsid w:val="00E80999"/>
    <w:rsid w:val="00E80B9B"/>
    <w:rsid w:val="00E80FB9"/>
    <w:rsid w:val="00E816A8"/>
    <w:rsid w:val="00E81F63"/>
    <w:rsid w:val="00E82E25"/>
    <w:rsid w:val="00E83B33"/>
    <w:rsid w:val="00E84602"/>
    <w:rsid w:val="00E847F5"/>
    <w:rsid w:val="00E84BAB"/>
    <w:rsid w:val="00E84FB1"/>
    <w:rsid w:val="00E854EC"/>
    <w:rsid w:val="00E85AEE"/>
    <w:rsid w:val="00E85BA9"/>
    <w:rsid w:val="00E85BB1"/>
    <w:rsid w:val="00E865D0"/>
    <w:rsid w:val="00E86ABB"/>
    <w:rsid w:val="00E86F81"/>
    <w:rsid w:val="00E87927"/>
    <w:rsid w:val="00E9022C"/>
    <w:rsid w:val="00E90248"/>
    <w:rsid w:val="00E90332"/>
    <w:rsid w:val="00E9045A"/>
    <w:rsid w:val="00E9152D"/>
    <w:rsid w:val="00E91A67"/>
    <w:rsid w:val="00E92040"/>
    <w:rsid w:val="00E924A5"/>
    <w:rsid w:val="00E92A08"/>
    <w:rsid w:val="00E92FB0"/>
    <w:rsid w:val="00E93E83"/>
    <w:rsid w:val="00E93F1F"/>
    <w:rsid w:val="00E945E8"/>
    <w:rsid w:val="00E94852"/>
    <w:rsid w:val="00E94D3D"/>
    <w:rsid w:val="00E94E3B"/>
    <w:rsid w:val="00E9544B"/>
    <w:rsid w:val="00E95FC1"/>
    <w:rsid w:val="00E96D0A"/>
    <w:rsid w:val="00E97105"/>
    <w:rsid w:val="00E97199"/>
    <w:rsid w:val="00E977F4"/>
    <w:rsid w:val="00EA0046"/>
    <w:rsid w:val="00EA07EF"/>
    <w:rsid w:val="00EA125C"/>
    <w:rsid w:val="00EA16BC"/>
    <w:rsid w:val="00EA1BB1"/>
    <w:rsid w:val="00EA1C7A"/>
    <w:rsid w:val="00EA2B88"/>
    <w:rsid w:val="00EA2DDC"/>
    <w:rsid w:val="00EA45B9"/>
    <w:rsid w:val="00EA47C7"/>
    <w:rsid w:val="00EA4A94"/>
    <w:rsid w:val="00EA518B"/>
    <w:rsid w:val="00EA5783"/>
    <w:rsid w:val="00EA6FC2"/>
    <w:rsid w:val="00EA79DE"/>
    <w:rsid w:val="00EA7CC9"/>
    <w:rsid w:val="00EB0021"/>
    <w:rsid w:val="00EB0083"/>
    <w:rsid w:val="00EB01BE"/>
    <w:rsid w:val="00EB02B5"/>
    <w:rsid w:val="00EB0327"/>
    <w:rsid w:val="00EB03F5"/>
    <w:rsid w:val="00EB0D41"/>
    <w:rsid w:val="00EB0DE6"/>
    <w:rsid w:val="00EB1799"/>
    <w:rsid w:val="00EB1B56"/>
    <w:rsid w:val="00EB2A12"/>
    <w:rsid w:val="00EB2AFF"/>
    <w:rsid w:val="00EB3381"/>
    <w:rsid w:val="00EB3951"/>
    <w:rsid w:val="00EB4656"/>
    <w:rsid w:val="00EB46E3"/>
    <w:rsid w:val="00EB471D"/>
    <w:rsid w:val="00EB62ED"/>
    <w:rsid w:val="00EB76DC"/>
    <w:rsid w:val="00EB779C"/>
    <w:rsid w:val="00EB7D40"/>
    <w:rsid w:val="00EC01CC"/>
    <w:rsid w:val="00EC0497"/>
    <w:rsid w:val="00EC0745"/>
    <w:rsid w:val="00EC0B8C"/>
    <w:rsid w:val="00EC125B"/>
    <w:rsid w:val="00EC1A32"/>
    <w:rsid w:val="00EC1A41"/>
    <w:rsid w:val="00EC1C1B"/>
    <w:rsid w:val="00EC1ECD"/>
    <w:rsid w:val="00EC2C74"/>
    <w:rsid w:val="00EC2F37"/>
    <w:rsid w:val="00EC413C"/>
    <w:rsid w:val="00EC4271"/>
    <w:rsid w:val="00EC431B"/>
    <w:rsid w:val="00EC43C5"/>
    <w:rsid w:val="00EC44DC"/>
    <w:rsid w:val="00EC512E"/>
    <w:rsid w:val="00EC5C68"/>
    <w:rsid w:val="00EC6505"/>
    <w:rsid w:val="00EC6A6B"/>
    <w:rsid w:val="00EC6F33"/>
    <w:rsid w:val="00EC730B"/>
    <w:rsid w:val="00EC75BE"/>
    <w:rsid w:val="00EC79C7"/>
    <w:rsid w:val="00ED0015"/>
    <w:rsid w:val="00ED01E6"/>
    <w:rsid w:val="00ED06A1"/>
    <w:rsid w:val="00ED0D92"/>
    <w:rsid w:val="00ED0DDA"/>
    <w:rsid w:val="00ED11FD"/>
    <w:rsid w:val="00ED1C67"/>
    <w:rsid w:val="00ED234F"/>
    <w:rsid w:val="00ED26B3"/>
    <w:rsid w:val="00ED2782"/>
    <w:rsid w:val="00ED2A54"/>
    <w:rsid w:val="00ED30A8"/>
    <w:rsid w:val="00ED3568"/>
    <w:rsid w:val="00ED4355"/>
    <w:rsid w:val="00ED44C8"/>
    <w:rsid w:val="00ED492E"/>
    <w:rsid w:val="00ED49DC"/>
    <w:rsid w:val="00ED4F28"/>
    <w:rsid w:val="00ED5397"/>
    <w:rsid w:val="00ED571B"/>
    <w:rsid w:val="00ED66E2"/>
    <w:rsid w:val="00ED7407"/>
    <w:rsid w:val="00ED7413"/>
    <w:rsid w:val="00EE04D7"/>
    <w:rsid w:val="00EE0F61"/>
    <w:rsid w:val="00EE101E"/>
    <w:rsid w:val="00EE1899"/>
    <w:rsid w:val="00EE18ED"/>
    <w:rsid w:val="00EE1B67"/>
    <w:rsid w:val="00EE1B9B"/>
    <w:rsid w:val="00EE1DDB"/>
    <w:rsid w:val="00EE2055"/>
    <w:rsid w:val="00EE2174"/>
    <w:rsid w:val="00EE2493"/>
    <w:rsid w:val="00EE2648"/>
    <w:rsid w:val="00EE281C"/>
    <w:rsid w:val="00EE2A25"/>
    <w:rsid w:val="00EE2DD5"/>
    <w:rsid w:val="00EE36BC"/>
    <w:rsid w:val="00EE3C33"/>
    <w:rsid w:val="00EE51A4"/>
    <w:rsid w:val="00EE57FF"/>
    <w:rsid w:val="00EE5816"/>
    <w:rsid w:val="00EE58A5"/>
    <w:rsid w:val="00EE5B9D"/>
    <w:rsid w:val="00EE6132"/>
    <w:rsid w:val="00EE6F72"/>
    <w:rsid w:val="00EE71CB"/>
    <w:rsid w:val="00EE7AF9"/>
    <w:rsid w:val="00EF1FA3"/>
    <w:rsid w:val="00EF250D"/>
    <w:rsid w:val="00EF299C"/>
    <w:rsid w:val="00EF2A31"/>
    <w:rsid w:val="00EF3AD1"/>
    <w:rsid w:val="00EF3E65"/>
    <w:rsid w:val="00EF3E69"/>
    <w:rsid w:val="00EF3FA6"/>
    <w:rsid w:val="00EF415A"/>
    <w:rsid w:val="00EF4C59"/>
    <w:rsid w:val="00EF4ED3"/>
    <w:rsid w:val="00EF60A6"/>
    <w:rsid w:val="00EF6595"/>
    <w:rsid w:val="00EF6744"/>
    <w:rsid w:val="00EF731C"/>
    <w:rsid w:val="00EF771F"/>
    <w:rsid w:val="00EF7840"/>
    <w:rsid w:val="00EF7E3B"/>
    <w:rsid w:val="00F00741"/>
    <w:rsid w:val="00F00DDC"/>
    <w:rsid w:val="00F01399"/>
    <w:rsid w:val="00F013C8"/>
    <w:rsid w:val="00F01F70"/>
    <w:rsid w:val="00F02039"/>
    <w:rsid w:val="00F0232B"/>
    <w:rsid w:val="00F02383"/>
    <w:rsid w:val="00F024E8"/>
    <w:rsid w:val="00F0294E"/>
    <w:rsid w:val="00F03143"/>
    <w:rsid w:val="00F03194"/>
    <w:rsid w:val="00F04602"/>
    <w:rsid w:val="00F047DD"/>
    <w:rsid w:val="00F05491"/>
    <w:rsid w:val="00F05A1D"/>
    <w:rsid w:val="00F06DF6"/>
    <w:rsid w:val="00F06FBB"/>
    <w:rsid w:val="00F07081"/>
    <w:rsid w:val="00F10232"/>
    <w:rsid w:val="00F1036F"/>
    <w:rsid w:val="00F10501"/>
    <w:rsid w:val="00F1072C"/>
    <w:rsid w:val="00F109DC"/>
    <w:rsid w:val="00F110CE"/>
    <w:rsid w:val="00F11A68"/>
    <w:rsid w:val="00F11A9F"/>
    <w:rsid w:val="00F11C6A"/>
    <w:rsid w:val="00F11EE9"/>
    <w:rsid w:val="00F11F5A"/>
    <w:rsid w:val="00F120B7"/>
    <w:rsid w:val="00F1265C"/>
    <w:rsid w:val="00F12E96"/>
    <w:rsid w:val="00F12FA4"/>
    <w:rsid w:val="00F1302C"/>
    <w:rsid w:val="00F138A9"/>
    <w:rsid w:val="00F13903"/>
    <w:rsid w:val="00F13D0A"/>
    <w:rsid w:val="00F14026"/>
    <w:rsid w:val="00F1441E"/>
    <w:rsid w:val="00F1449C"/>
    <w:rsid w:val="00F14A8D"/>
    <w:rsid w:val="00F14D4E"/>
    <w:rsid w:val="00F14E41"/>
    <w:rsid w:val="00F14ECF"/>
    <w:rsid w:val="00F15217"/>
    <w:rsid w:val="00F168B6"/>
    <w:rsid w:val="00F168FD"/>
    <w:rsid w:val="00F16CDF"/>
    <w:rsid w:val="00F16FB7"/>
    <w:rsid w:val="00F174B7"/>
    <w:rsid w:val="00F17552"/>
    <w:rsid w:val="00F17886"/>
    <w:rsid w:val="00F20448"/>
    <w:rsid w:val="00F211F0"/>
    <w:rsid w:val="00F2202E"/>
    <w:rsid w:val="00F22349"/>
    <w:rsid w:val="00F22922"/>
    <w:rsid w:val="00F22D1F"/>
    <w:rsid w:val="00F22E72"/>
    <w:rsid w:val="00F23DE4"/>
    <w:rsid w:val="00F24072"/>
    <w:rsid w:val="00F24086"/>
    <w:rsid w:val="00F24300"/>
    <w:rsid w:val="00F2432D"/>
    <w:rsid w:val="00F24BB9"/>
    <w:rsid w:val="00F25363"/>
    <w:rsid w:val="00F25FEE"/>
    <w:rsid w:val="00F26979"/>
    <w:rsid w:val="00F27032"/>
    <w:rsid w:val="00F27363"/>
    <w:rsid w:val="00F276DA"/>
    <w:rsid w:val="00F27EE0"/>
    <w:rsid w:val="00F30449"/>
    <w:rsid w:val="00F306D6"/>
    <w:rsid w:val="00F30755"/>
    <w:rsid w:val="00F30D11"/>
    <w:rsid w:val="00F317BA"/>
    <w:rsid w:val="00F31E93"/>
    <w:rsid w:val="00F31EEE"/>
    <w:rsid w:val="00F32B3C"/>
    <w:rsid w:val="00F32FDA"/>
    <w:rsid w:val="00F333C8"/>
    <w:rsid w:val="00F33CF7"/>
    <w:rsid w:val="00F33D33"/>
    <w:rsid w:val="00F343C9"/>
    <w:rsid w:val="00F35364"/>
    <w:rsid w:val="00F3567D"/>
    <w:rsid w:val="00F36259"/>
    <w:rsid w:val="00F377AD"/>
    <w:rsid w:val="00F37C68"/>
    <w:rsid w:val="00F4054C"/>
    <w:rsid w:val="00F40969"/>
    <w:rsid w:val="00F41065"/>
    <w:rsid w:val="00F412B7"/>
    <w:rsid w:val="00F415A3"/>
    <w:rsid w:val="00F415BF"/>
    <w:rsid w:val="00F42166"/>
    <w:rsid w:val="00F4244D"/>
    <w:rsid w:val="00F44653"/>
    <w:rsid w:val="00F44981"/>
    <w:rsid w:val="00F44C1D"/>
    <w:rsid w:val="00F44CC5"/>
    <w:rsid w:val="00F45258"/>
    <w:rsid w:val="00F45314"/>
    <w:rsid w:val="00F4595C"/>
    <w:rsid w:val="00F464A6"/>
    <w:rsid w:val="00F464A8"/>
    <w:rsid w:val="00F4679A"/>
    <w:rsid w:val="00F47163"/>
    <w:rsid w:val="00F477B4"/>
    <w:rsid w:val="00F47D9D"/>
    <w:rsid w:val="00F50640"/>
    <w:rsid w:val="00F50FC1"/>
    <w:rsid w:val="00F5146F"/>
    <w:rsid w:val="00F51500"/>
    <w:rsid w:val="00F5194D"/>
    <w:rsid w:val="00F527E6"/>
    <w:rsid w:val="00F52AEC"/>
    <w:rsid w:val="00F52DC1"/>
    <w:rsid w:val="00F52E8F"/>
    <w:rsid w:val="00F52EA3"/>
    <w:rsid w:val="00F536DB"/>
    <w:rsid w:val="00F53F0E"/>
    <w:rsid w:val="00F540DC"/>
    <w:rsid w:val="00F5430E"/>
    <w:rsid w:val="00F543D7"/>
    <w:rsid w:val="00F559AC"/>
    <w:rsid w:val="00F55EB1"/>
    <w:rsid w:val="00F566D1"/>
    <w:rsid w:val="00F57086"/>
    <w:rsid w:val="00F57091"/>
    <w:rsid w:val="00F5754B"/>
    <w:rsid w:val="00F575CB"/>
    <w:rsid w:val="00F606D5"/>
    <w:rsid w:val="00F60C32"/>
    <w:rsid w:val="00F615EA"/>
    <w:rsid w:val="00F616B7"/>
    <w:rsid w:val="00F61789"/>
    <w:rsid w:val="00F61DA7"/>
    <w:rsid w:val="00F622BE"/>
    <w:rsid w:val="00F62C62"/>
    <w:rsid w:val="00F63108"/>
    <w:rsid w:val="00F635C4"/>
    <w:rsid w:val="00F63B3E"/>
    <w:rsid w:val="00F64CF6"/>
    <w:rsid w:val="00F64EF0"/>
    <w:rsid w:val="00F657F1"/>
    <w:rsid w:val="00F659E1"/>
    <w:rsid w:val="00F65C1C"/>
    <w:rsid w:val="00F66AA6"/>
    <w:rsid w:val="00F674CB"/>
    <w:rsid w:val="00F678BD"/>
    <w:rsid w:val="00F67932"/>
    <w:rsid w:val="00F67A05"/>
    <w:rsid w:val="00F67A76"/>
    <w:rsid w:val="00F70234"/>
    <w:rsid w:val="00F70DC4"/>
    <w:rsid w:val="00F71C88"/>
    <w:rsid w:val="00F71FC0"/>
    <w:rsid w:val="00F72917"/>
    <w:rsid w:val="00F72A3A"/>
    <w:rsid w:val="00F736E7"/>
    <w:rsid w:val="00F73708"/>
    <w:rsid w:val="00F7389F"/>
    <w:rsid w:val="00F74203"/>
    <w:rsid w:val="00F7485F"/>
    <w:rsid w:val="00F74F51"/>
    <w:rsid w:val="00F7587A"/>
    <w:rsid w:val="00F760D6"/>
    <w:rsid w:val="00F762B1"/>
    <w:rsid w:val="00F764DC"/>
    <w:rsid w:val="00F76D00"/>
    <w:rsid w:val="00F77C5D"/>
    <w:rsid w:val="00F803AE"/>
    <w:rsid w:val="00F80C87"/>
    <w:rsid w:val="00F80D1F"/>
    <w:rsid w:val="00F80DF0"/>
    <w:rsid w:val="00F80E39"/>
    <w:rsid w:val="00F80F4E"/>
    <w:rsid w:val="00F81AFA"/>
    <w:rsid w:val="00F81E18"/>
    <w:rsid w:val="00F826FE"/>
    <w:rsid w:val="00F83D9A"/>
    <w:rsid w:val="00F841CE"/>
    <w:rsid w:val="00F8463A"/>
    <w:rsid w:val="00F84741"/>
    <w:rsid w:val="00F84B2F"/>
    <w:rsid w:val="00F85493"/>
    <w:rsid w:val="00F8603C"/>
    <w:rsid w:val="00F861DB"/>
    <w:rsid w:val="00F86200"/>
    <w:rsid w:val="00F862CD"/>
    <w:rsid w:val="00F866F2"/>
    <w:rsid w:val="00F877F6"/>
    <w:rsid w:val="00F87C29"/>
    <w:rsid w:val="00F9066F"/>
    <w:rsid w:val="00F90BBC"/>
    <w:rsid w:val="00F90C93"/>
    <w:rsid w:val="00F91325"/>
    <w:rsid w:val="00F918C6"/>
    <w:rsid w:val="00F919B6"/>
    <w:rsid w:val="00F93012"/>
    <w:rsid w:val="00F93027"/>
    <w:rsid w:val="00F9457A"/>
    <w:rsid w:val="00F94587"/>
    <w:rsid w:val="00F94890"/>
    <w:rsid w:val="00F94DF9"/>
    <w:rsid w:val="00F95193"/>
    <w:rsid w:val="00F95737"/>
    <w:rsid w:val="00F95952"/>
    <w:rsid w:val="00F95EA3"/>
    <w:rsid w:val="00F9609E"/>
    <w:rsid w:val="00F969FF"/>
    <w:rsid w:val="00F972C3"/>
    <w:rsid w:val="00F97448"/>
    <w:rsid w:val="00F975E8"/>
    <w:rsid w:val="00FA0F7F"/>
    <w:rsid w:val="00FA1437"/>
    <w:rsid w:val="00FA15EE"/>
    <w:rsid w:val="00FA1BBB"/>
    <w:rsid w:val="00FA1BE3"/>
    <w:rsid w:val="00FA381A"/>
    <w:rsid w:val="00FA3CFE"/>
    <w:rsid w:val="00FA4217"/>
    <w:rsid w:val="00FA474A"/>
    <w:rsid w:val="00FA4F99"/>
    <w:rsid w:val="00FA5093"/>
    <w:rsid w:val="00FA551F"/>
    <w:rsid w:val="00FA56A9"/>
    <w:rsid w:val="00FA5B5A"/>
    <w:rsid w:val="00FA6391"/>
    <w:rsid w:val="00FA6479"/>
    <w:rsid w:val="00FA6D9D"/>
    <w:rsid w:val="00FA745A"/>
    <w:rsid w:val="00FA7915"/>
    <w:rsid w:val="00FA7E44"/>
    <w:rsid w:val="00FA7F4B"/>
    <w:rsid w:val="00FB0588"/>
    <w:rsid w:val="00FB0A8E"/>
    <w:rsid w:val="00FB0A91"/>
    <w:rsid w:val="00FB0C3F"/>
    <w:rsid w:val="00FB1123"/>
    <w:rsid w:val="00FB1675"/>
    <w:rsid w:val="00FB1D54"/>
    <w:rsid w:val="00FB2AA5"/>
    <w:rsid w:val="00FB2C2D"/>
    <w:rsid w:val="00FB365A"/>
    <w:rsid w:val="00FB3820"/>
    <w:rsid w:val="00FB3BA4"/>
    <w:rsid w:val="00FB3BD2"/>
    <w:rsid w:val="00FB3E3E"/>
    <w:rsid w:val="00FB3E44"/>
    <w:rsid w:val="00FB42C0"/>
    <w:rsid w:val="00FB42E9"/>
    <w:rsid w:val="00FB4B0C"/>
    <w:rsid w:val="00FB4CCE"/>
    <w:rsid w:val="00FB5534"/>
    <w:rsid w:val="00FB5EF5"/>
    <w:rsid w:val="00FB5F50"/>
    <w:rsid w:val="00FB6978"/>
    <w:rsid w:val="00FB6ED3"/>
    <w:rsid w:val="00FB708A"/>
    <w:rsid w:val="00FB7295"/>
    <w:rsid w:val="00FB7868"/>
    <w:rsid w:val="00FC008C"/>
    <w:rsid w:val="00FC00E6"/>
    <w:rsid w:val="00FC023B"/>
    <w:rsid w:val="00FC02D8"/>
    <w:rsid w:val="00FC062B"/>
    <w:rsid w:val="00FC1250"/>
    <w:rsid w:val="00FC1309"/>
    <w:rsid w:val="00FC1692"/>
    <w:rsid w:val="00FC1DE9"/>
    <w:rsid w:val="00FC2130"/>
    <w:rsid w:val="00FC38A0"/>
    <w:rsid w:val="00FC3D8C"/>
    <w:rsid w:val="00FC4805"/>
    <w:rsid w:val="00FC4D3F"/>
    <w:rsid w:val="00FC5785"/>
    <w:rsid w:val="00FC6670"/>
    <w:rsid w:val="00FC66F9"/>
    <w:rsid w:val="00FC71D7"/>
    <w:rsid w:val="00FC7A9B"/>
    <w:rsid w:val="00FD00DB"/>
    <w:rsid w:val="00FD048E"/>
    <w:rsid w:val="00FD0A70"/>
    <w:rsid w:val="00FD0BE0"/>
    <w:rsid w:val="00FD0D9E"/>
    <w:rsid w:val="00FD1D67"/>
    <w:rsid w:val="00FD3050"/>
    <w:rsid w:val="00FD34B7"/>
    <w:rsid w:val="00FD3654"/>
    <w:rsid w:val="00FD3AD5"/>
    <w:rsid w:val="00FD3ECD"/>
    <w:rsid w:val="00FD4644"/>
    <w:rsid w:val="00FD4708"/>
    <w:rsid w:val="00FD4745"/>
    <w:rsid w:val="00FD5B0B"/>
    <w:rsid w:val="00FD6065"/>
    <w:rsid w:val="00FD69F1"/>
    <w:rsid w:val="00FD6A74"/>
    <w:rsid w:val="00FD6C88"/>
    <w:rsid w:val="00FD72F2"/>
    <w:rsid w:val="00FD73FD"/>
    <w:rsid w:val="00FD7570"/>
    <w:rsid w:val="00FD7BB8"/>
    <w:rsid w:val="00FD7CED"/>
    <w:rsid w:val="00FE030D"/>
    <w:rsid w:val="00FE1498"/>
    <w:rsid w:val="00FE15B8"/>
    <w:rsid w:val="00FE202E"/>
    <w:rsid w:val="00FE2816"/>
    <w:rsid w:val="00FE2FD7"/>
    <w:rsid w:val="00FE30E0"/>
    <w:rsid w:val="00FE315D"/>
    <w:rsid w:val="00FE31CD"/>
    <w:rsid w:val="00FE34CE"/>
    <w:rsid w:val="00FE3B56"/>
    <w:rsid w:val="00FE42CB"/>
    <w:rsid w:val="00FE459B"/>
    <w:rsid w:val="00FE4922"/>
    <w:rsid w:val="00FE4F01"/>
    <w:rsid w:val="00FE5597"/>
    <w:rsid w:val="00FE55B4"/>
    <w:rsid w:val="00FE56E1"/>
    <w:rsid w:val="00FE611E"/>
    <w:rsid w:val="00FE61F3"/>
    <w:rsid w:val="00FE6965"/>
    <w:rsid w:val="00FE6D5B"/>
    <w:rsid w:val="00FE707E"/>
    <w:rsid w:val="00FE7733"/>
    <w:rsid w:val="00FE784D"/>
    <w:rsid w:val="00FF0564"/>
    <w:rsid w:val="00FF0DD8"/>
    <w:rsid w:val="00FF162A"/>
    <w:rsid w:val="00FF1C16"/>
    <w:rsid w:val="00FF1D3D"/>
    <w:rsid w:val="00FF20EA"/>
    <w:rsid w:val="00FF221D"/>
    <w:rsid w:val="00FF2293"/>
    <w:rsid w:val="00FF2731"/>
    <w:rsid w:val="00FF2DFA"/>
    <w:rsid w:val="00FF3359"/>
    <w:rsid w:val="00FF3F75"/>
    <w:rsid w:val="00FF4215"/>
    <w:rsid w:val="00FF45C5"/>
    <w:rsid w:val="00FF4748"/>
    <w:rsid w:val="00FF4D64"/>
    <w:rsid w:val="00FF5188"/>
    <w:rsid w:val="00FF5F67"/>
    <w:rsid w:val="00FF67E5"/>
    <w:rsid w:val="00FF6B55"/>
    <w:rsid w:val="019575E5"/>
    <w:rsid w:val="033502EE"/>
    <w:rsid w:val="0356048A"/>
    <w:rsid w:val="03D5743A"/>
    <w:rsid w:val="050B56DB"/>
    <w:rsid w:val="0787043D"/>
    <w:rsid w:val="0B844421"/>
    <w:rsid w:val="0EB44E29"/>
    <w:rsid w:val="0F4E39F0"/>
    <w:rsid w:val="10EC001D"/>
    <w:rsid w:val="122D7E20"/>
    <w:rsid w:val="138073C8"/>
    <w:rsid w:val="1432594F"/>
    <w:rsid w:val="150553F7"/>
    <w:rsid w:val="15765DA7"/>
    <w:rsid w:val="16B34FA1"/>
    <w:rsid w:val="184A0422"/>
    <w:rsid w:val="188822C7"/>
    <w:rsid w:val="1C57672A"/>
    <w:rsid w:val="200276D2"/>
    <w:rsid w:val="20CA1A90"/>
    <w:rsid w:val="217B63B9"/>
    <w:rsid w:val="22271B11"/>
    <w:rsid w:val="22E655A6"/>
    <w:rsid w:val="265565A9"/>
    <w:rsid w:val="2B3216D2"/>
    <w:rsid w:val="2B6A6438"/>
    <w:rsid w:val="2E9B3B11"/>
    <w:rsid w:val="32BD7ACA"/>
    <w:rsid w:val="370201F5"/>
    <w:rsid w:val="374A5F46"/>
    <w:rsid w:val="398C00D1"/>
    <w:rsid w:val="3A3A0753"/>
    <w:rsid w:val="3A583990"/>
    <w:rsid w:val="3B16126D"/>
    <w:rsid w:val="3BD972D6"/>
    <w:rsid w:val="3C063F67"/>
    <w:rsid w:val="3C880574"/>
    <w:rsid w:val="3D2A46E1"/>
    <w:rsid w:val="3EBD6F5B"/>
    <w:rsid w:val="40601118"/>
    <w:rsid w:val="40DF35B0"/>
    <w:rsid w:val="419E6DFA"/>
    <w:rsid w:val="42E92785"/>
    <w:rsid w:val="43B55851"/>
    <w:rsid w:val="4567323F"/>
    <w:rsid w:val="45BC0590"/>
    <w:rsid w:val="46DE6950"/>
    <w:rsid w:val="47863CF5"/>
    <w:rsid w:val="4AB8571B"/>
    <w:rsid w:val="4B1A0B4E"/>
    <w:rsid w:val="4C38505D"/>
    <w:rsid w:val="52D725E1"/>
    <w:rsid w:val="53E94ED9"/>
    <w:rsid w:val="546F451C"/>
    <w:rsid w:val="56787F3D"/>
    <w:rsid w:val="56FA5B27"/>
    <w:rsid w:val="57750BB4"/>
    <w:rsid w:val="57854A54"/>
    <w:rsid w:val="57D158AE"/>
    <w:rsid w:val="593F5857"/>
    <w:rsid w:val="5BE47957"/>
    <w:rsid w:val="5BE57D45"/>
    <w:rsid w:val="5CE530B6"/>
    <w:rsid w:val="5EB53A7D"/>
    <w:rsid w:val="5F4D7B28"/>
    <w:rsid w:val="5FB67EC7"/>
    <w:rsid w:val="608C6654"/>
    <w:rsid w:val="62B24F0C"/>
    <w:rsid w:val="62FB5726"/>
    <w:rsid w:val="66CD4776"/>
    <w:rsid w:val="698770D5"/>
    <w:rsid w:val="6C50407E"/>
    <w:rsid w:val="6C853549"/>
    <w:rsid w:val="6E351D7D"/>
    <w:rsid w:val="733B3AF2"/>
    <w:rsid w:val="73E13E2F"/>
    <w:rsid w:val="7AEE29D0"/>
    <w:rsid w:val="7BA609E2"/>
    <w:rsid w:val="7D252CBD"/>
    <w:rsid w:val="7F7170E4"/>
  </w:rsids>
  <w:docVars>
    <w:docVar w:name="commondata" w:val="eyJoZGlkIjoiNDk5ODZkNDc2NmM1YzZmODBlNGQ1ZGFkMmVlODQ5MDY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semiHidden="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index 1" w:semiHidden="0" w:uiPriority="0" w:unhideWhenUsed="0" w:qFormat="1"/>
    <w:lsdException w:name="index 2" w:semiHidden="0" w:uiPriority="0" w:unhideWhenUsed="0" w:qFormat="1"/>
    <w:lsdException w:name="index 3" w:semiHidden="0" w:uiPriority="0" w:unhideWhenUsed="0" w:qFormat="1"/>
    <w:lsdException w:name="index 4" w:semiHidden="0" w:uiPriority="0" w:unhideWhenUsed="0" w:qFormat="1"/>
    <w:lsdException w:name="index 5" w:semiHidden="0" w:uiPriority="0" w:unhideWhenUsed="0" w:qFormat="1"/>
    <w:lsdException w:name="index 6" w:semiHidden="0" w:uiPriority="0" w:unhideWhenUsed="0" w:qFormat="1"/>
    <w:lsdException w:name="index 7" w:semiHidden="0" w:uiPriority="0" w:unhideWhenUsed="0" w:qFormat="1"/>
    <w:lsdException w:name="index 8" w:semiHidden="0" w:uiPriority="0" w:unhideWhenUsed="0" w:qFormat="1"/>
    <w:lsdException w:name="index 9" w:semiHidden="0" w:uiPriority="0" w:unhideWhenUsed="0" w:qFormat="1"/>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unhideWhenUsed="0" w:qFormat="1"/>
    <w:lsdException w:name="toc 5" w:semiHidden="0" w:uiPriority="39" w:unhideWhenUsed="0" w:qFormat="1"/>
    <w:lsdException w:name="toc 6" w:semiHidden="0" w:uiPriority="39" w:unhideWhenUsed="0" w:qFormat="1"/>
    <w:lsdException w:name="toc 7" w:semiHidden="0" w:uiPriority="39" w:unhideWhenUsed="0" w:qFormat="1"/>
    <w:lsdException w:name="toc 8" w:semiHidden="0" w:uiPriority="39" w:unhideWhenUsed="0" w:qFormat="1"/>
    <w:lsdException w:name="toc 9" w:semiHidden="0" w:uiPriority="39" w:unhideWhenUsed="0" w:qFormat="1"/>
    <w:lsdException w:name="Normal Indent" w:semiHidden="0" w:uiPriority="0" w:unhideWhenUsed="0" w:qFormat="1"/>
    <w:lsdException w:name="footnote text" w:uiPriority="0" w:unhideWhenUsed="0" w:qFormat="1"/>
    <w:lsdException w:name="annotation text" w:semiHidden="0" w:uiPriority="0" w:unhideWhenUsed="0" w:qFormat="1"/>
    <w:lsdException w:name="header" w:semiHidden="0" w:uiPriority="0" w:qFormat="1"/>
    <w:lsdException w:name="footer" w:semiHidden="0" w:qFormat="1"/>
    <w:lsdException w:name="index heading" w:semiHidden="0" w:uiPriority="0" w:unhideWhenUsed="0" w:qFormat="1"/>
    <w:lsdException w:name="caption" w:semiHidden="0" w:uiPriority="0" w:unhideWhenUsed="0" w:qFormat="1"/>
    <w:lsdException w:name="table of figures" w:uiPriority="0" w:unhideWhenUsed="0" w:qFormat="1"/>
    <w:lsdException w:name="envelope address" w:semiHidden="0" w:uiPriority="0" w:unhideWhenUsed="0" w:qFormat="1"/>
    <w:lsdException w:name="envelope return" w:semiHidden="0" w:uiPriority="0" w:unhideWhenUsed="0" w:qFormat="1"/>
    <w:lsdException w:name="footnote reference" w:uiPriority="0" w:unhideWhenUsed="0" w:qFormat="1"/>
    <w:lsdException w:name="annotation reference" w:semiHidden="0" w:uiPriority="0" w:unhideWhenUsed="0" w:qFormat="1"/>
    <w:lsdException w:name="line number"/>
    <w:lsdException w:name="page number" w:semiHidden="0" w:uiPriority="0" w:unhideWhenUsed="0" w:qFormat="1"/>
    <w:lsdException w:name="endnote reference" w:semiHidden="0" w:uiPriority="0" w:unhideWhenUsed="0" w:qFormat="1"/>
    <w:lsdException w:name="endnote text" w:semiHidden="0" w:uiPriority="0" w:unhideWhenUsed="0" w:qFormat="1"/>
    <w:lsdException w:name="table of authorities"/>
    <w:lsdException w:name="macro" w:uiPriority="0" w:unhideWhenUsed="0" w:qFormat="1"/>
    <w:lsdException w:name="toa heading"/>
    <w:lsdException w:name="List" w:semiHidden="0" w:uiPriority="0" w:unhideWhenUsed="0" w:qFormat="1"/>
    <w:lsdException w:name="List Bullet" w:semiHidden="0" w:uiPriority="0" w:unhideWhenUsed="0" w:qFormat="1"/>
    <w:lsdException w:name="List Number" w:semiHidden="0" w:uiPriority="0" w:unhideWhenUsed="0" w:qFormat="1"/>
    <w:lsdException w:name="List 2" w:semiHidden="0" w:uiPriority="0" w:unhideWhenUsed="0" w:qFormat="1"/>
    <w:lsdException w:name="List 3" w:semiHidden="0" w:uiPriority="0" w:unhideWhenUsed="0" w:qFormat="1"/>
    <w:lsdException w:name="List 4" w:semiHidden="0" w:uiPriority="0" w:unhideWhenUsed="0" w:qFormat="1"/>
    <w:lsdException w:name="List 5" w:semiHidden="0" w:uiPriority="0" w:unhideWhenUsed="0" w:qFormat="1"/>
    <w:lsdException w:name="List Bullet 2" w:semiHidden="0" w:uiPriority="0" w:unhideWhenUsed="0" w:qFormat="1"/>
    <w:lsdException w:name="List Bullet 3" w:semiHidden="0" w:uiPriority="0" w:unhideWhenUsed="0" w:qFormat="1"/>
    <w:lsdException w:name="List Bullet 4" w:semiHidden="0" w:uiPriority="0" w:unhideWhenUsed="0" w:qFormat="1"/>
    <w:lsdException w:name="List Bullet 5" w:semiHidden="0" w:uiPriority="0" w:unhideWhenUsed="0" w:qFormat="1"/>
    <w:lsdException w:name="List Number 2" w:semiHidden="0" w:uiPriority="0" w:unhideWhenUsed="0" w:qFormat="1"/>
    <w:lsdException w:name="List Number 3" w:semiHidden="0" w:uiPriority="0" w:unhideWhenUsed="0" w:qFormat="1"/>
    <w:lsdException w:name="List Number 4" w:semiHidden="0" w:uiPriority="0" w:unhideWhenUsed="0" w:qFormat="1"/>
    <w:lsdException w:name="List Number 5" w:semiHidden="0" w:uiPriority="0" w:unhideWhenUsed="0" w:qFormat="1"/>
    <w:lsdException w:name="Title" w:semiHidden="0" w:uiPriority="10" w:unhideWhenUsed="0" w:qFormat="1"/>
    <w:lsdException w:name="Closing" w:semiHidden="0" w:uiPriority="0" w:unhideWhenUsed="0" w:qFormat="1"/>
    <w:lsdException w:name="Signature" w:semiHidden="0" w:uiPriority="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List Continue" w:semiHidden="0" w:uiPriority="0" w:unhideWhenUsed="0" w:qFormat="1"/>
    <w:lsdException w:name="List Continue 2" w:semiHidden="0" w:uiPriority="0" w:unhideWhenUsed="0" w:qFormat="1"/>
    <w:lsdException w:name="List Continue 3" w:semiHidden="0" w:uiPriority="0" w:unhideWhenUsed="0" w:qFormat="1"/>
    <w:lsdException w:name="List Continue 4" w:semiHidden="0" w:uiPriority="0" w:unhideWhenUsed="0" w:qFormat="1"/>
    <w:lsdException w:name="List Continue 5" w:semiHidden="0" w:uiPriority="0" w:unhideWhenUsed="0" w:qFormat="1"/>
    <w:lsdException w:name="Message Header" w:semiHidden="0" w:uiPriority="0" w:unhideWhenUsed="0" w:qFormat="1"/>
    <w:lsdException w:name="Subtitle" w:semiHidden="0" w:uiPriority="11" w:unhideWhenUsed="0" w:qFormat="1"/>
    <w:lsdException w:name="Salutation" w:semiHidden="0" w:uiPriority="0" w:unhideWhenUsed="0" w:qFormat="1"/>
    <w:lsdException w:name="Date" w:semiHidden="0" w:uiPriority="0" w:unhideWhenUsed="0" w:qFormat="1"/>
    <w:lsdException w:name="Body Text First Indent" w:semiHidden="0" w:uiPriority="0" w:unhideWhenUsed="0" w:qFormat="1"/>
    <w:lsdException w:name="Body Text First Indent 2" w:semiHidden="0" w:uiPriority="0" w:unhideWhenUsed="0" w:qFormat="1"/>
    <w:lsdException w:name="Note Heading" w:semiHidden="0" w:uiPriority="0" w:unhideWhenUsed="0" w:qFormat="1"/>
    <w:lsdException w:name="Body Text 2" w:semiHidden="0" w:uiPriority="0" w:unhideWhenUsed="0" w:qFormat="1"/>
    <w:lsdException w:name="Body Text 3" w:semiHidden="0" w:uiPriority="0" w:unhideWhenUsed="0" w:qFormat="1"/>
    <w:lsdException w:name="Body Text Indent 2" w:semiHidden="0" w:uiPriority="0" w:unhideWhenUsed="0" w:qFormat="1"/>
    <w:lsdException w:name="Body Text Indent 3" w:semiHidden="0" w:uiPriority="0" w:unhideWhenUsed="0" w:qFormat="1"/>
    <w:lsdException w:name="Block Text" w:semiHidden="0" w:uiPriority="0" w:unhideWhenUsed="0" w:qFormat="1"/>
    <w:lsdException w:name="Hyperlink" w:semiHidden="0" w:unhideWhenUsed="0" w:qFormat="1"/>
    <w:lsdException w:name="FollowedHyperlink" w:semiHidden="0" w:unhideWhenUsed="0" w:qFormat="1"/>
    <w:lsdException w:name="Strong" w:semiHidden="0" w:uiPriority="22" w:unhideWhenUsed="0" w:qFormat="1"/>
    <w:lsdException w:name="Emphasis" w:semiHidden="0" w:uiPriority="20" w:unhideWhenUsed="0" w:qFormat="1"/>
    <w:lsdException w:name="Document Map" w:semiHidden="0" w:uiPriority="0" w:unhideWhenUsed="0" w:qFormat="1"/>
    <w:lsdException w:name="Plain Text" w:semiHidden="0" w:uiPriority="0" w:qFormat="1"/>
    <w:lsdException w:name="E-mail Signature" w:semiHidden="0" w:uiPriority="0" w:unhideWhenUsed="0" w:qFormat="1"/>
    <w:lsdException w:name="Normal (Web)" w:semiHidden="0" w:uiPriority="0" w:unhideWhenUsed="0" w:qFormat="1"/>
    <w:lsdException w:name="HTML Acronym"/>
    <w:lsdException w:name="HTML Address" w:semiHidden="0" w:uiPriority="0" w:unhideWhenUsed="0" w:qFormat="1"/>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semiHidden="0"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qFormat="1"/>
    <w:lsdException w:name="Table Grid" w:semiHidden="0" w:uiPriority="0" w:unhideWhenUsed="0" w:qFormat="1"/>
    <w:lsdException w:name="Table Theme"/>
    <w:lsdException w:name="Placeholder Text" w:unhideWhenUsed="0" w:qFormat="1"/>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adjustRightInd w:val="0"/>
      <w:snapToGrid w:val="0"/>
      <w:spacing w:line="360" w:lineRule="auto"/>
      <w:ind w:firstLine="200" w:firstLineChars="200"/>
      <w:jc w:val="both"/>
    </w:pPr>
    <w:rPr>
      <w:rFonts w:ascii="Times New Roman" w:eastAsia="宋体" w:hAnsi="Times New Roman" w:cs="Times New Roman"/>
      <w:kern w:val="2"/>
      <w:sz w:val="24"/>
      <w:lang w:val="en-US" w:eastAsia="zh-CN" w:bidi="ar-SA"/>
    </w:rPr>
  </w:style>
  <w:style w:type="paragraph" w:styleId="Heading1">
    <w:name w:val="heading 1"/>
    <w:basedOn w:val="Normal"/>
    <w:next w:val="Normal"/>
    <w:link w:val="1Char1"/>
    <w:qFormat/>
    <w:pPr>
      <w:keepNext/>
      <w:keepLines/>
      <w:pageBreakBefore/>
      <w:ind w:firstLine="0" w:firstLineChars="0"/>
      <w:jc w:val="left"/>
      <w:outlineLvl w:val="0"/>
    </w:pPr>
    <w:rPr>
      <w:rFonts w:ascii="Calibri" w:hAnsi="Calibri"/>
      <w:b/>
      <w:bCs/>
      <w:kern w:val="44"/>
      <w:sz w:val="32"/>
      <w:szCs w:val="44"/>
    </w:rPr>
  </w:style>
  <w:style w:type="paragraph" w:styleId="Heading2">
    <w:name w:val="heading 2"/>
    <w:basedOn w:val="Normal"/>
    <w:next w:val="Normal"/>
    <w:link w:val="2Char"/>
    <w:qFormat/>
    <w:pPr>
      <w:keepNext/>
      <w:keepLines/>
      <w:spacing w:before="120"/>
      <w:ind w:firstLine="0" w:firstLineChars="0"/>
      <w:jc w:val="center"/>
      <w:outlineLvl w:val="1"/>
    </w:pPr>
    <w:rPr>
      <w:rFonts w:ascii="Cambria" w:hAnsi="Cambria"/>
      <w:b/>
      <w:bCs/>
      <w:color w:val="000000"/>
      <w:sz w:val="30"/>
      <w:szCs w:val="32"/>
    </w:rPr>
  </w:style>
  <w:style w:type="paragraph" w:styleId="Heading3">
    <w:name w:val="heading 3"/>
    <w:basedOn w:val="Normal"/>
    <w:next w:val="Normal"/>
    <w:link w:val="3Char2"/>
    <w:uiPriority w:val="99"/>
    <w:qFormat/>
    <w:pPr>
      <w:keepNext/>
      <w:keepLines/>
      <w:outlineLvl w:val="2"/>
    </w:pPr>
    <w:rPr>
      <w:b/>
      <w:bCs/>
      <w:sz w:val="28"/>
      <w:szCs w:val="32"/>
    </w:rPr>
  </w:style>
  <w:style w:type="paragraph" w:styleId="Heading4">
    <w:name w:val="heading 4"/>
    <w:basedOn w:val="Normal"/>
    <w:next w:val="Normal"/>
    <w:link w:val="4Char"/>
    <w:uiPriority w:val="99"/>
    <w:qFormat/>
    <w:pPr>
      <w:keepNext/>
      <w:keepLines/>
      <w:spacing w:after="120" w:line="240" w:lineRule="auto"/>
      <w:ind w:firstLine="562"/>
      <w:outlineLvl w:val="3"/>
    </w:pPr>
    <w:rPr>
      <w:rFonts w:ascii="Cambria" w:hAnsi="Cambria"/>
      <w:b/>
      <w:bCs/>
      <w:kern w:val="0"/>
      <w:szCs w:val="28"/>
    </w:rPr>
  </w:style>
  <w:style w:type="paragraph" w:styleId="Heading5">
    <w:name w:val="heading 5"/>
    <w:basedOn w:val="Normal"/>
    <w:next w:val="Normal"/>
    <w:link w:val="5Char"/>
    <w:uiPriority w:val="9"/>
    <w:qFormat/>
    <w:pPr>
      <w:keepNext/>
      <w:adjustRightInd/>
      <w:snapToGrid/>
      <w:spacing w:line="540" w:lineRule="exact"/>
      <w:ind w:firstLine="0" w:firstLineChars="0"/>
      <w:jc w:val="center"/>
      <w:outlineLvl w:val="4"/>
    </w:pPr>
    <w:rPr>
      <w:rFonts w:ascii="宋体" w:hAnsi="宋体"/>
      <w:kern w:val="0"/>
      <w:sz w:val="28"/>
      <w:szCs w:val="24"/>
    </w:rPr>
  </w:style>
  <w:style w:type="paragraph" w:styleId="Heading6">
    <w:name w:val="heading 6"/>
    <w:basedOn w:val="Normal"/>
    <w:next w:val="Normal"/>
    <w:link w:val="6Char"/>
    <w:uiPriority w:val="9"/>
    <w:qFormat/>
    <w:pPr>
      <w:keepNext/>
      <w:keepLines/>
      <w:widowControl/>
      <w:adjustRightInd/>
      <w:snapToGrid/>
      <w:spacing w:before="200" w:line="276" w:lineRule="auto"/>
      <w:ind w:firstLine="0" w:firstLineChars="0"/>
      <w:jc w:val="left"/>
      <w:outlineLvl w:val="5"/>
    </w:pPr>
    <w:rPr>
      <w:rFonts w:ascii="Cambria" w:hAnsi="Cambria"/>
      <w:i/>
      <w:iCs/>
      <w:color w:val="16505E"/>
      <w:kern w:val="0"/>
      <w:sz w:val="20"/>
    </w:rPr>
  </w:style>
  <w:style w:type="paragraph" w:styleId="Heading7">
    <w:name w:val="heading 7"/>
    <w:basedOn w:val="Normal"/>
    <w:next w:val="Normal"/>
    <w:link w:val="7Char"/>
    <w:uiPriority w:val="9"/>
    <w:qFormat/>
    <w:pPr>
      <w:keepNext/>
      <w:keepLines/>
      <w:widowControl/>
      <w:adjustRightInd/>
      <w:snapToGrid/>
      <w:spacing w:before="200" w:line="276" w:lineRule="auto"/>
      <w:ind w:firstLine="0" w:firstLineChars="0"/>
      <w:jc w:val="left"/>
      <w:outlineLvl w:val="6"/>
    </w:pPr>
    <w:rPr>
      <w:rFonts w:ascii="Cambria" w:hAnsi="Cambria"/>
      <w:i/>
      <w:iCs/>
      <w:color w:val="404040"/>
      <w:kern w:val="0"/>
      <w:sz w:val="20"/>
    </w:rPr>
  </w:style>
  <w:style w:type="paragraph" w:styleId="Heading8">
    <w:name w:val="heading 8"/>
    <w:basedOn w:val="Normal"/>
    <w:next w:val="Normal"/>
    <w:link w:val="8Char"/>
    <w:uiPriority w:val="9"/>
    <w:qFormat/>
    <w:pPr>
      <w:keepNext/>
      <w:keepLines/>
      <w:widowControl/>
      <w:adjustRightInd/>
      <w:snapToGrid/>
      <w:spacing w:before="200" w:line="276" w:lineRule="auto"/>
      <w:ind w:firstLine="0" w:firstLineChars="0"/>
      <w:jc w:val="left"/>
      <w:outlineLvl w:val="7"/>
    </w:pPr>
    <w:rPr>
      <w:rFonts w:ascii="Cambria" w:hAnsi="Cambria"/>
      <w:color w:val="2DA2BF"/>
      <w:kern w:val="0"/>
      <w:sz w:val="20"/>
    </w:rPr>
  </w:style>
  <w:style w:type="paragraph" w:styleId="Heading9">
    <w:name w:val="heading 9"/>
    <w:basedOn w:val="Normal"/>
    <w:next w:val="Normal"/>
    <w:link w:val="9Char"/>
    <w:uiPriority w:val="9"/>
    <w:qFormat/>
    <w:pPr>
      <w:keepNext/>
      <w:keepLines/>
      <w:widowControl/>
      <w:adjustRightInd/>
      <w:snapToGrid/>
      <w:spacing w:before="200" w:line="276" w:lineRule="auto"/>
      <w:ind w:firstLine="0" w:firstLineChars="0"/>
      <w:jc w:val="left"/>
      <w:outlineLvl w:val="8"/>
    </w:pPr>
    <w:rPr>
      <w:rFonts w:ascii="Cambria" w:hAnsi="Cambria"/>
      <w:i/>
      <w:iCs/>
      <w:color w:val="404040"/>
      <w:kern w:val="0"/>
      <w:sz w:val="20"/>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Macro">
    <w:name w:val="macro"/>
    <w:semiHidden/>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lang w:val="en-US" w:eastAsia="zh-CN" w:bidi="ar-SA"/>
    </w:rPr>
  </w:style>
  <w:style w:type="paragraph" w:styleId="List3">
    <w:name w:val="List 3"/>
    <w:basedOn w:val="Normal"/>
    <w:qFormat/>
    <w:pPr>
      <w:adjustRightInd/>
      <w:snapToGrid/>
      <w:spacing w:line="240" w:lineRule="auto"/>
      <w:ind w:left="100" w:hanging="200" w:leftChars="400" w:hangingChars="200"/>
    </w:pPr>
    <w:rPr>
      <w:sz w:val="21"/>
      <w:szCs w:val="24"/>
    </w:rPr>
  </w:style>
  <w:style w:type="paragraph" w:styleId="TOC7">
    <w:name w:val="toc 7"/>
    <w:basedOn w:val="Normal"/>
    <w:next w:val="Normal"/>
    <w:uiPriority w:val="39"/>
    <w:qFormat/>
    <w:pPr>
      <w:adjustRightInd/>
      <w:snapToGrid/>
      <w:spacing w:line="240" w:lineRule="auto"/>
      <w:ind w:left="1800" w:firstLine="0" w:firstLineChars="0"/>
      <w:jc w:val="left"/>
    </w:pPr>
    <w:rPr>
      <w:sz w:val="18"/>
      <w:szCs w:val="18"/>
    </w:rPr>
  </w:style>
  <w:style w:type="paragraph" w:styleId="ListNumber2">
    <w:name w:val="List Number 2"/>
    <w:basedOn w:val="Normal"/>
    <w:qFormat/>
    <w:pPr>
      <w:tabs>
        <w:tab w:val="left" w:pos="780"/>
      </w:tabs>
      <w:adjustRightInd/>
      <w:snapToGrid/>
      <w:spacing w:line="240" w:lineRule="auto"/>
      <w:ind w:left="780" w:hanging="360" w:leftChars="200" w:hangingChars="200"/>
    </w:pPr>
    <w:rPr>
      <w:rFonts w:ascii="宋体" w:hAnsi="宋体"/>
      <w:sz w:val="28"/>
      <w:szCs w:val="28"/>
    </w:rPr>
  </w:style>
  <w:style w:type="paragraph" w:styleId="NoteHeading">
    <w:name w:val="Note Heading"/>
    <w:basedOn w:val="Normal"/>
    <w:next w:val="Normal"/>
    <w:qFormat/>
    <w:pPr>
      <w:adjustRightInd/>
      <w:snapToGrid/>
      <w:spacing w:line="240" w:lineRule="auto"/>
      <w:ind w:firstLine="0" w:firstLineChars="0"/>
      <w:jc w:val="center"/>
    </w:pPr>
    <w:rPr>
      <w:rFonts w:ascii="宋体" w:hAnsi="Courier New" w:cs="Courier New"/>
      <w:sz w:val="21"/>
      <w:szCs w:val="21"/>
    </w:rPr>
  </w:style>
  <w:style w:type="paragraph" w:styleId="ListBullet4">
    <w:name w:val="List Bullet 4"/>
    <w:basedOn w:val="Normal"/>
    <w:qFormat/>
    <w:pPr>
      <w:tabs>
        <w:tab w:val="left" w:pos="2180"/>
      </w:tabs>
      <w:adjustRightInd/>
      <w:snapToGrid/>
      <w:spacing w:line="240" w:lineRule="auto"/>
      <w:ind w:left="2180" w:hanging="360" w:leftChars="600" w:hangingChars="200"/>
    </w:pPr>
    <w:rPr>
      <w:rFonts w:ascii="宋体" w:hAnsi="宋体"/>
      <w:sz w:val="28"/>
      <w:szCs w:val="28"/>
    </w:rPr>
  </w:style>
  <w:style w:type="paragraph" w:styleId="Index8">
    <w:name w:val="index 8"/>
    <w:basedOn w:val="Normal"/>
    <w:next w:val="Normal"/>
    <w:qFormat/>
    <w:pPr>
      <w:widowControl/>
      <w:adjustRightInd/>
      <w:snapToGrid/>
      <w:spacing w:after="200"/>
      <w:ind w:left="1680" w:hanging="210"/>
      <w:jc w:val="left"/>
    </w:pPr>
    <w:rPr>
      <w:rFonts w:ascii="Calibri" w:hAnsi="Calibri"/>
      <w:kern w:val="0"/>
      <w:sz w:val="20"/>
      <w:szCs w:val="22"/>
    </w:rPr>
  </w:style>
  <w:style w:type="paragraph" w:styleId="E-mailSignature">
    <w:name w:val="E-mail Signature"/>
    <w:basedOn w:val="Normal"/>
    <w:qFormat/>
    <w:pPr>
      <w:adjustRightInd/>
      <w:snapToGrid/>
      <w:spacing w:line="240" w:lineRule="auto"/>
      <w:ind w:firstLine="0" w:firstLineChars="0"/>
    </w:pPr>
    <w:rPr>
      <w:rFonts w:ascii="宋体" w:hAnsi="宋体"/>
      <w:sz w:val="28"/>
      <w:szCs w:val="28"/>
    </w:rPr>
  </w:style>
  <w:style w:type="paragraph" w:styleId="ListNumber">
    <w:name w:val="List Number"/>
    <w:basedOn w:val="Normal"/>
    <w:qFormat/>
    <w:pPr>
      <w:tabs>
        <w:tab w:val="left" w:pos="360"/>
      </w:tabs>
      <w:adjustRightInd/>
      <w:snapToGrid/>
      <w:spacing w:line="240" w:lineRule="auto"/>
      <w:ind w:left="360" w:hanging="360" w:hangingChars="200"/>
    </w:pPr>
    <w:rPr>
      <w:rFonts w:ascii="宋体" w:hAnsi="宋体"/>
      <w:sz w:val="28"/>
      <w:szCs w:val="28"/>
    </w:rPr>
  </w:style>
  <w:style w:type="paragraph" w:styleId="NormalIndent">
    <w:name w:val="Normal Indent"/>
    <w:basedOn w:val="Normal"/>
    <w:link w:val="Char11"/>
    <w:qFormat/>
    <w:pPr>
      <w:adjustRightInd/>
      <w:snapToGrid/>
      <w:spacing w:line="240" w:lineRule="auto"/>
      <w:ind w:firstLine="420"/>
    </w:pPr>
    <w:rPr>
      <w:sz w:val="21"/>
      <w:szCs w:val="24"/>
    </w:rPr>
  </w:style>
  <w:style w:type="paragraph" w:styleId="Caption">
    <w:name w:val="caption"/>
    <w:basedOn w:val="Normal"/>
    <w:next w:val="Normal"/>
    <w:qFormat/>
    <w:pPr>
      <w:widowControl/>
      <w:adjustRightInd/>
      <w:snapToGrid/>
      <w:spacing w:after="200" w:line="240" w:lineRule="auto"/>
      <w:ind w:firstLine="0" w:firstLineChars="0"/>
      <w:jc w:val="left"/>
    </w:pPr>
    <w:rPr>
      <w:rFonts w:ascii="Calibri" w:hAnsi="Calibri"/>
      <w:b/>
      <w:bCs/>
      <w:color w:val="2DA2BF"/>
      <w:kern w:val="0"/>
      <w:sz w:val="18"/>
      <w:szCs w:val="18"/>
    </w:rPr>
  </w:style>
  <w:style w:type="paragraph" w:styleId="Index5">
    <w:name w:val="index 5"/>
    <w:basedOn w:val="Normal"/>
    <w:next w:val="Normal"/>
    <w:qFormat/>
    <w:pPr>
      <w:widowControl/>
      <w:adjustRightInd/>
      <w:snapToGrid/>
      <w:spacing w:after="200"/>
      <w:ind w:left="1050" w:hanging="210"/>
      <w:jc w:val="left"/>
    </w:pPr>
    <w:rPr>
      <w:rFonts w:ascii="Calibri" w:hAnsi="Calibri"/>
      <w:kern w:val="0"/>
      <w:sz w:val="20"/>
      <w:szCs w:val="22"/>
    </w:rPr>
  </w:style>
  <w:style w:type="paragraph" w:styleId="ListBullet">
    <w:name w:val="List Bullet"/>
    <w:basedOn w:val="Normal"/>
    <w:qFormat/>
    <w:pPr>
      <w:tabs>
        <w:tab w:val="left" w:pos="360"/>
      </w:tabs>
      <w:adjustRightInd/>
      <w:snapToGrid/>
      <w:spacing w:line="240" w:lineRule="auto"/>
      <w:ind w:left="360" w:hanging="360" w:hangingChars="200"/>
    </w:pPr>
    <w:rPr>
      <w:sz w:val="21"/>
      <w:szCs w:val="24"/>
    </w:rPr>
  </w:style>
  <w:style w:type="paragraph" w:styleId="EnvelopeAddress">
    <w:name w:val="envelope address"/>
    <w:basedOn w:val="Normal"/>
    <w:qFormat/>
    <w:pPr>
      <w:framePr w:w="7920" w:h="1980" w:hRule="exact" w:hSpace="180" w:wrap="around" w:vAnchor="margin" w:hAnchor="page" w:xAlign="center" w:yAlign="bottom"/>
      <w:adjustRightInd/>
      <w:spacing w:line="240" w:lineRule="auto"/>
      <w:ind w:left="100" w:firstLine="0" w:leftChars="1400" w:firstLineChars="0"/>
    </w:pPr>
    <w:rPr>
      <w:rFonts w:ascii="Arial" w:hAnsi="Arial" w:cs="Arial"/>
      <w:szCs w:val="24"/>
    </w:rPr>
  </w:style>
  <w:style w:type="paragraph" w:styleId="DocumentMap">
    <w:name w:val="Document Map"/>
    <w:basedOn w:val="Normal"/>
    <w:link w:val="Char33"/>
    <w:qFormat/>
    <w:pPr>
      <w:shd w:val="clear" w:color="auto" w:fill="000080"/>
      <w:adjustRightInd/>
      <w:snapToGrid/>
      <w:spacing w:line="240" w:lineRule="auto"/>
      <w:ind w:firstLine="0" w:firstLineChars="0"/>
    </w:pPr>
    <w:rPr>
      <w:kern w:val="0"/>
      <w:sz w:val="30"/>
    </w:rPr>
  </w:style>
  <w:style w:type="paragraph" w:styleId="CommentText">
    <w:name w:val="annotation text"/>
    <w:basedOn w:val="Normal"/>
    <w:link w:val="Char15"/>
    <w:qFormat/>
    <w:pPr>
      <w:adjustRightInd/>
      <w:snapToGrid/>
      <w:spacing w:line="240" w:lineRule="auto"/>
      <w:ind w:left="200" w:firstLine="0" w:leftChars="200" w:firstLineChars="0"/>
      <w:jc w:val="left"/>
    </w:pPr>
    <w:rPr>
      <w:kern w:val="0"/>
      <w:sz w:val="28"/>
      <w:szCs w:val="24"/>
    </w:rPr>
  </w:style>
  <w:style w:type="paragraph" w:styleId="Index6">
    <w:name w:val="index 6"/>
    <w:basedOn w:val="Normal"/>
    <w:next w:val="Normal"/>
    <w:qFormat/>
    <w:pPr>
      <w:widowControl/>
      <w:adjustRightInd/>
      <w:snapToGrid/>
      <w:spacing w:after="200"/>
      <w:ind w:left="1260" w:hanging="210"/>
      <w:jc w:val="left"/>
    </w:pPr>
    <w:rPr>
      <w:rFonts w:ascii="Calibri" w:hAnsi="Calibri"/>
      <w:kern w:val="0"/>
      <w:sz w:val="20"/>
      <w:szCs w:val="22"/>
    </w:rPr>
  </w:style>
  <w:style w:type="paragraph" w:styleId="Salutation">
    <w:name w:val="Salutation"/>
    <w:basedOn w:val="Normal"/>
    <w:next w:val="Normal"/>
    <w:qFormat/>
    <w:pPr>
      <w:adjustRightInd/>
      <w:snapToGrid/>
      <w:spacing w:line="240" w:lineRule="auto"/>
      <w:ind w:firstLine="0" w:firstLineChars="0"/>
    </w:pPr>
    <w:rPr>
      <w:rFonts w:ascii="宋体" w:hAnsi="宋体"/>
      <w:sz w:val="28"/>
      <w:szCs w:val="28"/>
    </w:rPr>
  </w:style>
  <w:style w:type="paragraph" w:styleId="BodyText3">
    <w:name w:val="Body Text 3"/>
    <w:basedOn w:val="Normal"/>
    <w:link w:val="3Char0"/>
    <w:qFormat/>
    <w:pPr>
      <w:adjustRightInd/>
      <w:snapToGrid/>
      <w:spacing w:line="400" w:lineRule="exact"/>
      <w:ind w:firstLine="0" w:firstLineChars="0"/>
      <w:jc w:val="center"/>
    </w:pPr>
    <w:rPr>
      <w:kern w:val="0"/>
    </w:rPr>
  </w:style>
  <w:style w:type="paragraph" w:styleId="Closing">
    <w:name w:val="Closing"/>
    <w:basedOn w:val="Normal"/>
    <w:qFormat/>
    <w:pPr>
      <w:adjustRightInd/>
      <w:snapToGrid/>
      <w:spacing w:line="240" w:lineRule="auto"/>
      <w:ind w:left="100" w:firstLine="0" w:leftChars="2100" w:firstLineChars="0"/>
    </w:pPr>
    <w:rPr>
      <w:rFonts w:ascii="宋体" w:hAnsi="宋体"/>
      <w:sz w:val="28"/>
      <w:szCs w:val="28"/>
    </w:rPr>
  </w:style>
  <w:style w:type="paragraph" w:styleId="ListBullet3">
    <w:name w:val="List Bullet 3"/>
    <w:basedOn w:val="Normal"/>
    <w:qFormat/>
    <w:pPr>
      <w:tabs>
        <w:tab w:val="left" w:pos="1200"/>
        <w:tab w:val="left" w:pos="1325"/>
      </w:tabs>
      <w:adjustRightInd/>
      <w:snapToGrid/>
      <w:spacing w:line="240" w:lineRule="auto"/>
      <w:ind w:left="1200" w:hanging="360" w:leftChars="400" w:firstLineChars="0"/>
    </w:pPr>
    <w:rPr>
      <w:rFonts w:ascii="宋体" w:hAnsi="宋体"/>
      <w:sz w:val="28"/>
      <w:szCs w:val="28"/>
    </w:rPr>
  </w:style>
  <w:style w:type="paragraph" w:styleId="BodyText">
    <w:name w:val="Body Text"/>
    <w:basedOn w:val="Normal"/>
    <w:link w:val="Char26"/>
    <w:qFormat/>
    <w:pPr>
      <w:adjustRightInd/>
      <w:snapToGrid/>
      <w:spacing w:before="50" w:after="50" w:line="540" w:lineRule="exact"/>
      <w:ind w:firstLine="0" w:firstLineChars="0"/>
    </w:pPr>
    <w:rPr>
      <w:rFonts w:ascii="Calibri" w:hAnsi="Calibri"/>
      <w:kern w:val="0"/>
      <w:sz w:val="28"/>
    </w:rPr>
  </w:style>
  <w:style w:type="paragraph" w:styleId="BodyTextIndent">
    <w:name w:val="Body Text Indent"/>
    <w:basedOn w:val="Normal"/>
    <w:link w:val="Char6"/>
    <w:qFormat/>
    <w:pPr>
      <w:adjustRightInd/>
      <w:snapToGrid/>
      <w:spacing w:line="540" w:lineRule="exact"/>
      <w:ind w:firstLine="570" w:firstLineChars="0"/>
    </w:pPr>
    <w:rPr>
      <w:kern w:val="0"/>
      <w:sz w:val="28"/>
    </w:rPr>
  </w:style>
  <w:style w:type="paragraph" w:styleId="ListNumber3">
    <w:name w:val="List Number 3"/>
    <w:basedOn w:val="Normal"/>
    <w:qFormat/>
    <w:pPr>
      <w:tabs>
        <w:tab w:val="left" w:pos="1200"/>
        <w:tab w:val="left" w:pos="1280"/>
      </w:tabs>
      <w:adjustRightInd/>
      <w:snapToGrid/>
      <w:spacing w:line="240" w:lineRule="auto"/>
      <w:ind w:left="1200" w:hanging="720" w:leftChars="400" w:firstLineChars="0"/>
    </w:pPr>
    <w:rPr>
      <w:rFonts w:ascii="宋体" w:hAnsi="宋体"/>
      <w:sz w:val="28"/>
      <w:szCs w:val="28"/>
    </w:rPr>
  </w:style>
  <w:style w:type="paragraph" w:styleId="List2">
    <w:name w:val="List 2"/>
    <w:basedOn w:val="Normal"/>
    <w:qFormat/>
    <w:pPr>
      <w:adjustRightInd/>
      <w:snapToGrid/>
      <w:spacing w:line="240" w:lineRule="auto"/>
      <w:ind w:left="100" w:hanging="200" w:leftChars="200" w:hangingChars="200"/>
    </w:pPr>
    <w:rPr>
      <w:sz w:val="21"/>
      <w:szCs w:val="24"/>
    </w:rPr>
  </w:style>
  <w:style w:type="paragraph" w:styleId="ListContinue">
    <w:name w:val="List Continue"/>
    <w:basedOn w:val="Normal"/>
    <w:qFormat/>
    <w:pPr>
      <w:adjustRightInd/>
      <w:snapToGrid/>
      <w:spacing w:after="120" w:line="240" w:lineRule="auto"/>
      <w:ind w:left="420" w:firstLine="0" w:leftChars="200" w:firstLineChars="0"/>
    </w:pPr>
    <w:rPr>
      <w:sz w:val="21"/>
      <w:szCs w:val="24"/>
    </w:rPr>
  </w:style>
  <w:style w:type="paragraph" w:styleId="BlockText">
    <w:name w:val="Block Text"/>
    <w:basedOn w:val="Normal"/>
    <w:qFormat/>
    <w:pPr>
      <w:tabs>
        <w:tab w:val="left" w:pos="720"/>
      </w:tabs>
      <w:adjustRightInd/>
      <w:snapToGrid/>
      <w:spacing w:line="240" w:lineRule="exact"/>
      <w:ind w:left="85" w:right="-107" w:hanging="192" w:leftChars="-51" w:rightChars="-51" w:hangingChars="60"/>
      <w:jc w:val="center"/>
    </w:pPr>
    <w:rPr>
      <w:rFonts w:ascii="仿宋_GB2312" w:eastAsia="仿宋_GB2312"/>
      <w:sz w:val="32"/>
      <w:szCs w:val="24"/>
      <w:u w:val="single"/>
    </w:rPr>
  </w:style>
  <w:style w:type="paragraph" w:styleId="ListBullet2">
    <w:name w:val="List Bullet 2"/>
    <w:basedOn w:val="Normal"/>
    <w:qFormat/>
    <w:pPr>
      <w:tabs>
        <w:tab w:val="left" w:pos="780"/>
      </w:tabs>
      <w:adjustRightInd/>
      <w:snapToGrid/>
      <w:spacing w:line="240" w:lineRule="auto"/>
      <w:ind w:left="780" w:hanging="360" w:leftChars="200" w:hangingChars="200"/>
    </w:pPr>
    <w:rPr>
      <w:sz w:val="21"/>
      <w:szCs w:val="24"/>
    </w:rPr>
  </w:style>
  <w:style w:type="paragraph" w:styleId="HTMLAddress">
    <w:name w:val="HTML Address"/>
    <w:basedOn w:val="Normal"/>
    <w:link w:val="HTMLChar"/>
    <w:qFormat/>
    <w:pPr>
      <w:adjustRightInd/>
      <w:snapToGrid/>
      <w:spacing w:line="240" w:lineRule="auto"/>
      <w:ind w:firstLine="0" w:firstLineChars="0"/>
    </w:pPr>
    <w:rPr>
      <w:rFonts w:ascii="Calibri" w:hAnsi="Calibri"/>
      <w:sz w:val="21"/>
    </w:rPr>
  </w:style>
  <w:style w:type="paragraph" w:styleId="Index4">
    <w:name w:val="index 4"/>
    <w:basedOn w:val="Normal"/>
    <w:next w:val="Normal"/>
    <w:qFormat/>
    <w:pPr>
      <w:widowControl/>
      <w:adjustRightInd/>
      <w:snapToGrid/>
      <w:spacing w:after="200"/>
      <w:ind w:left="840" w:hanging="210"/>
      <w:jc w:val="left"/>
    </w:pPr>
    <w:rPr>
      <w:rFonts w:ascii="Calibri" w:hAnsi="Calibri"/>
      <w:kern w:val="0"/>
      <w:sz w:val="20"/>
      <w:szCs w:val="22"/>
    </w:rPr>
  </w:style>
  <w:style w:type="paragraph" w:styleId="TOC5">
    <w:name w:val="toc 5"/>
    <w:basedOn w:val="Normal"/>
    <w:next w:val="Normal"/>
    <w:uiPriority w:val="39"/>
    <w:qFormat/>
    <w:pPr>
      <w:adjustRightInd/>
      <w:snapToGrid/>
      <w:spacing w:line="240" w:lineRule="auto"/>
      <w:ind w:left="1200" w:firstLine="0" w:firstLineChars="0"/>
      <w:jc w:val="left"/>
    </w:pPr>
    <w:rPr>
      <w:sz w:val="18"/>
      <w:szCs w:val="18"/>
    </w:rPr>
  </w:style>
  <w:style w:type="paragraph" w:styleId="TOC3">
    <w:name w:val="toc 3"/>
    <w:basedOn w:val="Normal"/>
    <w:next w:val="Normal"/>
    <w:uiPriority w:val="39"/>
    <w:qFormat/>
    <w:pPr>
      <w:adjustRightInd/>
      <w:snapToGrid/>
      <w:spacing w:line="240" w:lineRule="auto"/>
      <w:ind w:left="600" w:firstLine="0" w:firstLineChars="0"/>
      <w:jc w:val="left"/>
    </w:pPr>
    <w:rPr>
      <w:i/>
      <w:iCs/>
      <w:sz w:val="20"/>
    </w:rPr>
  </w:style>
  <w:style w:type="paragraph" w:styleId="PlainText">
    <w:name w:val="Plain Text"/>
    <w:basedOn w:val="Normal"/>
    <w:link w:val="Char16"/>
    <w:unhideWhenUsed/>
    <w:qFormat/>
    <w:rPr>
      <w:rFonts w:ascii="宋体" w:hAnsi="Courier New"/>
      <w:kern w:val="0"/>
      <w:sz w:val="20"/>
      <w:szCs w:val="21"/>
    </w:rPr>
  </w:style>
  <w:style w:type="paragraph" w:styleId="ListBullet5">
    <w:name w:val="List Bullet 5"/>
    <w:basedOn w:val="Normal"/>
    <w:qFormat/>
    <w:pPr>
      <w:tabs>
        <w:tab w:val="left" w:pos="2040"/>
      </w:tabs>
      <w:adjustRightInd/>
      <w:snapToGrid/>
      <w:spacing w:line="240" w:lineRule="auto"/>
      <w:ind w:left="2040" w:hanging="360" w:leftChars="800" w:hangingChars="200"/>
    </w:pPr>
    <w:rPr>
      <w:rFonts w:ascii="宋体" w:hAnsi="宋体"/>
      <w:sz w:val="28"/>
      <w:szCs w:val="28"/>
    </w:rPr>
  </w:style>
  <w:style w:type="paragraph" w:styleId="ListNumber4">
    <w:name w:val="List Number 4"/>
    <w:basedOn w:val="Normal"/>
    <w:qFormat/>
    <w:pPr>
      <w:tabs>
        <w:tab w:val="left" w:pos="1620"/>
      </w:tabs>
      <w:adjustRightInd/>
      <w:snapToGrid/>
      <w:spacing w:line="240" w:lineRule="auto"/>
      <w:ind w:left="1620" w:hanging="360" w:leftChars="600" w:hangingChars="200"/>
    </w:pPr>
    <w:rPr>
      <w:rFonts w:ascii="宋体" w:hAnsi="宋体"/>
      <w:sz w:val="28"/>
      <w:szCs w:val="28"/>
    </w:rPr>
  </w:style>
  <w:style w:type="paragraph" w:styleId="TOC8">
    <w:name w:val="toc 8"/>
    <w:basedOn w:val="Normal"/>
    <w:next w:val="Normal"/>
    <w:uiPriority w:val="39"/>
    <w:qFormat/>
    <w:pPr>
      <w:adjustRightInd/>
      <w:snapToGrid/>
      <w:spacing w:line="240" w:lineRule="auto"/>
      <w:ind w:left="2100" w:firstLine="0" w:firstLineChars="0"/>
      <w:jc w:val="left"/>
    </w:pPr>
    <w:rPr>
      <w:sz w:val="18"/>
      <w:szCs w:val="18"/>
    </w:rPr>
  </w:style>
  <w:style w:type="paragraph" w:styleId="Index3">
    <w:name w:val="index 3"/>
    <w:basedOn w:val="Normal"/>
    <w:next w:val="Normal"/>
    <w:qFormat/>
    <w:pPr>
      <w:widowControl/>
      <w:adjustRightInd/>
      <w:snapToGrid/>
      <w:spacing w:after="200"/>
      <w:ind w:left="630" w:hanging="210"/>
      <w:jc w:val="left"/>
    </w:pPr>
    <w:rPr>
      <w:rFonts w:ascii="Calibri" w:hAnsi="Calibri"/>
      <w:kern w:val="0"/>
      <w:sz w:val="20"/>
      <w:szCs w:val="22"/>
    </w:rPr>
  </w:style>
  <w:style w:type="paragraph" w:styleId="Date">
    <w:name w:val="Date"/>
    <w:basedOn w:val="Normal"/>
    <w:next w:val="Normal"/>
    <w:link w:val="Char29"/>
    <w:qFormat/>
    <w:pPr>
      <w:adjustRightInd/>
      <w:snapToGrid/>
      <w:spacing w:line="240" w:lineRule="auto"/>
      <w:ind w:left="100" w:firstLine="0" w:leftChars="2500" w:firstLineChars="0"/>
    </w:pPr>
    <w:rPr>
      <w:kern w:val="0"/>
      <w:sz w:val="30"/>
    </w:rPr>
  </w:style>
  <w:style w:type="paragraph" w:styleId="BodyTextIndent2">
    <w:name w:val="Body Text Indent 2"/>
    <w:basedOn w:val="Normal"/>
    <w:link w:val="2Char0"/>
    <w:qFormat/>
    <w:pPr>
      <w:adjustRightInd/>
      <w:snapToGrid/>
      <w:spacing w:line="240" w:lineRule="auto"/>
      <w:ind w:firstLine="1120" w:firstLineChars="400"/>
    </w:pPr>
    <w:rPr>
      <w:rFonts w:ascii="宋体" w:hAnsi="宋体"/>
      <w:kern w:val="0"/>
      <w:sz w:val="28"/>
    </w:rPr>
  </w:style>
  <w:style w:type="paragraph" w:styleId="EndnoteText">
    <w:name w:val="endnote text"/>
    <w:basedOn w:val="Normal"/>
    <w:qFormat/>
    <w:pPr>
      <w:adjustRightInd/>
      <w:spacing w:line="240" w:lineRule="auto"/>
      <w:ind w:firstLine="0" w:firstLineChars="0"/>
      <w:jc w:val="left"/>
    </w:pPr>
    <w:rPr>
      <w:rFonts w:ascii="宋体" w:hAnsi="宋体"/>
      <w:sz w:val="28"/>
      <w:szCs w:val="28"/>
    </w:rPr>
  </w:style>
  <w:style w:type="paragraph" w:styleId="ListContinue5">
    <w:name w:val="List Continue 5"/>
    <w:basedOn w:val="Normal"/>
    <w:qFormat/>
    <w:pPr>
      <w:adjustRightInd/>
      <w:snapToGrid/>
      <w:spacing w:after="120" w:line="240" w:lineRule="auto"/>
      <w:ind w:left="2100" w:firstLine="0" w:leftChars="1000" w:firstLineChars="0"/>
    </w:pPr>
    <w:rPr>
      <w:rFonts w:ascii="宋体" w:hAnsi="宋体"/>
      <w:sz w:val="28"/>
      <w:szCs w:val="28"/>
    </w:rPr>
  </w:style>
  <w:style w:type="paragraph" w:styleId="BalloonText">
    <w:name w:val="Balloon Text"/>
    <w:basedOn w:val="Normal"/>
    <w:link w:val="Char34"/>
    <w:unhideWhenUsed/>
    <w:qFormat/>
    <w:pPr>
      <w:spacing w:line="240" w:lineRule="auto"/>
    </w:pPr>
    <w:rPr>
      <w:kern w:val="0"/>
      <w:sz w:val="18"/>
      <w:szCs w:val="18"/>
    </w:rPr>
  </w:style>
  <w:style w:type="paragraph" w:styleId="Footer">
    <w:name w:val="footer"/>
    <w:basedOn w:val="Normal"/>
    <w:link w:val="Char12"/>
    <w:uiPriority w:val="99"/>
    <w:unhideWhenUsed/>
    <w:qFormat/>
    <w:pPr>
      <w:tabs>
        <w:tab w:val="center" w:pos="4153"/>
        <w:tab w:val="right" w:pos="8306"/>
      </w:tabs>
      <w:jc w:val="left"/>
    </w:pPr>
    <w:rPr>
      <w:rFonts w:ascii="Calibri" w:hAnsi="Calibri"/>
      <w:kern w:val="0"/>
      <w:sz w:val="18"/>
      <w:szCs w:val="18"/>
    </w:rPr>
  </w:style>
  <w:style w:type="paragraph" w:styleId="EnvelopeReturn">
    <w:name w:val="envelope return"/>
    <w:basedOn w:val="Normal"/>
    <w:qFormat/>
    <w:pPr>
      <w:adjustRightInd/>
      <w:spacing w:line="240" w:lineRule="auto"/>
      <w:ind w:firstLine="0" w:firstLineChars="0"/>
    </w:pPr>
    <w:rPr>
      <w:rFonts w:ascii="Arial" w:hAnsi="Arial" w:cs="Arial"/>
      <w:sz w:val="28"/>
      <w:szCs w:val="28"/>
    </w:rPr>
  </w:style>
  <w:style w:type="paragraph" w:styleId="Header">
    <w:name w:val="header"/>
    <w:basedOn w:val="Normal"/>
    <w:link w:val="Char9"/>
    <w:unhideWhenUsed/>
    <w:qFormat/>
    <w:pPr>
      <w:tabs>
        <w:tab w:val="center" w:pos="4153"/>
        <w:tab w:val="right" w:pos="8306"/>
      </w:tabs>
      <w:jc w:val="center"/>
    </w:pPr>
    <w:rPr>
      <w:rFonts w:ascii="Calibri" w:hAnsi="Calibri"/>
      <w:sz w:val="18"/>
      <w:szCs w:val="18"/>
    </w:rPr>
  </w:style>
  <w:style w:type="paragraph" w:styleId="Signature">
    <w:name w:val="Signature"/>
    <w:basedOn w:val="Normal"/>
    <w:link w:val="Char35"/>
    <w:qFormat/>
    <w:pPr>
      <w:adjustRightInd/>
      <w:snapToGrid/>
      <w:spacing w:line="240" w:lineRule="auto"/>
      <w:ind w:left="100" w:firstLine="0" w:leftChars="2100" w:firstLineChars="0"/>
    </w:pPr>
    <w:rPr>
      <w:kern w:val="0"/>
      <w:sz w:val="20"/>
      <w:szCs w:val="24"/>
    </w:rPr>
  </w:style>
  <w:style w:type="paragraph" w:styleId="TOC1">
    <w:name w:val="toc 1"/>
    <w:basedOn w:val="Normal"/>
    <w:next w:val="Normal"/>
    <w:uiPriority w:val="39"/>
    <w:qFormat/>
    <w:pPr>
      <w:adjustRightInd/>
      <w:snapToGrid/>
      <w:spacing w:before="120" w:after="120" w:line="240" w:lineRule="auto"/>
      <w:ind w:firstLine="0" w:firstLineChars="0"/>
      <w:jc w:val="left"/>
    </w:pPr>
    <w:rPr>
      <w:b/>
      <w:bCs/>
      <w:caps/>
    </w:rPr>
  </w:style>
  <w:style w:type="paragraph" w:styleId="ListContinue4">
    <w:name w:val="List Continue 4"/>
    <w:basedOn w:val="Normal"/>
    <w:qFormat/>
    <w:pPr>
      <w:adjustRightInd/>
      <w:snapToGrid/>
      <w:spacing w:after="120" w:line="240" w:lineRule="auto"/>
      <w:ind w:left="1680" w:firstLine="0" w:leftChars="800" w:firstLineChars="0"/>
    </w:pPr>
    <w:rPr>
      <w:rFonts w:ascii="宋体" w:hAnsi="宋体"/>
      <w:sz w:val="28"/>
      <w:szCs w:val="28"/>
    </w:rPr>
  </w:style>
  <w:style w:type="paragraph" w:styleId="TOC4">
    <w:name w:val="toc 4"/>
    <w:basedOn w:val="Normal"/>
    <w:next w:val="Normal"/>
    <w:uiPriority w:val="39"/>
    <w:qFormat/>
    <w:pPr>
      <w:adjustRightInd/>
      <w:snapToGrid/>
      <w:spacing w:line="240" w:lineRule="auto"/>
      <w:ind w:left="900" w:firstLine="0" w:firstLineChars="0"/>
      <w:jc w:val="left"/>
    </w:pPr>
    <w:rPr>
      <w:sz w:val="18"/>
      <w:szCs w:val="18"/>
    </w:rPr>
  </w:style>
  <w:style w:type="paragraph" w:styleId="IndexHeading">
    <w:name w:val="index heading"/>
    <w:basedOn w:val="Normal"/>
    <w:next w:val="Index1"/>
    <w:qFormat/>
    <w:pPr>
      <w:widowControl/>
      <w:adjustRightInd/>
      <w:snapToGrid/>
      <w:spacing w:before="120" w:after="120"/>
      <w:jc w:val="left"/>
    </w:pPr>
    <w:rPr>
      <w:rFonts w:ascii="Calibri" w:hAnsi="Calibri"/>
      <w:b/>
      <w:i/>
      <w:kern w:val="0"/>
      <w:sz w:val="20"/>
      <w:szCs w:val="22"/>
    </w:rPr>
  </w:style>
  <w:style w:type="paragraph" w:styleId="Index1">
    <w:name w:val="index 1"/>
    <w:basedOn w:val="Normal"/>
    <w:next w:val="Normal"/>
    <w:qFormat/>
    <w:pPr>
      <w:widowControl/>
      <w:adjustRightInd/>
      <w:snapToGrid/>
      <w:spacing w:after="200" w:line="276" w:lineRule="auto"/>
      <w:ind w:firstLine="0" w:firstLineChars="0"/>
      <w:jc w:val="left"/>
    </w:pPr>
    <w:rPr>
      <w:rFonts w:ascii="Calibri" w:hAnsi="Calibri"/>
      <w:kern w:val="0"/>
      <w:sz w:val="22"/>
      <w:szCs w:val="22"/>
    </w:rPr>
  </w:style>
  <w:style w:type="paragraph" w:styleId="Subtitle">
    <w:name w:val="Subtitle"/>
    <w:basedOn w:val="Normal"/>
    <w:next w:val="Normal"/>
    <w:link w:val="Char23"/>
    <w:uiPriority w:val="11"/>
    <w:qFormat/>
    <w:pPr>
      <w:widowControl/>
      <w:adjustRightInd/>
      <w:snapToGrid/>
      <w:spacing w:after="200" w:line="276" w:lineRule="auto"/>
      <w:ind w:firstLine="0" w:firstLineChars="0"/>
      <w:jc w:val="left"/>
    </w:pPr>
    <w:rPr>
      <w:rFonts w:ascii="Cambria" w:hAnsi="Cambria"/>
      <w:i/>
      <w:iCs/>
      <w:color w:val="2DA2BF"/>
      <w:spacing w:val="15"/>
      <w:kern w:val="0"/>
      <w:szCs w:val="24"/>
    </w:rPr>
  </w:style>
  <w:style w:type="paragraph" w:styleId="ListNumber5">
    <w:name w:val="List Number 5"/>
    <w:basedOn w:val="Normal"/>
    <w:qFormat/>
    <w:pPr>
      <w:tabs>
        <w:tab w:val="left" w:pos="2040"/>
      </w:tabs>
      <w:adjustRightInd/>
      <w:snapToGrid/>
      <w:spacing w:line="240" w:lineRule="auto"/>
      <w:ind w:left="2040" w:hanging="360" w:leftChars="800" w:hangingChars="200"/>
    </w:pPr>
    <w:rPr>
      <w:rFonts w:ascii="宋体" w:hAnsi="宋体"/>
      <w:sz w:val="28"/>
      <w:szCs w:val="28"/>
    </w:rPr>
  </w:style>
  <w:style w:type="paragraph" w:styleId="List">
    <w:name w:val="List"/>
    <w:basedOn w:val="Normal"/>
    <w:qFormat/>
    <w:pPr>
      <w:adjustRightInd/>
      <w:snapToGrid/>
      <w:spacing w:line="240" w:lineRule="auto"/>
      <w:ind w:left="200" w:hanging="200" w:hangingChars="200"/>
    </w:pPr>
    <w:rPr>
      <w:sz w:val="21"/>
      <w:szCs w:val="24"/>
    </w:rPr>
  </w:style>
  <w:style w:type="paragraph" w:styleId="FootnoteText">
    <w:name w:val="footnote text"/>
    <w:basedOn w:val="Normal"/>
    <w:semiHidden/>
    <w:qFormat/>
    <w:pPr>
      <w:adjustRightInd/>
      <w:spacing w:line="240" w:lineRule="auto"/>
      <w:ind w:firstLine="0" w:firstLineChars="0"/>
      <w:jc w:val="left"/>
    </w:pPr>
    <w:rPr>
      <w:rFonts w:eastAsia="仿宋_GB2312"/>
      <w:sz w:val="18"/>
      <w:szCs w:val="18"/>
    </w:rPr>
  </w:style>
  <w:style w:type="paragraph" w:styleId="TOC6">
    <w:name w:val="toc 6"/>
    <w:basedOn w:val="Normal"/>
    <w:next w:val="Normal"/>
    <w:uiPriority w:val="39"/>
    <w:qFormat/>
    <w:pPr>
      <w:adjustRightInd/>
      <w:snapToGrid/>
      <w:spacing w:line="240" w:lineRule="auto"/>
      <w:ind w:left="1500" w:firstLine="0" w:firstLineChars="0"/>
      <w:jc w:val="left"/>
    </w:pPr>
    <w:rPr>
      <w:sz w:val="18"/>
      <w:szCs w:val="18"/>
    </w:rPr>
  </w:style>
  <w:style w:type="paragraph" w:styleId="List5">
    <w:name w:val="List 5"/>
    <w:basedOn w:val="Normal"/>
    <w:qFormat/>
    <w:pPr>
      <w:adjustRightInd/>
      <w:snapToGrid/>
      <w:spacing w:line="240" w:lineRule="auto"/>
      <w:ind w:left="100" w:hanging="200" w:leftChars="800" w:hangingChars="200"/>
    </w:pPr>
    <w:rPr>
      <w:sz w:val="21"/>
      <w:szCs w:val="24"/>
    </w:rPr>
  </w:style>
  <w:style w:type="paragraph" w:styleId="BodyTextIndent3">
    <w:name w:val="Body Text Indent 3"/>
    <w:basedOn w:val="Normal"/>
    <w:link w:val="3Char4"/>
    <w:qFormat/>
    <w:pPr>
      <w:adjustRightInd/>
      <w:snapToGrid/>
      <w:spacing w:line="300" w:lineRule="auto"/>
      <w:ind w:firstLine="573" w:firstLineChars="0"/>
    </w:pPr>
    <w:rPr>
      <w:rFonts w:ascii="宋体" w:hAnsi="宋体"/>
      <w:kern w:val="0"/>
      <w:sz w:val="28"/>
    </w:rPr>
  </w:style>
  <w:style w:type="paragraph" w:styleId="Index7">
    <w:name w:val="index 7"/>
    <w:basedOn w:val="Normal"/>
    <w:next w:val="Normal"/>
    <w:qFormat/>
    <w:pPr>
      <w:widowControl/>
      <w:adjustRightInd/>
      <w:snapToGrid/>
      <w:spacing w:after="200"/>
      <w:ind w:left="1470" w:hanging="210"/>
      <w:jc w:val="left"/>
    </w:pPr>
    <w:rPr>
      <w:rFonts w:ascii="Calibri" w:hAnsi="Calibri"/>
      <w:kern w:val="0"/>
      <w:sz w:val="20"/>
      <w:szCs w:val="22"/>
    </w:rPr>
  </w:style>
  <w:style w:type="paragraph" w:styleId="Index9">
    <w:name w:val="index 9"/>
    <w:basedOn w:val="Normal"/>
    <w:next w:val="Normal"/>
    <w:qFormat/>
    <w:pPr>
      <w:widowControl/>
      <w:adjustRightInd/>
      <w:snapToGrid/>
      <w:spacing w:after="200"/>
      <w:ind w:left="1890" w:hanging="210"/>
      <w:jc w:val="left"/>
    </w:pPr>
    <w:rPr>
      <w:rFonts w:ascii="Calibri" w:hAnsi="Calibri"/>
      <w:kern w:val="0"/>
      <w:sz w:val="20"/>
      <w:szCs w:val="22"/>
    </w:rPr>
  </w:style>
  <w:style w:type="paragraph" w:styleId="TableofFigures">
    <w:name w:val="table of figures"/>
    <w:basedOn w:val="Normal"/>
    <w:next w:val="Normal"/>
    <w:semiHidden/>
    <w:qFormat/>
    <w:pPr>
      <w:adjustRightInd/>
      <w:snapToGrid/>
      <w:spacing w:line="240" w:lineRule="auto"/>
      <w:ind w:left="200" w:hanging="200" w:leftChars="200" w:hangingChars="200"/>
    </w:pPr>
    <w:rPr>
      <w:b/>
      <w:szCs w:val="24"/>
    </w:rPr>
  </w:style>
  <w:style w:type="paragraph" w:styleId="TOC2">
    <w:name w:val="toc 2"/>
    <w:basedOn w:val="Normal"/>
    <w:next w:val="Normal"/>
    <w:uiPriority w:val="39"/>
    <w:qFormat/>
    <w:pPr>
      <w:adjustRightInd/>
      <w:snapToGrid/>
      <w:spacing w:line="240" w:lineRule="auto"/>
      <w:ind w:left="301" w:firstLine="0" w:firstLineChars="0"/>
      <w:jc w:val="left"/>
    </w:pPr>
    <w:rPr>
      <w:smallCaps/>
    </w:rPr>
  </w:style>
  <w:style w:type="paragraph" w:styleId="TOC9">
    <w:name w:val="toc 9"/>
    <w:basedOn w:val="Normal"/>
    <w:next w:val="Normal"/>
    <w:uiPriority w:val="39"/>
    <w:qFormat/>
    <w:pPr>
      <w:adjustRightInd/>
      <w:snapToGrid/>
      <w:spacing w:line="240" w:lineRule="auto"/>
      <w:ind w:left="2400" w:firstLine="0" w:firstLineChars="0"/>
      <w:jc w:val="left"/>
    </w:pPr>
    <w:rPr>
      <w:sz w:val="18"/>
      <w:szCs w:val="18"/>
    </w:rPr>
  </w:style>
  <w:style w:type="paragraph" w:styleId="BodyText2">
    <w:name w:val="Body Text 2"/>
    <w:basedOn w:val="Normal"/>
    <w:link w:val="2Char5"/>
    <w:qFormat/>
    <w:pPr>
      <w:adjustRightInd/>
      <w:snapToGrid/>
      <w:spacing w:line="240" w:lineRule="auto"/>
      <w:ind w:firstLine="0" w:firstLineChars="0"/>
      <w:jc w:val="center"/>
    </w:pPr>
    <w:rPr>
      <w:kern w:val="0"/>
      <w:sz w:val="20"/>
    </w:rPr>
  </w:style>
  <w:style w:type="paragraph" w:styleId="List4">
    <w:name w:val="List 4"/>
    <w:basedOn w:val="Normal"/>
    <w:qFormat/>
    <w:pPr>
      <w:adjustRightInd/>
      <w:snapToGrid/>
      <w:spacing w:line="240" w:lineRule="auto"/>
      <w:ind w:left="100" w:hanging="200" w:leftChars="600" w:hangingChars="200"/>
    </w:pPr>
    <w:rPr>
      <w:sz w:val="21"/>
      <w:szCs w:val="24"/>
    </w:rPr>
  </w:style>
  <w:style w:type="paragraph" w:styleId="ListContinue2">
    <w:name w:val="List Continue 2"/>
    <w:basedOn w:val="Normal"/>
    <w:qFormat/>
    <w:pPr>
      <w:adjustRightInd/>
      <w:snapToGrid/>
      <w:spacing w:after="120" w:line="240" w:lineRule="auto"/>
      <w:ind w:left="840" w:firstLine="0" w:leftChars="400" w:firstLineChars="0"/>
    </w:pPr>
    <w:rPr>
      <w:rFonts w:ascii="宋体" w:hAnsi="宋体"/>
      <w:sz w:val="28"/>
      <w:szCs w:val="28"/>
    </w:rPr>
  </w:style>
  <w:style w:type="paragraph" w:styleId="MessageHeader">
    <w:name w:val="Message Header"/>
    <w:basedOn w:val="Normal"/>
    <w:qFormat/>
    <w:pPr>
      <w:pBdr>
        <w:top w:val="single" w:sz="6" w:space="1" w:color="auto"/>
        <w:left w:val="single" w:sz="6" w:space="1" w:color="auto"/>
        <w:bottom w:val="single" w:sz="6" w:space="1" w:color="auto"/>
        <w:right w:val="single" w:sz="6" w:space="1" w:color="auto"/>
      </w:pBdr>
      <w:shd w:val="pct20" w:color="auto" w:fill="auto"/>
      <w:adjustRightInd/>
      <w:snapToGrid/>
      <w:spacing w:line="240" w:lineRule="auto"/>
      <w:ind w:left="1080" w:hanging="1080" w:leftChars="500" w:hangingChars="500"/>
    </w:pPr>
    <w:rPr>
      <w:rFonts w:ascii="Arial" w:hAnsi="Arial" w:cs="Arial"/>
      <w:szCs w:val="24"/>
    </w:rPr>
  </w:style>
  <w:style w:type="paragraph" w:styleId="HTMLPreformatted">
    <w:name w:val="HTML Preformatted"/>
    <w:basedOn w:val="Normal"/>
    <w:qFormat/>
    <w:pPr>
      <w:adjustRightInd/>
      <w:snapToGrid/>
      <w:spacing w:line="240" w:lineRule="auto"/>
      <w:ind w:firstLine="0" w:firstLineChars="0"/>
    </w:pPr>
    <w:rPr>
      <w:rFonts w:ascii="Courier New" w:hAnsi="Courier New" w:cs="Courier New"/>
      <w:sz w:val="20"/>
    </w:rPr>
  </w:style>
  <w:style w:type="paragraph" w:styleId="NormalWeb">
    <w:name w:val="Normal (Web)"/>
    <w:basedOn w:val="Normal"/>
    <w:qFormat/>
    <w:pPr>
      <w:widowControl/>
      <w:adjustRightInd/>
      <w:snapToGrid/>
      <w:spacing w:before="150" w:after="150" w:line="240" w:lineRule="auto"/>
      <w:ind w:firstLine="0" w:firstLineChars="0"/>
      <w:jc w:val="left"/>
    </w:pPr>
    <w:rPr>
      <w:rFonts w:ascii="宋体" w:hAnsi="宋体" w:cs="宋体"/>
      <w:kern w:val="0"/>
      <w:szCs w:val="24"/>
    </w:rPr>
  </w:style>
  <w:style w:type="paragraph" w:styleId="ListContinue3">
    <w:name w:val="List Continue 3"/>
    <w:basedOn w:val="Normal"/>
    <w:qFormat/>
    <w:pPr>
      <w:adjustRightInd/>
      <w:snapToGrid/>
      <w:spacing w:after="120" w:line="240" w:lineRule="auto"/>
      <w:ind w:left="1260" w:firstLine="0" w:leftChars="600" w:firstLineChars="0"/>
    </w:pPr>
    <w:rPr>
      <w:rFonts w:ascii="宋体" w:hAnsi="宋体"/>
      <w:sz w:val="28"/>
      <w:szCs w:val="28"/>
    </w:rPr>
  </w:style>
  <w:style w:type="paragraph" w:styleId="Index2">
    <w:name w:val="index 2"/>
    <w:basedOn w:val="Normal"/>
    <w:next w:val="Normal"/>
    <w:qFormat/>
    <w:pPr>
      <w:widowControl/>
      <w:adjustRightInd/>
      <w:snapToGrid/>
      <w:spacing w:after="200"/>
      <w:ind w:left="420" w:hanging="210"/>
      <w:jc w:val="left"/>
    </w:pPr>
    <w:rPr>
      <w:rFonts w:ascii="Calibri" w:hAnsi="Calibri"/>
      <w:kern w:val="0"/>
      <w:sz w:val="20"/>
      <w:szCs w:val="22"/>
    </w:rPr>
  </w:style>
  <w:style w:type="paragraph" w:styleId="Title">
    <w:name w:val="Title"/>
    <w:basedOn w:val="Normal"/>
    <w:next w:val="Normal"/>
    <w:link w:val="Char7"/>
    <w:uiPriority w:val="10"/>
    <w:qFormat/>
    <w:pPr>
      <w:widowControl/>
      <w:pBdr>
        <w:bottom w:val="single" w:sz="8" w:space="4" w:color="2DA2BF"/>
      </w:pBdr>
      <w:adjustRightInd/>
      <w:snapToGrid/>
      <w:spacing w:after="300" w:line="240" w:lineRule="auto"/>
      <w:ind w:firstLine="0" w:firstLineChars="0"/>
      <w:contextualSpacing/>
      <w:jc w:val="left"/>
    </w:pPr>
    <w:rPr>
      <w:rFonts w:ascii="Cambria" w:hAnsi="Cambria"/>
      <w:color w:val="343434"/>
      <w:spacing w:val="5"/>
      <w:kern w:val="28"/>
      <w:sz w:val="52"/>
      <w:szCs w:val="52"/>
    </w:rPr>
  </w:style>
  <w:style w:type="paragraph" w:styleId="CommentSubject">
    <w:name w:val="annotation subject"/>
    <w:basedOn w:val="CommentText"/>
    <w:next w:val="CommentText"/>
    <w:link w:val="Char17"/>
    <w:qFormat/>
    <w:pPr>
      <w:spacing w:line="360" w:lineRule="auto"/>
      <w:ind w:left="0" w:firstLine="200" w:leftChars="0" w:firstLineChars="200"/>
    </w:pPr>
    <w:rPr>
      <w:rFonts w:eastAsia="仿宋_GB2312"/>
      <w:b/>
      <w:bCs/>
      <w:color w:val="00B050"/>
      <w:kern w:val="2"/>
      <w:sz w:val="24"/>
    </w:rPr>
  </w:style>
  <w:style w:type="paragraph" w:styleId="BodyTextFirstIndent">
    <w:name w:val="Body Text First Indent"/>
    <w:basedOn w:val="BodyText"/>
    <w:link w:val="Char25"/>
    <w:qFormat/>
    <w:pPr>
      <w:widowControl/>
      <w:spacing w:before="0" w:after="120" w:line="360" w:lineRule="auto"/>
      <w:ind w:firstLine="420" w:firstLineChars="100"/>
      <w:jc w:val="left"/>
    </w:pPr>
    <w:rPr>
      <w:kern w:val="2"/>
      <w:sz w:val="21"/>
    </w:rPr>
  </w:style>
  <w:style w:type="paragraph" w:styleId="BodyTextFirstIndent2">
    <w:name w:val="Body Text First Indent 2"/>
    <w:basedOn w:val="BodyTextIndent"/>
    <w:link w:val="2Char1"/>
    <w:qFormat/>
    <w:pPr>
      <w:widowControl/>
      <w:spacing w:after="120" w:line="276" w:lineRule="auto"/>
      <w:ind w:left="200" w:firstLine="420" w:leftChars="200" w:firstLineChars="200"/>
      <w:jc w:val="left"/>
    </w:pPr>
    <w:rPr>
      <w:kern w:val="2"/>
      <w:sz w:val="21"/>
    </w:rPr>
  </w:style>
  <w:style w:type="table" w:styleId="TableGrid">
    <w:name w:val="Table Grid"/>
    <w:basedOn w:val="TableNormal"/>
    <w:qFormat/>
    <w:pPr>
      <w:widowControl w:val="0"/>
      <w:jc w:val="center"/>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vAlign w:val="center"/>
    </w:tcPr>
  </w:style>
  <w:style w:type="character" w:styleId="Strong">
    <w:name w:val="Strong"/>
    <w:uiPriority w:val="22"/>
    <w:qFormat/>
    <w:rPr>
      <w:b/>
      <w:bCs/>
    </w:rPr>
  </w:style>
  <w:style w:type="character" w:styleId="EndnoteReference">
    <w:name w:val="endnote reference"/>
    <w:basedOn w:val="DefaultParagraphFont"/>
    <w:qFormat/>
    <w:rPr>
      <w:vertAlign w:val="superscript"/>
    </w:rPr>
  </w:style>
  <w:style w:type="character" w:styleId="PageNumber">
    <w:name w:val="page number"/>
    <w:basedOn w:val="DefaultParagraphFont"/>
    <w:qFormat/>
  </w:style>
  <w:style w:type="character" w:styleId="FollowedHyperlink">
    <w:name w:val="FollowedHyperlink"/>
    <w:uiPriority w:val="99"/>
    <w:qFormat/>
    <w:rPr>
      <w:color w:val="800080"/>
      <w:u w:val="single"/>
    </w:rPr>
  </w:style>
  <w:style w:type="character" w:styleId="Emphasis">
    <w:name w:val="Emphasis"/>
    <w:uiPriority w:val="20"/>
    <w:qFormat/>
    <w:rPr>
      <w:i/>
      <w:iCs/>
    </w:rPr>
  </w:style>
  <w:style w:type="character" w:styleId="Hyperlink">
    <w:name w:val="Hyperlink"/>
    <w:uiPriority w:val="99"/>
    <w:qFormat/>
    <w:rPr>
      <w:color w:val="0000FF"/>
      <w:u w:val="single"/>
    </w:rPr>
  </w:style>
  <w:style w:type="character" w:styleId="CommentReference">
    <w:name w:val="annotation reference"/>
    <w:qFormat/>
    <w:rPr>
      <w:sz w:val="21"/>
      <w:szCs w:val="21"/>
    </w:rPr>
  </w:style>
  <w:style w:type="character" w:styleId="FootnoteReference">
    <w:name w:val="footnote reference"/>
    <w:basedOn w:val="DefaultParagraphFont"/>
    <w:semiHidden/>
    <w:qFormat/>
    <w:rPr>
      <w:vertAlign w:val="superscript"/>
    </w:rPr>
  </w:style>
  <w:style w:type="character" w:customStyle="1" w:styleId="1Char1">
    <w:name w:val="标题 1 Char1"/>
    <w:link w:val="Heading1"/>
    <w:qFormat/>
    <w:rPr>
      <w:rFonts w:eastAsia="宋体"/>
      <w:b/>
      <w:bCs/>
      <w:kern w:val="44"/>
      <w:sz w:val="32"/>
      <w:szCs w:val="44"/>
      <w:lang w:val="en-US" w:eastAsia="zh-CN" w:bidi="ar-SA"/>
    </w:rPr>
  </w:style>
  <w:style w:type="character" w:customStyle="1" w:styleId="2Char">
    <w:name w:val="标题 2 Char"/>
    <w:link w:val="Heading2"/>
    <w:qFormat/>
    <w:rPr>
      <w:rFonts w:ascii="Cambria" w:eastAsia="宋体" w:hAnsi="Cambria"/>
      <w:b/>
      <w:bCs/>
      <w:color w:val="000000"/>
      <w:kern w:val="2"/>
      <w:sz w:val="30"/>
      <w:szCs w:val="32"/>
      <w:lang w:val="en-US" w:eastAsia="zh-CN" w:bidi="ar-SA"/>
    </w:rPr>
  </w:style>
  <w:style w:type="character" w:customStyle="1" w:styleId="3Char2">
    <w:name w:val="标题 3 Char2"/>
    <w:link w:val="Heading3"/>
    <w:qFormat/>
    <w:rPr>
      <w:rFonts w:ascii="Times New Roman" w:hAnsi="Times New Roman"/>
      <w:b/>
      <w:bCs/>
      <w:kern w:val="2"/>
      <w:sz w:val="28"/>
      <w:szCs w:val="32"/>
    </w:rPr>
  </w:style>
  <w:style w:type="character" w:customStyle="1" w:styleId="4Char">
    <w:name w:val="标题 4 Char"/>
    <w:link w:val="Heading4"/>
    <w:uiPriority w:val="99"/>
    <w:qFormat/>
    <w:rPr>
      <w:rFonts w:ascii="Cambria" w:eastAsia="宋体" w:hAnsi="Cambria" w:cs="Times New Roman"/>
      <w:b/>
      <w:bCs/>
      <w:sz w:val="24"/>
      <w:szCs w:val="28"/>
    </w:rPr>
  </w:style>
  <w:style w:type="character" w:customStyle="1" w:styleId="5Char">
    <w:name w:val="标题 5 Char"/>
    <w:link w:val="Heading5"/>
    <w:uiPriority w:val="9"/>
    <w:qFormat/>
    <w:rPr>
      <w:rFonts w:ascii="宋体" w:eastAsia="宋体" w:hAnsi="宋体" w:cs="Times New Roman"/>
      <w:sz w:val="28"/>
      <w:szCs w:val="24"/>
    </w:rPr>
  </w:style>
  <w:style w:type="character" w:customStyle="1" w:styleId="6Char">
    <w:name w:val="标题 6 Char"/>
    <w:link w:val="Heading6"/>
    <w:uiPriority w:val="9"/>
    <w:qFormat/>
    <w:rPr>
      <w:rFonts w:ascii="Cambria" w:hAnsi="Cambria"/>
      <w:i/>
      <w:iCs/>
      <w:color w:val="16505E"/>
    </w:rPr>
  </w:style>
  <w:style w:type="character" w:customStyle="1" w:styleId="7Char">
    <w:name w:val="标题 7 Char"/>
    <w:link w:val="Heading7"/>
    <w:uiPriority w:val="9"/>
    <w:qFormat/>
    <w:rPr>
      <w:rFonts w:ascii="Cambria" w:hAnsi="Cambria"/>
      <w:i/>
      <w:iCs/>
      <w:color w:val="404040"/>
    </w:rPr>
  </w:style>
  <w:style w:type="character" w:customStyle="1" w:styleId="8Char">
    <w:name w:val="标题 8 Char"/>
    <w:link w:val="Heading8"/>
    <w:uiPriority w:val="9"/>
    <w:qFormat/>
    <w:rPr>
      <w:rFonts w:ascii="Cambria" w:hAnsi="Cambria"/>
      <w:color w:val="2DA2BF"/>
    </w:rPr>
  </w:style>
  <w:style w:type="character" w:customStyle="1" w:styleId="9Char">
    <w:name w:val="标题 9 Char"/>
    <w:link w:val="Heading9"/>
    <w:uiPriority w:val="9"/>
    <w:qFormat/>
    <w:rPr>
      <w:rFonts w:ascii="Cambria" w:hAnsi="Cambria"/>
      <w:i/>
      <w:iCs/>
      <w:color w:val="404040"/>
    </w:rPr>
  </w:style>
  <w:style w:type="character" w:customStyle="1" w:styleId="2CharCharChar">
    <w:name w:val="标题 2 Char Char Char"/>
    <w:qFormat/>
    <w:rPr>
      <w:rFonts w:ascii="Arial" w:eastAsia="黑体" w:hAnsi="Arial"/>
      <w:kern w:val="2"/>
      <w:sz w:val="30"/>
      <w:lang w:val="en-US" w:eastAsia="zh-CN"/>
    </w:rPr>
  </w:style>
  <w:style w:type="character" w:customStyle="1" w:styleId="1111Char">
    <w:name w:val="1111 Char"/>
    <w:basedOn w:val="DefaultParagraphFont"/>
    <w:qFormat/>
    <w:rPr>
      <w:rFonts w:eastAsia="宋体" w:hAnsi="宋体" w:cs="宋体"/>
      <w:kern w:val="2"/>
      <w:sz w:val="28"/>
      <w:lang w:val="en-US" w:eastAsia="zh-CN" w:bidi="ar-SA"/>
    </w:rPr>
  </w:style>
  <w:style w:type="character" w:styleId="PlaceholderText">
    <w:name w:val="Placeholder Text"/>
    <w:uiPriority w:val="99"/>
    <w:semiHidden/>
    <w:qFormat/>
    <w:rPr>
      <w:color w:val="808080"/>
    </w:rPr>
  </w:style>
  <w:style w:type="character" w:customStyle="1" w:styleId="1Char">
    <w:name w:val="正文文字1 Char"/>
    <w:qFormat/>
    <w:rPr>
      <w:rFonts w:eastAsia="宋体"/>
      <w:kern w:val="2"/>
      <w:sz w:val="28"/>
      <w:szCs w:val="24"/>
      <w:lang w:val="en-US" w:eastAsia="zh-CN" w:bidi="ar-SA"/>
    </w:rPr>
  </w:style>
  <w:style w:type="character" w:customStyle="1" w:styleId="CharChar16">
    <w:name w:val="Char Char16"/>
    <w:qFormat/>
    <w:locked/>
    <w:rPr>
      <w:rFonts w:ascii="Arial" w:eastAsia="黑体" w:hAnsi="Arial"/>
      <w:kern w:val="2"/>
      <w:sz w:val="24"/>
      <w:szCs w:val="24"/>
      <w:lang w:val="en-US" w:eastAsia="zh-CN" w:bidi="ar-SA"/>
    </w:rPr>
  </w:style>
  <w:style w:type="character" w:customStyle="1" w:styleId="31113Char2111CharBSH-3CharH3CharChar">
    <w:name w:val="样式 标题 3条标题1.1.1标题 3 Char2条标题1.1.1 CharBSH-3 CharH3 Char标题 ... Char"/>
    <w:link w:val="31113Char2111CharBSH-3CharH3Char"/>
    <w:qFormat/>
    <w:rPr>
      <w:rFonts w:ascii="黑体" w:eastAsia="黑体" w:hAnsi="宋体"/>
      <w:b/>
      <w:spacing w:val="20"/>
      <w:kern w:val="2"/>
      <w:sz w:val="32"/>
    </w:rPr>
  </w:style>
  <w:style w:type="paragraph" w:customStyle="1" w:styleId="31113Char2111CharBSH-3CharH3Char">
    <w:name w:val="样式 标题 3条标题1.1.1标题 3 Char2条标题1.1.1 CharBSH-3 CharH3 Char标题 ..."/>
    <w:basedOn w:val="Heading3"/>
    <w:link w:val="31113Char2111CharBSH-3CharH3CharChar"/>
    <w:qFormat/>
    <w:pPr>
      <w:pageBreakBefore/>
      <w:widowControl/>
      <w:adjustRightInd/>
      <w:snapToGrid/>
      <w:spacing w:line="720" w:lineRule="auto"/>
      <w:ind w:firstLine="0" w:firstLineChars="0"/>
      <w:jc w:val="center"/>
    </w:pPr>
    <w:rPr>
      <w:rFonts w:ascii="黑体" w:eastAsia="黑体" w:hAnsi="宋体"/>
      <w:bCs w:val="0"/>
      <w:spacing w:val="20"/>
      <w:sz w:val="32"/>
      <w:szCs w:val="20"/>
    </w:rPr>
  </w:style>
  <w:style w:type="character" w:customStyle="1" w:styleId="Char">
    <w:name w:val="正文文本 Char"/>
    <w:basedOn w:val="DefaultParagraphFont"/>
    <w:qFormat/>
    <w:rPr>
      <w:rFonts w:eastAsia="宋体"/>
      <w:kern w:val="2"/>
      <w:sz w:val="21"/>
      <w:szCs w:val="24"/>
      <w:lang w:val="en-US" w:eastAsia="zh-CN" w:bidi="ar-SA"/>
    </w:rPr>
  </w:style>
  <w:style w:type="character" w:customStyle="1" w:styleId="CharChar22">
    <w:name w:val="Char Char22"/>
    <w:qFormat/>
    <w:rPr>
      <w:rFonts w:ascii="宋体" w:eastAsia="宋体" w:hAnsi="宋体" w:hint="eastAsia"/>
      <w:b/>
      <w:kern w:val="44"/>
      <w:sz w:val="32"/>
      <w:lang w:val="en-US" w:eastAsia="zh-CN" w:bidi="ar-SA"/>
    </w:rPr>
  </w:style>
  <w:style w:type="character" w:customStyle="1" w:styleId="Char1">
    <w:name w:val="首行缩进两字 Char1"/>
    <w:basedOn w:val="DefaultParagraphFont"/>
    <w:link w:val="2"/>
    <w:qFormat/>
    <w:rPr>
      <w:rFonts w:eastAsia="宋体"/>
      <w:kern w:val="2"/>
      <w:sz w:val="24"/>
      <w:lang w:val="en-US" w:eastAsia="zh-CN" w:bidi="ar-SA"/>
    </w:rPr>
  </w:style>
  <w:style w:type="paragraph" w:customStyle="1" w:styleId="2">
    <w:name w:val="正文缩进2"/>
    <w:basedOn w:val="Normal"/>
    <w:link w:val="Char1"/>
    <w:qFormat/>
    <w:pPr>
      <w:ind w:firstLine="480"/>
      <w:textAlignment w:val="baseline"/>
    </w:pPr>
  </w:style>
  <w:style w:type="character" w:customStyle="1" w:styleId="a">
    <w:name w:val="样式 正文 +"/>
    <w:qFormat/>
    <w:rPr>
      <w:rFonts w:eastAsia="仿宋_GB2312"/>
      <w:spacing w:val="0"/>
      <w:w w:val="100"/>
      <w:kern w:val="28"/>
      <w:position w:val="0"/>
      <w:sz w:val="28"/>
      <w:szCs w:val="28"/>
      <w:vertAlign w:val="baseline"/>
    </w:rPr>
  </w:style>
  <w:style w:type="character" w:customStyle="1" w:styleId="2Char0">
    <w:name w:val="正文文本缩进 2 Char"/>
    <w:link w:val="BodyTextIndent2"/>
    <w:qFormat/>
    <w:rPr>
      <w:rFonts w:ascii="宋体" w:eastAsia="宋体" w:hAnsi="宋体" w:cs="Times New Roman"/>
      <w:sz w:val="28"/>
      <w:szCs w:val="20"/>
    </w:rPr>
  </w:style>
  <w:style w:type="character" w:customStyle="1" w:styleId="Char10">
    <w:name w:val="普通文字 Char1"/>
    <w:qFormat/>
    <w:rPr>
      <w:rFonts w:ascii="宋体" w:eastAsia="宋体" w:hAnsi="Courier New"/>
      <w:kern w:val="2"/>
      <w:sz w:val="21"/>
      <w:szCs w:val="21"/>
      <w:lang w:val="en-US" w:eastAsia="zh-CN" w:bidi="ar-SA"/>
    </w:rPr>
  </w:style>
  <w:style w:type="character" w:customStyle="1" w:styleId="CharChar">
    <w:name w:val="正文 Char Char"/>
    <w:qFormat/>
    <w:rPr>
      <w:rFonts w:eastAsia="仿宋_GB2312"/>
      <w:kern w:val="2"/>
      <w:sz w:val="24"/>
      <w:szCs w:val="24"/>
    </w:rPr>
  </w:style>
  <w:style w:type="character" w:customStyle="1" w:styleId="0916Char1">
    <w:name w:val="0916正文样式 Char1"/>
    <w:basedOn w:val="DefaultParagraphFont"/>
    <w:link w:val="0916"/>
    <w:qFormat/>
    <w:rPr>
      <w:rFonts w:eastAsia="宋体"/>
      <w:bCs/>
      <w:snapToGrid w:val="0"/>
      <w:sz w:val="24"/>
      <w:szCs w:val="24"/>
      <w:lang w:val="en-US" w:eastAsia="zh-CN" w:bidi="ar-SA"/>
    </w:rPr>
  </w:style>
  <w:style w:type="paragraph" w:customStyle="1" w:styleId="0916">
    <w:name w:val="0916正文样式"/>
    <w:basedOn w:val="Normal"/>
    <w:link w:val="0916Char1"/>
    <w:qFormat/>
    <w:pPr>
      <w:ind w:firstLine="480"/>
    </w:pPr>
    <w:rPr>
      <w:bCs/>
      <w:snapToGrid w:val="0"/>
      <w:kern w:val="0"/>
      <w:szCs w:val="24"/>
    </w:rPr>
  </w:style>
  <w:style w:type="character" w:customStyle="1" w:styleId="22Char113GB2312Char">
    <w:name w:val="样式 样式 标题 2标题 2 Char + 自动设置 首行缩进:  1.13 厘米 + (中文) 仿宋_GB2312 三号 Char"/>
    <w:link w:val="22Char113GB2312"/>
    <w:qFormat/>
    <w:rPr>
      <w:rFonts w:ascii="黑体" w:eastAsia="黑体"/>
      <w:b/>
      <w:kern w:val="2"/>
      <w:sz w:val="32"/>
    </w:rPr>
  </w:style>
  <w:style w:type="paragraph" w:customStyle="1" w:styleId="22Char113GB2312">
    <w:name w:val="样式 样式 标题 2标题 2 Char + 自动设置 首行缩进:  1.13 厘米 + (中文) 仿宋_GB2312 三号"/>
    <w:basedOn w:val="22Char113"/>
    <w:link w:val="22Char113GB2312Char"/>
    <w:qFormat/>
    <w:rPr>
      <w:rFonts w:hAnsi="Calibri"/>
      <w:sz w:val="32"/>
    </w:rPr>
  </w:style>
  <w:style w:type="paragraph" w:customStyle="1" w:styleId="22Char113">
    <w:name w:val="样式 标题 2标题 2 Char + 自动设置 首行缩进:  1.13 厘米"/>
    <w:basedOn w:val="Heading2"/>
    <w:link w:val="22Char113Char"/>
    <w:qFormat/>
    <w:pPr>
      <w:widowControl/>
      <w:adjustRightInd/>
      <w:snapToGrid/>
      <w:spacing w:before="0"/>
      <w:ind w:firstLine="200" w:firstLineChars="200"/>
      <w:jc w:val="left"/>
    </w:pPr>
    <w:rPr>
      <w:rFonts w:ascii="黑体" w:eastAsia="黑体" w:hAnsi="Arial"/>
      <w:bCs w:val="0"/>
      <w:color w:val="auto"/>
      <w:sz w:val="28"/>
      <w:szCs w:val="20"/>
    </w:rPr>
  </w:style>
  <w:style w:type="character" w:customStyle="1" w:styleId="22Char113Char">
    <w:name w:val="样式 标题 2标题 2 Char + 自动设置 首行缩进:  1.13 厘米 Char"/>
    <w:link w:val="22Char113"/>
    <w:qFormat/>
    <w:rPr>
      <w:rFonts w:ascii="黑体" w:eastAsia="黑体" w:hAnsi="Arial"/>
      <w:b/>
      <w:kern w:val="2"/>
      <w:sz w:val="28"/>
    </w:rPr>
  </w:style>
  <w:style w:type="character" w:customStyle="1" w:styleId="CharChar0">
    <w:name w:val="表头 Char Char"/>
    <w:link w:val="a0"/>
    <w:qFormat/>
    <w:rPr>
      <w:rFonts w:ascii="黑体" w:eastAsia="黑体"/>
      <w:sz w:val="24"/>
    </w:rPr>
  </w:style>
  <w:style w:type="paragraph" w:customStyle="1" w:styleId="a0">
    <w:name w:val="表头"/>
    <w:basedOn w:val="Normal"/>
    <w:link w:val="CharChar0"/>
    <w:qFormat/>
    <w:pPr>
      <w:adjustRightInd/>
      <w:snapToGrid/>
      <w:ind w:firstLine="0" w:firstLineChars="0"/>
      <w:jc w:val="center"/>
    </w:pPr>
    <w:rPr>
      <w:rFonts w:ascii="黑体" w:eastAsia="黑体" w:hAnsi="Calibri"/>
      <w:kern w:val="0"/>
    </w:rPr>
  </w:style>
  <w:style w:type="character" w:customStyle="1" w:styleId="apple-style-span">
    <w:name w:val="apple-style-span"/>
    <w:basedOn w:val="DefaultParagraphFont"/>
    <w:qFormat/>
  </w:style>
  <w:style w:type="character" w:customStyle="1" w:styleId="Char11">
    <w:name w:val="正文缩进 Char1"/>
    <w:link w:val="NormalIndent"/>
    <w:qFormat/>
    <w:rPr>
      <w:rFonts w:ascii="Times New Roman" w:hAnsi="Times New Roman"/>
      <w:kern w:val="2"/>
      <w:sz w:val="21"/>
      <w:szCs w:val="24"/>
    </w:rPr>
  </w:style>
  <w:style w:type="character" w:customStyle="1" w:styleId="Char0">
    <w:name w:val="无间隔 Char"/>
    <w:link w:val="NoSpacing"/>
    <w:uiPriority w:val="99"/>
    <w:qFormat/>
    <w:rPr>
      <w:rFonts w:ascii="Times New Roman" w:hAnsi="Times New Roman"/>
      <w:kern w:val="2"/>
      <w:sz w:val="24"/>
      <w:lang w:val="en-US" w:eastAsia="zh-CN" w:bidi="ar-SA"/>
    </w:rPr>
  </w:style>
  <w:style w:type="paragraph" w:styleId="NoSpacing">
    <w:name w:val="No Spacing"/>
    <w:link w:val="Char0"/>
    <w:qFormat/>
    <w:pPr>
      <w:widowControl w:val="0"/>
      <w:adjustRightInd w:val="0"/>
      <w:snapToGrid w:val="0"/>
      <w:ind w:firstLine="200" w:firstLineChars="200"/>
      <w:jc w:val="both"/>
    </w:pPr>
    <w:rPr>
      <w:rFonts w:ascii="Times New Roman" w:eastAsia="宋体" w:hAnsi="Times New Roman" w:cs="Times New Roman"/>
      <w:kern w:val="2"/>
      <w:sz w:val="24"/>
      <w:lang w:val="en-US" w:eastAsia="zh-CN" w:bidi="ar-SA"/>
    </w:rPr>
  </w:style>
  <w:style w:type="character" w:customStyle="1" w:styleId="CharChar24">
    <w:name w:val="Char Char24"/>
    <w:qFormat/>
    <w:rPr>
      <w:rFonts w:ascii="Arial" w:eastAsia="黑体" w:hAnsi="Arial"/>
      <w:b/>
      <w:kern w:val="2"/>
      <w:sz w:val="30"/>
      <w:lang w:val="en-US" w:eastAsia="zh-CN"/>
    </w:rPr>
  </w:style>
  <w:style w:type="character" w:customStyle="1" w:styleId="Char12">
    <w:name w:val="页脚 Char1"/>
    <w:link w:val="Footer"/>
    <w:uiPriority w:val="99"/>
    <w:qFormat/>
    <w:rPr>
      <w:sz w:val="18"/>
      <w:szCs w:val="18"/>
    </w:rPr>
  </w:style>
  <w:style w:type="character" w:customStyle="1" w:styleId="3Char">
    <w:name w:val="标题 3 Char"/>
    <w:uiPriority w:val="99"/>
    <w:qFormat/>
    <w:rPr>
      <w:rFonts w:eastAsia="宋体"/>
      <w:b/>
      <w:kern w:val="2"/>
      <w:sz w:val="32"/>
      <w:lang w:val="en-US" w:eastAsia="zh-CN"/>
    </w:rPr>
  </w:style>
  <w:style w:type="character" w:customStyle="1" w:styleId="font51">
    <w:name w:val="font51"/>
    <w:basedOn w:val="DefaultParagraphFont"/>
    <w:qFormat/>
    <w:rPr>
      <w:rFonts w:ascii="Times New Roman" w:hAnsi="Times New Roman" w:hint="default"/>
      <w:color w:val="000000"/>
      <w:sz w:val="20"/>
      <w:u w:val="none"/>
      <w:vertAlign w:val="subscript"/>
    </w:rPr>
  </w:style>
  <w:style w:type="character" w:customStyle="1" w:styleId="hang231">
    <w:name w:val="hang231"/>
    <w:basedOn w:val="DefaultParagraphFont"/>
    <w:qFormat/>
    <w:rPr>
      <w:rFonts w:ascii="ˎ̥" w:hAnsi="ˎ̥" w:hint="default"/>
      <w:color w:val="000000"/>
      <w:sz w:val="20"/>
      <w:szCs w:val="20"/>
    </w:rPr>
  </w:style>
  <w:style w:type="character" w:customStyle="1" w:styleId="ca-1">
    <w:name w:val="ca-1"/>
    <w:basedOn w:val="DefaultParagraphFont"/>
    <w:qFormat/>
  </w:style>
  <w:style w:type="character" w:customStyle="1" w:styleId="Char2">
    <w:name w:val="表头 Char"/>
    <w:qFormat/>
    <w:rPr>
      <w:rFonts w:ascii="黑体" w:eastAsia="黑体"/>
      <w:sz w:val="24"/>
      <w:lang w:bidi="ar-SA"/>
    </w:rPr>
  </w:style>
  <w:style w:type="character" w:customStyle="1" w:styleId="Char3">
    <w:name w:val="正文样式 Char"/>
    <w:basedOn w:val="DefaultParagraphFont"/>
    <w:link w:val="a1"/>
    <w:qFormat/>
    <w:rPr>
      <w:rFonts w:ascii="宋体" w:eastAsia="宋体" w:hAnsi="宋体"/>
      <w:sz w:val="24"/>
      <w:szCs w:val="22"/>
      <w:lang w:val="en-US" w:eastAsia="zh-CN" w:bidi="ar-SA"/>
    </w:rPr>
  </w:style>
  <w:style w:type="paragraph" w:customStyle="1" w:styleId="a1">
    <w:name w:val="正文样式"/>
    <w:basedOn w:val="Normal"/>
    <w:link w:val="Char3"/>
    <w:qFormat/>
    <w:pPr>
      <w:widowControl/>
      <w:adjustRightInd/>
      <w:snapToGrid/>
      <w:spacing w:after="200" w:line="460" w:lineRule="exact"/>
      <w:jc w:val="left"/>
    </w:pPr>
    <w:rPr>
      <w:rFonts w:ascii="宋体" w:hAnsi="宋体"/>
      <w:kern w:val="0"/>
      <w:szCs w:val="22"/>
    </w:rPr>
  </w:style>
  <w:style w:type="character" w:customStyle="1" w:styleId="Char4">
    <w:name w:val="页脚 Char"/>
    <w:basedOn w:val="DefaultParagraphFont"/>
    <w:uiPriority w:val="99"/>
    <w:qFormat/>
    <w:rPr>
      <w:kern w:val="2"/>
      <w:sz w:val="18"/>
      <w:szCs w:val="18"/>
    </w:rPr>
  </w:style>
  <w:style w:type="character" w:customStyle="1" w:styleId="Char5">
    <w:name w:val="样式 表文字 + 五号 Char"/>
    <w:basedOn w:val="DefaultParagraphFont"/>
    <w:link w:val="a2"/>
    <w:qFormat/>
    <w:rPr>
      <w:rFonts w:eastAsia="宋体"/>
      <w:snapToGrid w:val="0"/>
      <w:w w:val="95"/>
      <w:sz w:val="24"/>
      <w:szCs w:val="21"/>
      <w:lang w:val="en-US" w:eastAsia="zh-CN" w:bidi="ar-SA"/>
    </w:rPr>
  </w:style>
  <w:style w:type="paragraph" w:customStyle="1" w:styleId="a2">
    <w:name w:val="样式 表文字 + 五号"/>
    <w:basedOn w:val="a3"/>
    <w:link w:val="Char5"/>
    <w:qFormat/>
    <w:rPr>
      <w:szCs w:val="21"/>
    </w:rPr>
  </w:style>
  <w:style w:type="paragraph" w:customStyle="1" w:styleId="a3">
    <w:name w:val="表文字"/>
    <w:qFormat/>
    <w:pPr>
      <w:widowControl w:val="0"/>
      <w:spacing w:line="240" w:lineRule="exact"/>
      <w:jc w:val="center"/>
    </w:pPr>
    <w:rPr>
      <w:rFonts w:ascii="Times New Roman" w:eastAsia="宋体" w:hAnsi="Times New Roman" w:cs="Times New Roman"/>
      <w:snapToGrid w:val="0"/>
      <w:w w:val="95"/>
      <w:sz w:val="24"/>
      <w:lang w:val="en-US" w:eastAsia="zh-CN" w:bidi="ar-SA"/>
    </w:rPr>
  </w:style>
  <w:style w:type="character" w:customStyle="1" w:styleId="1">
    <w:name w:val="明显参考1"/>
    <w:uiPriority w:val="32"/>
    <w:qFormat/>
    <w:rPr>
      <w:b/>
      <w:bCs/>
      <w:smallCaps/>
      <w:color w:val="DA1F28"/>
      <w:spacing w:val="5"/>
      <w:u w:val="single"/>
    </w:rPr>
  </w:style>
  <w:style w:type="character" w:customStyle="1" w:styleId="2Char1">
    <w:name w:val="正文首行缩进 2 Char"/>
    <w:link w:val="BodyTextFirstIndent2"/>
    <w:qFormat/>
    <w:rPr>
      <w:rFonts w:ascii="Times New Roman" w:eastAsia="宋体" w:hAnsi="Times New Roman" w:cs="Times New Roman"/>
      <w:kern w:val="2"/>
      <w:sz w:val="21"/>
      <w:szCs w:val="20"/>
    </w:rPr>
  </w:style>
  <w:style w:type="character" w:customStyle="1" w:styleId="Char6">
    <w:name w:val="正文文本缩进 Char"/>
    <w:link w:val="BodyTextIndent"/>
    <w:qFormat/>
    <w:rPr>
      <w:rFonts w:ascii="Times New Roman" w:eastAsia="宋体" w:hAnsi="Times New Roman" w:cs="Times New Roman"/>
      <w:sz w:val="28"/>
      <w:szCs w:val="20"/>
    </w:rPr>
  </w:style>
  <w:style w:type="character" w:customStyle="1" w:styleId="1Char0">
    <w:name w:val="标题 1 Char"/>
    <w:basedOn w:val="DefaultParagraphFont"/>
    <w:qFormat/>
    <w:rPr>
      <w:rFonts w:ascii="仿宋_GB2312" w:eastAsia="仿宋_GB2312"/>
      <w:b/>
      <w:kern w:val="2"/>
      <w:sz w:val="36"/>
      <w:szCs w:val="44"/>
      <w:lang w:val="en-US" w:eastAsia="zh-CN" w:bidi="ar-SA"/>
    </w:rPr>
  </w:style>
  <w:style w:type="character" w:customStyle="1" w:styleId="10">
    <w:name w:val="明显强调1"/>
    <w:uiPriority w:val="21"/>
    <w:qFormat/>
    <w:rPr>
      <w:b/>
      <w:bCs/>
      <w:i/>
      <w:iCs/>
      <w:color w:val="2DA2BF"/>
    </w:rPr>
  </w:style>
  <w:style w:type="character" w:customStyle="1" w:styleId="CharChar4">
    <w:name w:val="Char Char4"/>
    <w:qFormat/>
    <w:rPr>
      <w:rFonts w:eastAsia="宋体"/>
      <w:kern w:val="2"/>
      <w:sz w:val="21"/>
      <w:lang w:val="en-US" w:eastAsia="zh-CN"/>
    </w:rPr>
  </w:style>
  <w:style w:type="character" w:customStyle="1" w:styleId="Char7">
    <w:name w:val="标题 Char"/>
    <w:link w:val="Title"/>
    <w:uiPriority w:val="10"/>
    <w:qFormat/>
    <w:rPr>
      <w:rFonts w:ascii="Cambria" w:hAnsi="Cambria"/>
      <w:color w:val="343434"/>
      <w:spacing w:val="5"/>
      <w:kern w:val="28"/>
      <w:sz w:val="52"/>
      <w:szCs w:val="52"/>
    </w:rPr>
  </w:style>
  <w:style w:type="character" w:customStyle="1" w:styleId="Char8">
    <w:name w:val="表名，图名 Char"/>
    <w:link w:val="a4"/>
    <w:qFormat/>
    <w:rPr>
      <w:rFonts w:ascii="Times New Roman" w:eastAsia="黑体" w:hAnsi="Times New Roman"/>
      <w:color w:val="1F497D"/>
      <w:kern w:val="2"/>
      <w:sz w:val="21"/>
      <w:szCs w:val="21"/>
    </w:rPr>
  </w:style>
  <w:style w:type="paragraph" w:customStyle="1" w:styleId="a4">
    <w:name w:val="表名，图名"/>
    <w:basedOn w:val="Normal"/>
    <w:link w:val="Char8"/>
    <w:qFormat/>
    <w:pPr>
      <w:adjustRightInd/>
      <w:snapToGrid/>
      <w:jc w:val="center"/>
    </w:pPr>
    <w:rPr>
      <w:rFonts w:eastAsia="黑体"/>
      <w:color w:val="1F497D"/>
      <w:sz w:val="21"/>
      <w:szCs w:val="21"/>
    </w:rPr>
  </w:style>
  <w:style w:type="character" w:customStyle="1" w:styleId="1Char2">
    <w:name w:val="样式1 Char"/>
    <w:link w:val="11"/>
    <w:qFormat/>
    <w:rPr>
      <w:rFonts w:ascii="宋体" w:hAnsi="宋体"/>
      <w:kern w:val="2"/>
      <w:sz w:val="24"/>
      <w:szCs w:val="28"/>
    </w:rPr>
  </w:style>
  <w:style w:type="paragraph" w:customStyle="1" w:styleId="11">
    <w:name w:val="样式1"/>
    <w:basedOn w:val="Normal"/>
    <w:link w:val="1Char2"/>
    <w:qFormat/>
    <w:pPr>
      <w:adjustRightInd/>
      <w:snapToGrid/>
      <w:ind w:firstLine="560"/>
    </w:pPr>
    <w:rPr>
      <w:rFonts w:ascii="宋体" w:hAnsi="宋体"/>
      <w:szCs w:val="28"/>
    </w:rPr>
  </w:style>
  <w:style w:type="character" w:customStyle="1" w:styleId="CharChar19">
    <w:name w:val="Char Char19"/>
    <w:qFormat/>
    <w:locked/>
    <w:rPr>
      <w:rFonts w:eastAsia="楷体_GB2312"/>
      <w:b/>
      <w:bCs/>
      <w:kern w:val="2"/>
      <w:sz w:val="28"/>
      <w:szCs w:val="24"/>
      <w:lang w:val="en-US" w:eastAsia="zh-CN" w:bidi="ar-SA"/>
    </w:rPr>
  </w:style>
  <w:style w:type="character" w:customStyle="1" w:styleId="2Char2">
    <w:name w:val="样式 样式2 + 宋体 Char"/>
    <w:link w:val="20"/>
    <w:qFormat/>
    <w:rPr>
      <w:rFonts w:ascii="宋体" w:hAnsi="宋体"/>
      <w:kern w:val="2"/>
      <w:sz w:val="28"/>
    </w:rPr>
  </w:style>
  <w:style w:type="paragraph" w:customStyle="1" w:styleId="20">
    <w:name w:val="样式 样式2 + 宋体"/>
    <w:basedOn w:val="21"/>
    <w:link w:val="2Char2"/>
    <w:qFormat/>
    <w:pPr>
      <w:widowControl/>
      <w:tabs>
        <w:tab w:val="center" w:pos="4153"/>
        <w:tab w:val="right" w:pos="8306"/>
      </w:tabs>
      <w:adjustRightInd/>
      <w:snapToGrid/>
      <w:spacing w:after="200"/>
      <w:ind w:firstLine="200"/>
      <w:jc w:val="left"/>
    </w:pPr>
    <w:rPr>
      <w:rFonts w:ascii="宋体" w:hAnsi="宋体"/>
      <w:sz w:val="28"/>
      <w:szCs w:val="20"/>
    </w:rPr>
  </w:style>
  <w:style w:type="paragraph" w:customStyle="1" w:styleId="21">
    <w:name w:val="样式2"/>
    <w:basedOn w:val="Header"/>
    <w:link w:val="2Char3"/>
    <w:qFormat/>
    <w:pPr>
      <w:ind w:firstLine="360"/>
    </w:pPr>
    <w:rPr>
      <w:rFonts w:ascii="Times New Roman" w:hAnsi="Times New Roman"/>
    </w:rPr>
  </w:style>
  <w:style w:type="character" w:customStyle="1" w:styleId="Char9">
    <w:name w:val="页眉 Char"/>
    <w:link w:val="Header"/>
    <w:qFormat/>
    <w:rPr>
      <w:rFonts w:eastAsia="宋体"/>
      <w:kern w:val="2"/>
      <w:sz w:val="18"/>
      <w:szCs w:val="18"/>
      <w:lang w:val="en-US" w:eastAsia="zh-CN" w:bidi="ar-SA"/>
    </w:rPr>
  </w:style>
  <w:style w:type="character" w:customStyle="1" w:styleId="2Char3">
    <w:name w:val="样式2 Char"/>
    <w:link w:val="21"/>
    <w:qFormat/>
    <w:rPr>
      <w:rFonts w:ascii="Times New Roman" w:eastAsia="宋体" w:hAnsi="Times New Roman" w:cs="Times New Roman"/>
      <w:kern w:val="2"/>
      <w:sz w:val="18"/>
      <w:szCs w:val="18"/>
      <w:lang w:val="en-US" w:eastAsia="zh-CN" w:bidi="ar-SA"/>
    </w:rPr>
  </w:style>
  <w:style w:type="character" w:customStyle="1" w:styleId="CharChar17">
    <w:name w:val="Char Char17"/>
    <w:qFormat/>
    <w:locked/>
    <w:rPr>
      <w:rFonts w:eastAsia="宋体"/>
      <w:b/>
      <w:bCs/>
      <w:kern w:val="2"/>
      <w:sz w:val="24"/>
      <w:szCs w:val="24"/>
      <w:lang w:val="en-US" w:eastAsia="zh-CN" w:bidi="ar-SA"/>
    </w:rPr>
  </w:style>
  <w:style w:type="character" w:customStyle="1" w:styleId="unnamed112">
    <w:name w:val="unnamed112"/>
    <w:qFormat/>
    <w:rPr>
      <w:color w:val="000000"/>
      <w:sz w:val="18"/>
      <w:szCs w:val="18"/>
    </w:rPr>
  </w:style>
  <w:style w:type="character" w:customStyle="1" w:styleId="Char13">
    <w:name w:val="_正文格式 Char1"/>
    <w:basedOn w:val="DefaultParagraphFont"/>
    <w:link w:val="a5"/>
    <w:qFormat/>
    <w:rPr>
      <w:rFonts w:eastAsia="仿宋_GB2312"/>
      <w:kern w:val="2"/>
      <w:sz w:val="28"/>
      <w:szCs w:val="24"/>
      <w:lang w:val="en-US" w:eastAsia="zh-CN" w:bidi="ar-SA"/>
    </w:rPr>
  </w:style>
  <w:style w:type="paragraph" w:customStyle="1" w:styleId="a5">
    <w:name w:val="_正文格式"/>
    <w:basedOn w:val="Normal"/>
    <w:link w:val="Char13"/>
    <w:qFormat/>
    <w:pPr>
      <w:adjustRightInd/>
      <w:snapToGrid/>
      <w:spacing w:line="560" w:lineRule="exact"/>
    </w:pPr>
    <w:rPr>
      <w:rFonts w:eastAsia="仿宋_GB2312"/>
      <w:sz w:val="28"/>
      <w:szCs w:val="24"/>
    </w:rPr>
  </w:style>
  <w:style w:type="character" w:customStyle="1" w:styleId="2Char10">
    <w:name w:val="正文首行缩进 2 Char1"/>
    <w:uiPriority w:val="99"/>
    <w:semiHidden/>
    <w:qFormat/>
    <w:rPr>
      <w:rFonts w:ascii="Times New Roman" w:eastAsia="宋体" w:hAnsi="Times New Roman" w:cs="Times New Roman"/>
      <w:kern w:val="2"/>
      <w:sz w:val="24"/>
      <w:szCs w:val="20"/>
    </w:rPr>
  </w:style>
  <w:style w:type="character" w:customStyle="1" w:styleId="3Char0">
    <w:name w:val="正文文本 3 Char"/>
    <w:link w:val="BodyText3"/>
    <w:qFormat/>
    <w:rPr>
      <w:rFonts w:ascii="Times New Roman" w:eastAsia="宋体" w:hAnsi="Times New Roman" w:cs="Times New Roman"/>
      <w:sz w:val="24"/>
      <w:szCs w:val="20"/>
    </w:rPr>
  </w:style>
  <w:style w:type="character" w:customStyle="1" w:styleId="Char14">
    <w:name w:val="纯文本 Char"/>
    <w:qFormat/>
    <w:rPr>
      <w:rFonts w:ascii="宋体" w:eastAsia="宋体" w:hAnsi="Courier New"/>
      <w:kern w:val="2"/>
      <w:sz w:val="21"/>
      <w:szCs w:val="21"/>
      <w:lang w:val="en-US" w:eastAsia="zh-CN" w:bidi="ar-SA"/>
    </w:rPr>
  </w:style>
  <w:style w:type="character" w:customStyle="1" w:styleId="Char15">
    <w:name w:val="批注文字 Char"/>
    <w:link w:val="CommentText"/>
    <w:qFormat/>
    <w:rPr>
      <w:rFonts w:ascii="Times New Roman" w:eastAsia="宋体" w:hAnsi="Times New Roman" w:cs="Times New Roman"/>
      <w:sz w:val="28"/>
      <w:szCs w:val="24"/>
    </w:rPr>
  </w:style>
  <w:style w:type="character" w:customStyle="1" w:styleId="2CharCharChar1">
    <w:name w:val="标题 2 Char Char Char1"/>
    <w:qFormat/>
    <w:rPr>
      <w:rFonts w:ascii="Arial" w:eastAsia="黑体" w:hAnsi="Arial"/>
      <w:b/>
      <w:kern w:val="2"/>
      <w:sz w:val="30"/>
      <w:lang w:val="en-US" w:eastAsia="zh-CN"/>
    </w:rPr>
  </w:style>
  <w:style w:type="character" w:customStyle="1" w:styleId="2Char4">
    <w:name w:val="样式 段 + 首行缩进:  2 字符 Char"/>
    <w:basedOn w:val="DefaultParagraphFont"/>
    <w:link w:val="22"/>
    <w:qFormat/>
    <w:rPr>
      <w:rFonts w:eastAsia="宋体" w:cs="宋体"/>
      <w:sz w:val="21"/>
      <w:szCs w:val="21"/>
      <w:lang w:val="en-US" w:eastAsia="zh-CN" w:bidi="ar-SA"/>
    </w:rPr>
  </w:style>
  <w:style w:type="paragraph" w:customStyle="1" w:styleId="22">
    <w:name w:val="样式 段 + 首行缩进:  2 字符"/>
    <w:basedOn w:val="Normal"/>
    <w:link w:val="2Char4"/>
    <w:qFormat/>
    <w:pPr>
      <w:widowControl/>
      <w:autoSpaceDE w:val="0"/>
      <w:autoSpaceDN w:val="0"/>
      <w:adjustRightInd/>
      <w:snapToGrid/>
      <w:spacing w:line="240" w:lineRule="auto"/>
      <w:ind w:firstLine="420"/>
    </w:pPr>
    <w:rPr>
      <w:rFonts w:cs="宋体"/>
      <w:kern w:val="0"/>
      <w:sz w:val="21"/>
      <w:szCs w:val="21"/>
    </w:rPr>
  </w:style>
  <w:style w:type="character" w:customStyle="1" w:styleId="CharChar25">
    <w:name w:val="Char Char25"/>
    <w:qFormat/>
    <w:rPr>
      <w:rFonts w:ascii="宋体" w:eastAsia="宋体" w:hAnsi="宋体" w:hint="eastAsia"/>
      <w:b/>
      <w:kern w:val="44"/>
      <w:sz w:val="44"/>
      <w:lang w:val="en-US" w:eastAsia="zh-CN"/>
    </w:rPr>
  </w:style>
  <w:style w:type="character" w:customStyle="1" w:styleId="CharCharChar1">
    <w:name w:val="Char Char Char1"/>
    <w:qFormat/>
    <w:rPr>
      <w:rFonts w:ascii="宋体" w:eastAsia="宋体" w:hAnsi="Courier New"/>
      <w:lang w:bidi="ar-SA"/>
    </w:rPr>
  </w:style>
  <w:style w:type="character" w:customStyle="1" w:styleId="Char20">
    <w:name w:val="_正文格式 Char2"/>
    <w:qFormat/>
    <w:rPr>
      <w:rFonts w:eastAsia="仿宋_GB2312"/>
      <w:kern w:val="2"/>
      <w:sz w:val="28"/>
      <w:szCs w:val="24"/>
    </w:rPr>
  </w:style>
  <w:style w:type="character" w:customStyle="1" w:styleId="3Char1">
    <w:name w:val="标题 3 Char1"/>
    <w:qFormat/>
    <w:rPr>
      <w:rFonts w:eastAsia="宋体"/>
      <w:b/>
      <w:kern w:val="2"/>
      <w:sz w:val="32"/>
      <w:lang w:val="en-US" w:eastAsia="zh-CN" w:bidi="ar-SA"/>
    </w:rPr>
  </w:style>
  <w:style w:type="character" w:customStyle="1" w:styleId="Char16">
    <w:name w:val="纯文本 Char1"/>
    <w:link w:val="PlainText"/>
    <w:qFormat/>
    <w:rPr>
      <w:rFonts w:ascii="宋体" w:eastAsia="宋体" w:hAnsi="Courier New" w:cs="Courier New"/>
      <w:szCs w:val="21"/>
    </w:rPr>
  </w:style>
  <w:style w:type="character" w:customStyle="1" w:styleId="CharChar18">
    <w:name w:val="Char Char18"/>
    <w:qFormat/>
    <w:locked/>
    <w:rPr>
      <w:rFonts w:ascii="Arial" w:eastAsia="黑体" w:hAnsi="Arial"/>
      <w:b/>
      <w:bCs/>
      <w:kern w:val="2"/>
      <w:sz w:val="24"/>
      <w:szCs w:val="24"/>
      <w:lang w:val="en-US" w:eastAsia="zh-CN" w:bidi="ar-SA"/>
    </w:rPr>
  </w:style>
  <w:style w:type="character" w:customStyle="1" w:styleId="12">
    <w:name w:val="不明显强调1"/>
    <w:uiPriority w:val="19"/>
    <w:qFormat/>
    <w:rPr>
      <w:i/>
      <w:iCs/>
      <w:color w:val="808080"/>
    </w:rPr>
  </w:style>
  <w:style w:type="character" w:customStyle="1" w:styleId="Char17">
    <w:name w:val="批注主题 Char"/>
    <w:link w:val="CommentSubject"/>
    <w:qFormat/>
    <w:rPr>
      <w:rFonts w:ascii="Times New Roman" w:eastAsia="仿宋_GB2312" w:hAnsi="Times New Roman" w:cs="Times New Roman"/>
      <w:b/>
      <w:bCs/>
      <w:color w:val="00B050"/>
      <w:kern w:val="2"/>
      <w:sz w:val="24"/>
      <w:szCs w:val="24"/>
    </w:rPr>
  </w:style>
  <w:style w:type="character" w:customStyle="1" w:styleId="H1Char">
    <w:name w:val="H1 Char"/>
    <w:basedOn w:val="DefaultParagraphFont"/>
    <w:qFormat/>
    <w:rPr>
      <w:rFonts w:eastAsia="宋体"/>
      <w:b/>
      <w:bCs/>
      <w:kern w:val="44"/>
      <w:sz w:val="44"/>
      <w:szCs w:val="44"/>
      <w:lang w:val="en-US" w:eastAsia="zh-CN" w:bidi="ar-SA"/>
    </w:rPr>
  </w:style>
  <w:style w:type="character" w:customStyle="1" w:styleId="1208Char1">
    <w:name w:val="1208正文样式 Char1"/>
    <w:basedOn w:val="DefaultParagraphFont"/>
    <w:link w:val="1208"/>
    <w:qFormat/>
    <w:rPr>
      <w:rFonts w:eastAsia="宋体"/>
      <w:snapToGrid w:val="0"/>
      <w:sz w:val="24"/>
      <w:lang w:val="en-US" w:eastAsia="zh-CN" w:bidi="ar-SA"/>
    </w:rPr>
  </w:style>
  <w:style w:type="paragraph" w:customStyle="1" w:styleId="1208">
    <w:name w:val="1208正文样式"/>
    <w:basedOn w:val="Normal"/>
    <w:link w:val="1208Char1"/>
    <w:qFormat/>
    <w:pPr>
      <w:ind w:firstLine="0" w:firstLineChars="0"/>
    </w:pPr>
    <w:rPr>
      <w:snapToGrid w:val="0"/>
      <w:kern w:val="0"/>
    </w:rPr>
  </w:style>
  <w:style w:type="character" w:customStyle="1" w:styleId="Char18">
    <w:name w:val="章标题 Char"/>
    <w:basedOn w:val="DefaultParagraphFont"/>
    <w:link w:val="a6"/>
    <w:qFormat/>
    <w:rPr>
      <w:rFonts w:ascii="黑体" w:eastAsia="黑体" w:hAnsi="Times New Roman"/>
      <w:sz w:val="21"/>
      <w:lang w:val="en-US" w:eastAsia="zh-CN" w:bidi="ar-SA"/>
    </w:rPr>
  </w:style>
  <w:style w:type="paragraph" w:customStyle="1" w:styleId="a6">
    <w:name w:val="章标题"/>
    <w:next w:val="a7"/>
    <w:link w:val="Char18"/>
    <w:qFormat/>
    <w:pPr>
      <w:spacing w:beforeLines="100" w:afterLines="100"/>
      <w:jc w:val="both"/>
      <w:outlineLvl w:val="1"/>
    </w:pPr>
    <w:rPr>
      <w:rFonts w:ascii="黑体" w:eastAsia="黑体" w:hAnsi="Times New Roman" w:cs="Times New Roman"/>
      <w:sz w:val="21"/>
      <w:lang w:val="en-US" w:eastAsia="zh-CN" w:bidi="ar-SA"/>
    </w:rPr>
  </w:style>
  <w:style w:type="paragraph" w:customStyle="1" w:styleId="a7">
    <w:name w:val="段"/>
    <w:link w:val="Char19"/>
    <w:qFormat/>
    <w:pPr>
      <w:autoSpaceDE w:val="0"/>
      <w:autoSpaceDN w:val="0"/>
      <w:ind w:firstLine="200" w:firstLineChars="200"/>
      <w:jc w:val="both"/>
    </w:pPr>
    <w:rPr>
      <w:rFonts w:ascii="宋体" w:eastAsia="宋体" w:hAnsi="Times New Roman" w:cs="Times New Roman"/>
      <w:sz w:val="21"/>
      <w:lang w:val="en-US" w:eastAsia="zh-CN" w:bidi="ar-SA"/>
    </w:rPr>
  </w:style>
  <w:style w:type="character" w:customStyle="1" w:styleId="Char19">
    <w:name w:val="段 Char"/>
    <w:link w:val="a7"/>
    <w:qFormat/>
    <w:rPr>
      <w:rFonts w:ascii="宋体" w:hAnsi="Times New Roman"/>
      <w:sz w:val="21"/>
      <w:lang w:val="en-US" w:eastAsia="zh-CN" w:bidi="ar-SA"/>
    </w:rPr>
  </w:style>
  <w:style w:type="character" w:customStyle="1" w:styleId="grame">
    <w:name w:val="grame"/>
    <w:basedOn w:val="DefaultParagraphFont"/>
    <w:qFormat/>
  </w:style>
  <w:style w:type="character" w:customStyle="1" w:styleId="PlainTextCharChar">
    <w:name w:val="Plain Text Char Char"/>
    <w:qFormat/>
    <w:rPr>
      <w:rFonts w:eastAsia="仿宋_GB2312"/>
      <w:kern w:val="2"/>
      <w:sz w:val="28"/>
    </w:rPr>
  </w:style>
  <w:style w:type="character" w:customStyle="1" w:styleId="Char110">
    <w:name w:val="副标题 Char1"/>
    <w:uiPriority w:val="11"/>
    <w:qFormat/>
    <w:rPr>
      <w:rFonts w:ascii="Cambria" w:hAnsi="Cambria" w:cs="Times New Roman"/>
      <w:b/>
      <w:bCs/>
      <w:kern w:val="28"/>
      <w:sz w:val="32"/>
      <w:szCs w:val="32"/>
    </w:rPr>
  </w:style>
  <w:style w:type="character" w:customStyle="1" w:styleId="152Char">
    <w:name w:val="样式 样式 样式 (符号) 宋体 四号 行距: 1.5 倍行距 + 首行缩进:  2 字符 + 宋体 Char"/>
    <w:basedOn w:val="152Char0"/>
    <w:link w:val="1520"/>
    <w:qFormat/>
    <w:rPr>
      <w:rFonts w:ascii="宋体"/>
    </w:rPr>
  </w:style>
  <w:style w:type="character" w:customStyle="1" w:styleId="152Char0">
    <w:name w:val="样式 样式 (符号) 宋体 四号 行距: 1.5 倍行距 + 首行缩进:  2 字符 Char"/>
    <w:basedOn w:val="DefaultParagraphFont"/>
    <w:link w:val="152"/>
    <w:qFormat/>
    <w:rPr>
      <w:rFonts w:eastAsia="宋体" w:hAnsi="宋体" w:cs="宋体"/>
      <w:kern w:val="2"/>
      <w:sz w:val="28"/>
      <w:lang w:val="en-US" w:eastAsia="zh-CN" w:bidi="ar-SA"/>
    </w:rPr>
  </w:style>
  <w:style w:type="paragraph" w:customStyle="1" w:styleId="152">
    <w:name w:val="样式 样式 (符号) 宋体 四号 行距: 1.5 倍行距 + 首行缩进:  2 字符"/>
    <w:basedOn w:val="Normal"/>
    <w:link w:val="152Char0"/>
    <w:qFormat/>
    <w:pPr>
      <w:adjustRightInd/>
      <w:snapToGrid/>
      <w:ind w:firstLine="480"/>
    </w:pPr>
    <w:rPr>
      <w:rFonts w:hAnsi="宋体" w:cs="宋体"/>
      <w:sz w:val="28"/>
    </w:rPr>
  </w:style>
  <w:style w:type="paragraph" w:customStyle="1" w:styleId="1520">
    <w:name w:val="样式 样式 样式 (符号) 宋体 四号 行距: 1.5 倍行距 + 首行缩进:  2 字符 + 宋体"/>
    <w:basedOn w:val="152"/>
    <w:link w:val="152Char"/>
    <w:qFormat/>
    <w:rPr>
      <w:rFonts w:ascii="宋体"/>
    </w:rPr>
  </w:style>
  <w:style w:type="character" w:customStyle="1" w:styleId="CharChar14">
    <w:name w:val="Char Char14"/>
    <w:basedOn w:val="DefaultParagraphFont"/>
    <w:qFormat/>
    <w:locked/>
    <w:rPr>
      <w:rFonts w:ascii="Arial" w:eastAsia="黑体" w:hAnsi="Arial"/>
      <w:b/>
      <w:bCs/>
      <w:kern w:val="2"/>
      <w:sz w:val="32"/>
      <w:szCs w:val="32"/>
      <w:lang w:val="en-US" w:eastAsia="zh-CN" w:bidi="ar-SA"/>
    </w:rPr>
  </w:style>
  <w:style w:type="character" w:customStyle="1" w:styleId="text11">
    <w:name w:val="text11"/>
    <w:basedOn w:val="DefaultParagraphFont"/>
    <w:qFormat/>
    <w:rPr>
      <w:sz w:val="23"/>
      <w:szCs w:val="23"/>
    </w:rPr>
  </w:style>
  <w:style w:type="character" w:customStyle="1" w:styleId="CharChar20">
    <w:name w:val="Char Char20"/>
    <w:qFormat/>
    <w:rPr>
      <w:rFonts w:ascii="Arial" w:eastAsia="仿宋_GB2312" w:hAnsi="Arial" w:cs="Arial" w:hint="default"/>
      <w:b/>
      <w:kern w:val="2"/>
      <w:sz w:val="28"/>
      <w:lang w:val="en-US" w:eastAsia="zh-CN"/>
    </w:rPr>
  </w:style>
  <w:style w:type="character" w:customStyle="1" w:styleId="3Char3">
    <w:name w:val="样式3 Char"/>
    <w:link w:val="3"/>
    <w:qFormat/>
    <w:rPr>
      <w:rFonts w:ascii="Times New Roman" w:eastAsia="宋体" w:hAnsi="Times New Roman"/>
      <w:kern w:val="2"/>
      <w:sz w:val="18"/>
      <w:szCs w:val="18"/>
      <w:lang w:val="en-US" w:eastAsia="zh-CN" w:bidi="ar-SA"/>
    </w:rPr>
  </w:style>
  <w:style w:type="paragraph" w:customStyle="1" w:styleId="3">
    <w:name w:val="样式3"/>
    <w:basedOn w:val="Header"/>
    <w:link w:val="3Char3"/>
    <w:qFormat/>
    <w:pPr>
      <w:ind w:firstLine="360"/>
    </w:pPr>
    <w:rPr>
      <w:rFonts w:ascii="Times New Roman" w:hAnsi="Times New Roman"/>
    </w:rPr>
  </w:style>
  <w:style w:type="character" w:customStyle="1" w:styleId="3Char4">
    <w:name w:val="正文文本缩进 3 Char"/>
    <w:link w:val="BodyTextIndent3"/>
    <w:qFormat/>
    <w:rPr>
      <w:rFonts w:ascii="宋体" w:eastAsia="宋体" w:hAnsi="宋体" w:cs="Times New Roman"/>
      <w:sz w:val="28"/>
      <w:szCs w:val="20"/>
    </w:rPr>
  </w:style>
  <w:style w:type="character" w:customStyle="1" w:styleId="Arial">
    <w:name w:val="样式 Arial"/>
    <w:basedOn w:val="DefaultParagraphFont"/>
    <w:qFormat/>
    <w:rPr>
      <w:rFonts w:ascii="Arial" w:hAnsi="Arial"/>
      <w:caps/>
    </w:rPr>
  </w:style>
  <w:style w:type="character" w:customStyle="1" w:styleId="a8">
    <w:name w:val="样式 四号"/>
    <w:basedOn w:val="DefaultParagraphFont"/>
    <w:qFormat/>
  </w:style>
  <w:style w:type="character" w:customStyle="1" w:styleId="Char111">
    <w:name w:val="正文首行缩进 Char1"/>
    <w:uiPriority w:val="99"/>
    <w:semiHidden/>
    <w:qFormat/>
    <w:rPr>
      <w:rFonts w:ascii="Times New Roman" w:eastAsia="宋体" w:hAnsi="Times New Roman"/>
      <w:kern w:val="2"/>
      <w:sz w:val="24"/>
    </w:rPr>
  </w:style>
  <w:style w:type="character" w:customStyle="1" w:styleId="Char21">
    <w:name w:val="表格 新规 Char"/>
    <w:link w:val="a9"/>
    <w:qFormat/>
    <w:rPr>
      <w:rFonts w:ascii="Times New Roman" w:eastAsia="仿宋_GB2312" w:hAnsi="Times New Roman"/>
      <w:kern w:val="2"/>
      <w:sz w:val="21"/>
      <w:szCs w:val="21"/>
    </w:rPr>
  </w:style>
  <w:style w:type="paragraph" w:customStyle="1" w:styleId="a9">
    <w:name w:val="表格 新规"/>
    <w:basedOn w:val="Normal"/>
    <w:link w:val="Char21"/>
    <w:qFormat/>
    <w:pPr>
      <w:jc w:val="center"/>
    </w:pPr>
    <w:rPr>
      <w:rFonts w:eastAsia="仿宋_GB2312"/>
      <w:sz w:val="21"/>
      <w:szCs w:val="21"/>
    </w:rPr>
  </w:style>
  <w:style w:type="character" w:customStyle="1" w:styleId="MB3Char">
    <w:name w:val="MB3 Char"/>
    <w:basedOn w:val="DefaultParagraphFont"/>
    <w:qFormat/>
    <w:rPr>
      <w:rFonts w:eastAsia="宋体"/>
      <w:b/>
      <w:bCs/>
      <w:kern w:val="2"/>
      <w:sz w:val="32"/>
      <w:szCs w:val="32"/>
      <w:lang w:val="en-US" w:eastAsia="zh-CN" w:bidi="ar-SA"/>
    </w:rPr>
  </w:style>
  <w:style w:type="character" w:customStyle="1" w:styleId="Char22">
    <w:name w:val="纯文本 Char2"/>
    <w:link w:val="13"/>
    <w:qFormat/>
    <w:rPr>
      <w:rFonts w:ascii="宋体" w:hAnsi="Courier New"/>
      <w:kern w:val="2"/>
      <w:sz w:val="21"/>
    </w:rPr>
  </w:style>
  <w:style w:type="paragraph" w:customStyle="1" w:styleId="13">
    <w:name w:val="纯文本1"/>
    <w:basedOn w:val="Normal"/>
    <w:link w:val="Char22"/>
    <w:qFormat/>
    <w:pPr>
      <w:adjustRightInd/>
      <w:snapToGrid/>
    </w:pPr>
    <w:rPr>
      <w:rFonts w:ascii="宋体" w:hAnsi="Courier New"/>
      <w:sz w:val="21"/>
    </w:rPr>
  </w:style>
  <w:style w:type="character" w:customStyle="1" w:styleId="CharChar21">
    <w:name w:val="Char Char21"/>
    <w:qFormat/>
    <w:locked/>
    <w:rPr>
      <w:rFonts w:eastAsia="宋体"/>
      <w:b/>
      <w:bCs/>
      <w:kern w:val="2"/>
      <w:sz w:val="32"/>
      <w:szCs w:val="32"/>
      <w:lang w:val="en-US" w:eastAsia="zh-CN" w:bidi="ar-SA"/>
    </w:rPr>
  </w:style>
  <w:style w:type="character" w:customStyle="1" w:styleId="6Char0">
    <w:name w:val="样式6 Char"/>
    <w:link w:val="6"/>
    <w:qFormat/>
    <w:rPr>
      <w:rFonts w:ascii="Times New Roman" w:eastAsia="宋体" w:hAnsi="Times New Roman"/>
      <w:kern w:val="2"/>
      <w:sz w:val="18"/>
      <w:szCs w:val="18"/>
      <w:lang w:val="en-US" w:eastAsia="zh-CN" w:bidi="ar-SA"/>
    </w:rPr>
  </w:style>
  <w:style w:type="paragraph" w:customStyle="1" w:styleId="6">
    <w:name w:val="样式6"/>
    <w:basedOn w:val="Header"/>
    <w:link w:val="6Char0"/>
    <w:qFormat/>
    <w:pPr>
      <w:ind w:firstLine="360"/>
    </w:pPr>
    <w:rPr>
      <w:rFonts w:ascii="Times New Roman" w:hAnsi="Times New Roman"/>
    </w:rPr>
  </w:style>
  <w:style w:type="character" w:customStyle="1" w:styleId="mainCharChar">
    <w:name w:val="main Char Char"/>
    <w:link w:val="main"/>
    <w:qFormat/>
    <w:rPr>
      <w:rFonts w:eastAsia="宋体"/>
      <w:bCs/>
      <w:sz w:val="28"/>
      <w:szCs w:val="28"/>
    </w:rPr>
  </w:style>
  <w:style w:type="paragraph" w:customStyle="1" w:styleId="main">
    <w:name w:val="main"/>
    <w:basedOn w:val="Normal"/>
    <w:link w:val="mainCharChar"/>
    <w:qFormat/>
    <w:pPr>
      <w:adjustRightInd/>
      <w:snapToGrid/>
    </w:pPr>
    <w:rPr>
      <w:rFonts w:ascii="Calibri" w:hAnsi="Calibri"/>
      <w:bCs/>
      <w:kern w:val="0"/>
      <w:sz w:val="28"/>
      <w:szCs w:val="28"/>
    </w:rPr>
  </w:style>
  <w:style w:type="character" w:customStyle="1" w:styleId="Char23">
    <w:name w:val="副标题 Char"/>
    <w:link w:val="Subtitle"/>
    <w:uiPriority w:val="11"/>
    <w:qFormat/>
    <w:rPr>
      <w:rFonts w:ascii="Cambria" w:hAnsi="Cambria"/>
      <w:i/>
      <w:iCs/>
      <w:color w:val="2DA2BF"/>
      <w:spacing w:val="15"/>
      <w:sz w:val="24"/>
      <w:szCs w:val="24"/>
    </w:rPr>
  </w:style>
  <w:style w:type="character" w:customStyle="1" w:styleId="Char24">
    <w:name w:val="表格文字 Char"/>
    <w:basedOn w:val="DefaultParagraphFont"/>
    <w:link w:val="a10"/>
    <w:qFormat/>
    <w:rPr>
      <w:rFonts w:ascii="宋体" w:eastAsia="宋体" w:hAnsi="宋体"/>
      <w:kern w:val="2"/>
      <w:sz w:val="21"/>
      <w:szCs w:val="21"/>
      <w:lang w:val="en-US" w:eastAsia="zh-CN" w:bidi="ar-SA"/>
    </w:rPr>
  </w:style>
  <w:style w:type="paragraph" w:customStyle="1" w:styleId="a10">
    <w:name w:val="表格文字"/>
    <w:basedOn w:val="Normal"/>
    <w:next w:val="Normal"/>
    <w:link w:val="Char24"/>
    <w:qFormat/>
    <w:pPr>
      <w:adjustRightInd/>
      <w:snapToGrid/>
      <w:spacing w:line="240" w:lineRule="auto"/>
      <w:ind w:firstLine="0" w:firstLineChars="0"/>
      <w:jc w:val="center"/>
    </w:pPr>
    <w:rPr>
      <w:rFonts w:ascii="宋体" w:hAnsi="宋体"/>
      <w:sz w:val="21"/>
      <w:szCs w:val="21"/>
    </w:rPr>
  </w:style>
  <w:style w:type="character" w:customStyle="1" w:styleId="04CharChar">
    <w:name w:val="字紧0.4 Char Char"/>
    <w:basedOn w:val="DefaultParagraphFont"/>
    <w:qFormat/>
    <w:rPr>
      <w:rFonts w:ascii="宋体" w:eastAsia="宋体" w:hAnsi="宋体" w:cs="宋体"/>
      <w:bCs/>
      <w:snapToGrid w:val="0"/>
      <w:color w:val="000000"/>
      <w:spacing w:val="-8"/>
      <w:kern w:val="2"/>
      <w:sz w:val="28"/>
      <w:szCs w:val="28"/>
      <w:lang w:val="en-US" w:eastAsia="zh-CN" w:bidi="ar-SA"/>
    </w:rPr>
  </w:style>
  <w:style w:type="character" w:customStyle="1" w:styleId="4Char0">
    <w:name w:val="样式4 Char"/>
    <w:link w:val="4"/>
    <w:qFormat/>
    <w:rPr>
      <w:rFonts w:ascii="Times New Roman" w:eastAsia="宋体" w:hAnsi="Times New Roman"/>
      <w:kern w:val="2"/>
      <w:sz w:val="18"/>
      <w:szCs w:val="18"/>
      <w:lang w:val="en-US" w:eastAsia="zh-CN" w:bidi="ar-SA"/>
    </w:rPr>
  </w:style>
  <w:style w:type="paragraph" w:customStyle="1" w:styleId="4">
    <w:name w:val="样式4"/>
    <w:basedOn w:val="Header"/>
    <w:link w:val="4Char0"/>
    <w:qFormat/>
    <w:pPr>
      <w:ind w:firstLine="360"/>
    </w:pPr>
    <w:rPr>
      <w:rFonts w:ascii="Times New Roman" w:hAnsi="Times New Roman"/>
    </w:rPr>
  </w:style>
  <w:style w:type="character" w:customStyle="1" w:styleId="2Char5">
    <w:name w:val="正文文本 2 Char"/>
    <w:link w:val="BodyText2"/>
    <w:qFormat/>
    <w:rPr>
      <w:rFonts w:ascii="Times New Roman" w:eastAsia="宋体" w:hAnsi="Times New Roman" w:cs="Times New Roman"/>
      <w:szCs w:val="20"/>
    </w:rPr>
  </w:style>
  <w:style w:type="character" w:customStyle="1" w:styleId="CharChar7">
    <w:name w:val="Char Char7"/>
    <w:basedOn w:val="DefaultParagraphFont"/>
    <w:qFormat/>
    <w:locked/>
    <w:rPr>
      <w:rFonts w:ascii="Arial" w:eastAsia="宋体" w:hAnsi="Arial" w:cs="Arial"/>
      <w:b/>
      <w:bCs/>
      <w:kern w:val="28"/>
      <w:sz w:val="32"/>
      <w:szCs w:val="32"/>
      <w:lang w:val="en-US" w:eastAsia="zh-CN" w:bidi="ar-SA"/>
    </w:rPr>
  </w:style>
  <w:style w:type="character" w:customStyle="1" w:styleId="Arial0">
    <w:name w:val="样式 Arial 黑色"/>
    <w:basedOn w:val="DefaultParagraphFont"/>
    <w:qFormat/>
    <w:rPr>
      <w:rFonts w:ascii="Arial" w:hAnsi="Arial"/>
      <w:caps/>
      <w:color w:val="000000"/>
    </w:rPr>
  </w:style>
  <w:style w:type="character" w:customStyle="1" w:styleId="Char25">
    <w:name w:val="正文首行缩进 Char"/>
    <w:link w:val="BodyTextFirstIndent"/>
    <w:qFormat/>
    <w:rPr>
      <w:kern w:val="2"/>
      <w:sz w:val="21"/>
    </w:rPr>
  </w:style>
  <w:style w:type="character" w:customStyle="1" w:styleId="Char26">
    <w:name w:val="正文文本 Char2"/>
    <w:link w:val="BodyText"/>
    <w:qFormat/>
    <w:rPr>
      <w:rFonts w:eastAsia="宋体"/>
      <w:sz w:val="28"/>
    </w:rPr>
  </w:style>
  <w:style w:type="character" w:customStyle="1" w:styleId="1Char3">
    <w:name w:val="1 Char"/>
    <w:qFormat/>
    <w:rPr>
      <w:rFonts w:eastAsia="宋体"/>
      <w:kern w:val="2"/>
      <w:sz w:val="28"/>
      <w:lang w:val="en-US" w:eastAsia="zh-CN"/>
    </w:rPr>
  </w:style>
  <w:style w:type="character" w:customStyle="1" w:styleId="3Char5">
    <w:name w:val="标题3 Char"/>
    <w:qFormat/>
    <w:rPr>
      <w:rFonts w:ascii="宋体" w:eastAsia="宋体" w:hAnsi="宋体"/>
      <w:kern w:val="2"/>
      <w:sz w:val="24"/>
      <w:lang w:val="en-US" w:eastAsia="zh-CN"/>
    </w:rPr>
  </w:style>
  <w:style w:type="character" w:customStyle="1" w:styleId="1Char4">
    <w:name w:val="内容1 Char"/>
    <w:basedOn w:val="DefaultParagraphFont"/>
    <w:link w:val="14"/>
    <w:qFormat/>
    <w:rPr>
      <w:rFonts w:ascii="宋体" w:eastAsia="宋体" w:cs="宋体"/>
      <w:color w:val="000000"/>
      <w:kern w:val="2"/>
      <w:sz w:val="28"/>
      <w:lang w:val="en-US" w:eastAsia="zh-CN" w:bidi="ar-SA"/>
    </w:rPr>
  </w:style>
  <w:style w:type="paragraph" w:customStyle="1" w:styleId="14">
    <w:name w:val="内容1"/>
    <w:basedOn w:val="Normal"/>
    <w:link w:val="1Char4"/>
    <w:qFormat/>
    <w:pPr>
      <w:adjustRightInd/>
      <w:snapToGrid/>
      <w:spacing w:line="540" w:lineRule="exact"/>
      <w:ind w:firstLine="560"/>
    </w:pPr>
    <w:rPr>
      <w:rFonts w:ascii="宋体" w:cs="宋体"/>
      <w:color w:val="000000"/>
      <w:sz w:val="28"/>
    </w:rPr>
  </w:style>
  <w:style w:type="character" w:customStyle="1" w:styleId="Char27">
    <w:name w:val="表格标题 Char"/>
    <w:link w:val="a11"/>
    <w:qFormat/>
    <w:rPr>
      <w:rFonts w:ascii="Times New Roman" w:eastAsia="黑体" w:hAnsi="Times New Roman"/>
      <w:kern w:val="2"/>
      <w:sz w:val="21"/>
      <w:szCs w:val="21"/>
    </w:rPr>
  </w:style>
  <w:style w:type="paragraph" w:customStyle="1" w:styleId="a11">
    <w:name w:val="表格标题"/>
    <w:basedOn w:val="15"/>
    <w:link w:val="Char27"/>
    <w:qFormat/>
    <w:pPr>
      <w:ind w:firstLine="0" w:firstLineChars="0"/>
      <w:jc w:val="center"/>
    </w:pPr>
    <w:rPr>
      <w:rFonts w:eastAsia="黑体"/>
      <w:sz w:val="21"/>
      <w:szCs w:val="21"/>
    </w:rPr>
  </w:style>
  <w:style w:type="paragraph" w:customStyle="1" w:styleId="15">
    <w:name w:val="正文1"/>
    <w:basedOn w:val="Normal"/>
    <w:link w:val="Char28"/>
    <w:qFormat/>
    <w:pPr>
      <w:adjustRightInd/>
      <w:snapToGrid/>
    </w:pPr>
    <w:rPr>
      <w:rFonts w:eastAsia="仿宋_GB2312"/>
      <w:szCs w:val="24"/>
    </w:rPr>
  </w:style>
  <w:style w:type="character" w:customStyle="1" w:styleId="Char28">
    <w:name w:val="正文 Char"/>
    <w:link w:val="15"/>
    <w:qFormat/>
    <w:rPr>
      <w:rFonts w:ascii="Times New Roman" w:eastAsia="仿宋_GB2312" w:hAnsi="Times New Roman"/>
      <w:kern w:val="2"/>
      <w:sz w:val="24"/>
      <w:szCs w:val="24"/>
    </w:rPr>
  </w:style>
  <w:style w:type="character" w:customStyle="1" w:styleId="CharChar9">
    <w:name w:val="Char Char9"/>
    <w:basedOn w:val="DefaultParagraphFont"/>
    <w:qFormat/>
    <w:locked/>
    <w:rPr>
      <w:rFonts w:ascii="宋体" w:eastAsia="宋体" w:hAnsi="宋体"/>
      <w:kern w:val="2"/>
      <w:sz w:val="28"/>
      <w:szCs w:val="28"/>
      <w:lang w:val="en-US" w:eastAsia="zh-CN" w:bidi="ar-SA"/>
    </w:rPr>
  </w:style>
  <w:style w:type="character" w:customStyle="1" w:styleId="4CharCharChar">
    <w:name w:val="标题 4 Char Char Char"/>
    <w:basedOn w:val="DefaultParagraphFont"/>
    <w:qFormat/>
    <w:rPr>
      <w:rFonts w:ascii="Arial" w:eastAsia="黑体" w:hAnsi="Arial"/>
      <w:b/>
      <w:bCs/>
      <w:kern w:val="2"/>
      <w:sz w:val="28"/>
      <w:szCs w:val="28"/>
      <w:lang w:val="en-US" w:eastAsia="zh-CN" w:bidi="ar-SA"/>
    </w:rPr>
  </w:style>
  <w:style w:type="character" w:customStyle="1" w:styleId="CharChar1">
    <w:name w:val="Char Char1"/>
    <w:qFormat/>
    <w:rPr>
      <w:rFonts w:ascii="宋体" w:eastAsia="宋体" w:hAnsi="Courier New"/>
      <w:kern w:val="2"/>
      <w:sz w:val="21"/>
      <w:szCs w:val="21"/>
      <w:lang w:val="en-US" w:eastAsia="zh-CN" w:bidi="ar-SA"/>
    </w:rPr>
  </w:style>
  <w:style w:type="character" w:customStyle="1" w:styleId="1CharChar">
    <w:name w:val="标题 1 Char Char"/>
    <w:basedOn w:val="DefaultParagraphFont"/>
    <w:qFormat/>
    <w:rPr>
      <w:rFonts w:ascii="仿宋_GB2312" w:eastAsia="仿宋_GB2312"/>
      <w:b/>
      <w:kern w:val="2"/>
      <w:sz w:val="36"/>
      <w:szCs w:val="44"/>
      <w:lang w:val="en-US" w:eastAsia="zh-CN" w:bidi="ar-SA"/>
    </w:rPr>
  </w:style>
  <w:style w:type="character" w:customStyle="1" w:styleId="ca-0">
    <w:name w:val="ca-0"/>
    <w:basedOn w:val="DefaultParagraphFont"/>
    <w:qFormat/>
  </w:style>
  <w:style w:type="character" w:customStyle="1" w:styleId="20110806Char">
    <w:name w:val="正文20110806 Char"/>
    <w:link w:val="20110806"/>
    <w:qFormat/>
    <w:rPr>
      <w:rFonts w:ascii="Times New Roman" w:eastAsia="仿宋_GB2312" w:hAnsi="Times New Roman"/>
      <w:color w:val="000000"/>
      <w:kern w:val="28"/>
      <w:sz w:val="24"/>
      <w:u w:color="000000"/>
      <w:lang w:val="en-GB"/>
    </w:rPr>
  </w:style>
  <w:style w:type="paragraph" w:customStyle="1" w:styleId="20110806">
    <w:name w:val="正文20110806"/>
    <w:basedOn w:val="Normal"/>
    <w:next w:val="Normal"/>
    <w:link w:val="20110806Char"/>
    <w:qFormat/>
    <w:pPr>
      <w:adjustRightInd/>
      <w:snapToGrid/>
    </w:pPr>
    <w:rPr>
      <w:rFonts w:eastAsia="仿宋_GB2312"/>
      <w:color w:val="000000"/>
      <w:kern w:val="28"/>
      <w:u w:color="000000"/>
      <w:lang w:val="en-GB"/>
    </w:rPr>
  </w:style>
  <w:style w:type="character" w:customStyle="1" w:styleId="CharChar6">
    <w:name w:val="Char Char6"/>
    <w:basedOn w:val="DefaultParagraphFont"/>
    <w:qFormat/>
    <w:locked/>
    <w:rPr>
      <w:rFonts w:ascii="宋体" w:eastAsia="宋体" w:hAnsi="宋体"/>
      <w:kern w:val="2"/>
      <w:sz w:val="28"/>
      <w:szCs w:val="28"/>
      <w:lang w:val="en-US" w:eastAsia="zh-CN" w:bidi="ar-SA"/>
    </w:rPr>
  </w:style>
  <w:style w:type="character" w:customStyle="1" w:styleId="05">
    <w:name w:val="字紧0.5"/>
    <w:basedOn w:val="DefaultParagraphFont"/>
    <w:qFormat/>
    <w:rPr>
      <w:rFonts w:ascii="宋体" w:eastAsia="宋体" w:hAnsi="宋体"/>
      <w:snapToGrid w:val="0"/>
      <w:spacing w:val="-10"/>
      <w:sz w:val="28"/>
      <w:szCs w:val="28"/>
      <w:lang w:val="en-US" w:eastAsia="zh-CN" w:bidi="ar-SA"/>
    </w:rPr>
  </w:style>
  <w:style w:type="character" w:customStyle="1" w:styleId="CharChar12">
    <w:name w:val="Char Char12"/>
    <w:basedOn w:val="DefaultParagraphFont"/>
    <w:qFormat/>
    <w:locked/>
    <w:rPr>
      <w:rFonts w:ascii="宋体" w:eastAsia="宋体" w:hAnsi="宋体"/>
      <w:kern w:val="2"/>
      <w:sz w:val="21"/>
      <w:szCs w:val="24"/>
      <w:lang w:val="en-US" w:eastAsia="zh-CN" w:bidi="ar-SA"/>
    </w:rPr>
  </w:style>
  <w:style w:type="character" w:customStyle="1" w:styleId="Char29">
    <w:name w:val="日期 Char"/>
    <w:link w:val="Date"/>
    <w:qFormat/>
    <w:rPr>
      <w:rFonts w:ascii="Times New Roman" w:eastAsia="宋体" w:hAnsi="Times New Roman" w:cs="Times New Roman"/>
      <w:sz w:val="30"/>
      <w:szCs w:val="20"/>
    </w:rPr>
  </w:style>
  <w:style w:type="character" w:customStyle="1" w:styleId="CharCharChar5">
    <w:name w:val="Char Char Char5"/>
    <w:basedOn w:val="DefaultParagraphFont"/>
    <w:qFormat/>
    <w:rPr>
      <w:rFonts w:ascii="Arial" w:eastAsia="黑体" w:hAnsi="Arial"/>
      <w:b/>
      <w:kern w:val="2"/>
      <w:sz w:val="32"/>
      <w:lang w:val="en-US" w:eastAsia="zh-CN" w:bidi="ar-SA"/>
    </w:rPr>
  </w:style>
  <w:style w:type="character" w:customStyle="1" w:styleId="Char112">
    <w:name w:val="正文文本 Char1"/>
    <w:qFormat/>
    <w:rPr>
      <w:rFonts w:ascii="Times New Roman" w:eastAsia="宋体" w:hAnsi="Times New Roman" w:cs="Times New Roman"/>
      <w:sz w:val="24"/>
      <w:szCs w:val="20"/>
    </w:rPr>
  </w:style>
  <w:style w:type="character" w:customStyle="1" w:styleId="textindent">
    <w:name w:val="textindent"/>
    <w:basedOn w:val="DefaultParagraphFont"/>
    <w:qFormat/>
  </w:style>
  <w:style w:type="character" w:customStyle="1" w:styleId="16">
    <w:name w:val="书籍标题1"/>
    <w:uiPriority w:val="33"/>
    <w:qFormat/>
    <w:rPr>
      <w:b/>
      <w:bCs/>
      <w:smallCaps/>
      <w:spacing w:val="5"/>
    </w:rPr>
  </w:style>
  <w:style w:type="character" w:customStyle="1" w:styleId="28Char">
    <w:name w:val="文本一号样式 宋体 四号 行距: 固定值 28 磅 Char"/>
    <w:basedOn w:val="DefaultParagraphFont"/>
    <w:link w:val="28"/>
    <w:qFormat/>
    <w:locked/>
    <w:rPr>
      <w:rFonts w:ascii="宋体" w:eastAsia="宋体" w:hAnsi="宋体" w:cs="宋体"/>
      <w:kern w:val="2"/>
      <w:sz w:val="28"/>
      <w:szCs w:val="28"/>
      <w:lang w:val="en-US" w:eastAsia="zh-CN" w:bidi="ar-SA"/>
    </w:rPr>
  </w:style>
  <w:style w:type="paragraph" w:customStyle="1" w:styleId="28">
    <w:name w:val="文本一号样式 宋体 四号 行距: 固定值 28 磅"/>
    <w:basedOn w:val="Normal"/>
    <w:link w:val="28Char"/>
    <w:qFormat/>
    <w:pPr>
      <w:adjustRightInd/>
      <w:snapToGrid/>
      <w:spacing w:line="560" w:lineRule="exact"/>
      <w:ind w:firstLine="521" w:firstLineChars="186"/>
      <w:jc w:val="center"/>
    </w:pPr>
    <w:rPr>
      <w:rFonts w:ascii="宋体" w:hAnsi="宋体" w:cs="宋体"/>
      <w:sz w:val="28"/>
      <w:szCs w:val="28"/>
    </w:rPr>
  </w:style>
  <w:style w:type="character" w:customStyle="1" w:styleId="answerref">
    <w:name w:val="answerref"/>
    <w:basedOn w:val="DefaultParagraphFont"/>
    <w:qFormat/>
  </w:style>
  <w:style w:type="character" w:customStyle="1" w:styleId="CharChar3">
    <w:name w:val="Char Char3"/>
    <w:basedOn w:val="DefaultParagraphFont"/>
    <w:qFormat/>
    <w:locked/>
    <w:rPr>
      <w:rFonts w:ascii="仿宋_GB2312" w:eastAsia="仿宋_GB2312"/>
      <w:kern w:val="2"/>
      <w:sz w:val="16"/>
      <w:szCs w:val="16"/>
      <w:lang w:val="en-US" w:eastAsia="zh-CN" w:bidi="ar-SA"/>
    </w:rPr>
  </w:style>
  <w:style w:type="character" w:customStyle="1" w:styleId="CharChar23">
    <w:name w:val="Char Char23"/>
    <w:qFormat/>
    <w:rPr>
      <w:rFonts w:ascii="宋体" w:eastAsia="宋体" w:hAnsi="宋体" w:hint="eastAsia"/>
      <w:b/>
      <w:kern w:val="2"/>
      <w:sz w:val="32"/>
      <w:lang w:val="en-US" w:eastAsia="zh-CN"/>
    </w:rPr>
  </w:style>
  <w:style w:type="character" w:customStyle="1" w:styleId="CharChar13">
    <w:name w:val="Char Char13"/>
    <w:basedOn w:val="DefaultParagraphFont"/>
    <w:qFormat/>
    <w:locked/>
    <w:rPr>
      <w:rFonts w:ascii="仿宋_GB2312" w:eastAsia="仿宋_GB2312"/>
      <w:kern w:val="2"/>
      <w:sz w:val="18"/>
      <w:szCs w:val="18"/>
      <w:lang w:val="en-US" w:eastAsia="zh-CN" w:bidi="ar-SA"/>
    </w:rPr>
  </w:style>
  <w:style w:type="character" w:customStyle="1" w:styleId="a12">
    <w:name w:val="发布"/>
    <w:basedOn w:val="DefaultParagraphFont"/>
    <w:qFormat/>
    <w:rPr>
      <w:rFonts w:ascii="黑体" w:eastAsia="黑体"/>
      <w:spacing w:val="22"/>
      <w:w w:val="100"/>
      <w:position w:val="3"/>
      <w:sz w:val="28"/>
    </w:rPr>
  </w:style>
  <w:style w:type="character" w:customStyle="1" w:styleId="font61">
    <w:name w:val="font61"/>
    <w:basedOn w:val="DefaultParagraphFont"/>
    <w:qFormat/>
    <w:rPr>
      <w:rFonts w:ascii="Times New Roman" w:hAnsi="Times New Roman" w:hint="default"/>
      <w:color w:val="000000"/>
      <w:sz w:val="20"/>
      <w:u w:val="none"/>
      <w:vertAlign w:val="subscript"/>
    </w:rPr>
  </w:style>
  <w:style w:type="character" w:customStyle="1" w:styleId="CharChar10">
    <w:name w:val="Char Char10"/>
    <w:qFormat/>
    <w:rPr>
      <w:rFonts w:ascii="宋体" w:eastAsia="宋体" w:hAnsi="宋体"/>
      <w:kern w:val="2"/>
      <w:sz w:val="21"/>
      <w:lang w:val="en-US" w:eastAsia="zh-CN"/>
    </w:rPr>
  </w:style>
  <w:style w:type="character" w:customStyle="1" w:styleId="CharChar11">
    <w:name w:val="Char Char11"/>
    <w:basedOn w:val="DefaultParagraphFont"/>
    <w:qFormat/>
    <w:locked/>
    <w:rPr>
      <w:rFonts w:ascii="宋体" w:eastAsia="宋体" w:hAnsi="宋体"/>
      <w:i/>
      <w:iCs/>
      <w:kern w:val="2"/>
      <w:sz w:val="28"/>
      <w:szCs w:val="28"/>
      <w:lang w:val="en-US" w:eastAsia="zh-CN" w:bidi="ar-SA"/>
    </w:rPr>
  </w:style>
  <w:style w:type="character" w:customStyle="1" w:styleId="CharChar5">
    <w:name w:val="Char Char5"/>
    <w:qFormat/>
    <w:rPr>
      <w:rFonts w:eastAsia="宋体"/>
      <w:kern w:val="2"/>
      <w:sz w:val="18"/>
      <w:szCs w:val="18"/>
      <w:lang w:val="en-US" w:eastAsia="zh-CN" w:bidi="ar-SA"/>
    </w:rPr>
  </w:style>
  <w:style w:type="character" w:customStyle="1" w:styleId="Char30">
    <w:name w:val="附表 Char"/>
    <w:basedOn w:val="DefaultParagraphFont"/>
    <w:link w:val="a13"/>
    <w:qFormat/>
    <w:rPr>
      <w:rFonts w:eastAsia="宋体"/>
      <w:b/>
      <w:kern w:val="2"/>
      <w:sz w:val="28"/>
      <w:lang w:val="en-US" w:eastAsia="zh-CN" w:bidi="ar-SA"/>
    </w:rPr>
  </w:style>
  <w:style w:type="paragraph" w:customStyle="1" w:styleId="a13">
    <w:name w:val="附表"/>
    <w:basedOn w:val="Normal"/>
    <w:next w:val="Normal"/>
    <w:link w:val="Char30"/>
    <w:qFormat/>
    <w:pPr>
      <w:adjustRightInd/>
      <w:snapToGrid/>
      <w:spacing w:beforeLines="50" w:afterLines="50" w:line="240" w:lineRule="auto"/>
      <w:ind w:firstLine="0" w:firstLineChars="0"/>
      <w:jc w:val="center"/>
    </w:pPr>
    <w:rPr>
      <w:b/>
      <w:sz w:val="28"/>
    </w:rPr>
  </w:style>
  <w:style w:type="character" w:customStyle="1" w:styleId="Char31">
    <w:name w:val="明显引用 Char"/>
    <w:link w:val="IntenseQuote"/>
    <w:uiPriority w:val="30"/>
    <w:qFormat/>
    <w:rPr>
      <w:b/>
      <w:bCs/>
      <w:i/>
      <w:iCs/>
      <w:color w:val="2DA2BF"/>
    </w:rPr>
  </w:style>
  <w:style w:type="paragraph" w:styleId="IntenseQuote">
    <w:name w:val="Intense Quote"/>
    <w:basedOn w:val="Normal"/>
    <w:next w:val="Normal"/>
    <w:link w:val="Char31"/>
    <w:uiPriority w:val="30"/>
    <w:qFormat/>
    <w:pPr>
      <w:widowControl/>
      <w:pBdr>
        <w:bottom w:val="single" w:sz="4" w:space="4" w:color="2DA2BF"/>
      </w:pBdr>
      <w:adjustRightInd/>
      <w:snapToGrid/>
      <w:spacing w:before="200" w:after="280" w:line="276" w:lineRule="auto"/>
      <w:ind w:left="936" w:right="936" w:firstLine="0" w:firstLineChars="0"/>
      <w:jc w:val="left"/>
    </w:pPr>
    <w:rPr>
      <w:rFonts w:ascii="Calibri" w:hAnsi="Calibri"/>
      <w:b/>
      <w:bCs/>
      <w:i/>
      <w:iCs/>
      <w:color w:val="2DA2BF"/>
      <w:kern w:val="0"/>
      <w:sz w:val="20"/>
    </w:rPr>
  </w:style>
  <w:style w:type="character" w:customStyle="1" w:styleId="-Char">
    <w:name w:val="表格内容-居中 Char"/>
    <w:basedOn w:val="DefaultParagraphFont"/>
    <w:link w:val="-"/>
    <w:qFormat/>
    <w:rPr>
      <w:rFonts w:eastAsia="宋体"/>
      <w:color w:val="000000"/>
      <w:sz w:val="21"/>
      <w:szCs w:val="21"/>
      <w:lang w:val="zh-CN" w:eastAsia="zh-CN" w:bidi="ar-SA"/>
    </w:rPr>
  </w:style>
  <w:style w:type="paragraph" w:customStyle="1" w:styleId="-">
    <w:name w:val="表格内容-居中"/>
    <w:basedOn w:val="Normal"/>
    <w:link w:val="-Char"/>
    <w:qFormat/>
    <w:pPr>
      <w:adjustRightInd/>
      <w:snapToGrid/>
      <w:spacing w:line="240" w:lineRule="auto"/>
      <w:ind w:firstLine="29" w:firstLineChars="14"/>
      <w:jc w:val="left"/>
    </w:pPr>
    <w:rPr>
      <w:color w:val="000000"/>
      <w:kern w:val="0"/>
      <w:sz w:val="21"/>
      <w:szCs w:val="21"/>
      <w:lang w:val="zh-CN"/>
    </w:rPr>
  </w:style>
  <w:style w:type="character" w:customStyle="1" w:styleId="5Char0">
    <w:name w:val="！正文ａｌｔ＋5 Char"/>
    <w:basedOn w:val="DefaultParagraphFont"/>
    <w:link w:val="5"/>
    <w:qFormat/>
    <w:rPr>
      <w:rFonts w:ascii="仿宋_GB2312" w:eastAsia="仿宋_GB2312"/>
      <w:kern w:val="2"/>
      <w:sz w:val="28"/>
      <w:szCs w:val="28"/>
      <w:lang w:val="en-US" w:eastAsia="zh-CN" w:bidi="ar-SA"/>
    </w:rPr>
  </w:style>
  <w:style w:type="paragraph" w:customStyle="1" w:styleId="5">
    <w:name w:val="！正文ａｌｔ＋5"/>
    <w:basedOn w:val="Normal"/>
    <w:link w:val="5Char0"/>
    <w:qFormat/>
    <w:pPr>
      <w:snapToGrid/>
      <w:spacing w:line="560" w:lineRule="exact"/>
      <w:ind w:firstLine="560"/>
      <w:jc w:val="left"/>
    </w:pPr>
    <w:rPr>
      <w:rFonts w:ascii="仿宋_GB2312" w:eastAsia="仿宋_GB2312"/>
      <w:sz w:val="28"/>
      <w:szCs w:val="28"/>
    </w:rPr>
  </w:style>
  <w:style w:type="character" w:customStyle="1" w:styleId="2Char11">
    <w:name w:val="标题 2 Char1"/>
    <w:qFormat/>
    <w:rPr>
      <w:rFonts w:ascii="Arial" w:eastAsia="黑体" w:hAnsi="Arial"/>
      <w:b/>
      <w:kern w:val="2"/>
      <w:sz w:val="32"/>
    </w:rPr>
  </w:style>
  <w:style w:type="character" w:customStyle="1" w:styleId="Char113">
    <w:name w:val="明显引用 Char1"/>
    <w:uiPriority w:val="30"/>
    <w:qFormat/>
    <w:rPr>
      <w:rFonts w:ascii="Times New Roman" w:hAnsi="Times New Roman"/>
      <w:b/>
      <w:bCs/>
      <w:i/>
      <w:iCs/>
      <w:color w:val="4F81BD"/>
      <w:kern w:val="2"/>
      <w:sz w:val="24"/>
    </w:rPr>
  </w:style>
  <w:style w:type="character" w:customStyle="1" w:styleId="Char32">
    <w:name w:val="引用 Char"/>
    <w:link w:val="Quote"/>
    <w:uiPriority w:val="29"/>
    <w:qFormat/>
    <w:rPr>
      <w:i/>
      <w:iCs/>
      <w:color w:val="000000"/>
    </w:rPr>
  </w:style>
  <w:style w:type="paragraph" w:styleId="Quote">
    <w:name w:val="Quote"/>
    <w:basedOn w:val="Normal"/>
    <w:next w:val="Normal"/>
    <w:link w:val="Char32"/>
    <w:uiPriority w:val="29"/>
    <w:qFormat/>
    <w:pPr>
      <w:widowControl/>
      <w:adjustRightInd/>
      <w:snapToGrid/>
      <w:spacing w:after="200" w:line="276" w:lineRule="auto"/>
      <w:ind w:firstLine="0" w:firstLineChars="0"/>
      <w:jc w:val="left"/>
    </w:pPr>
    <w:rPr>
      <w:rFonts w:ascii="Calibri" w:hAnsi="Calibri"/>
      <w:i/>
      <w:iCs/>
      <w:color w:val="000000"/>
      <w:kern w:val="0"/>
      <w:sz w:val="20"/>
    </w:rPr>
  </w:style>
  <w:style w:type="character" w:customStyle="1" w:styleId="Char33">
    <w:name w:val="文档结构图 Char"/>
    <w:link w:val="DocumentMap"/>
    <w:qFormat/>
    <w:rPr>
      <w:rFonts w:ascii="Times New Roman" w:eastAsia="宋体" w:hAnsi="Times New Roman" w:cs="Times New Roman"/>
      <w:sz w:val="30"/>
      <w:szCs w:val="20"/>
      <w:shd w:val="clear" w:color="auto" w:fill="000080"/>
    </w:rPr>
  </w:style>
  <w:style w:type="character" w:customStyle="1" w:styleId="5Char1">
    <w:name w:val="样式5 Char"/>
    <w:link w:val="50"/>
    <w:qFormat/>
    <w:rPr>
      <w:rFonts w:ascii="Times New Roman" w:eastAsia="宋体" w:hAnsi="Times New Roman"/>
      <w:kern w:val="2"/>
      <w:sz w:val="18"/>
      <w:szCs w:val="18"/>
      <w:lang w:val="en-US" w:eastAsia="zh-CN" w:bidi="ar-SA"/>
    </w:rPr>
  </w:style>
  <w:style w:type="paragraph" w:customStyle="1" w:styleId="50">
    <w:name w:val="样式5"/>
    <w:basedOn w:val="Header"/>
    <w:link w:val="5Char1"/>
    <w:qFormat/>
    <w:pPr>
      <w:ind w:firstLine="360"/>
    </w:pPr>
    <w:rPr>
      <w:rFonts w:ascii="Times New Roman" w:hAnsi="Times New Roman"/>
    </w:rPr>
  </w:style>
  <w:style w:type="character" w:customStyle="1" w:styleId="2Char20">
    <w:name w:val="标题 2 Char2"/>
    <w:qFormat/>
    <w:rPr>
      <w:rFonts w:ascii="Arial" w:eastAsia="黑体" w:hAnsi="Arial"/>
      <w:b/>
      <w:kern w:val="2"/>
      <w:sz w:val="30"/>
      <w:lang w:val="en-US" w:eastAsia="zh-CN"/>
    </w:rPr>
  </w:style>
  <w:style w:type="character" w:customStyle="1" w:styleId="Char34">
    <w:name w:val="批注框文本 Char"/>
    <w:link w:val="BalloonText"/>
    <w:qFormat/>
    <w:rPr>
      <w:rFonts w:ascii="Times New Roman" w:eastAsia="宋体" w:hAnsi="Times New Roman" w:cs="Times New Roman"/>
      <w:sz w:val="18"/>
      <w:szCs w:val="18"/>
    </w:rPr>
  </w:style>
  <w:style w:type="character" w:customStyle="1" w:styleId="Char114">
    <w:name w:val="引用 Char1"/>
    <w:uiPriority w:val="29"/>
    <w:qFormat/>
    <w:rPr>
      <w:rFonts w:ascii="Times New Roman" w:hAnsi="Times New Roman"/>
      <w:i/>
      <w:iCs/>
      <w:color w:val="000000"/>
      <w:kern w:val="2"/>
      <w:sz w:val="24"/>
    </w:rPr>
  </w:style>
  <w:style w:type="character" w:customStyle="1" w:styleId="Char115">
    <w:name w:val="标题 Char1"/>
    <w:uiPriority w:val="10"/>
    <w:qFormat/>
    <w:rPr>
      <w:rFonts w:ascii="Cambria" w:hAnsi="Cambria" w:cs="Times New Roman"/>
      <w:b/>
      <w:bCs/>
      <w:kern w:val="2"/>
      <w:sz w:val="32"/>
      <w:szCs w:val="32"/>
    </w:rPr>
  </w:style>
  <w:style w:type="character" w:customStyle="1" w:styleId="Char35">
    <w:name w:val="签名 Char"/>
    <w:link w:val="Signature"/>
    <w:qFormat/>
    <w:rPr>
      <w:rFonts w:ascii="Times New Roman" w:eastAsia="宋体" w:hAnsi="Times New Roman" w:cs="Times New Roman"/>
      <w:szCs w:val="24"/>
    </w:rPr>
  </w:style>
  <w:style w:type="character" w:customStyle="1" w:styleId="5Char10">
    <w:name w:val="样式5 Char1"/>
    <w:qFormat/>
    <w:rPr>
      <w:rFonts w:ascii="宋体" w:eastAsia="宋体" w:hAnsi="宋体"/>
      <w:kern w:val="2"/>
      <w:sz w:val="24"/>
      <w:lang w:val="en-US" w:eastAsia="zh-CN" w:bidi="ar-SA"/>
    </w:rPr>
  </w:style>
  <w:style w:type="character" w:customStyle="1" w:styleId="17">
    <w:name w:val="不明显参考1"/>
    <w:uiPriority w:val="31"/>
    <w:qFormat/>
    <w:rPr>
      <w:smallCaps/>
      <w:color w:val="DA1F28"/>
      <w:u w:val="single"/>
    </w:rPr>
  </w:style>
  <w:style w:type="character" w:customStyle="1" w:styleId="HTMLChar">
    <w:name w:val="HTML 地址 Char"/>
    <w:link w:val="HTMLAddress"/>
    <w:qFormat/>
    <w:rPr>
      <w:kern w:val="2"/>
      <w:sz w:val="21"/>
    </w:rPr>
  </w:style>
  <w:style w:type="character" w:customStyle="1" w:styleId="text2">
    <w:name w:val="text2"/>
    <w:basedOn w:val="DefaultParagraphFont"/>
    <w:qFormat/>
    <w:rPr>
      <w:color w:val="000000"/>
      <w:sz w:val="18"/>
      <w:szCs w:val="18"/>
    </w:rPr>
  </w:style>
  <w:style w:type="character" w:customStyle="1" w:styleId="CharChar15">
    <w:name w:val="Char Char15"/>
    <w:qFormat/>
    <w:locked/>
    <w:rPr>
      <w:rFonts w:ascii="Arial" w:eastAsia="黑体" w:hAnsi="Arial"/>
      <w:kern w:val="2"/>
      <w:sz w:val="21"/>
      <w:szCs w:val="21"/>
      <w:lang w:val="en-US" w:eastAsia="zh-CN" w:bidi="ar-SA"/>
    </w:rPr>
  </w:style>
  <w:style w:type="character" w:customStyle="1" w:styleId="CharChar8">
    <w:name w:val="Char Char8"/>
    <w:basedOn w:val="DefaultParagraphFont"/>
    <w:qFormat/>
    <w:locked/>
    <w:rPr>
      <w:rFonts w:ascii="宋体" w:eastAsia="宋体" w:hAnsi="宋体"/>
      <w:kern w:val="2"/>
      <w:sz w:val="28"/>
      <w:szCs w:val="28"/>
      <w:lang w:val="en-US" w:eastAsia="zh-CN" w:bidi="ar-SA"/>
    </w:rPr>
  </w:style>
  <w:style w:type="character" w:customStyle="1" w:styleId="font31">
    <w:name w:val="font31"/>
    <w:basedOn w:val="DefaultParagraphFont"/>
    <w:qFormat/>
    <w:rPr>
      <w:rFonts w:ascii="Times New Roman" w:hAnsi="Times New Roman" w:hint="default"/>
      <w:color w:val="000000"/>
      <w:sz w:val="20"/>
      <w:u w:val="none"/>
    </w:rPr>
  </w:style>
  <w:style w:type="character" w:customStyle="1" w:styleId="CharCharChar51">
    <w:name w:val="Char Char Char51"/>
    <w:basedOn w:val="DefaultParagraphFont"/>
    <w:qFormat/>
    <w:rPr>
      <w:rFonts w:ascii="Arial" w:eastAsia="黑体" w:hAnsi="Arial" w:cs="Arial" w:hint="default"/>
      <w:b/>
      <w:kern w:val="2"/>
      <w:sz w:val="32"/>
      <w:lang w:val="en-US" w:eastAsia="zh-CN" w:bidi="ar-SA"/>
    </w:rPr>
  </w:style>
  <w:style w:type="character" w:customStyle="1" w:styleId="CharChar241">
    <w:name w:val="Char Char241"/>
    <w:qFormat/>
    <w:rPr>
      <w:rFonts w:ascii="Arial" w:eastAsia="黑体" w:hAnsi="Arial" w:cs="Arial" w:hint="default"/>
      <w:b/>
      <w:kern w:val="2"/>
      <w:sz w:val="30"/>
      <w:lang w:val="en-US" w:eastAsia="zh-CN"/>
    </w:rPr>
  </w:style>
  <w:style w:type="character" w:customStyle="1" w:styleId="5CharChar">
    <w:name w:val="样式5 Char Char"/>
    <w:basedOn w:val="DefaultParagraphFont"/>
    <w:qFormat/>
    <w:rPr>
      <w:rFonts w:eastAsia="宋体"/>
      <w:kern w:val="2"/>
      <w:sz w:val="24"/>
      <w:szCs w:val="24"/>
      <w:lang w:val="en-US" w:eastAsia="zh-CN" w:bidi="ar-SA"/>
    </w:rPr>
  </w:style>
  <w:style w:type="character" w:customStyle="1" w:styleId="CharChar2">
    <w:name w:val="_正文格式 Char Char"/>
    <w:basedOn w:val="DefaultParagraphFont"/>
    <w:qFormat/>
    <w:rPr>
      <w:rFonts w:eastAsia="仿宋_GB2312"/>
      <w:kern w:val="2"/>
      <w:sz w:val="28"/>
      <w:szCs w:val="24"/>
      <w:lang w:val="en-US" w:eastAsia="zh-CN" w:bidi="ar-SA"/>
    </w:rPr>
  </w:style>
  <w:style w:type="character" w:customStyle="1" w:styleId="5Char2">
    <w:name w:val="陈5 Char"/>
    <w:basedOn w:val="DefaultParagraphFont"/>
    <w:link w:val="51"/>
    <w:qFormat/>
    <w:rPr>
      <w:kern w:val="2"/>
      <w:sz w:val="28"/>
      <w:szCs w:val="24"/>
      <w:lang w:val="en-US" w:eastAsia="zh-CN" w:bidi="ar-SA"/>
    </w:rPr>
  </w:style>
  <w:style w:type="paragraph" w:customStyle="1" w:styleId="51">
    <w:name w:val="陈5"/>
    <w:basedOn w:val="Normal"/>
    <w:link w:val="5Char2"/>
    <w:qFormat/>
    <w:pPr>
      <w:adjustRightInd/>
      <w:snapToGrid/>
      <w:ind w:firstLine="400" w:firstLineChars="400"/>
      <w:jc w:val="left"/>
    </w:pPr>
    <w:rPr>
      <w:rFonts w:eastAsia="Times New Roman"/>
      <w:sz w:val="28"/>
      <w:szCs w:val="24"/>
    </w:rPr>
  </w:style>
  <w:style w:type="character" w:customStyle="1" w:styleId="192Char">
    <w:name w:val="样式 首行缩进:  1.92 字符 Char"/>
    <w:basedOn w:val="DefaultParagraphFont"/>
    <w:link w:val="192"/>
    <w:qFormat/>
    <w:rPr>
      <w:rFonts w:ascii="宋体" w:eastAsia="宋体" w:hAnsi="宋体" w:cs="宋体"/>
      <w:kern w:val="2"/>
      <w:sz w:val="28"/>
      <w:lang w:val="en-US" w:eastAsia="zh-CN" w:bidi="ar-SA"/>
    </w:rPr>
  </w:style>
  <w:style w:type="paragraph" w:customStyle="1" w:styleId="192">
    <w:name w:val="样式 首行缩进:  1.92 字符"/>
    <w:basedOn w:val="Normal"/>
    <w:link w:val="192Char"/>
    <w:qFormat/>
    <w:pPr>
      <w:adjustRightInd/>
      <w:snapToGrid/>
      <w:ind w:firstLine="560"/>
    </w:pPr>
    <w:rPr>
      <w:rFonts w:ascii="宋体" w:hAnsi="宋体" w:cs="宋体"/>
      <w:sz w:val="28"/>
    </w:rPr>
  </w:style>
  <w:style w:type="paragraph" w:customStyle="1" w:styleId="a14">
    <w:name w:val="实施日期"/>
    <w:basedOn w:val="a15"/>
    <w:qFormat/>
    <w:pPr>
      <w:framePr w:hSpace="0" w:wrap="around" w:vAnchor="text" w:hAnchor="text" w:xAlign="right"/>
      <w:jc w:val="right"/>
    </w:pPr>
  </w:style>
  <w:style w:type="paragraph" w:customStyle="1" w:styleId="a15">
    <w:name w:val="发布日期"/>
    <w:qFormat/>
    <w:pPr>
      <w:framePr w:w="4000" w:h="473" w:hRule="exact" w:hSpace="180" w:vSpace="180" w:wrap="around" w:vAnchor="margin" w:hAnchor="margin" w:y="13511" w:anchorLock="1"/>
    </w:pPr>
    <w:rPr>
      <w:rFonts w:ascii="Times New Roman" w:eastAsia="黑体" w:hAnsi="Times New Roman" w:cs="Times New Roman"/>
      <w:sz w:val="28"/>
      <w:lang w:val="en-US" w:eastAsia="zh-CN" w:bidi="ar-SA"/>
    </w:rPr>
  </w:style>
  <w:style w:type="paragraph" w:customStyle="1" w:styleId="150">
    <w:name w:val="样式 四号 行距: 1.5 倍行距"/>
    <w:basedOn w:val="Normal"/>
    <w:qFormat/>
    <w:pPr>
      <w:adjustRightInd/>
      <w:snapToGrid/>
      <w:ind w:firstLine="560"/>
    </w:pPr>
    <w:rPr>
      <w:rFonts w:cs="宋体"/>
      <w:sz w:val="30"/>
    </w:rPr>
  </w:style>
  <w:style w:type="paragraph" w:customStyle="1" w:styleId="a16">
    <w:name w:val="标准书眉一"/>
    <w:qFormat/>
    <w:pPr>
      <w:jc w:val="both"/>
    </w:pPr>
    <w:rPr>
      <w:rFonts w:ascii="Times New Roman" w:eastAsia="宋体" w:hAnsi="Times New Roman" w:cs="Times New Roman"/>
      <w:lang w:val="en-US" w:eastAsia="zh-CN" w:bidi="ar-SA"/>
    </w:rPr>
  </w:style>
  <w:style w:type="paragraph" w:customStyle="1" w:styleId="font7">
    <w:name w:val="font7"/>
    <w:basedOn w:val="Normal"/>
    <w:qFormat/>
    <w:pPr>
      <w:widowControl/>
      <w:adjustRightInd/>
      <w:snapToGrid/>
      <w:spacing w:before="100" w:beforeAutospacing="1" w:after="100" w:afterAutospacing="1"/>
      <w:jc w:val="left"/>
    </w:pPr>
    <w:rPr>
      <w:rFonts w:ascii="Calibri" w:eastAsia="Arial Unicode MS" w:hAnsi="Calibri"/>
      <w:kern w:val="0"/>
      <w:szCs w:val="22"/>
    </w:rPr>
  </w:style>
  <w:style w:type="paragraph" w:customStyle="1" w:styleId="120">
    <w:name w:val="1.2行"/>
    <w:basedOn w:val="070706"/>
    <w:qFormat/>
    <w:pPr>
      <w:adjustRightInd w:val="0"/>
      <w:snapToGrid w:val="0"/>
      <w:spacing w:beforeLines="0" w:line="288" w:lineRule="auto"/>
    </w:pPr>
    <w:rPr>
      <w:b/>
      <w:bCs/>
      <w:snapToGrid w:val="0"/>
      <w:color w:val="000000"/>
    </w:rPr>
  </w:style>
  <w:style w:type="paragraph" w:customStyle="1" w:styleId="070706">
    <w:name w:val="070706正文样式"/>
    <w:basedOn w:val="BodyTextIndent"/>
    <w:qFormat/>
    <w:pPr>
      <w:spacing w:beforeLines="50" w:line="360" w:lineRule="auto"/>
      <w:ind w:firstLine="560" w:firstLineChars="200"/>
    </w:pPr>
    <w:rPr>
      <w:rFonts w:ascii="宋体" w:hAnsi="宋体"/>
      <w:szCs w:val="28"/>
    </w:rPr>
  </w:style>
  <w:style w:type="paragraph" w:customStyle="1" w:styleId="CharCharCharChar">
    <w:name w:val="Char Char Char Char"/>
    <w:basedOn w:val="Normal"/>
    <w:qFormat/>
    <w:pPr>
      <w:adjustRightInd/>
      <w:snapToGrid/>
      <w:spacing w:line="240" w:lineRule="auto"/>
      <w:ind w:firstLine="0" w:firstLineChars="0"/>
    </w:pPr>
    <w:rPr>
      <w:sz w:val="21"/>
      <w:szCs w:val="24"/>
    </w:rPr>
  </w:style>
  <w:style w:type="paragraph" w:customStyle="1" w:styleId="Char116">
    <w:name w:val="Char1"/>
    <w:basedOn w:val="Normal"/>
    <w:qFormat/>
    <w:pPr>
      <w:adjustRightInd/>
      <w:snapToGrid/>
      <w:spacing w:line="240" w:lineRule="auto"/>
      <w:ind w:firstLine="0" w:firstLineChars="0"/>
    </w:pPr>
    <w:rPr>
      <w:sz w:val="21"/>
      <w:szCs w:val="24"/>
    </w:rPr>
  </w:style>
  <w:style w:type="paragraph" w:customStyle="1" w:styleId="18">
    <w:name w:val="正文文本缩进1"/>
    <w:qFormat/>
    <w:pPr>
      <w:spacing w:line="360" w:lineRule="auto"/>
      <w:jc w:val="both"/>
    </w:pPr>
    <w:rPr>
      <w:rFonts w:ascii="Times New Roman" w:eastAsia="宋体" w:hAnsi="Times New Roman" w:cs="Times New Roman"/>
      <w:kern w:val="2"/>
      <w:sz w:val="28"/>
      <w:lang w:val="en-US" w:eastAsia="zh-CN" w:bidi="ar-SA"/>
    </w:rPr>
  </w:style>
  <w:style w:type="paragraph" w:customStyle="1" w:styleId="a17">
    <w:name w:val="表"/>
    <w:basedOn w:val="Normal"/>
    <w:qFormat/>
    <w:pPr>
      <w:adjustRightInd/>
      <w:snapToGrid/>
      <w:spacing w:line="240" w:lineRule="auto"/>
      <w:ind w:firstLine="0" w:firstLineChars="0"/>
      <w:jc w:val="center"/>
    </w:pPr>
    <w:rPr>
      <w:rFonts w:eastAsia="仿宋_GB2312"/>
      <w:szCs w:val="24"/>
    </w:rPr>
  </w:style>
  <w:style w:type="paragraph" w:customStyle="1" w:styleId="xl67">
    <w:name w:val="xl67"/>
    <w:basedOn w:val="Normal"/>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0" w:firstLineChars="0"/>
      <w:jc w:val="center"/>
      <w:textAlignment w:val="center"/>
    </w:pPr>
    <w:rPr>
      <w:color w:val="FF0000"/>
      <w:kern w:val="0"/>
      <w:sz w:val="21"/>
      <w:szCs w:val="21"/>
    </w:rPr>
  </w:style>
  <w:style w:type="paragraph" w:customStyle="1" w:styleId="3111BSH-326">
    <w:name w:val="样式 标题 3条标题1.1.1BSH-3 + (中文) 黑体 玫瑰红 首行缩进:  2 字符 段前: 6 磅 段后:..."/>
    <w:basedOn w:val="Heading3"/>
    <w:qFormat/>
    <w:pPr>
      <w:adjustRightInd/>
      <w:snapToGrid/>
      <w:spacing w:line="560" w:lineRule="exact"/>
      <w:ind w:firstLine="0" w:firstLineChars="0"/>
    </w:pPr>
    <w:rPr>
      <w:rFonts w:eastAsia="黑体" w:cs="宋体"/>
      <w:b w:val="0"/>
      <w:bCs w:val="0"/>
      <w:color w:val="FF99CC"/>
      <w:sz w:val="30"/>
      <w:szCs w:val="30"/>
    </w:rPr>
  </w:style>
  <w:style w:type="paragraph" w:customStyle="1" w:styleId="42">
    <w:name w:val="样式 样式4 + 段后: 2 行"/>
    <w:basedOn w:val="Normal"/>
    <w:qFormat/>
    <w:pPr>
      <w:keepNext/>
      <w:keepLines/>
      <w:adjustRightInd/>
      <w:spacing w:line="560" w:lineRule="exact"/>
      <w:jc w:val="left"/>
      <w:outlineLvl w:val="1"/>
    </w:pPr>
    <w:rPr>
      <w:rFonts w:ascii="仿宋_GB2312" w:eastAsia="仿宋_GB2312" w:hAnsi="仿宋_GB2312" w:cs="宋体"/>
      <w:b/>
      <w:bCs/>
      <w:color w:val="000000"/>
      <w:spacing w:val="6"/>
      <w:sz w:val="28"/>
    </w:rPr>
  </w:style>
  <w:style w:type="paragraph" w:customStyle="1" w:styleId="1522">
    <w:name w:val="样式 样式 样式 (符号) 宋体 四号 行距: 1.5 倍行距 + 首行缩进:  2 字符 + 首行缩进:  2 字符"/>
    <w:basedOn w:val="152"/>
    <w:qFormat/>
    <w:pPr>
      <w:ind w:firstLine="560"/>
    </w:pPr>
  </w:style>
  <w:style w:type="paragraph" w:customStyle="1" w:styleId="CharCharChar1CharCharCharChar">
    <w:name w:val="Char Char Char1 Char Char Char Char"/>
    <w:basedOn w:val="Normal"/>
    <w:qFormat/>
    <w:pPr>
      <w:adjustRightInd/>
      <w:snapToGrid/>
      <w:spacing w:line="240" w:lineRule="auto"/>
      <w:ind w:firstLine="0" w:firstLineChars="0"/>
    </w:pPr>
    <w:rPr>
      <w:sz w:val="21"/>
    </w:rPr>
  </w:style>
  <w:style w:type="paragraph" w:customStyle="1" w:styleId="a18">
    <w:name w:val="表格（天泰）"/>
    <w:next w:val="Normal"/>
    <w:qFormat/>
    <w:pPr>
      <w:jc w:val="center"/>
    </w:pPr>
    <w:rPr>
      <w:rFonts w:ascii="Times New Roman" w:eastAsia="宋体" w:hAnsi="Times New Roman" w:cs="Times New Roman"/>
      <w:kern w:val="2"/>
      <w:sz w:val="21"/>
      <w:lang w:val="en-US" w:eastAsia="zh-CN" w:bidi="ar-SA"/>
    </w:rPr>
  </w:style>
  <w:style w:type="paragraph" w:customStyle="1" w:styleId="070707">
    <w:name w:val="070707正文样式"/>
    <w:basedOn w:val="BodyTextIndent3"/>
    <w:qFormat/>
    <w:pPr>
      <w:adjustRightInd w:val="0"/>
      <w:spacing w:line="360" w:lineRule="auto"/>
      <w:ind w:firstLine="560" w:firstLineChars="200"/>
      <w:jc w:val="left"/>
    </w:pPr>
    <w:rPr>
      <w:rFonts w:hAnsi="Times New Roman"/>
      <w:color w:val="000000"/>
      <w:szCs w:val="28"/>
    </w:rPr>
  </w:style>
  <w:style w:type="paragraph" w:customStyle="1" w:styleId="xl27">
    <w:name w:val="xl27"/>
    <w:basedOn w:val="Normal"/>
    <w:qFormat/>
    <w:pPr>
      <w:widowControl/>
      <w:pBdr>
        <w:left w:val="single" w:sz="4" w:space="0" w:color="auto"/>
        <w:bottom w:val="single" w:sz="4" w:space="0" w:color="auto"/>
        <w:right w:val="single" w:sz="4" w:space="0" w:color="auto"/>
      </w:pBdr>
      <w:adjustRightInd/>
      <w:snapToGrid/>
      <w:spacing w:before="100" w:beforeAutospacing="1" w:after="100" w:afterAutospacing="1"/>
      <w:jc w:val="center"/>
    </w:pPr>
    <w:rPr>
      <w:rFonts w:ascii="Arial Unicode MS" w:eastAsia="Arial Unicode MS" w:hAnsi="Arial Unicode MS"/>
      <w:kern w:val="0"/>
      <w:sz w:val="20"/>
      <w:szCs w:val="22"/>
    </w:rPr>
  </w:style>
  <w:style w:type="paragraph" w:customStyle="1" w:styleId="a19">
    <w:name w:val="表标题"/>
    <w:basedOn w:val="Normal"/>
    <w:qFormat/>
    <w:pPr>
      <w:adjustRightInd/>
      <w:snapToGrid/>
      <w:spacing w:line="240" w:lineRule="auto"/>
      <w:ind w:firstLine="0" w:firstLineChars="0"/>
      <w:jc w:val="center"/>
    </w:pPr>
    <w:rPr>
      <w:b/>
      <w:szCs w:val="24"/>
    </w:rPr>
  </w:style>
  <w:style w:type="paragraph" w:customStyle="1" w:styleId="xl44">
    <w:name w:val="xl44"/>
    <w:basedOn w:val="Normal"/>
    <w:qFormat/>
    <w:pPr>
      <w:widowControl/>
      <w:adjustRightInd/>
      <w:snapToGrid/>
      <w:spacing w:before="100" w:beforeAutospacing="1" w:after="100" w:afterAutospacing="1" w:line="240" w:lineRule="auto"/>
      <w:ind w:firstLine="0" w:firstLineChars="0"/>
      <w:jc w:val="center"/>
      <w:textAlignment w:val="center"/>
    </w:pPr>
    <w:rPr>
      <w:kern w:val="0"/>
      <w:szCs w:val="24"/>
    </w:rPr>
  </w:style>
  <w:style w:type="paragraph" w:customStyle="1" w:styleId="152GB2312">
    <w:name w:val="样式 样式 样式 (符号) 宋体 四号 行距: 1.5 倍行距 + 首行缩进:  2 字符 + (中文) 楷体_GB2312 ..."/>
    <w:basedOn w:val="152"/>
    <w:qFormat/>
    <w:pPr>
      <w:spacing w:before="156" w:line="240" w:lineRule="auto"/>
      <w:jc w:val="center"/>
    </w:pPr>
    <w:rPr>
      <w:rFonts w:eastAsia="楷体_GB2312" w:hAnsi="Times New Roman"/>
    </w:rPr>
  </w:style>
  <w:style w:type="paragraph" w:customStyle="1" w:styleId="a20">
    <w:name w:val="三级标题"/>
    <w:basedOn w:val="Normal"/>
    <w:semiHidden/>
    <w:qFormat/>
    <w:pPr>
      <w:adjustRightInd/>
      <w:snapToGrid/>
      <w:spacing w:line="240" w:lineRule="auto"/>
      <w:ind w:firstLine="0" w:firstLineChars="0"/>
    </w:pPr>
    <w:rPr>
      <w:rFonts w:eastAsia="黑体"/>
      <w:bCs/>
      <w:sz w:val="28"/>
      <w:szCs w:val="24"/>
    </w:rPr>
  </w:style>
  <w:style w:type="paragraph" w:customStyle="1" w:styleId="061102">
    <w:name w:val="061102正文样式"/>
    <w:basedOn w:val="Normal"/>
    <w:qFormat/>
    <w:pPr>
      <w:adjustRightInd/>
      <w:snapToGrid/>
      <w:spacing w:line="240" w:lineRule="auto"/>
      <w:ind w:firstLine="560"/>
    </w:pPr>
    <w:rPr>
      <w:rFonts w:ascii="仿宋_GB2312" w:eastAsia="仿宋_GB2312"/>
      <w:sz w:val="28"/>
      <w:szCs w:val="24"/>
    </w:rPr>
  </w:style>
  <w:style w:type="paragraph" w:customStyle="1" w:styleId="a21">
    <w:name w:val="简单回函地址"/>
    <w:basedOn w:val="Normal"/>
    <w:qFormat/>
    <w:pPr>
      <w:adjustRightInd/>
      <w:snapToGrid/>
      <w:spacing w:line="240" w:lineRule="auto"/>
      <w:ind w:firstLine="0" w:firstLineChars="0"/>
    </w:pPr>
    <w:rPr>
      <w:sz w:val="21"/>
      <w:szCs w:val="24"/>
    </w:rPr>
  </w:style>
  <w:style w:type="paragraph" w:customStyle="1" w:styleId="a22">
    <w:name w:val="文献分类号"/>
    <w:qFormat/>
    <w:pPr>
      <w:framePr w:hSpace="180" w:vSpace="180" w:wrap="around" w:vAnchor="margin" w:hAnchor="margin" w:y="1" w:anchorLock="1"/>
      <w:widowControl w:val="0"/>
      <w:textAlignment w:val="center"/>
    </w:pPr>
    <w:rPr>
      <w:rFonts w:ascii="Times New Roman" w:eastAsia="黑体" w:hAnsi="Times New Roman" w:cs="Times New Roman"/>
      <w:sz w:val="21"/>
      <w:lang w:val="en-US" w:eastAsia="zh-CN" w:bidi="ar-SA"/>
    </w:rPr>
  </w:style>
  <w:style w:type="paragraph" w:customStyle="1" w:styleId="CharCharChar1CharCharCharCharCharCharChar">
    <w:name w:val="Char Char Char1 Char Char Char Char Char Char Char"/>
    <w:basedOn w:val="Normal"/>
    <w:qFormat/>
    <w:pPr>
      <w:adjustRightInd/>
    </w:pPr>
    <w:rPr>
      <w:rFonts w:eastAsia="仿宋_GB2312"/>
      <w:szCs w:val="24"/>
    </w:rPr>
  </w:style>
  <w:style w:type="paragraph" w:customStyle="1" w:styleId="font0">
    <w:name w:val="font0"/>
    <w:basedOn w:val="Normal"/>
    <w:qFormat/>
    <w:pPr>
      <w:widowControl/>
      <w:adjustRightInd/>
      <w:snapToGrid/>
      <w:spacing w:before="100" w:beforeAutospacing="1" w:after="100" w:afterAutospacing="1"/>
      <w:jc w:val="left"/>
    </w:pPr>
    <w:rPr>
      <w:rFonts w:ascii="宋体" w:eastAsia="仿宋_GB2312" w:hAnsi="宋体" w:hint="eastAsia"/>
      <w:color w:val="00B050"/>
      <w:kern w:val="0"/>
      <w:szCs w:val="24"/>
    </w:rPr>
  </w:style>
  <w:style w:type="paragraph" w:customStyle="1" w:styleId="xl37">
    <w:name w:val="xl37"/>
    <w:basedOn w:val="Normal"/>
    <w:qFormat/>
    <w:pPr>
      <w:widowControl/>
      <w:pBdr>
        <w:left w:val="single" w:sz="4" w:space="0" w:color="auto"/>
        <w:bottom w:val="single" w:sz="4" w:space="0" w:color="auto"/>
        <w:right w:val="single" w:sz="8" w:space="0" w:color="auto"/>
      </w:pBdr>
      <w:adjustRightInd/>
      <w:snapToGrid/>
      <w:spacing w:before="100" w:beforeAutospacing="1" w:after="100" w:afterAutospacing="1"/>
      <w:jc w:val="left"/>
    </w:pPr>
    <w:rPr>
      <w:rFonts w:ascii="Arial Unicode MS" w:eastAsia="Arial Unicode MS" w:hAnsi="Arial Unicode MS"/>
      <w:kern w:val="0"/>
      <w:sz w:val="20"/>
      <w:szCs w:val="22"/>
    </w:rPr>
  </w:style>
  <w:style w:type="paragraph" w:customStyle="1" w:styleId="xl78">
    <w:name w:val="xl78"/>
    <w:basedOn w:val="Normal"/>
    <w:qFormat/>
    <w:pPr>
      <w:widowControl/>
      <w:pBdr>
        <w:top w:val="single" w:sz="4" w:space="0" w:color="auto"/>
        <w:bottom w:val="single" w:sz="4" w:space="0" w:color="auto"/>
      </w:pBdr>
      <w:adjustRightInd/>
      <w:snapToGrid/>
      <w:spacing w:before="100" w:beforeAutospacing="1" w:after="100" w:afterAutospacing="1" w:line="240" w:lineRule="auto"/>
      <w:ind w:firstLine="0" w:firstLineChars="0"/>
      <w:jc w:val="center"/>
      <w:textAlignment w:val="center"/>
    </w:pPr>
    <w:rPr>
      <w:rFonts w:ascii="仿宋_GB2312" w:eastAsia="仿宋_GB2312" w:hAnsi="宋体" w:cs="宋体"/>
      <w:b/>
      <w:bCs/>
      <w:color w:val="FF0000"/>
      <w:kern w:val="0"/>
      <w:sz w:val="21"/>
      <w:szCs w:val="21"/>
    </w:rPr>
  </w:style>
  <w:style w:type="paragraph" w:customStyle="1" w:styleId="s">
    <w:name w:val="s"/>
    <w:basedOn w:val="Normal"/>
    <w:qFormat/>
    <w:pPr>
      <w:adjustRightInd/>
      <w:snapToGrid/>
      <w:spacing w:line="540" w:lineRule="exact"/>
      <w:ind w:firstLine="597"/>
    </w:pPr>
    <w:rPr>
      <w:rFonts w:cs="宋体"/>
      <w:sz w:val="28"/>
    </w:rPr>
  </w:style>
  <w:style w:type="paragraph" w:customStyle="1" w:styleId="33CharTimesNewRoman1515">
    <w:name w:val="样式 标题 3标题 3 Char + Times New Roman 小四 左 段前: 1.5 行 段后: 1.5 行..."/>
    <w:basedOn w:val="Heading3"/>
    <w:qFormat/>
    <w:pPr>
      <w:keepNext w:val="0"/>
      <w:pageBreakBefore/>
      <w:adjustRightInd/>
      <w:snapToGrid/>
      <w:spacing w:beforeLines="150" w:afterLines="150" w:line="240" w:lineRule="auto"/>
      <w:ind w:firstLine="0" w:firstLineChars="0"/>
      <w:jc w:val="center"/>
    </w:pPr>
    <w:rPr>
      <w:b w:val="0"/>
      <w:color w:val="000000"/>
      <w:kern w:val="0"/>
      <w:sz w:val="44"/>
      <w:szCs w:val="44"/>
    </w:rPr>
  </w:style>
  <w:style w:type="paragraph" w:customStyle="1" w:styleId="CharCharCharCharCharChar">
    <w:name w:val="Char Char Char Char Char Char"/>
    <w:basedOn w:val="Normal"/>
    <w:qFormat/>
    <w:pPr>
      <w:widowControl/>
      <w:adjustRightInd/>
      <w:snapToGrid/>
      <w:spacing w:after="200" w:line="276" w:lineRule="auto"/>
      <w:ind w:firstLine="0" w:firstLineChars="0"/>
      <w:jc w:val="left"/>
    </w:pPr>
    <w:rPr>
      <w:rFonts w:ascii="Calibri" w:hAnsi="Calibri"/>
      <w:kern w:val="0"/>
      <w:sz w:val="22"/>
      <w:szCs w:val="22"/>
    </w:rPr>
  </w:style>
  <w:style w:type="paragraph" w:customStyle="1" w:styleId="290">
    <w:name w:val="样式 标题 2 + 字符缩放: 90%"/>
    <w:basedOn w:val="Heading2"/>
    <w:qFormat/>
    <w:pPr>
      <w:widowControl/>
      <w:adjustRightInd/>
      <w:snapToGrid/>
      <w:spacing w:before="260" w:after="260" w:line="413" w:lineRule="auto"/>
      <w:jc w:val="both"/>
    </w:pPr>
    <w:rPr>
      <w:rFonts w:cs="宋体"/>
      <w:bCs w:val="0"/>
      <w:w w:val="90"/>
      <w:kern w:val="0"/>
      <w:sz w:val="28"/>
      <w:szCs w:val="28"/>
    </w:rPr>
  </w:style>
  <w:style w:type="paragraph" w:customStyle="1" w:styleId="xl43">
    <w:name w:val="xl43"/>
    <w:basedOn w:val="Normal"/>
    <w:qFormat/>
    <w:pPr>
      <w:widowControl/>
      <w:pBdr>
        <w:bottom w:val="single" w:sz="8" w:space="0" w:color="auto"/>
      </w:pBdr>
      <w:adjustRightInd/>
      <w:snapToGrid/>
      <w:spacing w:before="100" w:beforeAutospacing="1" w:after="100" w:afterAutospacing="1"/>
      <w:jc w:val="left"/>
    </w:pPr>
    <w:rPr>
      <w:rFonts w:ascii="Arial Unicode MS" w:eastAsia="Arial Unicode MS" w:hAnsi="Arial Unicode MS"/>
      <w:kern w:val="0"/>
      <w:szCs w:val="22"/>
    </w:rPr>
  </w:style>
  <w:style w:type="paragraph" w:customStyle="1" w:styleId="Char211">
    <w:name w:val="Char211"/>
    <w:basedOn w:val="Normal"/>
    <w:qFormat/>
    <w:pPr>
      <w:adjustRightInd/>
      <w:snapToGrid/>
      <w:spacing w:line="240" w:lineRule="auto"/>
      <w:ind w:firstLine="0" w:firstLineChars="0"/>
    </w:pPr>
    <w:rPr>
      <w:sz w:val="21"/>
      <w:szCs w:val="24"/>
    </w:rPr>
  </w:style>
  <w:style w:type="paragraph" w:customStyle="1" w:styleId="CharCharCharCharCharCharCharCharCharCharCharCharCharCharCharCharCharCharChar">
    <w:name w:val="Char Char Char Char Char Char Char Char Char Char Char Char Char Char Char Char Char Char Char"/>
    <w:basedOn w:val="Normal"/>
    <w:qFormat/>
    <w:pPr>
      <w:adjustRightInd/>
      <w:snapToGrid/>
      <w:spacing w:line="240" w:lineRule="auto"/>
      <w:ind w:firstLine="0" w:firstLineChars="0"/>
    </w:pPr>
    <w:rPr>
      <w:sz w:val="21"/>
      <w:szCs w:val="24"/>
    </w:rPr>
  </w:style>
  <w:style w:type="paragraph" w:customStyle="1" w:styleId="CharCharCharCharChar">
    <w:name w:val="默认段落字体 Char Char Char Char Char"/>
    <w:basedOn w:val="Normal"/>
    <w:qFormat/>
    <w:pPr>
      <w:adjustRightInd/>
    </w:pPr>
    <w:rPr>
      <w:rFonts w:eastAsia="仿宋_GB2312"/>
      <w:szCs w:val="24"/>
    </w:rPr>
  </w:style>
  <w:style w:type="paragraph" w:customStyle="1" w:styleId="xl45">
    <w:name w:val="xl45"/>
    <w:basedOn w:val="Normal"/>
    <w:qFormat/>
    <w:pPr>
      <w:widowControl/>
      <w:pBdr>
        <w:left w:val="single" w:sz="4" w:space="0" w:color="auto"/>
        <w:right w:val="single" w:sz="4" w:space="0" w:color="auto"/>
      </w:pBdr>
      <w:adjustRightInd/>
      <w:snapToGrid/>
      <w:spacing w:before="100" w:beforeAutospacing="1" w:after="100" w:afterAutospacing="1" w:line="240" w:lineRule="auto"/>
      <w:ind w:firstLine="0" w:firstLineChars="0"/>
      <w:jc w:val="left"/>
    </w:pPr>
    <w:rPr>
      <w:rFonts w:ascii="宋体" w:hAnsi="宋体" w:hint="eastAsia"/>
      <w:kern w:val="0"/>
      <w:szCs w:val="24"/>
    </w:rPr>
  </w:style>
  <w:style w:type="paragraph" w:customStyle="1" w:styleId="xl73">
    <w:name w:val="xl73"/>
    <w:basedOn w:val="Normal"/>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0" w:firstLineChars="0"/>
      <w:jc w:val="center"/>
      <w:textAlignment w:val="center"/>
    </w:pPr>
    <w:rPr>
      <w:color w:val="FF0000"/>
      <w:kern w:val="0"/>
      <w:sz w:val="21"/>
      <w:szCs w:val="21"/>
    </w:rPr>
  </w:style>
  <w:style w:type="paragraph" w:customStyle="1" w:styleId="3CharCharCharCharCharCharCharCharChar1Char">
    <w:name w:val="3 Char Char Char Char Char Char Char Char Char1 Char"/>
    <w:basedOn w:val="Normal"/>
    <w:qFormat/>
    <w:pPr>
      <w:widowControl/>
      <w:adjustRightInd/>
      <w:spacing w:after="200"/>
      <w:jc w:val="left"/>
    </w:pPr>
    <w:rPr>
      <w:rFonts w:ascii="Calibri" w:eastAsia="仿宋_GB2312" w:hAnsi="Calibri"/>
      <w:kern w:val="0"/>
      <w:szCs w:val="24"/>
    </w:rPr>
  </w:style>
  <w:style w:type="paragraph" w:customStyle="1" w:styleId="421821">
    <w:name w:val="样式 样式 标题 4 + 宋体 小四 首行缩进:  2 字符 行距: 固定值 18 磅 + 首行缩进:  2 字符1"/>
    <w:basedOn w:val="Normal"/>
    <w:next w:val="Normal"/>
    <w:qFormat/>
    <w:pPr>
      <w:widowControl/>
      <w:adjustRightInd/>
      <w:snapToGrid/>
      <w:spacing w:before="120" w:after="100" w:line="400" w:lineRule="exact"/>
      <w:ind w:firstLine="0" w:firstLineChars="0"/>
      <w:outlineLvl w:val="3"/>
    </w:pPr>
    <w:rPr>
      <w:rFonts w:ascii="黑体" w:eastAsia="黑体"/>
      <w:color w:val="000000"/>
      <w:sz w:val="21"/>
    </w:rPr>
  </w:style>
  <w:style w:type="paragraph" w:customStyle="1" w:styleId="xl33">
    <w:name w:val="xl33"/>
    <w:basedOn w:val="Normal"/>
    <w:qFormat/>
    <w:pPr>
      <w:widowControl/>
      <w:pBdr>
        <w:top w:val="single" w:sz="4" w:space="0" w:color="auto"/>
        <w:left w:val="single" w:sz="4" w:space="0" w:color="auto"/>
        <w:bottom w:val="single" w:sz="4" w:space="0" w:color="auto"/>
        <w:right w:val="single" w:sz="8" w:space="0" w:color="auto"/>
      </w:pBdr>
      <w:adjustRightInd/>
      <w:snapToGrid/>
      <w:spacing w:before="100" w:beforeAutospacing="1" w:after="100" w:afterAutospacing="1"/>
      <w:jc w:val="center"/>
    </w:pPr>
    <w:rPr>
      <w:rFonts w:ascii="Arial Unicode MS" w:eastAsia="Arial Unicode MS" w:hAnsi="Arial Unicode MS"/>
      <w:kern w:val="0"/>
      <w:sz w:val="20"/>
      <w:szCs w:val="22"/>
    </w:rPr>
  </w:style>
  <w:style w:type="paragraph" w:customStyle="1" w:styleId="a23">
    <w:name w:val="五级条标题"/>
    <w:basedOn w:val="a24"/>
    <w:next w:val="a7"/>
    <w:qFormat/>
    <w:pPr>
      <w:outlineLvl w:val="6"/>
    </w:pPr>
  </w:style>
  <w:style w:type="paragraph" w:customStyle="1" w:styleId="a24">
    <w:name w:val="四级条标题"/>
    <w:basedOn w:val="Normal"/>
    <w:next w:val="a7"/>
    <w:qFormat/>
    <w:pPr>
      <w:widowControl/>
      <w:adjustRightInd/>
      <w:snapToGrid/>
      <w:spacing w:beforeLines="50" w:afterLines="50"/>
      <w:ind w:firstLine="0"/>
      <w:jc w:val="left"/>
      <w:outlineLvl w:val="5"/>
    </w:pPr>
    <w:rPr>
      <w:rFonts w:ascii="黑体" w:eastAsia="黑体"/>
      <w:kern w:val="0"/>
      <w:szCs w:val="21"/>
    </w:rPr>
  </w:style>
  <w:style w:type="paragraph" w:customStyle="1" w:styleId="TOC10">
    <w:name w:val="TOC 标题1"/>
    <w:basedOn w:val="Heading1"/>
    <w:next w:val="Normal"/>
    <w:uiPriority w:val="39"/>
    <w:qFormat/>
    <w:pPr>
      <w:pageBreakBefore w:val="0"/>
      <w:widowControl/>
      <w:adjustRightInd/>
      <w:snapToGrid/>
      <w:spacing w:before="480" w:line="276" w:lineRule="auto"/>
      <w:outlineLvl w:val="9"/>
    </w:pPr>
    <w:rPr>
      <w:rFonts w:ascii="Cambria" w:hAnsi="Cambria"/>
      <w:color w:val="21798E"/>
      <w:kern w:val="0"/>
      <w:sz w:val="28"/>
      <w:szCs w:val="28"/>
    </w:rPr>
  </w:style>
  <w:style w:type="paragraph" w:customStyle="1" w:styleId="Default">
    <w:name w:val="Default"/>
    <w:qFormat/>
    <w:pPr>
      <w:widowControl w:val="0"/>
      <w:autoSpaceDE w:val="0"/>
      <w:autoSpaceDN w:val="0"/>
      <w:adjustRightInd w:val="0"/>
    </w:pPr>
    <w:rPr>
      <w:rFonts w:ascii="宋体" w:eastAsia="宋体" w:hAnsi="宋体" w:cs="宋体"/>
      <w:color w:val="000000"/>
      <w:sz w:val="24"/>
      <w:szCs w:val="24"/>
      <w:lang w:val="en-US" w:eastAsia="zh-CN" w:bidi="ar-SA"/>
    </w:rPr>
  </w:style>
  <w:style w:type="paragraph" w:customStyle="1" w:styleId="23">
    <w:name w:val="2、节标题"/>
    <w:basedOn w:val="PlainText"/>
    <w:qFormat/>
    <w:pPr>
      <w:adjustRightInd/>
      <w:snapToGrid/>
      <w:spacing w:before="120" w:after="120" w:line="300" w:lineRule="auto"/>
      <w:ind w:firstLine="0" w:firstLineChars="0"/>
      <w:jc w:val="center"/>
      <w:outlineLvl w:val="1"/>
    </w:pPr>
    <w:rPr>
      <w:rFonts w:ascii="Times New Roman" w:hAnsi="Times New Roman"/>
      <w:sz w:val="28"/>
      <w:szCs w:val="20"/>
    </w:rPr>
  </w:style>
  <w:style w:type="paragraph" w:customStyle="1" w:styleId="220">
    <w:name w:val="样式 样式 首行缩进:  2 字符 + 首行缩进:  2 字符"/>
    <w:basedOn w:val="Normal"/>
    <w:qFormat/>
    <w:pPr>
      <w:adjustRightInd/>
      <w:snapToGrid/>
      <w:spacing w:line="300" w:lineRule="auto"/>
      <w:ind w:firstLine="480"/>
    </w:pPr>
    <w:rPr>
      <w:sz w:val="28"/>
    </w:rPr>
  </w:style>
  <w:style w:type="paragraph" w:customStyle="1" w:styleId="bgbt3">
    <w:name w:val="bgbt3条标题"/>
    <w:basedOn w:val="Normal"/>
    <w:next w:val="Normal"/>
    <w:qFormat/>
    <w:pPr>
      <w:adjustRightInd/>
      <w:snapToGrid/>
      <w:spacing w:before="120" w:after="60" w:line="240" w:lineRule="auto"/>
      <w:ind w:firstLine="510" w:firstLineChars="0"/>
      <w:outlineLvl w:val="2"/>
    </w:pPr>
    <w:rPr>
      <w:rFonts w:eastAsia="黑体"/>
      <w:sz w:val="28"/>
    </w:rPr>
  </w:style>
  <w:style w:type="paragraph" w:customStyle="1" w:styleId="xl23">
    <w:name w:val="xl23"/>
    <w:basedOn w:val="Normal"/>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0" w:firstLineChars="0"/>
      <w:jc w:val="center"/>
    </w:pPr>
    <w:rPr>
      <w:rFonts w:ascii="宋体" w:hAnsi="宋体" w:hint="eastAsia"/>
      <w:kern w:val="0"/>
      <w:szCs w:val="24"/>
    </w:rPr>
  </w:style>
  <w:style w:type="paragraph" w:customStyle="1" w:styleId="30">
    <w:name w:val="标题3"/>
    <w:basedOn w:val="Normal"/>
    <w:qFormat/>
    <w:pPr>
      <w:adjustRightInd/>
      <w:snapToGrid/>
      <w:spacing w:before="160" w:after="160" w:line="240" w:lineRule="auto"/>
      <w:ind w:firstLine="562"/>
      <w:jc w:val="left"/>
      <w:outlineLvl w:val="2"/>
    </w:pPr>
    <w:rPr>
      <w:rFonts w:ascii="宋体" w:hAnsi="宋体"/>
      <w:b/>
      <w:bCs/>
      <w:color w:val="FF0000"/>
      <w:sz w:val="28"/>
    </w:rPr>
  </w:style>
  <w:style w:type="paragraph" w:customStyle="1" w:styleId="19">
    <w:name w:val="封面标准号1"/>
    <w:qFormat/>
    <w:pPr>
      <w:widowControl w:val="0"/>
      <w:kinsoku w:val="0"/>
      <w:overflowPunct w:val="0"/>
      <w:autoSpaceDE w:val="0"/>
      <w:autoSpaceDN w:val="0"/>
      <w:spacing w:before="308"/>
      <w:jc w:val="right"/>
      <w:textAlignment w:val="center"/>
    </w:pPr>
    <w:rPr>
      <w:rFonts w:ascii="Times New Roman" w:eastAsia="宋体" w:hAnsi="Times New Roman" w:cs="Times New Roman"/>
      <w:sz w:val="28"/>
      <w:lang w:val="en-US" w:eastAsia="zh-CN" w:bidi="ar-SA"/>
    </w:rPr>
  </w:style>
  <w:style w:type="paragraph" w:customStyle="1" w:styleId="xl75">
    <w:name w:val="xl75"/>
    <w:basedOn w:val="Normal"/>
    <w:qFormat/>
    <w:pPr>
      <w:widowControl/>
      <w:pBdr>
        <w:left w:val="single" w:sz="4" w:space="0" w:color="auto"/>
        <w:right w:val="single" w:sz="4" w:space="0" w:color="auto"/>
      </w:pBdr>
      <w:adjustRightInd/>
      <w:snapToGrid/>
      <w:spacing w:before="100" w:beforeAutospacing="1" w:after="100" w:afterAutospacing="1" w:line="240" w:lineRule="auto"/>
      <w:ind w:firstLine="0" w:firstLineChars="0"/>
      <w:jc w:val="center"/>
      <w:textAlignment w:val="center"/>
    </w:pPr>
    <w:rPr>
      <w:color w:val="FF0000"/>
      <w:kern w:val="0"/>
      <w:sz w:val="21"/>
      <w:szCs w:val="21"/>
    </w:rPr>
  </w:style>
  <w:style w:type="paragraph" w:customStyle="1" w:styleId="Char2CharCharChar1">
    <w:name w:val="Char2 Char Char Char1"/>
    <w:basedOn w:val="Normal"/>
    <w:qFormat/>
    <w:pPr>
      <w:adjustRightInd/>
      <w:snapToGrid/>
    </w:pPr>
    <w:rPr>
      <w:rFonts w:ascii="宋体" w:hAnsi="宋体"/>
    </w:rPr>
  </w:style>
  <w:style w:type="paragraph" w:customStyle="1" w:styleId="CharCharChar1CharCharCharCharCharCharChar1">
    <w:name w:val="Char Char Char1 Char Char Char Char Char Char Char1"/>
    <w:basedOn w:val="Normal"/>
    <w:qFormat/>
    <w:pPr>
      <w:adjustRightInd/>
    </w:pPr>
    <w:rPr>
      <w:rFonts w:eastAsia="仿宋_GB2312"/>
      <w:szCs w:val="24"/>
    </w:rPr>
  </w:style>
  <w:style w:type="paragraph" w:customStyle="1" w:styleId="31">
    <w:name w:val="样式3（代正文）"/>
    <w:qFormat/>
    <w:pPr>
      <w:widowControl w:val="0"/>
      <w:adjustRightInd w:val="0"/>
      <w:snapToGrid w:val="0"/>
      <w:spacing w:line="500" w:lineRule="exact"/>
      <w:ind w:firstLine="560" w:firstLineChars="200"/>
    </w:pPr>
    <w:rPr>
      <w:rFonts w:ascii="Times New Roman" w:eastAsia="楷体_GB2312" w:hAnsi="Times New Roman" w:cs="Times New Roman"/>
      <w:snapToGrid w:val="0"/>
      <w:sz w:val="28"/>
      <w:szCs w:val="28"/>
      <w:lang w:val="en-US" w:eastAsia="zh-CN" w:bidi="ar-SA"/>
    </w:rPr>
  </w:style>
  <w:style w:type="paragraph" w:customStyle="1" w:styleId="a25">
    <w:name w:val="发布部门"/>
    <w:next w:val="a7"/>
    <w:qFormat/>
    <w:pPr>
      <w:framePr w:w="7433" w:h="585" w:hRule="exact" w:hSpace="180" w:vSpace="180" w:wrap="around" w:vAnchor="margin" w:hAnchor="margin" w:xAlign="center" w:y="14401" w:anchorLock="1"/>
      <w:jc w:val="center"/>
    </w:pPr>
    <w:rPr>
      <w:rFonts w:ascii="宋体" w:eastAsia="宋体" w:hAnsi="Times New Roman" w:cs="Times New Roman"/>
      <w:b/>
      <w:spacing w:val="20"/>
      <w:w w:val="135"/>
      <w:sz w:val="36"/>
      <w:lang w:val="en-US" w:eastAsia="zh-CN" w:bidi="ar-SA"/>
    </w:rPr>
  </w:style>
  <w:style w:type="paragraph" w:customStyle="1" w:styleId="a26">
    <w:name w:val="表文"/>
    <w:basedOn w:val="Normal"/>
    <w:qFormat/>
    <w:pPr>
      <w:adjustRightInd/>
      <w:snapToGrid/>
      <w:spacing w:line="240" w:lineRule="exact"/>
      <w:ind w:firstLine="0" w:firstLineChars="0"/>
      <w:jc w:val="center"/>
    </w:pPr>
    <w:rPr>
      <w:szCs w:val="24"/>
    </w:rPr>
  </w:style>
  <w:style w:type="paragraph" w:customStyle="1" w:styleId="24">
    <w:name w:val="正文文字缩进2"/>
    <w:basedOn w:val="BodyTextIndent2"/>
    <w:qFormat/>
    <w:pPr>
      <w:widowControl/>
      <w:spacing w:line="360" w:lineRule="auto"/>
      <w:ind w:firstLine="560" w:firstLineChars="200"/>
      <w:jc w:val="left"/>
      <w:textAlignment w:val="center"/>
    </w:pPr>
    <w:rPr>
      <w:rFonts w:ascii="仿宋_GB2312" w:eastAsia="仿宋_GB2312" w:hAnsi="Calibri"/>
    </w:rPr>
  </w:style>
  <w:style w:type="paragraph" w:customStyle="1" w:styleId="a27">
    <w:name w:val="标题四"/>
    <w:basedOn w:val="Normal"/>
    <w:qFormat/>
    <w:pPr>
      <w:adjustRightInd/>
      <w:snapToGrid/>
      <w:spacing w:line="240" w:lineRule="auto"/>
      <w:ind w:firstLine="2530" w:firstLineChars="900"/>
    </w:pPr>
    <w:rPr>
      <w:rFonts w:ascii="宋体" w:hAnsi="宋体"/>
      <w:b/>
      <w:sz w:val="28"/>
      <w:szCs w:val="28"/>
    </w:rPr>
  </w:style>
  <w:style w:type="paragraph" w:customStyle="1" w:styleId="a28">
    <w:name w:val="封面标准文稿类别"/>
    <w:qFormat/>
    <w:pPr>
      <w:spacing w:before="440" w:line="400" w:lineRule="exact"/>
      <w:jc w:val="center"/>
    </w:pPr>
    <w:rPr>
      <w:rFonts w:ascii="宋体" w:eastAsia="宋体" w:hAnsi="Times New Roman" w:cs="Times New Roman"/>
      <w:sz w:val="24"/>
      <w:lang w:val="en-US" w:eastAsia="zh-CN" w:bidi="ar-SA"/>
    </w:rPr>
  </w:style>
  <w:style w:type="paragraph" w:customStyle="1" w:styleId="xl66">
    <w:name w:val="xl66"/>
    <w:basedOn w:val="Normal"/>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0" w:firstLineChars="0"/>
      <w:jc w:val="center"/>
      <w:textAlignment w:val="center"/>
    </w:pPr>
    <w:rPr>
      <w:b/>
      <w:bCs/>
      <w:color w:val="FF0000"/>
      <w:kern w:val="0"/>
      <w:sz w:val="21"/>
      <w:szCs w:val="21"/>
    </w:rPr>
  </w:style>
  <w:style w:type="paragraph" w:customStyle="1" w:styleId="7CharChar">
    <w:name w:val="样式7 Char Char"/>
    <w:basedOn w:val="Normal"/>
    <w:qFormat/>
    <w:pPr>
      <w:adjustRightInd/>
      <w:snapToGrid/>
      <w:ind w:firstLine="480"/>
    </w:pPr>
    <w:rPr>
      <w:rFonts w:eastAsia="仿宋_GB2312"/>
      <w:szCs w:val="24"/>
    </w:rPr>
  </w:style>
  <w:style w:type="paragraph" w:customStyle="1" w:styleId="226">
    <w:name w:val="样式 小四 居中 首行缩进:  2 字符 行距: 固定值 26 磅"/>
    <w:basedOn w:val="Normal"/>
    <w:qFormat/>
    <w:pPr>
      <w:adjustRightInd/>
      <w:snapToGrid/>
      <w:spacing w:line="520" w:lineRule="exact"/>
      <w:ind w:firstLine="0" w:firstLineChars="0"/>
      <w:jc w:val="center"/>
    </w:pPr>
    <w:rPr>
      <w:rFonts w:ascii="宋体" w:hAnsi="宋体"/>
      <w:snapToGrid w:val="0"/>
      <w:kern w:val="0"/>
    </w:rPr>
  </w:style>
  <w:style w:type="paragraph" w:customStyle="1" w:styleId="CharCharCharCharCharCharCharCharCharCharCharCharCharCharCharCharCharCharChar1">
    <w:name w:val="Char Char Char Char Char Char Char Char Char Char Char Char Char Char Char Char Char Char Char1"/>
    <w:basedOn w:val="Normal"/>
    <w:qFormat/>
    <w:pPr>
      <w:adjustRightInd/>
      <w:snapToGrid/>
      <w:spacing w:line="240" w:lineRule="auto"/>
      <w:ind w:firstLine="0" w:firstLineChars="0"/>
    </w:pPr>
    <w:rPr>
      <w:sz w:val="21"/>
      <w:szCs w:val="24"/>
    </w:rPr>
  </w:style>
  <w:style w:type="paragraph" w:customStyle="1" w:styleId="xl82">
    <w:name w:val="xl82"/>
    <w:basedOn w:val="Normal"/>
    <w:qFormat/>
    <w:pPr>
      <w:widowControl/>
      <w:pBdr>
        <w:top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0" w:firstLineChars="0"/>
      <w:jc w:val="center"/>
      <w:textAlignment w:val="center"/>
    </w:pPr>
    <w:rPr>
      <w:rFonts w:ascii="仿宋_GB2312" w:eastAsia="仿宋_GB2312" w:hAnsi="宋体" w:cs="宋体"/>
      <w:b/>
      <w:bCs/>
      <w:color w:val="FF0000"/>
      <w:kern w:val="0"/>
      <w:sz w:val="21"/>
      <w:szCs w:val="21"/>
    </w:rPr>
  </w:style>
  <w:style w:type="paragraph" w:customStyle="1" w:styleId="3CharCharCharCharCharCharCharCharChar">
    <w:name w:val="3 Char Char Char Char Char Char Char Char Char"/>
    <w:basedOn w:val="Normal"/>
    <w:qFormat/>
    <w:pPr>
      <w:widowControl/>
      <w:adjustRightInd/>
      <w:spacing w:after="200"/>
      <w:jc w:val="left"/>
    </w:pPr>
    <w:rPr>
      <w:rFonts w:ascii="Calibri" w:eastAsia="仿宋_GB2312" w:hAnsi="Calibri"/>
      <w:kern w:val="0"/>
      <w:szCs w:val="22"/>
    </w:rPr>
  </w:style>
  <w:style w:type="paragraph" w:customStyle="1" w:styleId="Char117">
    <w:name w:val="Char11"/>
    <w:basedOn w:val="Normal"/>
    <w:qFormat/>
    <w:pPr>
      <w:widowControl/>
      <w:adjustRightInd/>
      <w:snapToGrid/>
      <w:spacing w:after="200"/>
      <w:jc w:val="left"/>
    </w:pPr>
    <w:rPr>
      <w:rFonts w:ascii="宋体" w:hAnsi="宋体" w:cs="宋体"/>
      <w:kern w:val="0"/>
      <w:szCs w:val="24"/>
    </w:rPr>
  </w:style>
  <w:style w:type="paragraph" w:customStyle="1" w:styleId="ParaCharCharCharCharCharCharChar">
    <w:name w:val="默认段落字体 Para Char Char Char Char Char Char Char"/>
    <w:basedOn w:val="Normal"/>
    <w:qFormat/>
    <w:pPr>
      <w:adjustRightInd/>
    </w:pPr>
    <w:rPr>
      <w:rFonts w:eastAsia="仿宋_GB2312"/>
      <w:szCs w:val="24"/>
    </w:rPr>
  </w:style>
  <w:style w:type="paragraph" w:customStyle="1" w:styleId="3Char6">
    <w:name w:val="表格3 Char"/>
    <w:basedOn w:val="Normal"/>
    <w:qFormat/>
    <w:pPr>
      <w:adjustRightInd/>
      <w:spacing w:line="240" w:lineRule="atLeast"/>
    </w:pPr>
    <w:rPr>
      <w:rFonts w:eastAsia="仿宋_GB2312"/>
      <w:color w:val="00B050"/>
      <w:kern w:val="0"/>
      <w:sz w:val="18"/>
      <w:szCs w:val="21"/>
    </w:rPr>
  </w:style>
  <w:style w:type="paragraph" w:customStyle="1" w:styleId="a29">
    <w:name w:val="三级条标题"/>
    <w:basedOn w:val="a30"/>
    <w:next w:val="a7"/>
    <w:qFormat/>
    <w:pPr>
      <w:spacing w:beforeLines="0" w:afterLines="0"/>
      <w:ind w:left="0"/>
      <w:outlineLvl w:val="4"/>
    </w:pPr>
    <w:rPr>
      <w:rFonts w:ascii="Times New Roman"/>
      <w:szCs w:val="20"/>
    </w:rPr>
  </w:style>
  <w:style w:type="paragraph" w:customStyle="1" w:styleId="a30">
    <w:name w:val="二级条标题"/>
    <w:basedOn w:val="a31"/>
    <w:next w:val="a7"/>
    <w:qFormat/>
    <w:pPr>
      <w:ind w:left="630"/>
      <w:outlineLvl w:val="3"/>
    </w:pPr>
  </w:style>
  <w:style w:type="paragraph" w:customStyle="1" w:styleId="a31">
    <w:name w:val="一级条标题"/>
    <w:next w:val="a7"/>
    <w:qFormat/>
    <w:pPr>
      <w:spacing w:beforeLines="50" w:afterLines="50"/>
      <w:outlineLvl w:val="2"/>
    </w:pPr>
    <w:rPr>
      <w:rFonts w:ascii="黑体" w:eastAsia="黑体" w:hAnsi="Times New Roman" w:cs="Times New Roman"/>
      <w:sz w:val="21"/>
      <w:szCs w:val="21"/>
      <w:lang w:val="en-US" w:eastAsia="zh-CN" w:bidi="ar-SA"/>
    </w:rPr>
  </w:style>
  <w:style w:type="paragraph" w:customStyle="1" w:styleId="Char1CharChar1">
    <w:name w:val="Char1 Char Char1"/>
    <w:basedOn w:val="Normal"/>
    <w:qFormat/>
    <w:pPr>
      <w:adjustRightInd/>
      <w:snapToGrid/>
      <w:spacing w:line="240" w:lineRule="auto"/>
      <w:ind w:firstLine="0" w:firstLineChars="0"/>
    </w:pPr>
    <w:rPr>
      <w:sz w:val="21"/>
      <w:szCs w:val="24"/>
    </w:rPr>
  </w:style>
  <w:style w:type="paragraph" w:customStyle="1" w:styleId="a32">
    <w:name w:val="标准标志"/>
    <w:next w:val="Normal"/>
    <w:qFormat/>
    <w:pPr>
      <w:framePr w:w="2268" w:h="1392" w:hRule="exact" w:wrap="around" w:vAnchor="margin" w:hAnchor="margin" w:x="6748" w:y="171" w:anchorLock="1"/>
      <w:shd w:val="solid" w:color="FFFFFF" w:fill="FFFFFF"/>
      <w:spacing w:line="0" w:lineRule="atLeast"/>
      <w:jc w:val="right"/>
    </w:pPr>
    <w:rPr>
      <w:rFonts w:ascii="Times New Roman" w:eastAsia="宋体" w:hAnsi="Times New Roman" w:cs="Times New Roman"/>
      <w:b/>
      <w:w w:val="130"/>
      <w:sz w:val="96"/>
      <w:lang w:val="en-US" w:eastAsia="zh-CN" w:bidi="ar-SA"/>
    </w:rPr>
  </w:style>
  <w:style w:type="paragraph" w:customStyle="1" w:styleId="Char36">
    <w:name w:val="Char3"/>
    <w:basedOn w:val="Normal"/>
    <w:qFormat/>
    <w:pPr>
      <w:adjustRightInd/>
      <w:snapToGrid/>
      <w:spacing w:line="240" w:lineRule="auto"/>
      <w:ind w:firstLine="0" w:firstLineChars="0"/>
    </w:pPr>
    <w:rPr>
      <w:sz w:val="21"/>
      <w:szCs w:val="24"/>
    </w:rPr>
  </w:style>
  <w:style w:type="paragraph" w:customStyle="1" w:styleId="a33">
    <w:name w:val="扉页"/>
    <w:basedOn w:val="PlainText"/>
    <w:qFormat/>
    <w:pPr>
      <w:adjustRightInd/>
      <w:snapToGrid/>
      <w:spacing w:line="600" w:lineRule="auto"/>
      <w:ind w:firstLine="560"/>
      <w:textAlignment w:val="center"/>
    </w:pPr>
    <w:rPr>
      <w:rFonts w:ascii="Times New Roman" w:eastAsia="华文中宋" w:hAnsi="Times New Roman"/>
      <w:sz w:val="30"/>
      <w:szCs w:val="20"/>
    </w:rPr>
  </w:style>
  <w:style w:type="paragraph" w:customStyle="1" w:styleId="CharCharCharChar1CharCharCharCharCharCharCharCharChar">
    <w:name w:val="Char Char Char Char1 Char Char Char Char Char Char Char Char Char"/>
    <w:basedOn w:val="Normal"/>
    <w:qFormat/>
    <w:pPr>
      <w:adjustRightInd/>
      <w:snapToGrid/>
      <w:spacing w:line="240" w:lineRule="auto"/>
      <w:ind w:firstLine="0" w:firstLineChars="0"/>
    </w:pPr>
    <w:rPr>
      <w:sz w:val="21"/>
      <w:szCs w:val="24"/>
    </w:rPr>
  </w:style>
  <w:style w:type="paragraph" w:customStyle="1" w:styleId="32">
    <w:name w:val="样式 标题 3 + 宋体 行距: 单倍行距"/>
    <w:basedOn w:val="Normal"/>
    <w:next w:val="Normal"/>
    <w:qFormat/>
    <w:pPr>
      <w:widowControl/>
      <w:adjustRightInd/>
      <w:snapToGrid/>
      <w:spacing w:before="120" w:after="120"/>
      <w:ind w:firstLine="0" w:firstLineChars="0"/>
      <w:outlineLvl w:val="2"/>
    </w:pPr>
    <w:rPr>
      <w:rFonts w:ascii="宋体" w:eastAsia="黑体" w:hAnsi="宋体"/>
      <w:color w:val="000000"/>
    </w:rPr>
  </w:style>
  <w:style w:type="paragraph" w:customStyle="1" w:styleId="444CharCharChar">
    <w:name w:val="444 Char Char Char"/>
    <w:basedOn w:val="Normal"/>
    <w:next w:val="Normal"/>
    <w:qFormat/>
    <w:pPr>
      <w:adjustRightInd/>
      <w:snapToGrid/>
    </w:pPr>
    <w:rPr>
      <w:sz w:val="21"/>
    </w:rPr>
  </w:style>
  <w:style w:type="paragraph" w:customStyle="1" w:styleId="PP">
    <w:name w:val="PP 行"/>
    <w:basedOn w:val="Signature"/>
    <w:qFormat/>
  </w:style>
  <w:style w:type="paragraph" w:customStyle="1" w:styleId="p15">
    <w:name w:val="p15"/>
    <w:basedOn w:val="Normal"/>
    <w:qFormat/>
    <w:pPr>
      <w:widowControl/>
      <w:adjustRightInd/>
      <w:snapToGrid/>
      <w:spacing w:line="408" w:lineRule="auto"/>
      <w:ind w:left="1" w:firstLine="0" w:firstLineChars="0"/>
      <w:textAlignment w:val="bottom"/>
    </w:pPr>
    <w:rPr>
      <w:rFonts w:ascii="宋体" w:hAnsi="宋体" w:cs="宋体"/>
      <w:color w:val="000000"/>
      <w:kern w:val="0"/>
      <w:sz w:val="21"/>
      <w:szCs w:val="21"/>
    </w:rPr>
  </w:style>
  <w:style w:type="paragraph" w:customStyle="1" w:styleId="xl46">
    <w:name w:val="xl46"/>
    <w:basedOn w:val="Normal"/>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0" w:firstLineChars="0"/>
      <w:jc w:val="left"/>
    </w:pPr>
    <w:rPr>
      <w:rFonts w:ascii="宋体" w:hAnsi="宋体" w:hint="eastAsia"/>
      <w:kern w:val="0"/>
      <w:szCs w:val="24"/>
    </w:rPr>
  </w:style>
  <w:style w:type="paragraph" w:customStyle="1" w:styleId="CharCharCharCharCharCharChar">
    <w:name w:val="Char Char Char Char Char Char Char"/>
    <w:basedOn w:val="Normal"/>
    <w:qFormat/>
    <w:pPr>
      <w:widowControl/>
      <w:adjustRightInd/>
      <w:snapToGrid/>
      <w:spacing w:after="200" w:line="276" w:lineRule="auto"/>
      <w:ind w:firstLine="0" w:firstLineChars="0"/>
      <w:jc w:val="left"/>
    </w:pPr>
    <w:rPr>
      <w:rFonts w:ascii="Calibri" w:hAnsi="Calibri"/>
      <w:kern w:val="0"/>
      <w:sz w:val="22"/>
      <w:szCs w:val="24"/>
    </w:rPr>
  </w:style>
  <w:style w:type="paragraph" w:customStyle="1" w:styleId="xl79">
    <w:name w:val="xl79"/>
    <w:basedOn w:val="Normal"/>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0" w:firstLineChars="0"/>
      <w:jc w:val="center"/>
      <w:textAlignment w:val="center"/>
    </w:pPr>
    <w:rPr>
      <w:rFonts w:ascii="仿宋_GB2312" w:eastAsia="仿宋_GB2312" w:hAnsi="宋体" w:cs="宋体"/>
      <w:b/>
      <w:bCs/>
      <w:color w:val="FF0000"/>
      <w:kern w:val="0"/>
      <w:sz w:val="21"/>
      <w:szCs w:val="21"/>
    </w:rPr>
  </w:style>
  <w:style w:type="paragraph" w:customStyle="1" w:styleId="CharCharCharCharCharCharCharCharCharCharCharChar1CharCharCharChar">
    <w:name w:val="Char Char Char Char Char Char Char Char Char Char Char Char1 Char Char Char Char"/>
    <w:basedOn w:val="Normal"/>
    <w:qFormat/>
    <w:pPr>
      <w:adjustRightInd/>
      <w:snapToGrid/>
      <w:spacing w:line="240" w:lineRule="auto"/>
      <w:ind w:firstLine="0" w:firstLineChars="0"/>
    </w:pPr>
    <w:rPr>
      <w:sz w:val="21"/>
      <w:szCs w:val="24"/>
    </w:rPr>
  </w:style>
  <w:style w:type="paragraph" w:customStyle="1" w:styleId="a34">
    <w:name w:val="表样式"/>
    <w:basedOn w:val="Normal"/>
    <w:qFormat/>
    <w:pPr>
      <w:adjustRightInd/>
      <w:snapToGrid/>
      <w:spacing w:line="240" w:lineRule="auto"/>
      <w:ind w:firstLine="0" w:firstLineChars="0"/>
      <w:jc w:val="center"/>
    </w:pPr>
    <w:rPr>
      <w:rFonts w:ascii="仿宋_GB2312" w:eastAsia="黑体"/>
      <w:sz w:val="21"/>
      <w:szCs w:val="24"/>
    </w:rPr>
  </w:style>
  <w:style w:type="paragraph" w:customStyle="1" w:styleId="CharCharCharChar11">
    <w:name w:val="Char Char Char Char11"/>
    <w:basedOn w:val="Normal"/>
    <w:qFormat/>
    <w:pPr>
      <w:adjustRightInd/>
      <w:snapToGrid/>
      <w:spacing w:line="240" w:lineRule="auto"/>
      <w:ind w:firstLine="0" w:firstLineChars="0"/>
    </w:pPr>
    <w:rPr>
      <w:sz w:val="21"/>
      <w:szCs w:val="24"/>
    </w:rPr>
  </w:style>
  <w:style w:type="paragraph" w:customStyle="1" w:styleId="Char1CharCharChar">
    <w:name w:val="Char1 Char Char Char"/>
    <w:basedOn w:val="Normal"/>
    <w:qFormat/>
    <w:pPr>
      <w:adjustRightInd/>
      <w:snapToGrid/>
      <w:spacing w:line="240" w:lineRule="auto"/>
      <w:ind w:firstLine="0" w:firstLineChars="0"/>
    </w:pPr>
    <w:rPr>
      <w:sz w:val="21"/>
      <w:szCs w:val="24"/>
    </w:rPr>
  </w:style>
  <w:style w:type="paragraph" w:customStyle="1" w:styleId="CharCharChar1CharCharCharCharCharCharCharCharCharCharCharCharCharCharCharCharCharCharChar">
    <w:name w:val="Char Char Char1 Char Char Char Char Char Char Char Char Char Char Char Char Char Char Char Char Char Char Char"/>
    <w:basedOn w:val="Normal"/>
    <w:next w:val="Macro"/>
    <w:qFormat/>
    <w:pPr>
      <w:adjustRightInd/>
      <w:snapToGrid/>
      <w:spacing w:line="240" w:lineRule="auto"/>
      <w:ind w:firstLine="0" w:firstLineChars="0"/>
    </w:pPr>
    <w:rPr>
      <w:sz w:val="21"/>
    </w:rPr>
  </w:style>
  <w:style w:type="paragraph" w:customStyle="1" w:styleId="CharCharChar1Char">
    <w:name w:val="Char Char Char1 Char"/>
    <w:basedOn w:val="Normal"/>
    <w:qFormat/>
    <w:pPr>
      <w:adjustRightInd/>
      <w:snapToGrid/>
      <w:spacing w:line="240" w:lineRule="auto"/>
      <w:ind w:firstLine="0" w:firstLineChars="0"/>
    </w:pPr>
    <w:rPr>
      <w:sz w:val="21"/>
      <w:szCs w:val="24"/>
    </w:rPr>
  </w:style>
  <w:style w:type="paragraph" w:customStyle="1" w:styleId="Char40">
    <w:name w:val="Char4"/>
    <w:basedOn w:val="Normal"/>
    <w:qFormat/>
    <w:pPr>
      <w:adjustRightInd/>
      <w:snapToGrid/>
    </w:pPr>
    <w:rPr>
      <w:rFonts w:ascii="宋体" w:hAnsi="宋体" w:cs="宋体"/>
      <w:szCs w:val="24"/>
    </w:rPr>
  </w:style>
  <w:style w:type="paragraph" w:customStyle="1" w:styleId="a35">
    <w:name w:val="大标二"/>
    <w:basedOn w:val="Normal"/>
    <w:qFormat/>
    <w:pPr>
      <w:adjustRightInd/>
      <w:snapToGrid/>
      <w:spacing w:line="540" w:lineRule="exact"/>
      <w:ind w:firstLine="597"/>
    </w:pPr>
    <w:rPr>
      <w:rFonts w:eastAsia="黑体" w:cs="宋体"/>
      <w:sz w:val="28"/>
    </w:rPr>
  </w:style>
  <w:style w:type="paragraph" w:customStyle="1" w:styleId="a36">
    <w:name w:val="表号"/>
    <w:qFormat/>
    <w:rPr>
      <w:rFonts w:ascii="楷体_GB2312" w:eastAsia="楷体_GB2312" w:hAnsi="Times New Roman" w:cs="Times New Roman"/>
      <w:sz w:val="24"/>
      <w:szCs w:val="24"/>
      <w:lang w:val="en-US" w:eastAsia="zh-CN" w:bidi="ar-SA"/>
    </w:rPr>
  </w:style>
  <w:style w:type="paragraph" w:customStyle="1" w:styleId="110">
    <w:name w:val="表格1"/>
    <w:basedOn w:val="Normal"/>
    <w:qFormat/>
    <w:pPr>
      <w:snapToGrid/>
      <w:spacing w:line="240" w:lineRule="auto"/>
      <w:ind w:firstLine="0" w:firstLineChars="0"/>
      <w:jc w:val="center"/>
    </w:pPr>
    <w:rPr>
      <w:rFonts w:ascii="宋体" w:hAnsi="宋体"/>
      <w:spacing w:val="-14"/>
      <w:kern w:val="0"/>
    </w:rPr>
  </w:style>
  <w:style w:type="paragraph" w:customStyle="1" w:styleId="1111">
    <w:name w:val="1111"/>
    <w:basedOn w:val="Normal"/>
    <w:qFormat/>
    <w:pPr>
      <w:ind w:firstLine="560"/>
    </w:pPr>
    <w:rPr>
      <w:rFonts w:hAnsi="宋体" w:cs="宋体"/>
      <w:sz w:val="28"/>
    </w:rPr>
  </w:style>
  <w:style w:type="paragraph" w:customStyle="1" w:styleId="a37">
    <w:name w:val="於"/>
    <w:basedOn w:val="Normal"/>
    <w:qFormat/>
    <w:pPr>
      <w:adjustRightInd/>
      <w:snapToGrid/>
    </w:pPr>
    <w:rPr>
      <w:sz w:val="30"/>
      <w:szCs w:val="24"/>
    </w:rPr>
  </w:style>
  <w:style w:type="paragraph" w:customStyle="1" w:styleId="42TimesNewRomanSimSun">
    <w:name w:val="样式 样式 标题 4 + 首行缩进:  2 字符 + (西文) Times New Roman (中文) SimSun 小四..."/>
    <w:basedOn w:val="Normal"/>
    <w:qFormat/>
    <w:pPr>
      <w:keepNext/>
      <w:keepLines/>
      <w:adjustRightInd/>
      <w:snapToGrid/>
      <w:spacing w:line="300" w:lineRule="auto"/>
      <w:ind w:firstLine="0" w:firstLineChars="0"/>
      <w:jc w:val="left"/>
      <w:outlineLvl w:val="3"/>
    </w:pPr>
    <w:rPr>
      <w:rFonts w:eastAsia="黑体"/>
      <w:kern w:val="0"/>
      <w:sz w:val="32"/>
      <w:szCs w:val="32"/>
    </w:rPr>
  </w:style>
  <w:style w:type="paragraph" w:customStyle="1" w:styleId="a38">
    <w:name w:val="节"/>
    <w:basedOn w:val="Heading3"/>
    <w:qFormat/>
    <w:pPr>
      <w:adjustRightInd/>
      <w:snapToGrid/>
      <w:spacing w:before="260" w:after="260"/>
      <w:ind w:firstLine="0" w:firstLineChars="0"/>
      <w:jc w:val="center"/>
    </w:pPr>
    <w:rPr>
      <w:rFonts w:ascii="宋体" w:hAnsi="宋体"/>
      <w:sz w:val="30"/>
    </w:rPr>
  </w:style>
  <w:style w:type="paragraph" w:customStyle="1" w:styleId="CharCharChar4Char">
    <w:name w:val="Char Char Char4 Char"/>
    <w:basedOn w:val="Normal"/>
    <w:qFormat/>
    <w:pPr>
      <w:adjustRightInd/>
      <w:snapToGrid/>
      <w:spacing w:line="240" w:lineRule="auto"/>
      <w:ind w:firstLine="0" w:firstLineChars="0"/>
    </w:pPr>
    <w:rPr>
      <w:sz w:val="21"/>
      <w:szCs w:val="24"/>
    </w:rPr>
  </w:style>
  <w:style w:type="paragraph" w:customStyle="1" w:styleId="a39">
    <w:name w:val="封面"/>
    <w:basedOn w:val="PlainText"/>
    <w:qFormat/>
    <w:pPr>
      <w:widowControl/>
      <w:adjustRightInd/>
      <w:snapToGrid/>
      <w:spacing w:after="200"/>
      <w:ind w:firstLine="0" w:firstLineChars="0"/>
      <w:jc w:val="center"/>
      <w:textAlignment w:val="center"/>
    </w:pPr>
    <w:rPr>
      <w:rFonts w:eastAsia="隶书" w:hAnsi="宋体"/>
      <w:sz w:val="52"/>
      <w:szCs w:val="20"/>
    </w:rPr>
  </w:style>
  <w:style w:type="paragraph" w:customStyle="1" w:styleId="a40">
    <w:name w:val="综治报告"/>
    <w:basedOn w:val="2215"/>
    <w:qFormat/>
    <w:pPr>
      <w:ind w:firstLine="499"/>
    </w:pPr>
  </w:style>
  <w:style w:type="paragraph" w:customStyle="1" w:styleId="2215">
    <w:name w:val="样式 样式2 + 宋体 首行缩进:  2 字符 行距: 1.5 倍行距"/>
    <w:basedOn w:val="21"/>
    <w:qFormat/>
    <w:pPr>
      <w:tabs>
        <w:tab w:val="clear" w:pos="4153"/>
        <w:tab w:val="clear" w:pos="8306"/>
      </w:tabs>
      <w:adjustRightInd/>
      <w:snapToGrid/>
      <w:ind w:firstLine="582"/>
      <w:jc w:val="both"/>
    </w:pPr>
    <w:rPr>
      <w:rFonts w:ascii="宋体" w:hAnsi="宋体" w:cs="宋体"/>
      <w:w w:val="104"/>
      <w:kern w:val="0"/>
      <w:sz w:val="24"/>
      <w:szCs w:val="20"/>
    </w:rPr>
  </w:style>
  <w:style w:type="paragraph" w:customStyle="1" w:styleId="121">
    <w:name w:val="样式 小四 全部大写 居中 行距: 最小值 12 磅"/>
    <w:basedOn w:val="Normal"/>
    <w:qFormat/>
    <w:pPr>
      <w:adjustRightInd/>
      <w:snapToGrid/>
      <w:spacing w:line="240" w:lineRule="atLeast"/>
      <w:ind w:firstLine="0" w:firstLineChars="0"/>
      <w:jc w:val="center"/>
    </w:pPr>
    <w:rPr>
      <w:rFonts w:cs="宋体"/>
      <w:szCs w:val="24"/>
    </w:rPr>
  </w:style>
  <w:style w:type="paragraph" w:customStyle="1" w:styleId="ab">
    <w:name w:val="ab"/>
    <w:basedOn w:val="Normal"/>
    <w:qFormat/>
    <w:pPr>
      <w:widowControl/>
      <w:adjustRightInd/>
      <w:snapToGrid/>
      <w:spacing w:before="30" w:after="135"/>
      <w:ind w:left="60" w:right="135" w:firstLine="420"/>
      <w:jc w:val="left"/>
      <w:textAlignment w:val="center"/>
    </w:pPr>
    <w:rPr>
      <w:rFonts w:ascii="宋体" w:eastAsia="华文中宋" w:hAnsi="宋体"/>
      <w:kern w:val="0"/>
      <w:sz w:val="28"/>
      <w:szCs w:val="22"/>
    </w:rPr>
  </w:style>
  <w:style w:type="paragraph" w:customStyle="1" w:styleId="text">
    <w:name w:val="text"/>
    <w:basedOn w:val="Normal"/>
    <w:qFormat/>
    <w:pPr>
      <w:widowControl/>
      <w:adjustRightInd/>
      <w:snapToGrid/>
      <w:spacing w:before="100" w:beforeAutospacing="1" w:after="100" w:afterAutospacing="1" w:line="240" w:lineRule="auto"/>
      <w:ind w:firstLine="0" w:firstLineChars="0"/>
      <w:jc w:val="left"/>
    </w:pPr>
    <w:rPr>
      <w:rFonts w:ascii="宋体" w:hAnsi="宋体" w:cs="宋体"/>
      <w:color w:val="000000"/>
      <w:kern w:val="0"/>
      <w:sz w:val="18"/>
      <w:szCs w:val="18"/>
    </w:rPr>
  </w:style>
  <w:style w:type="paragraph" w:customStyle="1" w:styleId="pa-1">
    <w:name w:val="pa-1"/>
    <w:basedOn w:val="Normal"/>
    <w:qFormat/>
    <w:pPr>
      <w:widowControl/>
      <w:adjustRightInd/>
      <w:snapToGrid/>
      <w:spacing w:before="150" w:after="150" w:line="240" w:lineRule="auto"/>
      <w:ind w:firstLine="0" w:firstLineChars="0"/>
      <w:jc w:val="left"/>
    </w:pPr>
    <w:rPr>
      <w:rFonts w:ascii="宋体" w:hAnsi="宋体" w:cs="宋体"/>
      <w:kern w:val="0"/>
      <w:szCs w:val="24"/>
    </w:rPr>
  </w:style>
  <w:style w:type="paragraph" w:customStyle="1" w:styleId="a41">
    <w:name w:val="自定义正文"/>
    <w:qFormat/>
    <w:pPr>
      <w:widowControl w:val="0"/>
      <w:adjustRightInd w:val="0"/>
      <w:snapToGrid w:val="0"/>
      <w:spacing w:after="200" w:line="360" w:lineRule="auto"/>
      <w:ind w:firstLine="510"/>
      <w:jc w:val="both"/>
    </w:pPr>
    <w:rPr>
      <w:rFonts w:ascii="Calibri" w:eastAsia="宋体" w:hAnsi="Calibri" w:cs="Times New Roman"/>
      <w:spacing w:val="-2"/>
      <w:kern w:val="2"/>
      <w:sz w:val="28"/>
      <w:szCs w:val="22"/>
      <w:lang w:val="en-US" w:eastAsia="zh-CN" w:bidi="ar-SA"/>
    </w:rPr>
  </w:style>
  <w:style w:type="paragraph" w:customStyle="1" w:styleId="CharCharChar1CharCharCharCharCharCharChar2">
    <w:name w:val="Char Char Char1 Char Char Char Char Char Char Char2"/>
    <w:basedOn w:val="Normal"/>
    <w:qFormat/>
    <w:pPr>
      <w:adjustRightInd/>
    </w:pPr>
    <w:rPr>
      <w:rFonts w:eastAsia="仿宋_GB2312"/>
      <w:szCs w:val="24"/>
    </w:rPr>
  </w:style>
  <w:style w:type="paragraph" w:customStyle="1" w:styleId="xl31">
    <w:name w:val="xl31"/>
    <w:basedOn w:val="Normal"/>
    <w:qFormat/>
    <w:pPr>
      <w:widowControl/>
      <w:pBdr>
        <w:top w:val="single" w:sz="8" w:space="0" w:color="auto"/>
        <w:left w:val="single" w:sz="4" w:space="0" w:color="auto"/>
        <w:bottom w:val="single" w:sz="4" w:space="0" w:color="auto"/>
        <w:right w:val="single" w:sz="4" w:space="0" w:color="auto"/>
      </w:pBdr>
      <w:adjustRightInd/>
      <w:snapToGrid/>
      <w:spacing w:before="100" w:beforeAutospacing="1" w:after="100" w:afterAutospacing="1"/>
      <w:jc w:val="center"/>
    </w:pPr>
    <w:rPr>
      <w:rFonts w:ascii="Arial Unicode MS" w:eastAsia="Arial Unicode MS" w:hAnsi="Arial Unicode MS"/>
      <w:kern w:val="0"/>
      <w:sz w:val="20"/>
      <w:szCs w:val="22"/>
    </w:rPr>
  </w:style>
  <w:style w:type="paragraph" w:customStyle="1" w:styleId="Char1CharCharCharCharCharCharCharCharCharCharChar">
    <w:name w:val="Char1 Char Char Char Char Char Char Char Char Char Char Char"/>
    <w:basedOn w:val="Normal"/>
    <w:qFormat/>
    <w:pPr>
      <w:adjustRightInd/>
      <w:snapToGrid/>
      <w:spacing w:line="240" w:lineRule="auto"/>
      <w:ind w:firstLine="0" w:firstLineChars="0"/>
    </w:pPr>
    <w:rPr>
      <w:sz w:val="21"/>
      <w:szCs w:val="24"/>
    </w:rPr>
  </w:style>
  <w:style w:type="paragraph" w:customStyle="1" w:styleId="223">
    <w:name w:val="样式 样式2 + 宋体 首行缩进:  2 字符3"/>
    <w:basedOn w:val="21"/>
    <w:qFormat/>
    <w:pPr>
      <w:tabs>
        <w:tab w:val="clear" w:pos="4153"/>
        <w:tab w:val="clear" w:pos="8306"/>
      </w:tabs>
      <w:adjustRightInd/>
      <w:snapToGrid/>
      <w:ind w:firstLine="200"/>
      <w:jc w:val="both"/>
    </w:pPr>
    <w:rPr>
      <w:rFonts w:ascii="宋体" w:hAnsi="宋体" w:cs="宋体"/>
      <w:sz w:val="28"/>
      <w:szCs w:val="20"/>
    </w:rPr>
  </w:style>
  <w:style w:type="paragraph" w:customStyle="1" w:styleId="font9">
    <w:name w:val="font9"/>
    <w:basedOn w:val="Normal"/>
    <w:qFormat/>
    <w:pPr>
      <w:widowControl/>
      <w:adjustRightInd/>
      <w:snapToGrid/>
      <w:spacing w:before="100" w:beforeAutospacing="1" w:after="100" w:afterAutospacing="1" w:line="240" w:lineRule="auto"/>
      <w:ind w:firstLine="0" w:firstLineChars="0"/>
      <w:jc w:val="left"/>
    </w:pPr>
    <w:rPr>
      <w:rFonts w:ascii="仿宋_GB2312" w:eastAsia="仿宋_GB2312" w:hAnsi="宋体" w:cs="宋体"/>
      <w:b/>
      <w:bCs/>
      <w:color w:val="FF0000"/>
      <w:kern w:val="0"/>
      <w:sz w:val="21"/>
      <w:szCs w:val="21"/>
    </w:rPr>
  </w:style>
  <w:style w:type="paragraph" w:customStyle="1" w:styleId="CharCharChar1CharCharCharCharCharCharCharCharCharCharCharCharCharCharCharCharCharCharChar1">
    <w:name w:val="Char Char Char1 Char Char Char Char Char Char Char Char Char Char Char Char Char Char Char Char Char Char Char1"/>
    <w:basedOn w:val="Normal"/>
    <w:next w:val="Macro"/>
    <w:qFormat/>
    <w:pPr>
      <w:adjustRightInd/>
      <w:snapToGrid/>
      <w:spacing w:line="240" w:lineRule="auto"/>
      <w:ind w:firstLine="0" w:firstLineChars="0"/>
    </w:pPr>
    <w:rPr>
      <w:sz w:val="21"/>
    </w:rPr>
  </w:style>
  <w:style w:type="paragraph" w:styleId="ListParagraph">
    <w:name w:val="List Paragraph"/>
    <w:basedOn w:val="Normal"/>
    <w:qFormat/>
    <w:pPr>
      <w:ind w:firstLine="420"/>
    </w:pPr>
  </w:style>
  <w:style w:type="paragraph" w:customStyle="1" w:styleId="xl70">
    <w:name w:val="xl70"/>
    <w:basedOn w:val="Normal"/>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0" w:firstLineChars="0"/>
      <w:jc w:val="center"/>
      <w:textAlignment w:val="center"/>
    </w:pPr>
    <w:rPr>
      <w:rFonts w:ascii="仿宋_GB2312" w:eastAsia="仿宋_GB2312" w:hAnsi="宋体" w:cs="宋体"/>
      <w:color w:val="FF0000"/>
      <w:kern w:val="0"/>
      <w:sz w:val="21"/>
      <w:szCs w:val="21"/>
    </w:rPr>
  </w:style>
  <w:style w:type="paragraph" w:customStyle="1" w:styleId="221">
    <w:name w:val="样式 样式2 + 宋体 首行缩进:  2 字符"/>
    <w:basedOn w:val="21"/>
    <w:qFormat/>
    <w:pPr>
      <w:tabs>
        <w:tab w:val="clear" w:pos="4153"/>
        <w:tab w:val="clear" w:pos="8306"/>
      </w:tabs>
      <w:adjustRightInd/>
      <w:snapToGrid/>
      <w:spacing w:line="480" w:lineRule="exact"/>
      <w:ind w:firstLine="560"/>
      <w:jc w:val="both"/>
    </w:pPr>
    <w:rPr>
      <w:rFonts w:ascii="宋体" w:hAnsi="宋体" w:cs="宋体"/>
      <w:sz w:val="24"/>
      <w:szCs w:val="20"/>
    </w:rPr>
  </w:style>
  <w:style w:type="paragraph" w:customStyle="1" w:styleId="CharCharCharCharCharCharChar1">
    <w:name w:val="Char Char Char Char Char Char Char1"/>
    <w:basedOn w:val="Normal"/>
    <w:qFormat/>
    <w:pPr>
      <w:adjustRightInd/>
      <w:snapToGrid/>
      <w:spacing w:beforeLines="100" w:afterLines="100"/>
    </w:pPr>
    <w:rPr>
      <w:rFonts w:ascii="宋体" w:hAnsi="宋体" w:cs="宋体"/>
      <w:szCs w:val="24"/>
    </w:rPr>
  </w:style>
  <w:style w:type="paragraph" w:customStyle="1" w:styleId="a42">
    <w:name w:val="铝土矿正文"/>
    <w:basedOn w:val="Normal"/>
    <w:qFormat/>
    <w:pPr>
      <w:adjustRightInd/>
      <w:snapToGrid/>
      <w:spacing w:line="600" w:lineRule="exact"/>
    </w:pPr>
    <w:rPr>
      <w:rFonts w:eastAsia="仿宋_GB2312"/>
      <w:sz w:val="28"/>
      <w:szCs w:val="24"/>
    </w:rPr>
  </w:style>
  <w:style w:type="paragraph" w:customStyle="1" w:styleId="25">
    <w:name w:val="表格2"/>
    <w:basedOn w:val="Normal"/>
    <w:qFormat/>
    <w:pPr>
      <w:autoSpaceDE w:val="0"/>
      <w:autoSpaceDN w:val="0"/>
      <w:snapToGrid/>
      <w:spacing w:line="360" w:lineRule="exact"/>
      <w:ind w:firstLine="1470" w:firstLineChars="525"/>
    </w:pPr>
    <w:rPr>
      <w:rFonts w:ascii="宋体" w:hAnsi="宋体"/>
      <w:kern w:val="0"/>
      <w:sz w:val="28"/>
    </w:rPr>
  </w:style>
  <w:style w:type="paragraph" w:customStyle="1" w:styleId="3113121225">
    <w:name w:val="样式 样式 标题 3 + 首行缩进:  1.13 厘米 段前: 12 磅 段后: 12 磅 行距: 固定值 25 磅 + (中文..."/>
    <w:basedOn w:val="31131212250"/>
    <w:qFormat/>
  </w:style>
  <w:style w:type="paragraph" w:customStyle="1" w:styleId="31131212250">
    <w:name w:val="样式 标题 3 + 首行缩进:  1.13 厘米 段前: 12 磅 段后: 12 磅 行距: 固定值 25 磅"/>
    <w:basedOn w:val="Heading3"/>
    <w:qFormat/>
    <w:pPr>
      <w:widowControl/>
      <w:adjustRightInd/>
      <w:snapToGrid/>
      <w:spacing w:before="240" w:after="240" w:line="500" w:lineRule="exact"/>
      <w:jc w:val="left"/>
    </w:pPr>
    <w:rPr>
      <w:rFonts w:ascii="Cambria" w:eastAsia="黑体" w:hAnsi="Cambria"/>
      <w:color w:val="2DA2BF"/>
      <w:kern w:val="0"/>
      <w:sz w:val="30"/>
      <w:szCs w:val="20"/>
    </w:rPr>
  </w:style>
  <w:style w:type="paragraph" w:customStyle="1" w:styleId="Char2CharCharChar11">
    <w:name w:val="Char2 Char Char Char11"/>
    <w:basedOn w:val="Normal"/>
    <w:qFormat/>
    <w:pPr>
      <w:widowControl/>
      <w:adjustRightInd/>
      <w:snapToGrid/>
      <w:spacing w:after="200"/>
      <w:jc w:val="left"/>
    </w:pPr>
    <w:rPr>
      <w:rFonts w:ascii="宋体" w:hAnsi="宋体"/>
      <w:kern w:val="0"/>
      <w:szCs w:val="22"/>
    </w:rPr>
  </w:style>
  <w:style w:type="paragraph" w:customStyle="1" w:styleId="a43">
    <w:name w:val="表格"/>
    <w:basedOn w:val="Normal"/>
    <w:qFormat/>
    <w:pPr>
      <w:autoSpaceDE w:val="0"/>
      <w:autoSpaceDN w:val="0"/>
      <w:snapToGrid/>
      <w:spacing w:line="320" w:lineRule="exact"/>
      <w:ind w:firstLine="0"/>
    </w:pPr>
    <w:rPr>
      <w:rFonts w:ascii="宋体"/>
      <w:color w:val="000000"/>
      <w:spacing w:val="-20"/>
      <w:kern w:val="0"/>
    </w:rPr>
  </w:style>
  <w:style w:type="paragraph" w:customStyle="1" w:styleId="xl80">
    <w:name w:val="xl80"/>
    <w:basedOn w:val="Normal"/>
    <w:qFormat/>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0" w:firstLineChars="0"/>
      <w:jc w:val="center"/>
      <w:textAlignment w:val="center"/>
    </w:pPr>
    <w:rPr>
      <w:rFonts w:ascii="仿宋_GB2312" w:eastAsia="仿宋_GB2312" w:hAnsi="宋体" w:cs="宋体"/>
      <w:b/>
      <w:bCs/>
      <w:color w:val="FF0000"/>
      <w:kern w:val="0"/>
      <w:sz w:val="21"/>
      <w:szCs w:val="21"/>
    </w:rPr>
  </w:style>
  <w:style w:type="paragraph" w:customStyle="1" w:styleId="60">
    <w:name w:val="标题6"/>
    <w:basedOn w:val="Heading6"/>
    <w:qFormat/>
    <w:pPr>
      <w:widowControl w:val="0"/>
      <w:spacing w:before="240" w:after="64" w:line="319" w:lineRule="auto"/>
      <w:ind w:firstLine="3286" w:firstLineChars="1091"/>
      <w:jc w:val="center"/>
    </w:pPr>
    <w:rPr>
      <w:rFonts w:ascii="Arial" w:hAnsi="Arial"/>
      <w:b/>
      <w:i w:val="0"/>
      <w:iCs w:val="0"/>
      <w:color w:val="auto"/>
      <w:kern w:val="2"/>
      <w:sz w:val="30"/>
    </w:rPr>
  </w:style>
  <w:style w:type="paragraph" w:customStyle="1" w:styleId="130">
    <w:name w:val="1.3行"/>
    <w:basedOn w:val="070706"/>
    <w:qFormat/>
    <w:pPr>
      <w:ind w:firstLine="482"/>
    </w:pPr>
    <w:rPr>
      <w:b/>
      <w:bCs/>
      <w:color w:val="000000"/>
      <w:sz w:val="24"/>
      <w:szCs w:val="24"/>
    </w:rPr>
  </w:style>
  <w:style w:type="paragraph" w:customStyle="1" w:styleId="xl74">
    <w:name w:val="xl74"/>
    <w:basedOn w:val="Normal"/>
    <w:qFormat/>
    <w:pPr>
      <w:widowControl/>
      <w:pBdr>
        <w:left w:val="single" w:sz="4" w:space="0" w:color="auto"/>
        <w:right w:val="single" w:sz="4" w:space="0" w:color="auto"/>
      </w:pBdr>
      <w:adjustRightInd/>
      <w:snapToGrid/>
      <w:spacing w:before="100" w:beforeAutospacing="1" w:after="100" w:afterAutospacing="1" w:line="240" w:lineRule="auto"/>
      <w:ind w:firstLine="0" w:firstLineChars="0"/>
      <w:jc w:val="center"/>
      <w:textAlignment w:val="center"/>
    </w:pPr>
    <w:rPr>
      <w:rFonts w:ascii="宋体" w:hAnsi="宋体" w:cs="宋体"/>
      <w:color w:val="FF0000"/>
      <w:kern w:val="0"/>
      <w:sz w:val="21"/>
      <w:szCs w:val="21"/>
    </w:rPr>
  </w:style>
  <w:style w:type="paragraph" w:customStyle="1" w:styleId="Char1CharChar11">
    <w:name w:val="Char1 Char Char11"/>
    <w:basedOn w:val="Normal"/>
    <w:qFormat/>
    <w:pPr>
      <w:adjustRightInd/>
      <w:snapToGrid/>
      <w:spacing w:line="240" w:lineRule="auto"/>
      <w:ind w:firstLine="0" w:firstLineChars="0"/>
    </w:pPr>
    <w:rPr>
      <w:sz w:val="21"/>
      <w:szCs w:val="24"/>
    </w:rPr>
  </w:style>
  <w:style w:type="paragraph" w:customStyle="1" w:styleId="1CharCharChar">
    <w:name w:val="正文1 Char Char Char"/>
    <w:qFormat/>
    <w:pPr>
      <w:spacing w:before="240" w:after="240" w:line="360" w:lineRule="auto"/>
      <w:ind w:firstLine="200" w:firstLineChars="200"/>
      <w:jc w:val="both"/>
    </w:pPr>
    <w:rPr>
      <w:rFonts w:ascii="Calibri" w:eastAsia="仿宋_GB2312" w:hAnsi="Calibri" w:cs="Times New Roman"/>
      <w:kern w:val="2"/>
      <w:sz w:val="24"/>
      <w:szCs w:val="22"/>
      <w:lang w:val="en-US" w:eastAsia="zh-CN" w:bidi="ar-SA"/>
    </w:rPr>
  </w:style>
  <w:style w:type="paragraph" w:customStyle="1" w:styleId="CharCharCharCharCharCharCharCharCharCharCharCharCharCharCharChar">
    <w:name w:val="Char Char Char Char Char Char Char Char Char Char Char Char Char Char Char Char"/>
    <w:basedOn w:val="Normal"/>
    <w:qFormat/>
    <w:pPr>
      <w:adjustRightInd/>
      <w:snapToGrid/>
      <w:spacing w:line="240" w:lineRule="auto"/>
      <w:ind w:firstLine="0" w:firstLineChars="0"/>
    </w:pPr>
    <w:rPr>
      <w:sz w:val="21"/>
      <w:szCs w:val="24"/>
    </w:rPr>
  </w:style>
  <w:style w:type="paragraph" w:customStyle="1" w:styleId="xl24">
    <w:name w:val="xl24"/>
    <w:basedOn w:val="Normal"/>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jc w:val="center"/>
    </w:pPr>
    <w:rPr>
      <w:rFonts w:ascii="Arial Unicode MS" w:eastAsia="Arial Unicode MS" w:hAnsi="Arial Unicode MS"/>
      <w:kern w:val="0"/>
      <w:sz w:val="20"/>
      <w:szCs w:val="22"/>
    </w:rPr>
  </w:style>
  <w:style w:type="paragraph" w:customStyle="1" w:styleId="a44">
    <w:name w:val="标准书脚_奇数页"/>
    <w:qFormat/>
    <w:pPr>
      <w:spacing w:before="120"/>
      <w:jc w:val="right"/>
    </w:pPr>
    <w:rPr>
      <w:rFonts w:ascii="Times New Roman" w:eastAsia="宋体" w:hAnsi="Times New Roman" w:cs="Times New Roman"/>
      <w:sz w:val="18"/>
      <w:lang w:val="en-US" w:eastAsia="zh-CN" w:bidi="ar-SA"/>
    </w:rPr>
  </w:style>
  <w:style w:type="paragraph" w:customStyle="1" w:styleId="GB2312152">
    <w:name w:val="样式 (中文) 仿宋_GB2312 行距: 1.5 倍行距 首行缩进:  2 字符"/>
    <w:basedOn w:val="Normal"/>
    <w:qFormat/>
    <w:pPr>
      <w:adjustRightInd/>
      <w:snapToGrid/>
    </w:pPr>
    <w:rPr>
      <w:rFonts w:eastAsia="仿宋_GB2312" w:cs="宋体"/>
      <w:color w:val="00B050"/>
    </w:rPr>
  </w:style>
  <w:style w:type="paragraph" w:customStyle="1" w:styleId="xl25">
    <w:name w:val="xl25"/>
    <w:basedOn w:val="Normal"/>
    <w:qFormat/>
    <w:pPr>
      <w:widowControl/>
      <w:adjustRightInd/>
      <w:snapToGrid/>
      <w:spacing w:before="100" w:beforeAutospacing="1" w:after="100" w:afterAutospacing="1" w:line="240" w:lineRule="auto"/>
      <w:ind w:firstLine="0" w:firstLineChars="0"/>
      <w:jc w:val="center"/>
      <w:textAlignment w:val="center"/>
    </w:pPr>
    <w:rPr>
      <w:rFonts w:ascii="Arial Unicode MS" w:eastAsia="Arial Unicode MS" w:hAnsi="Arial Unicode MS" w:cs="Arial Unicode MS"/>
      <w:kern w:val="0"/>
      <w:szCs w:val="24"/>
    </w:rPr>
  </w:style>
  <w:style w:type="paragraph" w:customStyle="1" w:styleId="xl39">
    <w:name w:val="xl39"/>
    <w:basedOn w:val="Normal"/>
    <w:qFormat/>
    <w:pPr>
      <w:widowControl/>
      <w:pBdr>
        <w:left w:val="single" w:sz="8" w:space="0" w:color="auto"/>
        <w:bottom w:val="single" w:sz="4" w:space="0" w:color="auto"/>
        <w:right w:val="single" w:sz="4" w:space="0" w:color="auto"/>
      </w:pBdr>
      <w:adjustRightInd/>
      <w:snapToGrid/>
      <w:spacing w:before="100" w:beforeAutospacing="1" w:after="100" w:afterAutospacing="1"/>
      <w:jc w:val="center"/>
    </w:pPr>
    <w:rPr>
      <w:rFonts w:ascii="Arial Unicode MS" w:eastAsia="Arial Unicode MS" w:hAnsi="Arial Unicode MS"/>
      <w:kern w:val="0"/>
      <w:szCs w:val="22"/>
    </w:rPr>
  </w:style>
  <w:style w:type="paragraph" w:customStyle="1" w:styleId="CharCharCharCharCharCharCharCharCharCharCharChar1CharCharCharChar1">
    <w:name w:val="Char Char Char Char Char Char Char Char Char Char Char Char1 Char Char Char Char1"/>
    <w:basedOn w:val="Normal"/>
    <w:qFormat/>
    <w:pPr>
      <w:adjustRightInd/>
      <w:snapToGrid/>
      <w:spacing w:line="240" w:lineRule="auto"/>
      <w:ind w:firstLine="0" w:firstLineChars="0"/>
    </w:pPr>
    <w:rPr>
      <w:sz w:val="21"/>
      <w:szCs w:val="24"/>
    </w:rPr>
  </w:style>
  <w:style w:type="paragraph" w:customStyle="1" w:styleId="111">
    <w:name w:val="标1"/>
    <w:basedOn w:val="Normal"/>
    <w:next w:val="Normal"/>
    <w:qFormat/>
    <w:pPr>
      <w:adjustRightInd/>
      <w:snapToGrid/>
      <w:jc w:val="center"/>
    </w:pPr>
    <w:rPr>
      <w:rFonts w:ascii="宋体" w:eastAsia="黑体" w:hAnsi="宋体" w:cs="宋体"/>
      <w:sz w:val="32"/>
      <w:szCs w:val="24"/>
    </w:rPr>
  </w:style>
  <w:style w:type="paragraph" w:customStyle="1" w:styleId="CharCharChar1CharCharCharCharCharCharCharCharChar">
    <w:name w:val="Char Char Char1 Char Char Char Char Char Char Char Char Char"/>
    <w:basedOn w:val="Normal"/>
    <w:qFormat/>
    <w:pPr>
      <w:adjustRightInd/>
      <w:snapToGrid/>
      <w:spacing w:line="240" w:lineRule="auto"/>
      <w:ind w:firstLine="0" w:firstLineChars="0"/>
    </w:pPr>
    <w:rPr>
      <w:sz w:val="44"/>
    </w:rPr>
  </w:style>
  <w:style w:type="paragraph" w:customStyle="1" w:styleId="bgbt">
    <w:name w:val="bgbt副标题"/>
    <w:basedOn w:val="Normal"/>
    <w:next w:val="Normal"/>
    <w:qFormat/>
    <w:pPr>
      <w:adjustRightInd/>
      <w:snapToGrid/>
      <w:spacing w:line="240" w:lineRule="auto"/>
      <w:ind w:firstLine="0" w:firstLineChars="0"/>
      <w:jc w:val="center"/>
    </w:pPr>
    <w:rPr>
      <w:rFonts w:eastAsia="黑体"/>
      <w:sz w:val="32"/>
    </w:rPr>
  </w:style>
  <w:style w:type="paragraph" w:customStyle="1" w:styleId="a45">
    <w:name w:val="正文+宋体"/>
    <w:basedOn w:val="Normal"/>
    <w:qFormat/>
    <w:pPr>
      <w:adjustRightInd/>
      <w:snapToGrid/>
      <w:ind w:firstLine="560"/>
    </w:pPr>
    <w:rPr>
      <w:sz w:val="28"/>
    </w:rPr>
  </w:style>
  <w:style w:type="paragraph" w:customStyle="1" w:styleId="brdrw15brsp20tqctx4153t">
    <w:name w:val="brdrw15brsp20 tqctx4153t"/>
    <w:qFormat/>
    <w:pPr>
      <w:widowControl w:val="0"/>
      <w:pBdr>
        <w:bottom w:val="single" w:sz="6" w:space="0" w:color="auto"/>
      </w:pBdr>
      <w:adjustRightInd w:val="0"/>
      <w:spacing w:line="312" w:lineRule="atLeast"/>
      <w:jc w:val="center"/>
      <w:textAlignment w:val="baseline"/>
    </w:pPr>
    <w:rPr>
      <w:rFonts w:ascii="Times New Roman" w:eastAsia="宋体" w:hAnsi="Times New Roman" w:cs="Times New Roman"/>
      <w:sz w:val="21"/>
      <w:lang w:val="en-US" w:eastAsia="zh-CN" w:bidi="ar-SA"/>
    </w:rPr>
  </w:style>
  <w:style w:type="paragraph" w:customStyle="1" w:styleId="3CharCharCharCharCharCharCharCharChar1">
    <w:name w:val="3 Char Char Char Char Char Char Char Char Char1"/>
    <w:basedOn w:val="Normal"/>
    <w:qFormat/>
    <w:pPr>
      <w:widowControl/>
      <w:adjustRightInd/>
      <w:spacing w:after="200"/>
      <w:jc w:val="left"/>
    </w:pPr>
    <w:rPr>
      <w:rFonts w:ascii="Calibri" w:eastAsia="仿宋_GB2312" w:hAnsi="Calibri"/>
      <w:kern w:val="0"/>
      <w:szCs w:val="22"/>
    </w:rPr>
  </w:style>
  <w:style w:type="paragraph" w:customStyle="1" w:styleId="xl30">
    <w:name w:val="xl30"/>
    <w:basedOn w:val="Normal"/>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0" w:firstLineChars="0"/>
      <w:jc w:val="center"/>
    </w:pPr>
    <w:rPr>
      <w:rFonts w:ascii="宋体" w:hAnsi="宋体"/>
      <w:kern w:val="0"/>
      <w:szCs w:val="24"/>
    </w:rPr>
  </w:style>
  <w:style w:type="paragraph" w:customStyle="1" w:styleId="0">
    <w:name w:val="0"/>
    <w:basedOn w:val="Normal"/>
    <w:qFormat/>
    <w:pPr>
      <w:widowControl/>
      <w:adjustRightInd/>
      <w:spacing w:line="240" w:lineRule="auto"/>
      <w:ind w:firstLine="0" w:firstLineChars="0"/>
    </w:pPr>
    <w:rPr>
      <w:kern w:val="0"/>
      <w:sz w:val="21"/>
      <w:szCs w:val="21"/>
    </w:rPr>
  </w:style>
  <w:style w:type="paragraph" w:customStyle="1" w:styleId="26">
    <w:name w:val="2"/>
    <w:basedOn w:val="Normal"/>
    <w:next w:val="BodyTextIndent"/>
    <w:qFormat/>
    <w:pPr>
      <w:widowControl/>
      <w:adjustRightInd/>
      <w:snapToGrid/>
      <w:spacing w:after="200"/>
      <w:ind w:firstLine="560"/>
      <w:jc w:val="left"/>
    </w:pPr>
    <w:rPr>
      <w:rFonts w:ascii="Calibri" w:hAnsi="Calibri"/>
      <w:kern w:val="0"/>
      <w:sz w:val="28"/>
      <w:szCs w:val="22"/>
    </w:rPr>
  </w:style>
  <w:style w:type="paragraph" w:customStyle="1" w:styleId="xl40">
    <w:name w:val="xl40"/>
    <w:basedOn w:val="Normal"/>
    <w:qFormat/>
    <w:pPr>
      <w:widowControl/>
      <w:pBdr>
        <w:top w:val="single" w:sz="4" w:space="0" w:color="auto"/>
        <w:left w:val="single" w:sz="8" w:space="0" w:color="auto"/>
        <w:bottom w:val="single" w:sz="8" w:space="0" w:color="auto"/>
      </w:pBdr>
      <w:adjustRightInd/>
      <w:snapToGrid/>
      <w:spacing w:before="100" w:beforeAutospacing="1" w:after="100" w:afterAutospacing="1"/>
      <w:jc w:val="center"/>
    </w:pPr>
    <w:rPr>
      <w:rFonts w:ascii="Arial Unicode MS" w:eastAsia="Arial Unicode MS" w:hAnsi="Arial Unicode MS"/>
      <w:kern w:val="0"/>
      <w:sz w:val="20"/>
      <w:szCs w:val="22"/>
    </w:rPr>
  </w:style>
  <w:style w:type="paragraph" w:customStyle="1" w:styleId="pa-2">
    <w:name w:val="pa-2"/>
    <w:basedOn w:val="Normal"/>
    <w:qFormat/>
    <w:pPr>
      <w:widowControl/>
      <w:adjustRightInd/>
      <w:snapToGrid/>
      <w:spacing w:before="150" w:after="150" w:line="240" w:lineRule="auto"/>
      <w:ind w:firstLine="0" w:firstLineChars="0"/>
      <w:jc w:val="left"/>
    </w:pPr>
    <w:rPr>
      <w:rFonts w:ascii="宋体" w:hAnsi="宋体" w:cs="宋体"/>
      <w:kern w:val="0"/>
      <w:szCs w:val="24"/>
    </w:rPr>
  </w:style>
  <w:style w:type="paragraph" w:customStyle="1" w:styleId="112">
    <w:name w:val="正文样式1"/>
    <w:basedOn w:val="PlainText"/>
    <w:qFormat/>
    <w:pPr>
      <w:widowControl/>
      <w:adjustRightInd/>
      <w:snapToGrid/>
      <w:ind w:firstLine="560"/>
      <w:jc w:val="left"/>
    </w:pPr>
    <w:rPr>
      <w:sz w:val="24"/>
    </w:rPr>
  </w:style>
  <w:style w:type="paragraph" w:customStyle="1" w:styleId="Char210">
    <w:name w:val="Char21"/>
    <w:basedOn w:val="DocumentMap"/>
    <w:qFormat/>
    <w:pPr>
      <w:adjustRightInd w:val="0"/>
      <w:spacing w:line="436" w:lineRule="exact"/>
      <w:ind w:left="357"/>
      <w:jc w:val="left"/>
      <w:outlineLvl w:val="3"/>
    </w:pPr>
    <w:rPr>
      <w:rFonts w:ascii="Tahoma" w:hAnsi="Tahoma"/>
      <w:b/>
      <w:sz w:val="24"/>
      <w:szCs w:val="24"/>
    </w:rPr>
  </w:style>
  <w:style w:type="paragraph" w:customStyle="1" w:styleId="33">
    <w:name w:val="样式3(代文)"/>
    <w:basedOn w:val="Normal"/>
    <w:qFormat/>
    <w:pPr>
      <w:adjustRightInd/>
      <w:snapToGrid/>
      <w:spacing w:line="640" w:lineRule="exact"/>
      <w:ind w:firstLine="538" w:firstLineChars="192"/>
      <w:jc w:val="left"/>
    </w:pPr>
    <w:rPr>
      <w:sz w:val="28"/>
      <w:szCs w:val="24"/>
    </w:rPr>
  </w:style>
  <w:style w:type="paragraph" w:customStyle="1" w:styleId="a46">
    <w:name w:val="封面标准名称"/>
    <w:qFormat/>
    <w:pPr>
      <w:framePr w:w="9638" w:h="6917" w:hRule="exact" w:wrap="around" w:vAnchor="margin" w:hAnchor="margin" w:xAlign="center" w:y="5955" w:anchorLock="1"/>
      <w:widowControl w:val="0"/>
      <w:spacing w:line="680" w:lineRule="exact"/>
      <w:jc w:val="center"/>
      <w:textAlignment w:val="center"/>
    </w:pPr>
    <w:rPr>
      <w:rFonts w:ascii="黑体" w:eastAsia="黑体" w:hAnsi="Times New Roman" w:cs="Times New Roman"/>
      <w:sz w:val="52"/>
      <w:lang w:val="en-US" w:eastAsia="zh-CN" w:bidi="ar-SA"/>
    </w:rPr>
  </w:style>
  <w:style w:type="paragraph" w:customStyle="1" w:styleId="CharCharCharCharCharCharCharCharCharCharCharCharCharCharCharCharCharChar1CharCharCharCharCharCharCharCharCharCharCharCharCharCharCharChar">
    <w:name w:val="Char Char Char Char Char Char Char Char Char Char Char Char Char Char Char Char Char Char1 Char Char Char Char Char Char Char Char Char Char Char Char Char Char Char Char"/>
    <w:basedOn w:val="Normal"/>
    <w:next w:val="Normal"/>
    <w:qFormat/>
    <w:pPr>
      <w:adjustRightInd/>
      <w:snapToGrid/>
    </w:pPr>
    <w:rPr>
      <w:rFonts w:ascii="宋体" w:hAnsi="宋体" w:cs="宋体"/>
      <w:snapToGrid w:val="0"/>
      <w:kern w:val="0"/>
      <w:szCs w:val="24"/>
    </w:rPr>
  </w:style>
  <w:style w:type="paragraph" w:customStyle="1" w:styleId="xl72">
    <w:name w:val="xl72"/>
    <w:basedOn w:val="Normal"/>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0" w:firstLineChars="0"/>
      <w:jc w:val="center"/>
      <w:textAlignment w:val="center"/>
    </w:pPr>
    <w:rPr>
      <w:rFonts w:ascii="仿宋_GB2312" w:eastAsia="仿宋_GB2312" w:hAnsi="宋体" w:cs="宋体"/>
      <w:color w:val="FF0000"/>
      <w:kern w:val="0"/>
      <w:sz w:val="21"/>
      <w:szCs w:val="21"/>
    </w:rPr>
  </w:style>
  <w:style w:type="paragraph" w:customStyle="1" w:styleId="font8">
    <w:name w:val="font8"/>
    <w:basedOn w:val="Normal"/>
    <w:qFormat/>
    <w:pPr>
      <w:widowControl/>
      <w:adjustRightInd/>
      <w:snapToGrid/>
      <w:spacing w:before="100" w:beforeAutospacing="1" w:after="100" w:afterAutospacing="1"/>
      <w:jc w:val="left"/>
    </w:pPr>
    <w:rPr>
      <w:rFonts w:ascii="Calibri" w:eastAsia="Arial Unicode MS" w:hAnsi="Calibri"/>
      <w:kern w:val="0"/>
      <w:sz w:val="20"/>
      <w:szCs w:val="22"/>
    </w:rPr>
  </w:style>
  <w:style w:type="paragraph" w:customStyle="1" w:styleId="a47">
    <w:name w:val="图表脚注"/>
    <w:next w:val="a7"/>
    <w:qFormat/>
    <w:pPr>
      <w:ind w:left="300" w:hanging="100" w:leftChars="200" w:hangingChars="100"/>
      <w:jc w:val="both"/>
    </w:pPr>
    <w:rPr>
      <w:rFonts w:ascii="宋体" w:eastAsia="宋体" w:hAnsi="Times New Roman" w:cs="Times New Roman"/>
      <w:sz w:val="18"/>
      <w:lang w:val="en-US" w:eastAsia="zh-CN" w:bidi="ar-SA"/>
    </w:rPr>
  </w:style>
  <w:style w:type="paragraph" w:customStyle="1" w:styleId="bg">
    <w:name w:val="bg正文首行缩进"/>
    <w:basedOn w:val="Normal"/>
    <w:qFormat/>
    <w:pPr>
      <w:widowControl/>
      <w:adjustRightInd/>
      <w:snapToGrid/>
      <w:spacing w:after="200" w:line="400" w:lineRule="exact"/>
      <w:ind w:firstLine="482"/>
      <w:jc w:val="left"/>
    </w:pPr>
    <w:rPr>
      <w:rFonts w:ascii="Calibri" w:hAnsi="Calibri"/>
      <w:kern w:val="0"/>
      <w:szCs w:val="22"/>
    </w:rPr>
  </w:style>
  <w:style w:type="paragraph" w:customStyle="1" w:styleId="CharCharCharCharCharCharCharCharChar">
    <w:name w:val="Char Char Char Char Char Char Char Char Char"/>
    <w:basedOn w:val="Normal"/>
    <w:qFormat/>
    <w:pPr>
      <w:adjustRightInd/>
      <w:snapToGrid/>
      <w:spacing w:line="240" w:lineRule="auto"/>
      <w:ind w:firstLine="0" w:firstLineChars="0"/>
    </w:pPr>
    <w:rPr>
      <w:sz w:val="21"/>
      <w:szCs w:val="24"/>
    </w:rPr>
  </w:style>
  <w:style w:type="paragraph" w:customStyle="1" w:styleId="113">
    <w:name w:val="表头1"/>
    <w:basedOn w:val="Normal"/>
    <w:qFormat/>
    <w:pPr>
      <w:adjustRightInd/>
      <w:snapToGrid/>
      <w:spacing w:line="240" w:lineRule="auto"/>
      <w:ind w:firstLine="0" w:firstLineChars="0"/>
      <w:jc w:val="left"/>
    </w:pPr>
    <w:rPr>
      <w:sz w:val="21"/>
      <w:szCs w:val="24"/>
    </w:rPr>
  </w:style>
  <w:style w:type="paragraph" w:customStyle="1" w:styleId="CharCharCharCharCharCharCharCharCharCharCharCharCharCharCharChar1">
    <w:name w:val="Char Char Char Char Char Char Char Char Char Char Char Char Char Char Char Char1"/>
    <w:basedOn w:val="Normal"/>
    <w:qFormat/>
    <w:pPr>
      <w:adjustRightInd/>
      <w:snapToGrid/>
      <w:spacing w:line="240" w:lineRule="auto"/>
      <w:ind w:firstLine="0" w:firstLineChars="0"/>
    </w:pPr>
    <w:rPr>
      <w:sz w:val="21"/>
      <w:szCs w:val="24"/>
    </w:rPr>
  </w:style>
  <w:style w:type="paragraph" w:customStyle="1" w:styleId="a48">
    <w:name w:val="封面标准文稿编辑信息"/>
    <w:qFormat/>
    <w:pPr>
      <w:spacing w:before="180" w:line="180" w:lineRule="exact"/>
      <w:jc w:val="center"/>
    </w:pPr>
    <w:rPr>
      <w:rFonts w:ascii="宋体" w:eastAsia="宋体" w:hAnsi="Times New Roman" w:cs="Times New Roman"/>
      <w:sz w:val="21"/>
      <w:lang w:val="en-US" w:eastAsia="zh-CN" w:bidi="ar-SA"/>
    </w:rPr>
  </w:style>
  <w:style w:type="paragraph" w:customStyle="1" w:styleId="Char37">
    <w:name w:val="Char"/>
    <w:basedOn w:val="Normal"/>
    <w:qFormat/>
    <w:pPr>
      <w:adjustRightInd/>
      <w:snapToGrid/>
      <w:spacing w:line="240" w:lineRule="auto"/>
      <w:ind w:firstLine="0" w:firstLineChars="0"/>
    </w:pPr>
    <w:rPr>
      <w:sz w:val="21"/>
      <w:szCs w:val="24"/>
    </w:rPr>
  </w:style>
  <w:style w:type="paragraph" w:customStyle="1" w:styleId="7">
    <w:name w:val="样式7"/>
    <w:basedOn w:val="Header"/>
    <w:qFormat/>
    <w:pPr>
      <w:pBdr>
        <w:bottom w:val="single" w:sz="6" w:space="1" w:color="auto"/>
      </w:pBdr>
      <w:ind w:firstLine="456"/>
    </w:pPr>
    <w:rPr>
      <w:rFonts w:ascii="仿宋_GB2312" w:eastAsia="仿宋_GB2312"/>
      <w:spacing w:val="24"/>
    </w:rPr>
  </w:style>
  <w:style w:type="paragraph" w:customStyle="1" w:styleId="Char220">
    <w:name w:val="Char22"/>
    <w:basedOn w:val="Normal"/>
    <w:qFormat/>
    <w:pPr>
      <w:adjustRightInd/>
      <w:snapToGrid/>
      <w:spacing w:line="240" w:lineRule="auto"/>
      <w:ind w:firstLine="0" w:firstLineChars="0"/>
    </w:pPr>
    <w:rPr>
      <w:sz w:val="21"/>
      <w:szCs w:val="24"/>
    </w:rPr>
  </w:style>
  <w:style w:type="paragraph" w:customStyle="1" w:styleId="xl35">
    <w:name w:val="xl35"/>
    <w:basedOn w:val="Normal"/>
    <w:qFormat/>
    <w:pPr>
      <w:widowControl/>
      <w:pBdr>
        <w:left w:val="single" w:sz="4" w:space="0" w:color="auto"/>
        <w:right w:val="single" w:sz="4" w:space="0" w:color="auto"/>
      </w:pBdr>
      <w:adjustRightInd/>
      <w:snapToGrid/>
      <w:spacing w:before="100" w:beforeAutospacing="1" w:after="100" w:afterAutospacing="1"/>
      <w:jc w:val="center"/>
    </w:pPr>
    <w:rPr>
      <w:rFonts w:ascii="Arial Unicode MS" w:eastAsia="Arial Unicode MS" w:hAnsi="Arial Unicode MS"/>
      <w:kern w:val="0"/>
      <w:sz w:val="20"/>
      <w:szCs w:val="22"/>
    </w:rPr>
  </w:style>
  <w:style w:type="paragraph" w:customStyle="1" w:styleId="CharChar26">
    <w:name w:val="Char Char2"/>
    <w:basedOn w:val="Normal"/>
    <w:qFormat/>
    <w:pPr>
      <w:adjustRightInd/>
      <w:snapToGrid/>
      <w:spacing w:line="240" w:lineRule="auto"/>
      <w:ind w:firstLine="0" w:firstLineChars="0"/>
    </w:pPr>
    <w:rPr>
      <w:sz w:val="21"/>
      <w:szCs w:val="24"/>
    </w:rPr>
  </w:style>
  <w:style w:type="paragraph" w:customStyle="1" w:styleId="CharCharChar1CharCharCharCharCharCharCharCharCharChar">
    <w:name w:val="Char Char Char1 Char Char Char Char Char Char Char Char Char Char"/>
    <w:basedOn w:val="Normal"/>
    <w:qFormat/>
    <w:pPr>
      <w:adjustRightInd/>
      <w:snapToGrid/>
      <w:spacing w:line="240" w:lineRule="auto"/>
      <w:ind w:firstLine="0" w:firstLineChars="0"/>
    </w:pPr>
    <w:rPr>
      <w:sz w:val="21"/>
      <w:szCs w:val="24"/>
    </w:rPr>
  </w:style>
  <w:style w:type="paragraph" w:customStyle="1" w:styleId="a49">
    <w:name w:val="章"/>
    <w:basedOn w:val="Heading3"/>
    <w:qFormat/>
    <w:pPr>
      <w:adjustRightInd/>
      <w:snapToGrid/>
      <w:spacing w:before="260" w:after="260"/>
      <w:ind w:firstLine="3360" w:firstLineChars="1050"/>
    </w:pPr>
    <w:rPr>
      <w:sz w:val="32"/>
    </w:rPr>
  </w:style>
  <w:style w:type="paragraph" w:customStyle="1" w:styleId="114">
    <w:name w:val="表1"/>
    <w:basedOn w:val="Normal"/>
    <w:qFormat/>
    <w:pPr>
      <w:adjustRightInd/>
      <w:snapToGrid/>
      <w:spacing w:line="360" w:lineRule="exact"/>
      <w:ind w:firstLine="0" w:firstLineChars="0"/>
      <w:jc w:val="left"/>
    </w:pPr>
    <w:rPr>
      <w:sz w:val="21"/>
      <w:szCs w:val="24"/>
    </w:rPr>
  </w:style>
  <w:style w:type="paragraph" w:customStyle="1" w:styleId="a50">
    <w:name w:val="封面标准英文名称"/>
    <w:qFormat/>
    <w:pPr>
      <w:widowControl w:val="0"/>
      <w:spacing w:before="370" w:line="400" w:lineRule="exact"/>
      <w:jc w:val="center"/>
    </w:pPr>
    <w:rPr>
      <w:rFonts w:ascii="Times New Roman" w:eastAsia="宋体" w:hAnsi="Times New Roman" w:cs="Times New Roman"/>
      <w:sz w:val="28"/>
      <w:lang w:val="en-US" w:eastAsia="zh-CN" w:bidi="ar-SA"/>
    </w:rPr>
  </w:style>
  <w:style w:type="paragraph" w:customStyle="1" w:styleId="xl29">
    <w:name w:val="xl29"/>
    <w:basedOn w:val="Normal"/>
    <w:qFormat/>
    <w:pPr>
      <w:widowControl/>
      <w:pBdr>
        <w:top w:val="single" w:sz="4" w:space="0" w:color="auto"/>
        <w:left w:val="single" w:sz="4" w:space="0" w:color="auto"/>
        <w:bottom w:val="single" w:sz="8" w:space="0" w:color="auto"/>
        <w:right w:val="single" w:sz="4" w:space="0" w:color="auto"/>
      </w:pBdr>
      <w:adjustRightInd/>
      <w:snapToGrid/>
      <w:spacing w:before="100" w:beforeAutospacing="1" w:after="100" w:afterAutospacing="1"/>
      <w:jc w:val="center"/>
    </w:pPr>
    <w:rPr>
      <w:rFonts w:ascii="Arial Unicode MS" w:eastAsia="Arial Unicode MS" w:hAnsi="Arial Unicode MS"/>
      <w:kern w:val="0"/>
      <w:sz w:val="20"/>
      <w:szCs w:val="22"/>
    </w:rPr>
  </w:style>
  <w:style w:type="paragraph" w:customStyle="1" w:styleId="xl22">
    <w:name w:val="xl22"/>
    <w:basedOn w:val="Normal"/>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0" w:firstLineChars="0"/>
      <w:jc w:val="left"/>
    </w:pPr>
    <w:rPr>
      <w:rFonts w:ascii="宋体" w:hAnsi="宋体" w:hint="eastAsia"/>
      <w:kern w:val="0"/>
      <w:szCs w:val="24"/>
    </w:rPr>
  </w:style>
  <w:style w:type="paragraph" w:customStyle="1" w:styleId="27">
    <w:name w:val="样式 目录 2"/>
    <w:basedOn w:val="TOC2"/>
    <w:qFormat/>
    <w:pPr>
      <w:ind w:left="210"/>
    </w:pPr>
    <w:rPr>
      <w:rFonts w:ascii="宋体" w:hAnsi="宋体"/>
      <w:sz w:val="21"/>
    </w:rPr>
  </w:style>
  <w:style w:type="paragraph" w:customStyle="1" w:styleId="xl71">
    <w:name w:val="xl71"/>
    <w:basedOn w:val="Normal"/>
    <w:qFormat/>
    <w:pPr>
      <w:widowControl/>
      <w:adjustRightInd/>
      <w:snapToGrid/>
      <w:spacing w:before="100" w:beforeAutospacing="1" w:after="100" w:afterAutospacing="1" w:line="240" w:lineRule="auto"/>
      <w:ind w:firstLine="0" w:firstLineChars="0"/>
      <w:jc w:val="left"/>
    </w:pPr>
    <w:rPr>
      <w:rFonts w:ascii="宋体" w:hAnsi="宋体" w:cs="宋体"/>
      <w:color w:val="FF0000"/>
      <w:kern w:val="0"/>
      <w:szCs w:val="24"/>
    </w:rPr>
  </w:style>
  <w:style w:type="paragraph" w:customStyle="1" w:styleId="CharChar2Char">
    <w:name w:val="Char Char2 Char"/>
    <w:basedOn w:val="Normal"/>
    <w:qFormat/>
    <w:pPr>
      <w:adjustRightInd/>
      <w:snapToGrid/>
      <w:spacing w:line="240" w:lineRule="auto"/>
      <w:ind w:firstLine="0" w:firstLineChars="0"/>
    </w:pPr>
    <w:rPr>
      <w:sz w:val="21"/>
      <w:szCs w:val="24"/>
    </w:rPr>
  </w:style>
  <w:style w:type="paragraph" w:customStyle="1" w:styleId="CharCharCharChar1CharCharCharCharCharCharCharCharChar1">
    <w:name w:val="Char Char Char Char1 Char Char Char Char Char Char Char Char Char1"/>
    <w:basedOn w:val="Normal"/>
    <w:qFormat/>
    <w:pPr>
      <w:adjustRightInd/>
      <w:snapToGrid/>
      <w:spacing w:line="240" w:lineRule="auto"/>
      <w:ind w:firstLine="0" w:firstLineChars="0"/>
    </w:pPr>
    <w:rPr>
      <w:sz w:val="21"/>
      <w:szCs w:val="24"/>
    </w:rPr>
  </w:style>
  <w:style w:type="paragraph" w:customStyle="1" w:styleId="xl28">
    <w:name w:val="xl28"/>
    <w:basedOn w:val="Normal"/>
    <w:qFormat/>
    <w:pPr>
      <w:widowControl/>
      <w:pBdr>
        <w:top w:val="single" w:sz="4" w:space="0" w:color="auto"/>
        <w:left w:val="single" w:sz="4" w:space="0" w:color="auto"/>
        <w:bottom w:val="single" w:sz="4" w:space="0" w:color="auto"/>
        <w:right w:val="single" w:sz="8" w:space="0" w:color="auto"/>
      </w:pBdr>
      <w:adjustRightInd/>
      <w:snapToGrid/>
      <w:spacing w:before="100" w:beforeAutospacing="1" w:after="100" w:afterAutospacing="1"/>
      <w:jc w:val="center"/>
    </w:pPr>
    <w:rPr>
      <w:rFonts w:ascii="Arial Unicode MS" w:eastAsia="Arial Unicode MS" w:hAnsi="Arial Unicode MS"/>
      <w:kern w:val="0"/>
      <w:sz w:val="20"/>
      <w:szCs w:val="22"/>
    </w:rPr>
  </w:style>
  <w:style w:type="paragraph" w:customStyle="1" w:styleId="222">
    <w:name w:val="样式 样式2 + 宋体 首行缩进:  2 字符2"/>
    <w:basedOn w:val="21"/>
    <w:qFormat/>
    <w:pPr>
      <w:tabs>
        <w:tab w:val="clear" w:pos="4153"/>
        <w:tab w:val="clear" w:pos="8306"/>
      </w:tabs>
      <w:adjustRightInd/>
      <w:snapToGrid/>
      <w:ind w:firstLine="200"/>
      <w:jc w:val="both"/>
    </w:pPr>
    <w:rPr>
      <w:rFonts w:ascii="宋体" w:hAnsi="宋体" w:cs="宋体"/>
      <w:sz w:val="24"/>
      <w:szCs w:val="20"/>
    </w:rPr>
  </w:style>
  <w:style w:type="paragraph" w:customStyle="1" w:styleId="a51">
    <w:name w:val="前言、引言标题"/>
    <w:next w:val="Normal"/>
    <w:qFormat/>
    <w:pPr>
      <w:shd w:val="clear" w:color="FFFFFF" w:fill="FFFFFF"/>
      <w:spacing w:before="640" w:after="560"/>
      <w:jc w:val="center"/>
      <w:outlineLvl w:val="0"/>
    </w:pPr>
    <w:rPr>
      <w:rFonts w:ascii="黑体" w:eastAsia="黑体" w:hAnsi="Times New Roman" w:cs="Times New Roman"/>
      <w:sz w:val="32"/>
      <w:lang w:val="en-US" w:eastAsia="zh-CN" w:bidi="ar-SA"/>
    </w:rPr>
  </w:style>
  <w:style w:type="paragraph" w:customStyle="1" w:styleId="font1">
    <w:name w:val="font1"/>
    <w:basedOn w:val="Normal"/>
    <w:qFormat/>
    <w:pPr>
      <w:widowControl/>
      <w:adjustRightInd/>
      <w:snapToGrid/>
      <w:spacing w:before="100" w:beforeAutospacing="1" w:after="100" w:afterAutospacing="1"/>
      <w:jc w:val="left"/>
    </w:pPr>
    <w:rPr>
      <w:rFonts w:ascii="宋体" w:hAnsi="宋体" w:hint="eastAsia"/>
      <w:kern w:val="0"/>
      <w:szCs w:val="22"/>
    </w:rPr>
  </w:style>
  <w:style w:type="paragraph" w:customStyle="1" w:styleId="font6">
    <w:name w:val="font6"/>
    <w:basedOn w:val="Normal"/>
    <w:qFormat/>
    <w:pPr>
      <w:widowControl/>
      <w:adjustRightInd/>
      <w:snapToGrid/>
      <w:spacing w:before="100" w:beforeAutospacing="1" w:after="100" w:afterAutospacing="1"/>
      <w:jc w:val="left"/>
    </w:pPr>
    <w:rPr>
      <w:rFonts w:ascii="宋体" w:hAnsi="宋体" w:hint="eastAsia"/>
      <w:kern w:val="0"/>
      <w:sz w:val="20"/>
      <w:szCs w:val="22"/>
    </w:rPr>
  </w:style>
  <w:style w:type="paragraph" w:customStyle="1" w:styleId="115">
    <w:name w:val="正文缩进1"/>
    <w:basedOn w:val="Normal"/>
    <w:qFormat/>
    <w:pPr>
      <w:adjustRightInd/>
      <w:snapToGrid/>
      <w:spacing w:line="520" w:lineRule="atLeast"/>
      <w:ind w:firstLine="560"/>
    </w:pPr>
    <w:rPr>
      <w:rFonts w:eastAsia="华文中宋"/>
      <w:sz w:val="28"/>
    </w:rPr>
  </w:style>
  <w:style w:type="paragraph" w:customStyle="1" w:styleId="bgbt2">
    <w:name w:val="bgbt2节标题"/>
    <w:basedOn w:val="Normal"/>
    <w:next w:val="Normal"/>
    <w:qFormat/>
    <w:pPr>
      <w:adjustRightInd/>
      <w:snapToGrid/>
      <w:spacing w:before="300" w:after="60" w:line="240" w:lineRule="auto"/>
      <w:ind w:firstLine="0" w:firstLineChars="0"/>
      <w:jc w:val="center"/>
      <w:outlineLvl w:val="1"/>
    </w:pPr>
    <w:rPr>
      <w:rFonts w:eastAsia="黑体"/>
      <w:sz w:val="30"/>
    </w:rPr>
  </w:style>
  <w:style w:type="paragraph" w:customStyle="1" w:styleId="04">
    <w:name w:val="字紧0.4"/>
    <w:basedOn w:val="070706"/>
    <w:qFormat/>
    <w:pPr>
      <w:ind w:firstLine="528"/>
    </w:pPr>
    <w:rPr>
      <w:b/>
      <w:spacing w:val="-8"/>
      <w:sz w:val="24"/>
      <w:szCs w:val="24"/>
    </w:rPr>
  </w:style>
  <w:style w:type="paragraph" w:customStyle="1" w:styleId="xl32">
    <w:name w:val="xl32"/>
    <w:basedOn w:val="Normal"/>
    <w:qFormat/>
    <w:pPr>
      <w:widowControl/>
      <w:pBdr>
        <w:top w:val="single" w:sz="8" w:space="0" w:color="auto"/>
        <w:left w:val="single" w:sz="4" w:space="0" w:color="auto"/>
        <w:bottom w:val="single" w:sz="4" w:space="0" w:color="auto"/>
        <w:right w:val="single" w:sz="8" w:space="0" w:color="auto"/>
      </w:pBdr>
      <w:adjustRightInd/>
      <w:snapToGrid/>
      <w:spacing w:before="100" w:beforeAutospacing="1" w:after="100" w:afterAutospacing="1"/>
      <w:jc w:val="center"/>
    </w:pPr>
    <w:rPr>
      <w:rFonts w:ascii="Arial Unicode MS" w:eastAsia="Arial Unicode MS" w:hAnsi="Arial Unicode MS"/>
      <w:kern w:val="0"/>
      <w:sz w:val="20"/>
      <w:szCs w:val="22"/>
    </w:rPr>
  </w:style>
  <w:style w:type="paragraph" w:customStyle="1" w:styleId="a52">
    <w:name w:val="说明书正文"/>
    <w:basedOn w:val="Normal"/>
    <w:qFormat/>
    <w:pPr>
      <w:adjustRightInd/>
      <w:snapToGrid/>
      <w:spacing w:line="480" w:lineRule="exact"/>
      <w:ind w:firstLine="600"/>
    </w:pPr>
    <w:rPr>
      <w:rFonts w:eastAsia="仿宋_GB2312"/>
      <w:color w:val="000000"/>
      <w:sz w:val="30"/>
      <w:szCs w:val="24"/>
    </w:rPr>
  </w:style>
  <w:style w:type="paragraph" w:customStyle="1" w:styleId="a53">
    <w:name w:val="表头样式"/>
    <w:basedOn w:val="070706"/>
    <w:qFormat/>
    <w:pPr>
      <w:spacing w:beforeLines="0"/>
      <w:ind w:firstLine="0" w:firstLineChars="0"/>
      <w:jc w:val="center"/>
    </w:pPr>
    <w:rPr>
      <w:rFonts w:ascii="黑体" w:eastAsia="黑体"/>
      <w:b/>
      <w:color w:val="000000"/>
      <w:sz w:val="24"/>
      <w:szCs w:val="24"/>
    </w:rPr>
  </w:style>
  <w:style w:type="paragraph" w:customStyle="1" w:styleId="xl69">
    <w:name w:val="xl69"/>
    <w:basedOn w:val="Normal"/>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0" w:firstLineChars="0"/>
      <w:jc w:val="center"/>
      <w:textAlignment w:val="center"/>
    </w:pPr>
    <w:rPr>
      <w:rFonts w:ascii="仿宋_GB2312" w:eastAsia="仿宋_GB2312" w:hAnsi="宋体" w:cs="宋体"/>
      <w:b/>
      <w:bCs/>
      <w:color w:val="FF0000"/>
      <w:kern w:val="0"/>
      <w:sz w:val="21"/>
      <w:szCs w:val="21"/>
    </w:rPr>
  </w:style>
  <w:style w:type="paragraph" w:customStyle="1" w:styleId="CharCharCharChar1CharCharChar">
    <w:name w:val="Char Char Char Char1 Char Char Char"/>
    <w:basedOn w:val="Normal"/>
    <w:qFormat/>
    <w:pPr>
      <w:adjustRightInd/>
      <w:snapToGrid/>
      <w:spacing w:line="240" w:lineRule="auto"/>
      <w:ind w:firstLine="0" w:firstLineChars="0"/>
    </w:pPr>
    <w:rPr>
      <w:sz w:val="21"/>
      <w:szCs w:val="24"/>
    </w:rPr>
  </w:style>
  <w:style w:type="paragraph" w:customStyle="1" w:styleId="Char38">
    <w:name w:val="正文缩进 Char"/>
    <w:basedOn w:val="Normal"/>
    <w:next w:val="NormalIndent"/>
    <w:qFormat/>
    <w:pPr>
      <w:widowControl/>
      <w:adjustRightInd/>
      <w:snapToGrid/>
      <w:spacing w:after="200"/>
      <w:ind w:firstLine="420"/>
      <w:jc w:val="left"/>
    </w:pPr>
    <w:rPr>
      <w:rFonts w:ascii="Calibri" w:eastAsia="仿宋_GB2312" w:hAnsi="Calibri"/>
      <w:kern w:val="0"/>
      <w:sz w:val="28"/>
      <w:szCs w:val="24"/>
    </w:rPr>
  </w:style>
  <w:style w:type="paragraph" w:customStyle="1" w:styleId="3CharCharCharCharCharCharCharCharChar1CharCharCharCharCharChar">
    <w:name w:val="3 Char Char Char Char Char Char Char Char Char1 Char Char Char Char Char Char"/>
    <w:basedOn w:val="Normal"/>
    <w:qFormat/>
    <w:pPr>
      <w:widowControl/>
      <w:adjustRightInd/>
      <w:spacing w:after="200"/>
      <w:jc w:val="left"/>
    </w:pPr>
    <w:rPr>
      <w:rFonts w:ascii="Calibri" w:eastAsia="仿宋_GB2312" w:hAnsi="Calibri"/>
      <w:kern w:val="0"/>
      <w:szCs w:val="22"/>
    </w:rPr>
  </w:style>
  <w:style w:type="paragraph" w:customStyle="1" w:styleId="xl38">
    <w:name w:val="xl38"/>
    <w:basedOn w:val="Normal"/>
    <w:qFormat/>
    <w:pPr>
      <w:widowControl/>
      <w:pBdr>
        <w:left w:val="single" w:sz="8" w:space="0" w:color="auto"/>
        <w:right w:val="single" w:sz="4" w:space="0" w:color="auto"/>
      </w:pBdr>
      <w:adjustRightInd/>
      <w:snapToGrid/>
      <w:spacing w:before="100" w:beforeAutospacing="1" w:after="100" w:afterAutospacing="1"/>
      <w:jc w:val="center"/>
    </w:pPr>
    <w:rPr>
      <w:rFonts w:ascii="Arial Unicode MS" w:eastAsia="Arial Unicode MS" w:hAnsi="Arial Unicode MS"/>
      <w:kern w:val="0"/>
      <w:szCs w:val="22"/>
    </w:rPr>
  </w:style>
  <w:style w:type="paragraph" w:customStyle="1" w:styleId="CharCharCharCharCharChar1">
    <w:name w:val="Char Char Char Char Char Char1"/>
    <w:basedOn w:val="Normal"/>
    <w:qFormat/>
    <w:pPr>
      <w:widowControl/>
      <w:adjustRightInd/>
      <w:snapToGrid/>
      <w:spacing w:after="200" w:line="276" w:lineRule="auto"/>
      <w:ind w:firstLine="0" w:firstLineChars="0"/>
      <w:jc w:val="left"/>
    </w:pPr>
    <w:rPr>
      <w:rFonts w:ascii="Calibri" w:hAnsi="Calibri"/>
      <w:kern w:val="0"/>
      <w:sz w:val="22"/>
      <w:szCs w:val="22"/>
    </w:rPr>
  </w:style>
  <w:style w:type="paragraph" w:customStyle="1" w:styleId="pic-info">
    <w:name w:val="pic-info"/>
    <w:basedOn w:val="Normal"/>
    <w:qFormat/>
    <w:pPr>
      <w:widowControl/>
      <w:adjustRightInd/>
      <w:snapToGrid/>
      <w:spacing w:before="100" w:beforeAutospacing="1" w:after="100" w:afterAutospacing="1"/>
      <w:jc w:val="left"/>
    </w:pPr>
    <w:rPr>
      <w:rFonts w:ascii="宋体" w:eastAsia="仿宋_GB2312" w:hAnsi="宋体" w:cs="宋体"/>
      <w:color w:val="00B050"/>
      <w:kern w:val="0"/>
      <w:szCs w:val="24"/>
    </w:rPr>
  </w:style>
  <w:style w:type="paragraph" w:customStyle="1" w:styleId="xl42">
    <w:name w:val="xl42"/>
    <w:basedOn w:val="Normal"/>
    <w:qFormat/>
    <w:pPr>
      <w:widowControl/>
      <w:adjustRightInd/>
      <w:snapToGrid/>
      <w:spacing w:before="100" w:beforeAutospacing="1" w:after="100" w:afterAutospacing="1"/>
      <w:jc w:val="center"/>
      <w:textAlignment w:val="center"/>
    </w:pPr>
    <w:rPr>
      <w:rFonts w:ascii="仿宋_GB2312" w:eastAsia="仿宋_GB2312" w:hAnsi="宋体" w:hint="eastAsia"/>
      <w:kern w:val="0"/>
      <w:szCs w:val="22"/>
    </w:rPr>
  </w:style>
  <w:style w:type="paragraph" w:customStyle="1" w:styleId="a54">
    <w:name w:val="表左"/>
    <w:basedOn w:val="Normal"/>
    <w:qFormat/>
    <w:pPr>
      <w:keepNext/>
      <w:spacing w:line="320" w:lineRule="atLeast"/>
      <w:ind w:right="63" w:rightChars="30"/>
      <w:jc w:val="center"/>
    </w:pPr>
    <w:rPr>
      <w:rFonts w:ascii="宋体" w:eastAsia="仿宋_GB2312" w:hAnsi="宋体"/>
      <w:color w:val="00B050"/>
    </w:rPr>
  </w:style>
  <w:style w:type="paragraph" w:customStyle="1" w:styleId="CharCharCharChar1">
    <w:name w:val="Char Char Char Char1"/>
    <w:basedOn w:val="Normal"/>
    <w:qFormat/>
    <w:pPr>
      <w:adjustRightInd/>
      <w:snapToGrid/>
      <w:spacing w:line="240" w:lineRule="auto"/>
      <w:ind w:firstLine="0" w:firstLineChars="0"/>
    </w:pPr>
    <w:rPr>
      <w:sz w:val="21"/>
      <w:szCs w:val="21"/>
    </w:rPr>
  </w:style>
  <w:style w:type="paragraph" w:customStyle="1" w:styleId="p0">
    <w:name w:val="p0"/>
    <w:basedOn w:val="Normal"/>
    <w:qFormat/>
    <w:pPr>
      <w:widowControl/>
      <w:adjustRightInd/>
      <w:snapToGrid/>
      <w:spacing w:line="408" w:lineRule="auto"/>
      <w:ind w:left="1" w:firstLine="0" w:firstLineChars="0"/>
      <w:textAlignment w:val="bottom"/>
    </w:pPr>
    <w:rPr>
      <w:color w:val="000000"/>
      <w:kern w:val="0"/>
      <w:sz w:val="30"/>
      <w:szCs w:val="30"/>
    </w:rPr>
  </w:style>
  <w:style w:type="paragraph" w:customStyle="1" w:styleId="CharCharCharCharCharCharCharCharCharCharCharCharCharChar">
    <w:name w:val="Char Char Char Char Char Char Char Char Char Char Char Char Char Char"/>
    <w:qFormat/>
    <w:pPr>
      <w:widowControl w:val="0"/>
      <w:spacing w:line="300" w:lineRule="auto"/>
      <w:ind w:firstLine="480" w:firstLineChars="200"/>
      <w:jc w:val="both"/>
    </w:pPr>
    <w:rPr>
      <w:rFonts w:ascii="Times New Roman" w:eastAsia="仿宋_GB2312" w:hAnsi="Times New Roman" w:cs="Times New Roman"/>
      <w:kern w:val="2"/>
      <w:sz w:val="24"/>
      <w:szCs w:val="24"/>
      <w:lang w:val="en-US" w:eastAsia="zh-CN" w:bidi="ar-SA"/>
    </w:rPr>
  </w:style>
  <w:style w:type="paragraph" w:customStyle="1" w:styleId="CharCharChar4Char1">
    <w:name w:val="Char Char Char4 Char1"/>
    <w:basedOn w:val="Normal"/>
    <w:qFormat/>
    <w:pPr>
      <w:adjustRightInd/>
      <w:snapToGrid/>
      <w:spacing w:line="240" w:lineRule="auto"/>
      <w:ind w:firstLine="0" w:firstLineChars="0"/>
    </w:pPr>
    <w:rPr>
      <w:sz w:val="21"/>
      <w:szCs w:val="24"/>
    </w:rPr>
  </w:style>
  <w:style w:type="paragraph" w:customStyle="1" w:styleId="font5">
    <w:name w:val="font5"/>
    <w:basedOn w:val="Normal"/>
    <w:qFormat/>
    <w:pPr>
      <w:widowControl/>
      <w:adjustRightInd/>
      <w:snapToGrid/>
      <w:spacing w:before="100" w:beforeAutospacing="1" w:after="100" w:afterAutospacing="1"/>
      <w:jc w:val="left"/>
    </w:pPr>
    <w:rPr>
      <w:rFonts w:ascii="宋体" w:hAnsi="宋体" w:hint="eastAsia"/>
      <w:kern w:val="0"/>
      <w:sz w:val="18"/>
      <w:szCs w:val="22"/>
    </w:rPr>
  </w:style>
  <w:style w:type="paragraph" w:customStyle="1" w:styleId="CharCharCharChar1CharCharChar1">
    <w:name w:val="Char Char Char Char1 Char Char Char1"/>
    <w:basedOn w:val="Normal"/>
    <w:qFormat/>
    <w:pPr>
      <w:adjustRightInd/>
      <w:snapToGrid/>
      <w:spacing w:line="240" w:lineRule="auto"/>
      <w:ind w:firstLine="0" w:firstLineChars="0"/>
    </w:pPr>
    <w:rPr>
      <w:sz w:val="21"/>
      <w:szCs w:val="24"/>
    </w:rPr>
  </w:style>
  <w:style w:type="paragraph" w:customStyle="1" w:styleId="ParaChar">
    <w:name w:val="默认段落字体 Para Char"/>
    <w:basedOn w:val="Normal"/>
    <w:next w:val="Normal"/>
    <w:qFormat/>
    <w:pPr>
      <w:widowControl/>
      <w:adjustRightInd/>
      <w:snapToGrid/>
      <w:spacing w:after="200"/>
      <w:jc w:val="left"/>
    </w:pPr>
    <w:rPr>
      <w:rFonts w:ascii="宋体" w:hAnsi="宋体"/>
      <w:kern w:val="0"/>
      <w:szCs w:val="22"/>
    </w:rPr>
  </w:style>
  <w:style w:type="paragraph" w:customStyle="1" w:styleId="3CharCharChar">
    <w:name w:val="表格3 Char Char Char"/>
    <w:basedOn w:val="Normal"/>
    <w:qFormat/>
    <w:pPr>
      <w:widowControl/>
      <w:adjustRightInd/>
      <w:spacing w:after="200" w:line="240" w:lineRule="atLeast"/>
      <w:jc w:val="left"/>
    </w:pPr>
    <w:rPr>
      <w:rFonts w:ascii="Calibri" w:eastAsia="仿宋_GB2312" w:hAnsi="Calibri"/>
      <w:color w:val="000000"/>
      <w:spacing w:val="-8"/>
      <w:kern w:val="0"/>
      <w:sz w:val="18"/>
      <w:szCs w:val="22"/>
    </w:rPr>
  </w:style>
  <w:style w:type="paragraph" w:customStyle="1" w:styleId="224">
    <w:name w:val="样式 正文文本缩进 2 + 首行缩进:  2 字符"/>
    <w:basedOn w:val="BodyTextIndent2"/>
    <w:qFormat/>
    <w:pPr>
      <w:spacing w:line="300" w:lineRule="auto"/>
      <w:ind w:firstLine="763" w:firstLineChars="288"/>
    </w:pPr>
    <w:rPr>
      <w:szCs w:val="24"/>
    </w:rPr>
  </w:style>
  <w:style w:type="paragraph" w:customStyle="1" w:styleId="4218">
    <w:name w:val="样式 标题 4 + 宋体 小四 首行缩进:  2 字符 行距: 固定值 18 磅"/>
    <w:basedOn w:val="Normal"/>
    <w:next w:val="Normal"/>
    <w:qFormat/>
    <w:pPr>
      <w:widowControl/>
      <w:topLinePunct/>
      <w:adjustRightInd/>
      <w:snapToGrid/>
      <w:spacing w:before="120" w:after="120"/>
      <w:ind w:firstLine="420" w:firstLineChars="0"/>
      <w:outlineLvl w:val="3"/>
    </w:pPr>
    <w:rPr>
      <w:rFonts w:ascii="黑体" w:eastAsia="黑体"/>
      <w:color w:val="000000"/>
      <w:sz w:val="21"/>
    </w:rPr>
  </w:style>
  <w:style w:type="paragraph" w:customStyle="1" w:styleId="CharChar2CharCharCharCharCharChar">
    <w:name w:val="Char Char2 Char Char Char Char Char Char"/>
    <w:basedOn w:val="Normal"/>
    <w:qFormat/>
    <w:pPr>
      <w:adjustRightInd/>
      <w:snapToGrid/>
      <w:spacing w:line="240" w:lineRule="auto"/>
      <w:ind w:firstLine="0" w:firstLineChars="0"/>
    </w:pPr>
    <w:rPr>
      <w:sz w:val="44"/>
    </w:rPr>
  </w:style>
  <w:style w:type="paragraph" w:customStyle="1" w:styleId="a55">
    <w:name w:val="样式 正文文本 + 小三"/>
    <w:basedOn w:val="BodyText"/>
    <w:qFormat/>
    <w:pPr>
      <w:spacing w:before="0" w:after="0" w:line="360" w:lineRule="auto"/>
      <w:ind w:firstLine="200" w:firstLineChars="200"/>
    </w:pPr>
    <w:rPr>
      <w:rFonts w:ascii="宋体" w:hAnsi="宋体"/>
      <w:snapToGrid w:val="0"/>
      <w:sz w:val="30"/>
      <w:szCs w:val="24"/>
    </w:rPr>
  </w:style>
  <w:style w:type="paragraph" w:customStyle="1" w:styleId="Char41">
    <w:name w:val="Char41"/>
    <w:basedOn w:val="Normal"/>
    <w:qFormat/>
    <w:pPr>
      <w:widowControl/>
      <w:adjustRightInd/>
      <w:snapToGrid/>
      <w:spacing w:after="200"/>
      <w:jc w:val="left"/>
    </w:pPr>
    <w:rPr>
      <w:rFonts w:ascii="宋体" w:hAnsi="宋体"/>
      <w:kern w:val="0"/>
      <w:szCs w:val="22"/>
    </w:rPr>
  </w:style>
  <w:style w:type="paragraph" w:customStyle="1" w:styleId="3CharCharCharCharCharCharCharCharChar1CharCharChar">
    <w:name w:val="3 Char Char Char Char Char Char Char Char Char1 Char Char Char"/>
    <w:basedOn w:val="Normal"/>
    <w:qFormat/>
    <w:pPr>
      <w:widowControl/>
      <w:adjustRightInd/>
      <w:spacing w:after="200"/>
      <w:jc w:val="left"/>
    </w:pPr>
    <w:rPr>
      <w:rFonts w:ascii="Calibri" w:eastAsia="仿宋_GB2312" w:hAnsi="Calibri"/>
      <w:kern w:val="0"/>
      <w:szCs w:val="22"/>
    </w:rPr>
  </w:style>
  <w:style w:type="paragraph" w:customStyle="1" w:styleId="Char212">
    <w:name w:val="Char2"/>
    <w:basedOn w:val="Normal"/>
    <w:qFormat/>
    <w:pPr>
      <w:adjustRightInd/>
      <w:snapToGrid/>
      <w:spacing w:line="240" w:lineRule="auto"/>
      <w:ind w:firstLine="0" w:firstLineChars="0"/>
    </w:pPr>
    <w:rPr>
      <w:sz w:val="21"/>
      <w:szCs w:val="24"/>
    </w:rPr>
  </w:style>
  <w:style w:type="paragraph" w:customStyle="1" w:styleId="ParaCharCharCharChar">
    <w:name w:val="默认段落字体 Para Char Char Char Char"/>
    <w:basedOn w:val="Normal"/>
    <w:next w:val="Normal"/>
    <w:qFormat/>
    <w:pPr>
      <w:keepNext/>
      <w:keepLines/>
      <w:adjustRightInd/>
      <w:snapToGrid/>
      <w:spacing w:after="10" w:line="400" w:lineRule="atLeast"/>
      <w:ind w:firstLine="0" w:firstLineChars="0"/>
      <w:outlineLvl w:val="0"/>
    </w:pPr>
    <w:rPr>
      <w:sz w:val="21"/>
    </w:rPr>
  </w:style>
  <w:style w:type="paragraph" w:customStyle="1" w:styleId="xl68">
    <w:name w:val="xl68"/>
    <w:basedOn w:val="Normal"/>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0" w:firstLineChars="0"/>
      <w:jc w:val="center"/>
      <w:textAlignment w:val="center"/>
    </w:pPr>
    <w:rPr>
      <w:rFonts w:ascii="宋体" w:hAnsi="宋体" w:cs="宋体"/>
      <w:color w:val="FF0000"/>
      <w:kern w:val="0"/>
      <w:sz w:val="21"/>
      <w:szCs w:val="21"/>
    </w:rPr>
  </w:style>
  <w:style w:type="paragraph" w:customStyle="1" w:styleId="201108060">
    <w:name w:val="表格正文20110806"/>
    <w:basedOn w:val="Normal"/>
    <w:qFormat/>
    <w:pPr>
      <w:adjustRightInd/>
      <w:snapToGrid/>
      <w:spacing w:line="240" w:lineRule="auto"/>
      <w:ind w:firstLine="0" w:firstLineChars="0"/>
      <w:jc w:val="center"/>
    </w:pPr>
    <w:rPr>
      <w:rFonts w:eastAsia="仿宋_GB2312"/>
      <w:color w:val="C0504D"/>
      <w:sz w:val="21"/>
      <w:szCs w:val="21"/>
    </w:rPr>
  </w:style>
  <w:style w:type="paragraph" w:customStyle="1" w:styleId="xl81">
    <w:name w:val="xl81"/>
    <w:basedOn w:val="Normal"/>
    <w:qFormat/>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0" w:firstLineChars="0"/>
      <w:jc w:val="center"/>
      <w:textAlignment w:val="center"/>
    </w:pPr>
    <w:rPr>
      <w:rFonts w:ascii="仿宋_GB2312" w:eastAsia="仿宋_GB2312" w:hAnsi="宋体" w:cs="宋体"/>
      <w:b/>
      <w:bCs/>
      <w:color w:val="FF0000"/>
      <w:kern w:val="0"/>
      <w:sz w:val="21"/>
      <w:szCs w:val="21"/>
    </w:rPr>
  </w:style>
  <w:style w:type="paragraph" w:customStyle="1" w:styleId="xl26">
    <w:name w:val="xl26"/>
    <w:basedOn w:val="Normal"/>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jc w:val="center"/>
    </w:pPr>
    <w:rPr>
      <w:rFonts w:ascii="Arial Unicode MS" w:eastAsia="Arial Unicode MS" w:hAnsi="Arial Unicode MS"/>
      <w:kern w:val="0"/>
      <w:sz w:val="20"/>
      <w:szCs w:val="22"/>
    </w:rPr>
  </w:style>
  <w:style w:type="paragraph" w:customStyle="1" w:styleId="ad">
    <w:name w:val="ad"/>
    <w:basedOn w:val="Normal"/>
    <w:qFormat/>
    <w:pPr>
      <w:widowControl/>
      <w:adjustRightInd/>
      <w:snapToGrid/>
      <w:spacing w:before="30" w:after="135"/>
      <w:ind w:left="60" w:right="135" w:firstLine="420"/>
      <w:jc w:val="left"/>
      <w:textAlignment w:val="center"/>
    </w:pPr>
    <w:rPr>
      <w:rFonts w:ascii="宋体" w:eastAsia="华文中宋" w:hAnsi="宋体"/>
      <w:kern w:val="0"/>
      <w:sz w:val="28"/>
      <w:szCs w:val="22"/>
    </w:rPr>
  </w:style>
  <w:style w:type="paragraph" w:customStyle="1" w:styleId="a56">
    <w:name w:val="封面一致性程度标识"/>
    <w:qFormat/>
    <w:pPr>
      <w:spacing w:before="440" w:line="400" w:lineRule="exact"/>
      <w:jc w:val="center"/>
    </w:pPr>
    <w:rPr>
      <w:rFonts w:ascii="宋体" w:eastAsia="宋体" w:hAnsi="Times New Roman" w:cs="Times New Roman"/>
      <w:sz w:val="28"/>
      <w:lang w:val="en-US" w:eastAsia="zh-CN" w:bidi="ar-SA"/>
    </w:rPr>
  </w:style>
  <w:style w:type="paragraph" w:customStyle="1" w:styleId="a57">
    <w:name w:val="正式文本"/>
    <w:basedOn w:val="Normal"/>
    <w:qFormat/>
    <w:pPr>
      <w:adjustRightInd/>
      <w:snapToGrid/>
      <w:spacing w:line="540" w:lineRule="exact"/>
    </w:pPr>
    <w:rPr>
      <w:rFonts w:ascii="宋体" w:hAnsi="Arial Narrow"/>
      <w:sz w:val="28"/>
      <w:szCs w:val="24"/>
    </w:rPr>
  </w:style>
  <w:style w:type="paragraph" w:customStyle="1" w:styleId="a58">
    <w:name w:val="目次、索引正文"/>
    <w:qFormat/>
    <w:pPr>
      <w:spacing w:line="320" w:lineRule="exact"/>
      <w:jc w:val="both"/>
    </w:pPr>
    <w:rPr>
      <w:rFonts w:ascii="宋体" w:eastAsia="宋体" w:hAnsi="Times New Roman" w:cs="Times New Roman"/>
      <w:sz w:val="21"/>
      <w:lang w:val="en-US" w:eastAsia="zh-CN" w:bidi="ar-SA"/>
    </w:rPr>
  </w:style>
  <w:style w:type="paragraph" w:customStyle="1" w:styleId="pa-3">
    <w:name w:val="pa-3"/>
    <w:basedOn w:val="Normal"/>
    <w:qFormat/>
    <w:pPr>
      <w:widowControl/>
      <w:adjustRightInd/>
      <w:snapToGrid/>
      <w:spacing w:before="150" w:after="150" w:line="240" w:lineRule="auto"/>
      <w:ind w:firstLine="0" w:firstLineChars="0"/>
      <w:jc w:val="left"/>
    </w:pPr>
    <w:rPr>
      <w:rFonts w:ascii="宋体" w:hAnsi="宋体" w:cs="宋体"/>
      <w:kern w:val="0"/>
      <w:szCs w:val="24"/>
    </w:rPr>
  </w:style>
  <w:style w:type="paragraph" w:customStyle="1" w:styleId="xl34">
    <w:name w:val="xl34"/>
    <w:basedOn w:val="Normal"/>
    <w:qFormat/>
    <w:pPr>
      <w:widowControl/>
      <w:pBdr>
        <w:top w:val="single" w:sz="8" w:space="0" w:color="auto"/>
        <w:left w:val="single" w:sz="4" w:space="0" w:color="auto"/>
        <w:right w:val="single" w:sz="4" w:space="0" w:color="auto"/>
      </w:pBdr>
      <w:adjustRightInd/>
      <w:snapToGrid/>
      <w:spacing w:before="100" w:beforeAutospacing="1" w:after="100" w:afterAutospacing="1"/>
      <w:jc w:val="center"/>
    </w:pPr>
    <w:rPr>
      <w:rFonts w:ascii="Arial Unicode MS" w:eastAsia="Arial Unicode MS" w:hAnsi="Arial Unicode MS"/>
      <w:kern w:val="0"/>
      <w:sz w:val="20"/>
      <w:szCs w:val="22"/>
    </w:rPr>
  </w:style>
  <w:style w:type="paragraph" w:customStyle="1" w:styleId="CharChar2CharCharCharCharCharChar1">
    <w:name w:val="Char Char2 Char Char Char Char Char Char1"/>
    <w:basedOn w:val="Normal"/>
    <w:qFormat/>
    <w:pPr>
      <w:adjustRightInd/>
      <w:snapToGrid/>
      <w:spacing w:line="240" w:lineRule="auto"/>
      <w:ind w:firstLine="0" w:firstLineChars="0"/>
    </w:pPr>
    <w:rPr>
      <w:sz w:val="44"/>
    </w:rPr>
  </w:style>
  <w:style w:type="paragraph" w:customStyle="1" w:styleId="xl36">
    <w:name w:val="xl36"/>
    <w:basedOn w:val="Normal"/>
    <w:qFormat/>
    <w:pPr>
      <w:widowControl/>
      <w:pBdr>
        <w:left w:val="single" w:sz="4" w:space="0" w:color="auto"/>
        <w:bottom w:val="single" w:sz="4" w:space="0" w:color="auto"/>
        <w:right w:val="single" w:sz="4" w:space="0" w:color="auto"/>
      </w:pBdr>
      <w:adjustRightInd/>
      <w:snapToGrid/>
      <w:spacing w:before="100" w:beforeAutospacing="1" w:after="100" w:afterAutospacing="1"/>
      <w:jc w:val="center"/>
    </w:pPr>
    <w:rPr>
      <w:rFonts w:ascii="Arial Unicode MS" w:eastAsia="Arial Unicode MS" w:hAnsi="Arial Unicode MS"/>
      <w:kern w:val="0"/>
      <w:sz w:val="20"/>
      <w:szCs w:val="22"/>
    </w:rPr>
  </w:style>
  <w:style w:type="paragraph" w:customStyle="1" w:styleId="a59">
    <w:name w:val="标准书眉_奇数页"/>
    <w:next w:val="Normal"/>
    <w:qFormat/>
    <w:pPr>
      <w:tabs>
        <w:tab w:val="center" w:pos="4154"/>
        <w:tab w:val="right" w:pos="8306"/>
      </w:tabs>
      <w:spacing w:after="120"/>
      <w:jc w:val="right"/>
    </w:pPr>
    <w:rPr>
      <w:rFonts w:ascii="Times New Roman" w:eastAsia="宋体" w:hAnsi="Times New Roman" w:cs="Times New Roman"/>
      <w:sz w:val="21"/>
      <w:lang w:val="en-US" w:eastAsia="zh-CN" w:bidi="ar-SA"/>
    </w:rPr>
  </w:style>
  <w:style w:type="paragraph" w:customStyle="1" w:styleId="a60">
    <w:name w:val="节标题"/>
    <w:basedOn w:val="Normal"/>
    <w:next w:val="a61"/>
    <w:qFormat/>
    <w:pPr>
      <w:widowControl/>
      <w:adjustRightInd/>
      <w:snapToGrid/>
      <w:spacing w:after="200" w:line="289" w:lineRule="atLeast"/>
      <w:jc w:val="center"/>
      <w:textAlignment w:val="baseline"/>
    </w:pPr>
    <w:rPr>
      <w:rFonts w:ascii="Calibri" w:hAnsi="Calibri"/>
      <w:color w:val="000000"/>
      <w:kern w:val="0"/>
      <w:sz w:val="28"/>
      <w:szCs w:val="22"/>
      <w:u w:color="000000"/>
    </w:rPr>
  </w:style>
  <w:style w:type="paragraph" w:customStyle="1" w:styleId="a61">
    <w:name w:val="小节标题"/>
    <w:basedOn w:val="Normal"/>
    <w:next w:val="Normal"/>
    <w:qFormat/>
    <w:pPr>
      <w:widowControl/>
      <w:adjustRightInd/>
      <w:snapToGrid/>
      <w:spacing w:before="175" w:after="102" w:line="351" w:lineRule="atLeast"/>
      <w:jc w:val="left"/>
      <w:textAlignment w:val="baseline"/>
    </w:pPr>
    <w:rPr>
      <w:rFonts w:ascii="Calibri" w:eastAsia="黑体" w:hAnsi="Calibri"/>
      <w:color w:val="000000"/>
      <w:kern w:val="0"/>
      <w:szCs w:val="22"/>
      <w:u w:color="000000"/>
    </w:rPr>
  </w:style>
  <w:style w:type="paragraph" w:customStyle="1" w:styleId="a62">
    <w:name w:val="样式"/>
    <w:qFormat/>
    <w:pPr>
      <w:widowControl w:val="0"/>
      <w:autoSpaceDE w:val="0"/>
      <w:autoSpaceDN w:val="0"/>
      <w:adjustRightInd w:val="0"/>
    </w:pPr>
    <w:rPr>
      <w:rFonts w:ascii="Times New Roman" w:eastAsia="宋体" w:hAnsi="Times New Roman" w:cs="Times New Roman"/>
      <w:sz w:val="24"/>
      <w:lang w:val="en-US" w:eastAsia="zh-CN" w:bidi="ar-SA"/>
    </w:rPr>
  </w:style>
  <w:style w:type="paragraph" w:customStyle="1" w:styleId="030505">
    <w:name w:val="样式 标题03 + 段前: 0.5 行 段后: 0.5 行"/>
    <w:basedOn w:val="Normal"/>
    <w:qFormat/>
    <w:pPr>
      <w:keepNext/>
      <w:keepLines/>
      <w:adjustRightInd/>
      <w:snapToGrid/>
      <w:outlineLvl w:val="2"/>
    </w:pPr>
    <w:rPr>
      <w:rFonts w:eastAsia="黑体" w:cs="宋体"/>
      <w:color w:val="00B050"/>
      <w:sz w:val="28"/>
    </w:rPr>
  </w:style>
  <w:style w:type="paragraph" w:customStyle="1" w:styleId="29">
    <w:name w:val="样式2(代节)"/>
    <w:qFormat/>
    <w:pPr>
      <w:widowControl w:val="0"/>
      <w:spacing w:beforeLines="120" w:afterLines="100"/>
      <w:jc w:val="center"/>
      <w:outlineLvl w:val="1"/>
    </w:pPr>
    <w:rPr>
      <w:rFonts w:ascii="黑体" w:eastAsia="黑体" w:hAnsi="宋体" w:cs="Times New Roman"/>
      <w:kern w:val="2"/>
      <w:sz w:val="30"/>
      <w:szCs w:val="36"/>
      <w:lang w:val="en-US" w:eastAsia="zh-CN" w:bidi="ar-SA"/>
    </w:rPr>
  </w:style>
  <w:style w:type="paragraph" w:customStyle="1" w:styleId="210">
    <w:name w:val="正文文本 21"/>
    <w:basedOn w:val="Normal"/>
    <w:qFormat/>
    <w:pPr>
      <w:snapToGrid/>
      <w:ind w:firstLine="560" w:firstLineChars="0"/>
      <w:textAlignment w:val="baseline"/>
    </w:pPr>
    <w:rPr>
      <w:sz w:val="28"/>
    </w:rPr>
  </w:style>
  <w:style w:type="paragraph" w:customStyle="1" w:styleId="biao">
    <w:name w:val="biao"/>
    <w:basedOn w:val="Normal"/>
    <w:qFormat/>
    <w:pPr>
      <w:tabs>
        <w:tab w:val="left" w:pos="4230"/>
      </w:tabs>
      <w:adjustRightInd/>
      <w:snapToGrid/>
      <w:spacing w:line="240" w:lineRule="auto"/>
      <w:ind w:firstLine="0" w:firstLineChars="0"/>
      <w:jc w:val="center"/>
    </w:pPr>
    <w:rPr>
      <w:sz w:val="21"/>
      <w:szCs w:val="30"/>
    </w:rPr>
  </w:style>
  <w:style w:type="paragraph" w:customStyle="1" w:styleId="Char1CharCharChar1">
    <w:name w:val="Char1 Char Char Char1"/>
    <w:basedOn w:val="Normal"/>
    <w:qFormat/>
    <w:pPr>
      <w:adjustRightInd/>
      <w:snapToGrid/>
      <w:spacing w:line="240" w:lineRule="auto"/>
      <w:ind w:firstLine="0" w:firstLineChars="0"/>
    </w:pPr>
    <w:rPr>
      <w:sz w:val="21"/>
      <w:szCs w:val="24"/>
    </w:rPr>
  </w:style>
  <w:style w:type="paragraph" w:customStyle="1" w:styleId="font10">
    <w:name w:val="font10"/>
    <w:basedOn w:val="Normal"/>
    <w:qFormat/>
    <w:pPr>
      <w:widowControl/>
      <w:adjustRightInd/>
      <w:snapToGrid/>
      <w:spacing w:before="100" w:beforeAutospacing="1" w:after="100" w:afterAutospacing="1" w:line="240" w:lineRule="auto"/>
      <w:ind w:firstLine="0" w:firstLineChars="0"/>
      <w:jc w:val="left"/>
    </w:pPr>
    <w:rPr>
      <w:b/>
      <w:bCs/>
      <w:color w:val="FF0000"/>
      <w:kern w:val="0"/>
      <w:sz w:val="21"/>
      <w:szCs w:val="21"/>
    </w:rPr>
  </w:style>
  <w:style w:type="paragraph" w:customStyle="1" w:styleId="xl76">
    <w:name w:val="xl76"/>
    <w:basedOn w:val="Normal"/>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0" w:firstLineChars="0"/>
      <w:jc w:val="left"/>
      <w:textAlignment w:val="center"/>
    </w:pPr>
    <w:rPr>
      <w:rFonts w:ascii="仿宋_GB2312" w:eastAsia="仿宋_GB2312" w:hAnsi="宋体" w:cs="宋体"/>
      <w:b/>
      <w:bCs/>
      <w:color w:val="FF0000"/>
      <w:kern w:val="0"/>
      <w:sz w:val="21"/>
      <w:szCs w:val="21"/>
    </w:rPr>
  </w:style>
  <w:style w:type="paragraph" w:customStyle="1" w:styleId="211">
    <w:name w:val="样式 首行缩进:  2 字符"/>
    <w:basedOn w:val="Normal"/>
    <w:qFormat/>
    <w:pPr>
      <w:widowControl/>
      <w:topLinePunct/>
      <w:adjustRightInd/>
      <w:snapToGrid/>
      <w:spacing w:after="200" w:line="380" w:lineRule="exact"/>
      <w:ind w:firstLine="480"/>
      <w:jc w:val="left"/>
    </w:pPr>
    <w:rPr>
      <w:rFonts w:ascii="宋体" w:hAnsi="宋体"/>
      <w:kern w:val="0"/>
      <w:szCs w:val="22"/>
    </w:rPr>
  </w:style>
  <w:style w:type="paragraph" w:customStyle="1" w:styleId="a63">
    <w:name w:val="附录表标题"/>
    <w:next w:val="a7"/>
    <w:qFormat/>
    <w:pPr>
      <w:tabs>
        <w:tab w:val="left" w:pos="675"/>
      </w:tabs>
      <w:ind w:left="315"/>
      <w:jc w:val="center"/>
      <w:textAlignment w:val="baseline"/>
    </w:pPr>
    <w:rPr>
      <w:rFonts w:ascii="黑体" w:eastAsia="黑体" w:hAnsi="Times New Roman" w:cs="Times New Roman"/>
      <w:kern w:val="21"/>
      <w:sz w:val="21"/>
      <w:lang w:val="en-US" w:eastAsia="zh-CN" w:bidi="ar-SA"/>
    </w:rPr>
  </w:style>
  <w:style w:type="paragraph" w:customStyle="1" w:styleId="CharCharChar1CharCharCharCharCharCharCharCharChar1">
    <w:name w:val="Char Char Char1 Char Char Char Char Char Char Char Char Char1"/>
    <w:basedOn w:val="Normal"/>
    <w:qFormat/>
    <w:pPr>
      <w:adjustRightInd/>
      <w:snapToGrid/>
      <w:spacing w:line="240" w:lineRule="auto"/>
      <w:ind w:firstLine="0" w:firstLineChars="0"/>
    </w:pPr>
    <w:rPr>
      <w:sz w:val="44"/>
    </w:rPr>
  </w:style>
  <w:style w:type="paragraph" w:customStyle="1" w:styleId="CharCharChar4CharCharCharCharCharCharCharCharCharCharCharCharChar">
    <w:name w:val="Char Char Char4 Char Char Char Char Char Char Char Char Char Char Char Char Char"/>
    <w:basedOn w:val="Normal"/>
    <w:qFormat/>
    <w:pPr>
      <w:adjustRightInd/>
      <w:snapToGrid/>
      <w:spacing w:line="240" w:lineRule="auto"/>
      <w:ind w:firstLine="0" w:firstLineChars="0"/>
    </w:pPr>
    <w:rPr>
      <w:sz w:val="21"/>
      <w:szCs w:val="24"/>
    </w:rPr>
  </w:style>
  <w:style w:type="paragraph" w:customStyle="1" w:styleId="a64">
    <w:name w:val="目次、标准名称标题"/>
    <w:basedOn w:val="a51"/>
    <w:next w:val="a7"/>
    <w:qFormat/>
    <w:pPr>
      <w:spacing w:line="460" w:lineRule="exact"/>
    </w:pPr>
  </w:style>
  <w:style w:type="paragraph" w:customStyle="1" w:styleId="212">
    <w:name w:val="样式 自动设置 首行缩进:  2 字符"/>
    <w:basedOn w:val="Normal"/>
    <w:qFormat/>
    <w:pPr>
      <w:adjustRightInd/>
      <w:snapToGrid/>
      <w:spacing w:line="400" w:lineRule="exact"/>
    </w:pPr>
    <w:rPr>
      <w:rFonts w:eastAsia="仿宋_GB2312" w:cs="宋体"/>
    </w:rPr>
  </w:style>
  <w:style w:type="paragraph" w:customStyle="1" w:styleId="CharChar2Char1">
    <w:name w:val="Char Char2 Char1"/>
    <w:basedOn w:val="Normal"/>
    <w:qFormat/>
    <w:pPr>
      <w:adjustRightInd/>
      <w:snapToGrid/>
      <w:spacing w:line="240" w:lineRule="auto"/>
      <w:ind w:firstLine="0" w:firstLineChars="0"/>
    </w:pPr>
    <w:rPr>
      <w:sz w:val="21"/>
      <w:szCs w:val="24"/>
    </w:rPr>
  </w:style>
  <w:style w:type="paragraph" w:customStyle="1" w:styleId="xl77">
    <w:name w:val="xl77"/>
    <w:basedOn w:val="Normal"/>
    <w:qFormat/>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0" w:firstLineChars="0"/>
      <w:jc w:val="center"/>
      <w:textAlignment w:val="center"/>
    </w:pPr>
    <w:rPr>
      <w:rFonts w:ascii="仿宋_GB2312" w:eastAsia="仿宋_GB2312" w:hAnsi="宋体" w:cs="宋体"/>
      <w:b/>
      <w:bCs/>
      <w:color w:val="FF0000"/>
      <w:kern w:val="0"/>
      <w:sz w:val="21"/>
      <w:szCs w:val="21"/>
    </w:rPr>
  </w:style>
  <w:style w:type="paragraph" w:customStyle="1" w:styleId="151">
    <w:name w:val="样式 宋体 行距: 1.5 倍行距"/>
    <w:basedOn w:val="Normal"/>
    <w:qFormat/>
    <w:pPr>
      <w:adjustRightInd/>
      <w:snapToGrid/>
      <w:jc w:val="left"/>
    </w:pPr>
    <w:rPr>
      <w:rFonts w:ascii="宋体" w:hAnsi="宋体" w:cs="宋体"/>
      <w:sz w:val="28"/>
    </w:rPr>
  </w:style>
  <w:style w:type="paragraph" w:customStyle="1" w:styleId="a65">
    <w:name w:val="照片编号"/>
    <w:basedOn w:val="Normal"/>
    <w:qFormat/>
    <w:pPr>
      <w:widowControl/>
      <w:adjustRightInd/>
      <w:snapToGrid/>
      <w:spacing w:after="200" w:line="276" w:lineRule="auto"/>
      <w:ind w:firstLine="0" w:firstLineChars="0"/>
      <w:jc w:val="center"/>
      <w:textAlignment w:val="center"/>
    </w:pPr>
    <w:rPr>
      <w:rFonts w:ascii="Calibri" w:eastAsia="华文中宋" w:hAnsi="Calibri"/>
      <w:b/>
      <w:kern w:val="0"/>
      <w:szCs w:val="22"/>
    </w:rPr>
  </w:style>
  <w:style w:type="paragraph" w:customStyle="1" w:styleId="xl41">
    <w:name w:val="xl41"/>
    <w:basedOn w:val="Normal"/>
    <w:qFormat/>
    <w:pPr>
      <w:widowControl/>
      <w:pBdr>
        <w:top w:val="single" w:sz="4" w:space="0" w:color="auto"/>
        <w:bottom w:val="single" w:sz="8" w:space="0" w:color="auto"/>
        <w:right w:val="single" w:sz="4" w:space="0" w:color="auto"/>
      </w:pBdr>
      <w:adjustRightInd/>
      <w:snapToGrid/>
      <w:spacing w:before="100" w:beforeAutospacing="1" w:after="100" w:afterAutospacing="1"/>
      <w:jc w:val="center"/>
    </w:pPr>
    <w:rPr>
      <w:rFonts w:ascii="Arial Unicode MS" w:eastAsia="Arial Unicode MS" w:hAnsi="Arial Unicode MS"/>
      <w:kern w:val="0"/>
      <w:sz w:val="20"/>
      <w:szCs w:val="22"/>
    </w:rPr>
  </w:style>
  <w:style w:type="paragraph" w:customStyle="1" w:styleId="a66">
    <w:name w:val="煤炭正文"/>
    <w:basedOn w:val="Normal"/>
    <w:qFormat/>
    <w:pPr>
      <w:adjustRightInd/>
      <w:snapToGrid/>
      <w:spacing w:line="360" w:lineRule="exact"/>
    </w:pPr>
    <w:rPr>
      <w:rFonts w:eastAsia="楷体_GB2312"/>
      <w:szCs w:val="28"/>
    </w:rPr>
  </w:style>
  <w:style w:type="paragraph" w:customStyle="1" w:styleId="2210">
    <w:name w:val="样式 样式2 + 宋体 首行缩进:  2 字符1"/>
    <w:basedOn w:val="21"/>
    <w:qFormat/>
    <w:pPr>
      <w:tabs>
        <w:tab w:val="clear" w:pos="4153"/>
        <w:tab w:val="clear" w:pos="8306"/>
      </w:tabs>
      <w:adjustRightInd/>
      <w:snapToGrid/>
      <w:spacing w:line="480" w:lineRule="exact"/>
      <w:ind w:firstLine="560"/>
      <w:jc w:val="both"/>
    </w:pPr>
    <w:rPr>
      <w:rFonts w:ascii="宋体" w:hAnsi="宋体" w:cs="宋体"/>
      <w:sz w:val="24"/>
      <w:szCs w:val="20"/>
    </w:rPr>
  </w:style>
  <w:style w:type="paragraph" w:customStyle="1" w:styleId="213">
    <w:name w:val="正文文本缩进 21"/>
    <w:basedOn w:val="Normal"/>
    <w:qFormat/>
    <w:pPr>
      <w:adjustRightInd/>
      <w:snapToGrid/>
      <w:spacing w:line="540" w:lineRule="exact"/>
      <w:ind w:firstLine="560"/>
    </w:pPr>
    <w:rPr>
      <w:rFonts w:ascii="宋体" w:eastAsia="华文中宋" w:hAnsi="宋体"/>
      <w:sz w:val="28"/>
    </w:rPr>
  </w:style>
  <w:style w:type="paragraph" w:customStyle="1" w:styleId="a67">
    <w:name w:val="封面正文"/>
    <w:qFormat/>
    <w:pPr>
      <w:jc w:val="both"/>
    </w:pPr>
    <w:rPr>
      <w:rFonts w:ascii="Times New Roman" w:eastAsia="宋体" w:hAnsi="Times New Roman" w:cs="Times New Roman"/>
      <w:lang w:val="en-US" w:eastAsia="zh-CN" w:bidi="ar-SA"/>
    </w:rPr>
  </w:style>
  <w:style w:type="paragraph" w:customStyle="1" w:styleId="CharCharChar1CharCharCharCharCharCharCharCharCharChar1">
    <w:name w:val="Char Char Char1 Char Char Char Char Char Char Char Char Char Char1"/>
    <w:basedOn w:val="Normal"/>
    <w:qFormat/>
    <w:pPr>
      <w:adjustRightInd/>
      <w:snapToGrid/>
      <w:spacing w:line="240" w:lineRule="auto"/>
      <w:ind w:firstLine="0" w:firstLineChars="0"/>
    </w:pPr>
    <w:rPr>
      <w:sz w:val="21"/>
      <w:szCs w:val="24"/>
    </w:rPr>
  </w:style>
  <w:style w:type="paragraph" w:customStyle="1" w:styleId="a68">
    <w:name w:val="表格标题（左对齐）"/>
    <w:basedOn w:val="Normal"/>
    <w:qFormat/>
    <w:pPr>
      <w:widowControl/>
      <w:adjustRightInd/>
      <w:snapToGrid/>
      <w:spacing w:before="120" w:after="120" w:line="400" w:lineRule="atLeast"/>
      <w:ind w:left="425"/>
      <w:jc w:val="center"/>
    </w:pPr>
    <w:rPr>
      <w:rFonts w:ascii="Calibri" w:eastAsia="黑体" w:hAnsi="Calibri"/>
      <w:b/>
      <w:snapToGrid w:val="0"/>
      <w:kern w:val="0"/>
      <w:sz w:val="28"/>
      <w:szCs w:val="22"/>
    </w:rPr>
  </w:style>
  <w:style w:type="paragraph" w:customStyle="1" w:styleId="1TimesNewRoman135">
    <w:name w:val="样式 标题 1 + Times New Roman 首行缩进:  1.35 厘米"/>
    <w:basedOn w:val="Heading1"/>
    <w:qFormat/>
    <w:pPr>
      <w:keepNext w:val="0"/>
      <w:keepLines w:val="0"/>
      <w:widowControl/>
      <w:adjustRightInd/>
      <w:snapToGrid/>
      <w:spacing w:afterLines="50"/>
      <w:ind w:firstLine="200" w:firstLineChars="200"/>
    </w:pPr>
    <w:rPr>
      <w:rFonts w:ascii="Cambria" w:eastAsia="黑体" w:hAnsi="Cambria"/>
      <w:b w:val="0"/>
      <w:color w:val="21798E"/>
      <w:spacing w:val="10"/>
      <w:kern w:val="0"/>
      <w:sz w:val="28"/>
      <w:szCs w:val="28"/>
    </w:rPr>
  </w:style>
  <w:style w:type="paragraph" w:customStyle="1" w:styleId="40">
    <w:name w:val="目录4"/>
    <w:basedOn w:val="Normal"/>
    <w:qFormat/>
    <w:pPr>
      <w:widowControl/>
      <w:tabs>
        <w:tab w:val="left" w:leader="dot" w:pos="7370"/>
      </w:tabs>
      <w:adjustRightInd/>
      <w:snapToGrid/>
      <w:spacing w:line="317" w:lineRule="atLeast"/>
      <w:ind w:firstLine="629" w:firstLineChars="0"/>
      <w:textAlignment w:val="baseline"/>
    </w:pPr>
    <w:rPr>
      <w:color w:val="000000"/>
      <w:kern w:val="0"/>
      <w:sz w:val="21"/>
      <w:u w:color="000000"/>
    </w:rPr>
  </w:style>
  <w:style w:type="paragraph" w:customStyle="1" w:styleId="CharCharChar1Char1">
    <w:name w:val="Char Char Char1 Char1"/>
    <w:basedOn w:val="Normal"/>
    <w:qFormat/>
    <w:pPr>
      <w:adjustRightInd/>
      <w:snapToGrid/>
      <w:spacing w:line="240" w:lineRule="auto"/>
      <w:ind w:firstLine="0" w:firstLineChars="0"/>
    </w:pPr>
    <w:rPr>
      <w:sz w:val="21"/>
      <w:szCs w:val="24"/>
    </w:rPr>
  </w:style>
  <w:style w:type="paragraph" w:customStyle="1" w:styleId="a69">
    <w:name w:val="缩进"/>
    <w:basedOn w:val="Normal"/>
    <w:qFormat/>
    <w:pPr>
      <w:widowControl/>
      <w:autoSpaceDE w:val="0"/>
      <w:autoSpaceDN w:val="0"/>
      <w:snapToGrid/>
      <w:spacing w:after="200" w:line="400" w:lineRule="atLeast"/>
      <w:ind w:firstLine="420" w:firstLineChars="0"/>
      <w:jc w:val="left"/>
    </w:pPr>
    <w:rPr>
      <w:rFonts w:ascii="Calibri" w:hAnsi="Calibri"/>
      <w:kern w:val="0"/>
      <w:szCs w:val="22"/>
    </w:rPr>
  </w:style>
  <w:style w:type="paragraph" w:customStyle="1" w:styleId="a70">
    <w:name w:val="其他标准称谓"/>
    <w:qFormat/>
    <w:pPr>
      <w:spacing w:line="0" w:lineRule="atLeast"/>
      <w:jc w:val="distribute"/>
    </w:pPr>
    <w:rPr>
      <w:rFonts w:ascii="黑体" w:eastAsia="黑体" w:hAnsi="宋体" w:cs="Times New Roman"/>
      <w:sz w:val="52"/>
      <w:lang w:val="en-US" w:eastAsia="zh-CN" w:bidi="ar-SA"/>
    </w:rPr>
  </w:style>
  <w:style w:type="paragraph" w:customStyle="1" w:styleId="Char310">
    <w:name w:val="Char31"/>
    <w:basedOn w:val="Normal"/>
    <w:qFormat/>
    <w:pPr>
      <w:adjustRightInd/>
      <w:snapToGrid/>
      <w:spacing w:line="240" w:lineRule="auto"/>
      <w:ind w:firstLine="0" w:firstLineChars="0"/>
    </w:pPr>
    <w:rPr>
      <w:sz w:val="21"/>
      <w:szCs w:val="24"/>
    </w:rPr>
  </w:style>
  <w:style w:type="paragraph" w:customStyle="1" w:styleId="GB2312252">
    <w:name w:val="样式 (中文) 仿宋_GB2312 小四 行距: 固定值 25 磅 首行缩进:  2 字符"/>
    <w:basedOn w:val="Normal"/>
    <w:qFormat/>
    <w:pPr>
      <w:adjustRightInd/>
      <w:snapToGrid/>
      <w:spacing w:line="500" w:lineRule="exact"/>
      <w:ind w:firstLine="480"/>
    </w:pPr>
    <w:rPr>
      <w:rFonts w:eastAsia="仿宋_GB2312" w:cs="宋体"/>
      <w:szCs w:val="24"/>
    </w:rPr>
  </w:style>
  <w:style w:type="paragraph" w:customStyle="1" w:styleId="5SimSun125">
    <w:name w:val="样式 标题 5 + SimSun 小四 行距: 多倍行距 1.25 字行"/>
    <w:basedOn w:val="Heading5"/>
    <w:qFormat/>
    <w:pPr>
      <w:keepLines/>
      <w:spacing w:line="300" w:lineRule="auto"/>
    </w:pPr>
    <w:rPr>
      <w:szCs w:val="28"/>
    </w:rPr>
  </w:style>
  <w:style w:type="paragraph" w:customStyle="1" w:styleId="Char230">
    <w:name w:val="Char23"/>
    <w:basedOn w:val="DocumentMap"/>
    <w:qFormat/>
    <w:pPr>
      <w:adjustRightInd w:val="0"/>
      <w:spacing w:line="436" w:lineRule="exact"/>
      <w:ind w:left="357"/>
      <w:jc w:val="left"/>
      <w:outlineLvl w:val="3"/>
    </w:pPr>
    <w:rPr>
      <w:rFonts w:ascii="Tahoma" w:hAnsi="Tahoma"/>
      <w:b/>
      <w:sz w:val="24"/>
      <w:szCs w:val="24"/>
    </w:rPr>
  </w:style>
  <w:style w:type="paragraph" w:customStyle="1" w:styleId="1TimesNewRoman135GB2312">
    <w:name w:val="样式 样式 标题 1 + Times New Roman 首行缩进:  1.35 厘米 + (中文) 仿宋_GB2312"/>
    <w:basedOn w:val="1TimesNewRoman135"/>
    <w:qFormat/>
    <w:pPr>
      <w:keepNext/>
      <w:pageBreakBefore w:val="0"/>
      <w:spacing w:before="240" w:afterLines="0" w:line="500" w:lineRule="exact"/>
    </w:pPr>
    <w:rPr>
      <w:b/>
      <w:kern w:val="10"/>
      <w:sz w:val="36"/>
    </w:rPr>
  </w:style>
  <w:style w:type="paragraph" w:customStyle="1" w:styleId="22CharTimesNewRoman0">
    <w:name w:val="样式 标题 2标题 2 Char + Times New Roman 首行缩进:  0 字符"/>
    <w:basedOn w:val="Heading2"/>
    <w:qFormat/>
    <w:pPr>
      <w:adjustRightInd/>
      <w:snapToGrid/>
      <w:spacing w:before="0"/>
      <w:jc w:val="both"/>
    </w:pPr>
    <w:rPr>
      <w:rFonts w:ascii="Times New Roman" w:eastAsia="黑体" w:hAnsi="Times New Roman" w:cs="宋体"/>
      <w:b w:val="0"/>
      <w:bCs w:val="0"/>
      <w:szCs w:val="20"/>
    </w:rPr>
  </w:style>
  <w:style w:type="paragraph" w:customStyle="1" w:styleId="a71">
    <w:name w:val="於正文"/>
    <w:basedOn w:val="Normal"/>
    <w:qFormat/>
    <w:pPr>
      <w:adjustRightInd/>
      <w:snapToGrid/>
    </w:pPr>
    <w:rPr>
      <w:rFonts w:ascii="仿宋_GB2312" w:eastAsia="仿宋_GB2312" w:hAnsi="仿宋_GB2312"/>
      <w:color w:val="0000FF"/>
      <w:sz w:val="30"/>
      <w:szCs w:val="24"/>
    </w:rPr>
  </w:style>
  <w:style w:type="paragraph" w:customStyle="1" w:styleId="08515">
    <w:name w:val="样式 小四 首行缩进:  0.85 厘米 行距: 1.5 倍行距"/>
    <w:basedOn w:val="Normal"/>
    <w:next w:val="Normal"/>
    <w:qFormat/>
    <w:pPr>
      <w:snapToGrid/>
      <w:ind w:firstLine="480" w:firstLineChars="0"/>
      <w:textAlignment w:val="baseline"/>
    </w:pPr>
  </w:style>
  <w:style w:type="character" w:customStyle="1" w:styleId="153">
    <w:name w:val="15"/>
    <w:basedOn w:val="DefaultParagraphFont"/>
    <w:qFormat/>
    <w:rPr>
      <w:rFonts w:ascii="黑体" w:eastAsia="黑体" w:hAnsi="黑体" w:hint="eastAsia"/>
      <w:sz w:val="24"/>
      <w:szCs w:val="24"/>
    </w:rPr>
  </w:style>
  <w:style w:type="paragraph" w:customStyle="1" w:styleId="Normal10">
    <w:name w:val="Normal_10"/>
    <w:qFormat/>
    <w:pPr>
      <w:spacing w:before="120" w:after="240"/>
      <w:jc w:val="both"/>
    </w:pPr>
    <w:rPr>
      <w:rFonts w:ascii="Calibri" w:eastAsia="Calibri" w:hAnsi="Calibri" w:cs="Times New Roman"/>
      <w:sz w:val="22"/>
      <w:szCs w:val="22"/>
      <w:lang w:val="en-US" w:eastAsia="en-US" w:bidi="ar-SA"/>
    </w:rPr>
  </w:style>
  <w:style w:type="paragraph" w:customStyle="1" w:styleId="Normal6">
    <w:name w:val="Normal_6"/>
    <w:qFormat/>
    <w:pPr>
      <w:spacing w:before="120" w:after="240"/>
      <w:jc w:val="both"/>
    </w:pPr>
    <w:rPr>
      <w:rFonts w:ascii="Calibri" w:eastAsia="Calibri" w:hAnsi="Calibri" w:cs="Times New Roman"/>
      <w:sz w:val="22"/>
      <w:szCs w:val="22"/>
      <w:lang w:val="en-US" w:eastAsia="en-US" w:bidi="ar-SA"/>
    </w:rPr>
  </w:style>
  <w:style w:type="character" w:customStyle="1" w:styleId="font11">
    <w:name w:val="font11"/>
    <w:basedOn w:val="DefaultParagraphFont"/>
    <w:qFormat/>
    <w:rPr>
      <w:rFonts w:ascii="Times New Roman" w:hAnsi="Times New Roman" w:cs="Times New Roman" w:hint="default"/>
      <w:b/>
      <w:color w:val="000000"/>
      <w:sz w:val="21"/>
      <w:szCs w:val="21"/>
      <w:u w:val="none"/>
      <w:vertAlign w:val="superscript"/>
    </w:rPr>
  </w:style>
  <w:style w:type="character" w:customStyle="1" w:styleId="font01">
    <w:name w:val="font01"/>
    <w:basedOn w:val="DefaultParagraphFont"/>
    <w:qFormat/>
    <w:rPr>
      <w:rFonts w:ascii="宋体" w:eastAsia="宋体" w:hAnsi="宋体" w:cs="宋体" w:hint="eastAsia"/>
      <w:color w:val="000000"/>
      <w:sz w:val="20"/>
      <w:szCs w:val="20"/>
      <w:u w:val="none"/>
      <w:vertAlign w:val="superscript"/>
    </w:rPr>
  </w:style>
  <w:style w:type="paragraph" w:customStyle="1" w:styleId="a72">
    <w:name w:val="图表文字"/>
    <w:basedOn w:val="Normal"/>
    <w:qFormat/>
    <w:pPr>
      <w:spacing w:line="240" w:lineRule="auto"/>
      <w:ind w:firstLine="0" w:firstLineChars="0"/>
      <w:jc w:val="center"/>
    </w:pPr>
    <w:rPr>
      <w:sz w:val="21"/>
      <w:szCs w:val="21"/>
    </w:rPr>
  </w:style>
  <w:style w:type="paragraph" w:customStyle="1" w:styleId="Bodytext1">
    <w:name w:val="Body text|1"/>
    <w:basedOn w:val="Normal"/>
    <w:qFormat/>
    <w:pPr>
      <w:spacing w:line="427" w:lineRule="auto"/>
      <w:ind w:firstLine="400"/>
    </w:pPr>
    <w:rPr>
      <w:rFonts w:ascii="宋体" w:hAnsi="宋体" w:cs="宋体"/>
      <w:sz w:val="22"/>
      <w:szCs w:val="22"/>
      <w:lang w:val="zh-TW" w:eastAsia="zh-TW" w:bidi="zh-TW"/>
    </w:rPr>
  </w:style>
  <w:style w:type="paragraph" w:customStyle="1" w:styleId="Other1">
    <w:name w:val="Other|1"/>
    <w:basedOn w:val="Normal"/>
    <w:qFormat/>
    <w:pPr>
      <w:spacing w:line="415" w:lineRule="auto"/>
      <w:ind w:firstLine="400"/>
    </w:pPr>
    <w:rPr>
      <w:rFonts w:ascii="宋体" w:hAnsi="宋体" w:cs="宋体"/>
      <w:sz w:val="22"/>
      <w:szCs w:val="22"/>
    </w:rPr>
  </w:style>
  <w:style w:type="paragraph" w:customStyle="1" w:styleId="116">
    <w:name w:val="列出段落1"/>
    <w:basedOn w:val="Normal"/>
    <w:qFormat/>
    <w:pPr>
      <w:ind w:firstLine="420"/>
    </w:pPr>
    <w:rPr>
      <w:sz w:val="28"/>
      <w:szCs w:val="24"/>
    </w:rPr>
  </w:style>
  <w:style w:type="paragraph" w:customStyle="1" w:styleId="a73">
    <w:name w:val="a"/>
    <w:basedOn w:val="Normal"/>
    <w:qFormat/>
    <w:pPr>
      <w:widowControl/>
      <w:spacing w:line="640" w:lineRule="atLeast"/>
      <w:ind w:firstLine="566"/>
      <w:jc w:val="left"/>
    </w:pPr>
    <w:rPr>
      <w:color w:val="000000"/>
      <w:kern w:val="0"/>
      <w:sz w:val="28"/>
      <w:szCs w:val="28"/>
    </w:rPr>
  </w:style>
  <w:style w:type="table" w:customStyle="1" w:styleId="TableGrid0">
    <w:name w:val="Table Grid_0"/>
    <w:basedOn w:val="TableNormal"/>
    <w:qFormat/>
    <w:pPr>
      <w:widowControl w:val="0"/>
      <w:jc w:val="center"/>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00" Type="http://schemas.openxmlformats.org/officeDocument/2006/relationships/footer" Target="footer42.xml" /><Relationship Id="rId101" Type="http://schemas.openxmlformats.org/officeDocument/2006/relationships/image" Target="media/image10.jpeg" /><Relationship Id="rId102" Type="http://schemas.openxmlformats.org/officeDocument/2006/relationships/image" Target="media/image11.jpeg" /><Relationship Id="rId103" Type="http://schemas.openxmlformats.org/officeDocument/2006/relationships/header" Target="header43.xml" /><Relationship Id="rId104" Type="http://schemas.openxmlformats.org/officeDocument/2006/relationships/header" Target="header44.xml" /><Relationship Id="rId105" Type="http://schemas.openxmlformats.org/officeDocument/2006/relationships/footer" Target="footer43.xml" /><Relationship Id="rId106" Type="http://schemas.openxmlformats.org/officeDocument/2006/relationships/footer" Target="footer44.xml" /><Relationship Id="rId107" Type="http://schemas.openxmlformats.org/officeDocument/2006/relationships/header" Target="header45.xml" /><Relationship Id="rId108" Type="http://schemas.openxmlformats.org/officeDocument/2006/relationships/footer" Target="footer45.xml" /><Relationship Id="rId109" Type="http://schemas.openxmlformats.org/officeDocument/2006/relationships/hyperlink" Target="https://d.book118.com/656140131240010030" TargetMode="External" /><Relationship Id="rId11" Type="http://schemas.openxmlformats.org/officeDocument/2006/relationships/footer" Target="footer2.xml" /><Relationship Id="rId110" Type="http://schemas.openxmlformats.org/officeDocument/2006/relationships/header" Target="header46.xml" /><Relationship Id="rId111" Type="http://schemas.openxmlformats.org/officeDocument/2006/relationships/header" Target="header47.xml" /><Relationship Id="rId112" Type="http://schemas.openxmlformats.org/officeDocument/2006/relationships/footer" Target="footer46.xml" /><Relationship Id="rId113" Type="http://schemas.openxmlformats.org/officeDocument/2006/relationships/footer" Target="footer47.xml" /><Relationship Id="rId114" Type="http://schemas.openxmlformats.org/officeDocument/2006/relationships/header" Target="header48.xml" /><Relationship Id="rId115" Type="http://schemas.openxmlformats.org/officeDocument/2006/relationships/footer" Target="footer48.xml" /><Relationship Id="rId116" Type="http://schemas.openxmlformats.org/officeDocument/2006/relationships/theme" Target="theme/theme1.xml" /><Relationship Id="rId117" Type="http://schemas.openxmlformats.org/officeDocument/2006/relationships/numbering" Target="numbering.xml" /><Relationship Id="rId118" Type="http://schemas.openxmlformats.org/officeDocument/2006/relationships/styles" Target="styles.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settings" Target="settings.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image" Target="media/image1.jpeg" /><Relationship Id="rId39" Type="http://schemas.openxmlformats.org/officeDocument/2006/relationships/image" Target="media/image2.jpeg" /><Relationship Id="rId4" Type="http://schemas.openxmlformats.org/officeDocument/2006/relationships/webSettings" Target="webSettings.xml" /><Relationship Id="rId40" Type="http://schemas.openxmlformats.org/officeDocument/2006/relationships/header" Target="header16.xml" /><Relationship Id="rId41" Type="http://schemas.openxmlformats.org/officeDocument/2006/relationships/header" Target="header17.xml" /><Relationship Id="rId42" Type="http://schemas.openxmlformats.org/officeDocument/2006/relationships/footer" Target="footer16.xml" /><Relationship Id="rId43" Type="http://schemas.openxmlformats.org/officeDocument/2006/relationships/footer" Target="footer17.xml" /><Relationship Id="rId44" Type="http://schemas.openxmlformats.org/officeDocument/2006/relationships/header" Target="header18.xml" /><Relationship Id="rId45" Type="http://schemas.openxmlformats.org/officeDocument/2006/relationships/footer" Target="footer18.xml" /><Relationship Id="rId46" Type="http://schemas.openxmlformats.org/officeDocument/2006/relationships/image" Target="media/image3.jpeg" /><Relationship Id="rId47" Type="http://schemas.openxmlformats.org/officeDocument/2006/relationships/header" Target="header19.xml" /><Relationship Id="rId48" Type="http://schemas.openxmlformats.org/officeDocument/2006/relationships/header" Target="header20.xml" /><Relationship Id="rId49" Type="http://schemas.openxmlformats.org/officeDocument/2006/relationships/footer" Target="footer19.xml" /><Relationship Id="rId5" Type="http://schemas.openxmlformats.org/officeDocument/2006/relationships/fontTable" Target="fontTable.xml" /><Relationship Id="rId50" Type="http://schemas.openxmlformats.org/officeDocument/2006/relationships/footer" Target="footer20.xml" /><Relationship Id="rId51" Type="http://schemas.openxmlformats.org/officeDocument/2006/relationships/header" Target="header21.xml" /><Relationship Id="rId52" Type="http://schemas.openxmlformats.org/officeDocument/2006/relationships/footer" Target="footer21.xml" /><Relationship Id="rId53" Type="http://schemas.openxmlformats.org/officeDocument/2006/relationships/header" Target="header22.xml" /><Relationship Id="rId54" Type="http://schemas.openxmlformats.org/officeDocument/2006/relationships/header" Target="header23.xml" /><Relationship Id="rId55" Type="http://schemas.openxmlformats.org/officeDocument/2006/relationships/footer" Target="footer22.xml" /><Relationship Id="rId56" Type="http://schemas.openxmlformats.org/officeDocument/2006/relationships/footer" Target="footer23.xml" /><Relationship Id="rId57" Type="http://schemas.openxmlformats.org/officeDocument/2006/relationships/header" Target="header24.xml" /><Relationship Id="rId58" Type="http://schemas.openxmlformats.org/officeDocument/2006/relationships/footer" Target="footer24.xml" /><Relationship Id="rId59" Type="http://schemas.openxmlformats.org/officeDocument/2006/relationships/header" Target="header25.xml" /><Relationship Id="rId6" Type="http://schemas.openxmlformats.org/officeDocument/2006/relationships/customXml" Target="../customXml/item1.xml" /><Relationship Id="rId60" Type="http://schemas.openxmlformats.org/officeDocument/2006/relationships/header" Target="header26.xml" /><Relationship Id="rId61" Type="http://schemas.openxmlformats.org/officeDocument/2006/relationships/footer" Target="footer25.xml" /><Relationship Id="rId62" Type="http://schemas.openxmlformats.org/officeDocument/2006/relationships/footer" Target="footer26.xml" /><Relationship Id="rId63" Type="http://schemas.openxmlformats.org/officeDocument/2006/relationships/header" Target="header27.xml" /><Relationship Id="rId64" Type="http://schemas.openxmlformats.org/officeDocument/2006/relationships/footer" Target="footer27.xml" /><Relationship Id="rId65" Type="http://schemas.openxmlformats.org/officeDocument/2006/relationships/header" Target="header28.xml" /><Relationship Id="rId66" Type="http://schemas.openxmlformats.org/officeDocument/2006/relationships/header" Target="header29.xml" /><Relationship Id="rId67" Type="http://schemas.openxmlformats.org/officeDocument/2006/relationships/footer" Target="footer28.xml" /><Relationship Id="rId68" Type="http://schemas.openxmlformats.org/officeDocument/2006/relationships/footer" Target="footer29.xml" /><Relationship Id="rId69" Type="http://schemas.openxmlformats.org/officeDocument/2006/relationships/header" Target="header30.xml" /><Relationship Id="rId7" Type="http://schemas.openxmlformats.org/officeDocument/2006/relationships/customXml" Target="../customXml/item2.xml" /><Relationship Id="rId70" Type="http://schemas.openxmlformats.org/officeDocument/2006/relationships/footer" Target="footer30.xml" /><Relationship Id="rId71" Type="http://schemas.openxmlformats.org/officeDocument/2006/relationships/header" Target="header31.xml" /><Relationship Id="rId72" Type="http://schemas.openxmlformats.org/officeDocument/2006/relationships/header" Target="header32.xml" /><Relationship Id="rId73" Type="http://schemas.openxmlformats.org/officeDocument/2006/relationships/footer" Target="footer31.xml" /><Relationship Id="rId74" Type="http://schemas.openxmlformats.org/officeDocument/2006/relationships/footer" Target="footer32.xml" /><Relationship Id="rId75" Type="http://schemas.openxmlformats.org/officeDocument/2006/relationships/header" Target="header33.xml" /><Relationship Id="rId76" Type="http://schemas.openxmlformats.org/officeDocument/2006/relationships/footer" Target="footer33.xml" /><Relationship Id="rId77" Type="http://schemas.openxmlformats.org/officeDocument/2006/relationships/header" Target="header34.xml" /><Relationship Id="rId78" Type="http://schemas.openxmlformats.org/officeDocument/2006/relationships/header" Target="header35.xml" /><Relationship Id="rId79" Type="http://schemas.openxmlformats.org/officeDocument/2006/relationships/footer" Target="footer34.xml" /><Relationship Id="rId8" Type="http://schemas.openxmlformats.org/officeDocument/2006/relationships/header" Target="header1.xml" /><Relationship Id="rId80" Type="http://schemas.openxmlformats.org/officeDocument/2006/relationships/footer" Target="footer35.xml" /><Relationship Id="rId81" Type="http://schemas.openxmlformats.org/officeDocument/2006/relationships/header" Target="header36.xml" /><Relationship Id="rId82" Type="http://schemas.openxmlformats.org/officeDocument/2006/relationships/footer" Target="footer36.xml" /><Relationship Id="rId83" Type="http://schemas.openxmlformats.org/officeDocument/2006/relationships/image" Target="media/image4.jpeg" /><Relationship Id="rId84" Type="http://schemas.openxmlformats.org/officeDocument/2006/relationships/image" Target="media/image5.jpeg" /><Relationship Id="rId85" Type="http://schemas.openxmlformats.org/officeDocument/2006/relationships/header" Target="header37.xml" /><Relationship Id="rId86" Type="http://schemas.openxmlformats.org/officeDocument/2006/relationships/header" Target="header38.xml" /><Relationship Id="rId87" Type="http://schemas.openxmlformats.org/officeDocument/2006/relationships/footer" Target="footer37.xml" /><Relationship Id="rId88" Type="http://schemas.openxmlformats.org/officeDocument/2006/relationships/footer" Target="footer38.xml" /><Relationship Id="rId89" Type="http://schemas.openxmlformats.org/officeDocument/2006/relationships/header" Target="header39.xml" /><Relationship Id="rId9" Type="http://schemas.openxmlformats.org/officeDocument/2006/relationships/header" Target="header2.xml" /><Relationship Id="rId90" Type="http://schemas.openxmlformats.org/officeDocument/2006/relationships/footer" Target="footer39.xml" /><Relationship Id="rId91" Type="http://schemas.openxmlformats.org/officeDocument/2006/relationships/image" Target="media/image6.jpeg" /><Relationship Id="rId92" Type="http://schemas.openxmlformats.org/officeDocument/2006/relationships/image" Target="media/image7.jpeg" /><Relationship Id="rId93" Type="http://schemas.openxmlformats.org/officeDocument/2006/relationships/image" Target="media/image8.jpeg" /><Relationship Id="rId94" Type="http://schemas.openxmlformats.org/officeDocument/2006/relationships/image" Target="media/image9.jpeg" /><Relationship Id="rId95" Type="http://schemas.openxmlformats.org/officeDocument/2006/relationships/header" Target="header40.xml" /><Relationship Id="rId96" Type="http://schemas.openxmlformats.org/officeDocument/2006/relationships/header" Target="header41.xml" /><Relationship Id="rId97" Type="http://schemas.openxmlformats.org/officeDocument/2006/relationships/footer" Target="footer40.xml" /><Relationship Id="rId98" Type="http://schemas.openxmlformats.org/officeDocument/2006/relationships/footer" Target="footer41.xml" /><Relationship Id="rId99" Type="http://schemas.openxmlformats.org/officeDocument/2006/relationships/header" Target="header4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44"/>
    <customShpInfo spid="_x0000_s1045"/>
    <customShpInfo spid="_x0000_s1042"/>
    <customShpInfo spid="_x0000_s1043"/>
    <customShpInfo spid="_x0000_s1039"/>
    <customShpInfo spid="_x0000_s1040"/>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333287-D6A3-42E8-AAF8-95F926EFBE88}">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18</Pages>
  <Words>14361</Words>
  <Characters>19057</Characters>
  <Application>Microsoft Office Word</Application>
  <DocSecurity>0</DocSecurity>
  <Lines>167</Lines>
  <Paragraphs>47</Paragraphs>
  <ScaleCrop>false</ScaleCrop>
  <Company>微软中国</Company>
  <LinksUpToDate>false</LinksUpToDate>
  <CharactersWithSpaces>19687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内蒙古自治区林西县宏义矿业有限责任公司萤石矿</dc:title>
  <dc:creator>X</dc:creator>
  <cp:lastModifiedBy>委员</cp:lastModifiedBy>
  <cp:revision>646</cp:revision>
  <cp:lastPrinted>2020-05-09T03:19:00Z</cp:lastPrinted>
  <dcterms:created xsi:type="dcterms:W3CDTF">2017-09-29T06:51:00Z</dcterms:created>
  <dcterms:modified xsi:type="dcterms:W3CDTF">2023-04-02T12:31:18Z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DA869C0E5D8142AEAFAD9AF6F4E8AA0E</vt:lpwstr>
  </property>
  <property fmtid="{D5CDD505-2E9C-101B-9397-08002B2CF9AE}" pid="3" name="KSOProductBuildVer">
    <vt:lpwstr>2052-11.1.0.14036</vt:lpwstr>
  </property>
</Properties>
</file>