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6391" w:rsidRPr="00CE265B" w:rsidP="00A97D04">
      <w:pPr>
        <w:pStyle w:val="Heading1"/>
        <w:jc w:val="center"/>
      </w:pPr>
      <w:r>
        <w:t>2024年开发公司管理制度10篇</w:t>
      </w:r>
    </w:p>
    <w:p w:rsidR="00B36391" w:rsidRPr="00003029">
      <w:pPr>
        <w:rPr>
          <w:rFonts w:asciiTheme="minorEastAsia" w:eastAsiaTheme="minorEastAsia" w:hAnsiTheme="minorEastAsia"/>
          <w:sz w:val="32"/>
          <w:szCs w:val="32"/>
        </w:rPr>
        <w:sectPr>
          <w:pgSz w:w="11906" w:h="16838"/>
          <w:pgMar w:top="1440" w:right="1800" w:bottom="1440" w:left="1800" w:header="851" w:footer="992" w:gutter="0"/>
          <w:cols w:space="720"/>
          <w:docGrid w:type="lines" w:linePitch="312"/>
        </w:sectPr>
      </w:pPr>
      <w:r>
        <w:rPr>
          <w:rFonts w:asciiTheme="minorEastAsia" w:eastAsiaTheme="minorEastAsia" w:hAnsiTheme="minorEastAsia"/>
          <w:sz w:val="32"/>
          <w:szCs w:val="32"/>
        </w:rPr>
        <w:br/>
      </w:r>
      <w:r>
        <w:rPr>
          <w:rFonts w:asciiTheme="minorEastAsia" w:eastAsiaTheme="minorEastAsia" w:hAnsiTheme="minorEastAsia"/>
          <w:sz w:val="32"/>
          <w:szCs w:val="32"/>
        </w:rPr>
        <w:t xml:space="preserve">        目录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第1篇酒店管理公司开发部管理制度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第2篇(企业公司)新产品开发管理制度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第3篇房地产开发公司档案管理制度：总则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第4篇集团公司人力资源开发与培训管理制度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第5篇房地产开发公司安全生产管理制度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第6篇g公司产品开发管理制度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第7篇公司产品开发管理制度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第8篇x房地产开发公司资产管理制度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第9篇v农业开发公司生产管理制度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第10篇房地产开发公司资产管理制度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(企业公司)新产品开发管理制度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公司(企业)新产品开发管理制度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一、调查研究与分析决策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CE265B" w:rsidP="00A97D04">
      <w:pPr>
        <w:pStyle w:val="Heading1"/>
        <w:jc w:val="center"/>
      </w:pPr>
      <w:r>
        <w:t>2024年开发公司管理制度10篇</w:t>
      </w:r>
    </w:p>
    <w:p w:rsidR="00B36391" w:rsidRPr="00003029">
      <w:pPr>
        <w:rPr>
          <w:rFonts w:asciiTheme="minorEastAsia" w:eastAsiaTheme="minorEastAsia" w:hAnsiTheme="minorEastAsia"/>
          <w:sz w:val="32"/>
          <w:szCs w:val="32"/>
        </w:rPr>
        <w:sectPr>
          <w:pgSz w:w="11906" w:h="16838"/>
          <w:pgMar w:top="1440" w:right="1800" w:bottom="1440" w:left="1800" w:header="851" w:footer="992" w:gutter="0"/>
          <w:cols w:space="720"/>
          <w:docGrid w:type="lines" w:linePitch="312"/>
        </w:sectPr>
      </w:pPr>
      <w:r>
        <w:rPr>
          <w:rFonts w:asciiTheme="minorEastAsia" w:eastAsiaTheme="minorEastAsia" w:hAnsiTheme="minorEastAsia"/>
          <w:sz w:val="32"/>
          <w:szCs w:val="32"/>
        </w:rPr>
        <w:br/>
      </w:r>
      <w:r>
        <w:rPr>
          <w:rFonts w:asciiTheme="minorEastAsia" w:eastAsiaTheme="minorEastAsia" w:hAnsiTheme="minorEastAsia"/>
          <w:sz w:val="32"/>
          <w:szCs w:val="32"/>
        </w:rPr>
        <w:t xml:space="preserve">        目录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第1篇酒店管理公司开发部管理制度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第2篇(企业公司)新产品开发管理制度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第3篇房地产开发公司档案管理制度：总则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第4篇集团公司人力资源开发与培训管理制度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第5篇房地产开发公司安全生产管理制度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第6篇g公司产品开发管理制度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第7篇公司产品开发管理制度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第8篇x房地产开发公司资产管理制度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第9篇v农业开发公司生产管理制度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第10篇房地产开发公司资产管理制度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(企业公司)新产品开发管理制度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公司(企业)新产品开发管理制度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一、调查研究与分析决策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
          <w:cols w:space="720"/>
          <w:titlePg w:val="0"/>
          <w:docGrid w:type="lines" w:linePitch="312"/>
        </w:sectPr>
      </w:pPr>
      <w:r>
        <w:rPr>
          <w:rFonts w:asciiTheme="minorEastAsia" w:eastAsiaTheme="minorEastAsia" w:hAnsiTheme="minorEastAsia"/>
          <w:sz w:val="32"/>
          <w:szCs w:val="32"/>
        </w:rPr>
        <w:t xml:space="preserve"> 新产品的可行性分析是新产品开发中不可缺少的前期工作,必须在进行充分的技术和市场调查后,对产品的社会需求、市场占有率、技术现状和发展趋势以及资源效益等五个方面进行科学预测及技术经济的分析论证。</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(一)调查研究: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1.调查国内市场和重要用户以及国际重点市场同类产品的技术现状和改进要求;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2.以国内同类产品市场占有率高的前三名以及国际名牌产品为对象,调查同类产品的质量、价格、市场及使用情况;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3.广泛收集国内外有关情报和专刊,然后进行可行性分析研究。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(二)可行性分析: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1.论证该类产品的技术发展方向和动向。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2.论证市场动态及发展该产品具备的技术优势。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3.论证发展该产品的资源条件的可行性。(含物资、设备、能源及外购外协件配套等)。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(三)决策: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1.制定产品发展规划: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(1)企业根据国家和地方经济发展的需要、从企业产品发展方向、发展规模,发展水平和技术改造方向、赶超目标以及企业现有条件进行综合调查研究和可行性分析,制定企业产品发展规划。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
          <w:cols w:space="720"/>
          <w:titlePg w:val="0"/>
          <w:docGrid w:type="lines" w:linePitch="312"/>
        </w:sectPr>
      </w:pPr>
      <w:r>
        <w:rPr>
          <w:rFonts w:asciiTheme="minorEastAsia" w:eastAsiaTheme="minorEastAsia" w:hAnsiTheme="minorEastAsia"/>
          <w:sz w:val="32"/>
          <w:szCs w:val="32"/>
        </w:rPr>
        <w:t xml:space="preserve"> (2)由研究所提出草拟规划,经厂总师办初步审查,由总工程师组织有关部门人员进行慎密</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的研究定稿后,报厂长批准,由计划科下达执行。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2.瞄准世界先进水平和赶超目标,为提高产品质量进行新技术、新材料、新工艺、新装备方面的应用研究: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(1)开展产品寿命周期的研究,促进产品的升级换代,预测企业的盈亏和生存,为企业提供产品发展的科学依据;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(2)开展哪些对产品升级换代有决定意义的科学研究、基础件攻关、重大工艺改革、重大专用设备和测试仪器的研究;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(3)开展哪些对提高产品质量有重大影响的新材料研究;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(4)科研规划由研究所提出草拟规划交总师办组织有关部门会审,经总工程师签字报厂长批准后,由计划科综合下达。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二、产品设计管理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产品设计是指从确定产品设计任务书起到确定产品结构为止的一系列技术工作的准备和管理,是产品开发的重要环节,是产品生产过程的开始,必须严格遵循“三段设计”程序。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(一)技术任务书: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4"/>
          <w:cols w:space="720"/>
          <w:titlePg w:val="0"/>
          <w:docGrid w:type="lines" w:linePitch="312"/>
        </w:sectPr>
      </w:pPr>
      <w:r>
        <w:rPr>
          <w:rFonts w:asciiTheme="minorEastAsia" w:eastAsiaTheme="minorEastAsia" w:hAnsiTheme="minorEastAsia"/>
          <w:sz w:val="32"/>
          <w:szCs w:val="32"/>
        </w:rPr>
        <w:t xml:space="preserve"> 技术任务书是产品在初步设计阶段内,由设计部门向上级对计划任务书提出体现产品合理设计方案的改进性和推荐性意见的文件。经上级批准后,作为产品技术设计的依据。其目的在于正确地确定产品最佳总体设计方案、主要技术性能参数、工作原理、系统和主体结构,并由设计员负责编写(其中标准化综合要求会同标准化人员共同拟订),其编号内容和程序作如下规定:</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1.设计依据(根据具体情况可以包括一个或数个内容):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(1)部、省安排的重点任务:说明安排的内容及文件号;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(2)国内外技术情报:在产品的性能和使用性方面赶超国内外先进水平或产品品种方面填补国内“空白”: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(3)市场经济情报:在产品的形态、型式(新颖性)等方面满足用户要求,适应市场需要,具有竞争能力;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(4)企业产品开发长远规划和年度技术组织措施计划,详述规划的有关内容,并说明现在进行设计时机上的必要性。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2.产品用途及使用范围。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3.对计划任务书提出有关修改和改进意见。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4.基本参数及主要技术性能指标。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5.总体布局及主要部件结构叙述:用简略画法勾出产品基本外形,轮廊尺寸及主要部件的布局位置,并叙述主要部件的结构。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6.产品工作原理及系统:用简略画法勾出产品的原理图、系统图,并加以说明。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5"/>
          <w:cols w:space="720"/>
          <w:titlePg w:val="0"/>
          <w:docGrid w:type="lines" w:linePitch="312"/>
        </w:sectPr>
      </w:pPr>
      <w:r>
        <w:rPr>
          <w:rFonts w:asciiTheme="minorEastAsia" w:eastAsiaTheme="minorEastAsia" w:hAnsiTheme="minorEastAsia"/>
          <w:sz w:val="32"/>
          <w:szCs w:val="32"/>
        </w:rPr>
        <w:t xml:space="preserve"> 7.国内外同类产品的水平分析比较:列出国内外同类型产品主要技术性能、规格、结构、特征一览表,并作详细的比较说明;</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8.标准化综合要求: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(1)应符合产品系列标准和其它现行技术标准情况,列出应贯彻标准的目标与范围,提出贯彻标准的技术组织措施;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(2)新产品预期达到的标准化系数:列出推荐采用的标准件,通用件清单,提出一定范围内的标准件,通用件系数指标;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(3)对材料和元器件的标准化要求:列出推荐选用标准材料及外购元器件清单,提出一定范围内的材料标准化系数和外购件系数标准;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(4)与国内外同类产品标准化水平对比,提出新产品标准化要求;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(5)预测标准化经济效果:分析采用标准件、通用件、外购件及贯彻材料标准和选用标准材料后预测的经济效果。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9.关键技术解决办法及关键元器件,特殊材料资源分析;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10.对新产品设计方案进行分析比较,运用价值工程,着重研究确定产品的合理性能(包括消除剩余功能)及通过不同结构原理和系统的比较分析,从中选出最佳方案;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11.组织有关方面对新产品设计的方案进行(a评价),共同商定设计或改进的方案是否能满足用户的要求和社会发展的需要。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12.叙述产品既满足用户需要,又适应本企业发展要求的情况。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6"/>
          <w:cols w:space="720"/>
          <w:titlePg w:val="0"/>
          <w:docGrid w:type="lines" w:linePitch="312"/>
        </w:sectPr>
      </w:pPr>
      <w:r>
        <w:rPr>
          <w:rFonts w:asciiTheme="minorEastAsia" w:eastAsiaTheme="minorEastAsia" w:hAnsiTheme="minorEastAsia"/>
          <w:sz w:val="32"/>
          <w:szCs w:val="32"/>
        </w:rPr>
        <w:t xml:space="preserve">    13.新产品设计试验,试用周期和经费估算。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(二)技术设计: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技术设计的目的,是在已批准的技术任务书的基础上,完成产品的主要计算和主要零部件的设计。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1.完成设计过程中必须的试验研究(新原理结构、材料元件工艺的功能或模具试验),并写出试验研究大纲和研究试验报告。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2.作出产品设计计算书(如对运动、刚度、强度、振动、热变形、电路、液气路、能量转换、能源效率等方面的计算、核算);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3.画出产品总体尺寸图、产品主要零部件图,并校准;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4.运用价值工程,对产品中造价高的、结构复杂的、体积笨重的、数量多的主要零部件的结构、材质精度等选择方案进行成本与功能关系的分析,并编制技术经济分析报告;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5.绘出各种系统原理图(如传动、电气、液气路、联锁保护等系统);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6.提出特殊元件、外购件、材料清单;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7.对技术任务书的某些内容进行审查和修正;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8.对产品进行可靠性、可维修性分析。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(三)工作图设计: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7"/>
          <w:cols w:space="720"/>
          <w:titlePg w:val="0"/>
          <w:docGrid w:type="lines" w:linePitch="312"/>
        </w:sectPr>
      </w:pPr>
      <w:r>
        <w:rPr>
          <w:rFonts w:asciiTheme="minorEastAsia" w:eastAsiaTheme="minorEastAsia" w:hAnsiTheme="minorEastAsia"/>
          <w:sz w:val="32"/>
          <w:szCs w:val="32"/>
        </w:rPr>
        <w:t xml:space="preserve"> 工作图设计的目的,是在技术设计的基础上完成供试制(生产)及随机出厂用的全部工作图样和设计文件。设计者必须严格遵守有关标准规程和指导性文件的规定,设计绘制各项产品工作图。</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1.绘制产品零件图、部件装配图和总装配图。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(1)零件图:图样格式、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视图、投影、比例、尺寸、公差、形位公差、表面粗糙度、表面处理、热处理要求及技术条件等应符合标准;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(2)部件装配图:除保证图样规格外,包括装配、焊接、加工、检验的必要数据和技术要求;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(3)总装配图:给出反映产品结构概况,组成部分的总图,总装加工和检验的技术要求,给出总体尺寸;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2.产品零件、标准件明细表,外购件、外协件目录。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3.产品技术条件包括: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(1)技术要求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(2)试验方法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(3)检验规则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(4)包装标志与储运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4.编制试制鉴定大纲(参照zh0001―83):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试制鉴定大纲是样品及小批试制用必备技术文件。要求大纲具备: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(1)能考核和考验样品(或小批产品)技术性能的可靠性、安全性,规定各种测试性能的标准方法及产品试验的要求和方法。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8"/>
          <w:cols w:space="720"/>
          <w:titlePg w:val="0"/>
          <w:docGrid w:type="lines" w:linePitch="312"/>
        </w:sectPr>
      </w:pPr>
      <w:r>
        <w:rPr>
          <w:rFonts w:asciiTheme="minorEastAsia" w:eastAsiaTheme="minorEastAsia" w:hAnsiTheme="minorEastAsia"/>
          <w:sz w:val="32"/>
          <w:szCs w:val="32"/>
        </w:rPr>
        <w:t xml:space="preserve">    (2)能考核样品在规定的极限情况下使用的可行性和可靠性;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(3)能提供分析产品核心功能指标的基本数据。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(4)批试鉴定大纲还必须提出工艺、工装、设备、检测手段等与生产要求、质量保证、成本、安全、环保等相适应的要求。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5.编写文件目录和图样目录。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(1)文件目录包括:图样目录、明细表、通(借)用件、外购件、标准件汇总表、技术条件、使用说明书、合格证、装箱单、其它。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(2)图样目录:总装配图、原理图和系统图、部件装配图、零件图、包装物图及包装图、安装图(只用于成套设备);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6.包装设计图样及文件(含内、外包装及美术装潢和贴布纸等)。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7.随机出厂图样及文件。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8.产品广告宣传备样及文件。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9.标准化审查报告:指产品工作图设计全部完成,工作图样和设计文件经标准化审查后,由标准化部门编写的文件,以便对新设计的产品在标准化、系列化、通用化方面作出总的评价,是产品鉴定的重要文件。标准化审查报告分样品试制标准化审查报告和小批试制标准化审查报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三、新产品试制与鉴定管理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9"/>
          <w:cols w:space="720"/>
          <w:titlePg w:val="0"/>
          <w:docGrid w:type="lines" w:linePitch="312"/>
        </w:sectPr>
      </w:pPr>
      <w:r>
        <w:rPr>
          <w:rFonts w:asciiTheme="minorEastAsia" w:eastAsiaTheme="minorEastAsia" w:hAnsiTheme="minorEastAsia"/>
          <w:sz w:val="32"/>
          <w:szCs w:val="32"/>
        </w:rPr>
        <w:t xml:space="preserve">    (一)试制工作分两个阶段: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新产品试制是在产品按科学程序完成“三段设计”的基础上进行的,是正式投入批量生产的前期工作,试制一般分为样品试制和小批试制两个阶段。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样品试制是指根据设计图纸、工艺文件和少数必要的工装,由试制车间试制出一件(非标设备)或数十件(火花塞、电热塞、管壳等类产品)样品,然后按要求进行试验,借以考验产品结构、性能和设计图的工艺性,考核图样和设计文件的质量。此阶段以完全在研究所内进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批试制是在样品试制的基础上进行的,它的主要目的是考核产品工艺性,验证全部工艺文件和工艺装备,并进一步校正和审验设计图纸。此阶段研究所为主,由工艺科负责工艺文件和工装设计,试制工作部分扩散到生产车间进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在样品试制小批试制结束后,应分别对考核情况进行总结,并按zh0001―83标准要求编制下列文件: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1.试制总结;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2.型式试验报告;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3.试用(运行)报告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(二)试制工作程序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1.进行新产品概略工艺设计:根据新产品任务书,安排利用厂房、面积、设备、测试条件等设想和简略工艺路线;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0"/>
          <w:cols w:space="720"/>
          <w:titlePg w:val="0"/>
          <w:docGrid w:type="lines" w:linePitch="312"/>
        </w:sectPr>
      </w:pPr>
      <w:r>
        <w:rPr>
          <w:rFonts w:asciiTheme="minorEastAsia" w:eastAsiaTheme="minorEastAsia" w:hAnsiTheme="minorEastAsia"/>
          <w:sz w:val="32"/>
          <w:szCs w:val="32"/>
        </w:rPr>
        <w:t xml:space="preserve"> 2.进行工艺分析:根据产品方案设计和技术设计,作出材料改制,元件改装,选配复杂自制件加工等项工艺分析;</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3.产品工作图的工艺性审查;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4.编制试制用工艺卡片: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(1)工艺过程卡片(路线卡);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(2)关键工序卡片(工序卡);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(3)装配工艺过程卡(装配卡);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(4)特殊工艺、专业工艺守则。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5.根据产品试验的需要,设计必不可少的工装,参照样品试制工装系数为0.1~0.2,小批试帛工装系数为0.3~0.4的要求。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本着经济可靠,保证产品质量要求的原则,充分利用现有工装、通用工装、组合工装、简易工装、过渡工装(如低熔点合金模具)等。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6.制定试制用材料消耗工艺定额和加工工时定额。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7.零部件制造、总装配中应按质量保证计划,加强质量管理和信息反馈,并作好试制记录,编制新产品质量保证要求和文件。此项工作在批试阶段由全质办牵头组织工艺科、检验科进行。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1"/>
          <w:cols w:space="720"/>
          <w:titlePg w:val="0"/>
          <w:docGrid w:type="lines" w:linePitch="312"/>
        </w:sectPr>
      </w:pPr>
      <w:r>
        <w:rPr>
          <w:rFonts w:asciiTheme="minorEastAsia" w:eastAsiaTheme="minorEastAsia" w:hAnsiTheme="minorEastAsia"/>
          <w:sz w:val="32"/>
          <w:szCs w:val="32"/>
        </w:rPr>
        <w:t xml:space="preserve"> 8.编写试制总结:着重总结图样和设计文件验证情况,以及在装配和调试中所反映出的有关产品结构、工艺及产品性能方面的问题及其解决过程,并附上各种反映技术内容的原始记录。该文件的内容及要求按zh0001―83进行编写。样品试制总结由设计部门负责编制,供样品鉴定用,小批试制总结由工艺部门编写,供批试鉴定用。</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9.编写型式试验报告:是产品经全面性能试验后所编的文件,型式试验所进行的试验项目和方法按产品技术条件,试验程序,步骤和记录表格参照zh0001―83试制鉴定大纲规定,并由检验科负责按zh0001―83编制型式试验报告;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10.编写试用(运行)报告:是产品在实际工作条件下进行试用试验后所编制的文件,试用(运行)试验项目和方法由技术条件规定,试验通常委托用户进行,其试验程序步骤和记录表格按zh0001―83试制鉴定大纲规定,由研究所设计室负责编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11.编制特种材料及外购、外协件定点定型报告,由研究所负责。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(三)新产品鉴定原则与要求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鉴定是对新产品从技术上、经济上作全面的评价,以确定是否可进入下阶段试制或正式投产,它是对社会、对用户和对国家负责,要求严肃认真和公正地进行。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在完成样品试制和小批试制的全部工作后,按项目管理级别申请鉴定。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2"/>
          <w:cols w:space="720"/>
          <w:titlePg w:val="0"/>
          <w:docGrid w:type="lines" w:linePitch="312"/>
        </w:sectPr>
      </w:pPr>
      <w:r>
        <w:rPr>
          <w:rFonts w:asciiTheme="minorEastAsia" w:eastAsiaTheme="minorEastAsia" w:hAnsiTheme="minorEastAsia"/>
          <w:sz w:val="32"/>
          <w:szCs w:val="32"/>
        </w:rPr>
        <w:t xml:space="preserve"> 鉴定分为样品试制后的样品鉴定和小批试制后的小批试制鉴定,不准超越阶段进行。属于已投入正式生产的产品的系列,规格、开发产品,经过批准,样品试制和小批试制鉴定可以合并进行,但必须具备两种鉴定所应有的技术文件,资料和条件不得草率马虎。</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1.按zh0001―83鉴定大纲完成样品或小批试制产品的各项测试;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2.按zh0001―83鉴定大纲备齐完整成套的图样及设计文件要求;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(1)鉴定应具备的图样及设计文件――供鉴定委员会用成套资料;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(2)正常生产应具备的图样及设计文件――供产品定型后,正常投产时,制造、验收和管理用成套资料(产品应备晒40套,发设计、工艺、全质办、检验科、生产科、工具、装配、零件加工车间、总师办、存档)。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(3)随产品出厂应具备的图样及设计文件――随产品提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交给用户的必备文件。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3.组织技术鉴定,履行技术鉴定书签字手续,其技术鉴定的结论内容是: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(1)样品鉴定结论内容: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a.审查样品试制结果,设计结构和图样的合理性、工艺性,以及特种材料解决的可能性等,确定能否投入小批试制;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b.明确样品应改进的事项,搞好试制评价(b评价)。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(2)小批试制鉴定结论内容: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3"/>
          <w:cols w:space="720"/>
          <w:titlePg w:val="0"/>
          <w:docGrid w:type="lines" w:linePitch="312"/>
        </w:sectPr>
      </w:pPr>
      <w:r>
        <w:rPr>
          <w:rFonts w:asciiTheme="minorEastAsia" w:eastAsiaTheme="minorEastAsia" w:hAnsiTheme="minorEastAsia"/>
          <w:sz w:val="32"/>
          <w:szCs w:val="32"/>
        </w:rPr>
        <w:t xml:space="preserve"> a.审查产品的可靠性,审查生产工艺、工装与产品测试设备,各种技术资料的完备与可靠程度,以及资源供应、外购外协件定点定型情况等,确定产品能否投入批量生产;</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b.明确产品制造应改进的事项,搞好产品生产工程评价(c评价)。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各阶段应具备的技术文件及审批程序按产品图样、设计文件、工艺文件的完整性及审批程序办理。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(四)新产品试制经费: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1.属于国家下达的新产品(科研)项目,由上级机关按照有关规定拨给经费;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2.属于工厂的新产品(科研)计划项目,由工厂自筹资金按规定拨给经费;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3.工厂对外的技术转让费用可作为开发新产品(科研)费用。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4.新产品试制经费按单项预算拨给,单列帐户,实行专款专用。费用经总工程师审查,厂长批准后,由研究所掌握,财务科监督,不准挪作他用。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(五)新产品证书办理: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1.新产品证书归口由总师办负责办理。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2.研究所负责提供办理证书的有关技术资料和文件。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3.在新产品鉴定后一个月内,总师办负责办理完新产品证书的报批手续。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四、新产品开发周期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4"/>
          <w:cols w:space="720"/>
          <w:titlePg w:val="0"/>
          <w:docGrid w:type="lines" w:linePitch="312"/>
        </w:sectPr>
      </w:pPr>
      <w:r>
        <w:rPr>
          <w:rFonts w:asciiTheme="minorEastAsia" w:eastAsiaTheme="minorEastAsia" w:hAnsiTheme="minorEastAsia"/>
          <w:sz w:val="32"/>
          <w:szCs w:val="32"/>
        </w:rPr>
        <w:t xml:space="preserve">    (一)对于简单产品,工厂已具有成熟制造和应用技术的产品以及由基型派生出来的变型产品,允许直接从技术设计或工作图设计开始,开发周期定为1~3个月。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(二)从大专院校或有关科研设计机构移植过来的经过试验考验的产品,必须索取全部论证、设计和工艺(含工装)的技术资料,并应重新调查分析论证,对于这类产品,开发周期定为2~5个月。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(三)属于老产品在性能和结构原理上有大的改变的研究以及新的类别产品的开发,开发周期一般规定为6~7个月,最长为一年(特别情况不得超过一年半时间),具体程序周期规定为: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调研论证和决策周期:一般产品1个月;复杂产品1.5个月。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产品设计周期(含技术任务书、技术设计和工作图设计):1~2个月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工艺(含工装制造)周期: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样试1~2个月(含样品鉴定)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批试2~3.5个月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产品鉴定和移交生产周期:1个月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五、新产品成果评审与报批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5"/>
          <w:cols w:space="720"/>
          <w:titlePg w:val="0"/>
          <w:docGrid w:type="lines" w:linePitch="312"/>
        </w:sectPr>
      </w:pPr>
      <w:r>
        <w:rPr>
          <w:rFonts w:asciiTheme="minorEastAsia" w:eastAsiaTheme="minorEastAsia" w:hAnsiTheme="minorEastAsia"/>
          <w:sz w:val="32"/>
          <w:szCs w:val="32"/>
        </w:rPr>
        <w:t xml:space="preserve"> (一)新产品(科研)成果根据鉴定级别,按照国务院、国家科委有关科技成果与技术进步有关奖励条例和实施厂“关于技术改进与合理化建议管理办法”办理报审手续。</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(二)为节省开支,新产品(科研)成果评审会应尽量与新产品鉴定会合并进行。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(三)成果报审手续必须在评审鉴定后一个月内办理完毕。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(四)成果奖励分配方案由总师办与研究所共同商定后报总工程师批准执行。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六、新产品移交投产的管理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 总则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新产品的开发都必须具有批准的设计任务书(或建议书),由设计部门进行技术设计,工作图设计经批准、审核、会签后进行样试。样试图标记为“s”,批试图标记为“a”,批生产图标记为“b”。a和b的标记必须由总工程师组织召开会议确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2.每一项新产品要力求结构可靠,技术先进,具有良好的工艺性。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3.产品的主要参数、型式、尺寸、基本结构应采用国家标准或国际同类产品的先进标准,在充分满足使用需要的基础上,做到标准化、系列化和通用化。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6"/>
          <w:cols w:space="720"/>
          <w:titlePg w:val="0"/>
          <w:docGrid w:type="lines" w:linePitch="312"/>
        </w:sectPr>
      </w:pPr>
      <w:r>
        <w:rPr>
          <w:rFonts w:asciiTheme="minorEastAsia" w:eastAsiaTheme="minorEastAsia" w:hAnsiTheme="minorEastAsia"/>
          <w:sz w:val="32"/>
          <w:szCs w:val="32"/>
        </w:rPr>
        <w:t xml:space="preserve"> 4.每一项新产品都必须经过样品试制和小批试制后方可成批生产,样试和小批试制的产品必须经过严格的检测,具有完整的试制和检测报告。部分新产品还必须具有运行报告。样试、批试均由总工程师主持召集有关单位进行鉴定,并确定投产后与否和下一步工作安排在同一系列中,个别工艺上变化很小的新品,经工艺部门同意,可以不进行批试,在样品试制后,直接办理成批投产的手续。</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新产品移交生产线由总师办组织,总工程师主持召开有设计、试制、计划、生产、技术、工艺、全质办、检查、标准化、技术档案、生产车间等各有关部门参加的鉴定会,多方面听取意见,对新产品从技术、经济上作出评价,确认设计合理性,工艺规程、工艺装备没有问题后,提出是否可以正式移交生产线及移交时间的意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6.批准移交生产线的新产品,必须有产品技术标准、工艺规程、产品装配图、零件图、工装图以及其他有关的技术资料。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7.移交生产线的新产品必须填写“新产品移交生产线鉴定验收表”,经各方签字。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 技术资料验收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1.图纸幅面和制图要符合有关国家标准和企业标准要求。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2.成套图册编号要有序,蓝图与实物相符,工装图、产品图等编号应与已有的编号有连贯性。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3.产品图应按会签审批程序签字。总装图必须经总工程师审查批准。工艺工装图纸资料由工艺科编制和设计,全部底图应移交技术档案室签收归档。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7"/>
          <w:cols w:space="720"/>
          <w:titlePg w:val="0"/>
          <w:docGrid w:type="lines" w:linePitch="312"/>
        </w:sectPr>
      </w:pPr>
      <w:r>
        <w:rPr>
          <w:rFonts w:asciiTheme="minorEastAsia" w:eastAsiaTheme="minorEastAsia" w:hAnsiTheme="minorEastAsia"/>
          <w:sz w:val="32"/>
          <w:szCs w:val="32"/>
        </w:rPr>
        <w:t xml:space="preserve">    4.验收前一个月应将图纸、资料送验收部门审阅。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x房地产开发公司资产管理制度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房地产开发公司资产管理制度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目的:为加强公司资产管理,保证公司资产合理、有效使用,维护公司资产安全和完整,结合本公司实际情况,制定本制度。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适用范围:本规定适用于公司范围内所有资产的管理。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职责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公司行政办公室负责对资产实物进行归口管理,负责资产的申请、购置、登记、维修、调配和报废等各项程序。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公司财务管理部负责对资产的账务进行归口管理,包括入销账、折旧等。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资产的定义:本规定中的资产概念既包括固定资产(单价超过2000元人民币,使用年限超过1年的物品),也包括手机、办公桌椅等价格低,但使用时间较长的耐用物品。具体指以下种类: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建筑物:房屋、活动办公室;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交通工具及附属品:小客车、小轿车;车载cd机、车载冰箱;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办公设备:笔记本电脑、计算机、打印机、复印机、传真机、摄像机、打卡机、打孔机、装订机、碎纸机、数码照相机、普通照相机;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8"/>
          <w:cols w:space="720"/>
          <w:titlePg w:val="0"/>
          <w:docGrid w:type="lines" w:linePitch="312"/>
        </w:sectPr>
      </w:pPr>
      <w:r>
        <w:rPr>
          <w:rFonts w:asciiTheme="minorEastAsia" w:eastAsiaTheme="minorEastAsia" w:hAnsiTheme="minorEastAsia"/>
          <w:sz w:val="32"/>
          <w:szCs w:val="32"/>
        </w:rPr>
        <w:t xml:space="preserve">    办公家具:保险柜、文件柜、办公桌、班台、会议桌、折叠桌、电脑桌、台案、折叠椅、班椅、办公椅、沙发、茶几;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通讯设备:手机、对讲机、集团电话、直线电话、车载电话。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资产的购置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各部门添置资产,需向行政办公室提交购买申请表,行政办公室首先考虑在公司范围内进行调配。如必须购置,经总经理批准后由材料采购部按照有关规定购买。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购置资产的发票,必须附所购置资产的清单明细,财务方可办理报销手续。必须由使用单位资产管理人员签字后方能办理出库手续,并将资产的相关材料交资产管理员归档。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资产的调拨:因调配、借用等原因进行的资产转移由公司行政办公室办理,资产转入单位负责人需在行政办公室资产台帐上签字。其他个人和单位不得擅自对资产进行调用。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资产的使用管理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资产的使用:分配给个人使用的资产,使用人员应对资产的安全、完整负责。实行资产使用责任落实到人,当责任人工作调整或离职时,须将使用的全部资产进行移交,在其办理所用资产移交手续后,方可办理离职手续。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19"/>
          <w:cols w:space="720"/>
          <w:titlePg w:val="0"/>
          <w:docGrid w:type="lines" w:linePitch="312"/>
        </w:sectPr>
      </w:pPr>
      <w:r>
        <w:rPr>
          <w:rFonts w:asciiTheme="minorEastAsia" w:eastAsiaTheme="minorEastAsia" w:hAnsiTheme="minorEastAsia"/>
          <w:sz w:val="32"/>
          <w:szCs w:val="32"/>
        </w:rPr>
        <w:t xml:space="preserve"> 资产的处置:包括转让、报废、借出、变卖等,需由使用单位说明情况,行政办公室提交书面报告,经财务部经理签字、行政副总经理批准后方能进行。</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因保管或使用不当以及其他人为因素造成资产的丢失或损坏,由责任人负责赔偿或维修,如原因不明,则对使用部门负责人给予一定的处罚。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闲置封存的资产由公司办公室统一管理,闲置封存的资产由申请使用部门向行政办公室提出申请,经行政副总审批后,方可启动闲置封存的资产。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对车辆、电脑等固定资产的使用管理,同时遵循公司其他相关规定。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资产的盘点清查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行政办公室在对公司现有资产进行一次性清理的基础上,对资产进行台帐管理。行政办公室对各类物品进行登记,大件物品进行编号管理。物品的各项特征(如名称、品牌、型号、购买日期、价格等)、转移记录(如转移时间、去向、使用单位签收等)以及报废记录(如报废日期、报废原因等)均在资产台帐上体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为了保证公司资产的安全和完整,做到资产的帐物相符,行政办公室、各部门与财务部每季末25日-30日都要对本单位资产进行全面清查盘点,以掌握资产的实有数量,查明有无丢失、毁损或未列入帐的资产,保证账物相符,对于盘亏、毁损、报废的资产,要查明原因,写出书面报告,上报集团总裁,经批准后做报废核减资产台帐处理。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0"/>
          <w:cols w:space="720"/>
          <w:titlePg w:val="0"/>
          <w:docGrid w:type="lines" w:linePitch="312"/>
        </w:sectPr>
      </w:pPr>
      <w:r>
        <w:rPr>
          <w:rFonts w:asciiTheme="minorEastAsia" w:eastAsiaTheme="minorEastAsia" w:hAnsiTheme="minorEastAsia"/>
          <w:sz w:val="32"/>
          <w:szCs w:val="32"/>
        </w:rPr>
        <w:t xml:space="preserve">    行政办公室资产管理人员要每月对各部门资产管理工作进行抽查,发现问题及时上报公司领导做出处理。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附件1.资产登记表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房地产开发公司安全生产管理制度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第一章 总则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第一条 为了加强公司各部门生产工作劳动保护，及建设工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程项目中对承包方施工企业安全生产的监督管理，保护职工、施工企业为员在生产工作过程中的生命、健康及财产安全，根据《中华人民共和国国建筑法》、《中华人民共和国国安全生产法》等有关法规和规定，制定本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第二条 公司各部门的安全生产工作必须贯彻“安全第一，预防为主”的方针，并贯穿工程建设全过程。要坚持“管生产必须管安全”的原则，生产要服从安全的需要，实现安全、文明生产。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本制度所称建设工程，包括土木工程、建筑工程、线路管道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和设备安装工程及装修工程。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第三条 对在安全生产方面有突出贡献的团体和个人要给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予奖励，对违反安全生产制度和操作规程造成事故的责任者，要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1"/>
          <w:cols w:space="720"/>
          <w:titlePg w:val="0"/>
          <w:docGrid w:type="lines" w:linePitch="312"/>
        </w:sectPr>
      </w:pPr>
      <w:r>
        <w:rPr>
          <w:rFonts w:asciiTheme="minorEastAsia" w:eastAsiaTheme="minorEastAsia" w:hAnsiTheme="minorEastAsia"/>
          <w:sz w:val="32"/>
          <w:szCs w:val="32"/>
        </w:rPr>
        <w:t xml:space="preserve">    严肃处理，触犯刑律的，交由司法机关处理。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第四条 公司工程部是安全生产工作的管理机构，其职责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是：全面负责公司的安全生产管理工作，研究制订安全生产管理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措施，开展安全教育培训，实施安全生产检查和监督，调查处理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安全责任事故等工作。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公司各部门及承包方施工单位，应当在工程部的指导下，负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责对本部门、本单位职工进行安全生产教育，制订安全生产实施细则和操作规程，实施安全生产监督检查，贯彻执行工程部各项安全指令，确保生产安全。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第五条 公司总经理是本公司的安全生产第一责任人，工程部安全负责人是本公司的安全生产主要负责人。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建设项目中，勘察、设计、工程监理、施工承包方及其他有关单位应当按照法规规定承担各自的安全责任，公司相关部门应当监督其落实情况。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第二章  建设项目现场的安全管理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第六条</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2"/>
          <w:cols w:space="720"/>
          <w:titlePg w:val="0"/>
          <w:docGrid w:type="lines" w:linePitch="312"/>
        </w:sectPr>
      </w:pPr>
      <w:r>
        <w:rPr>
          <w:rFonts w:asciiTheme="minorEastAsia" w:eastAsiaTheme="minorEastAsia" w:hAnsiTheme="minorEastAsia"/>
          <w:sz w:val="32"/>
          <w:szCs w:val="32"/>
        </w:rPr>
        <w:t xml:space="preserve"> 项目建设过程中，公司工程部负责向施工单位提供施工现场及毗邻区域内供水、排水、供电、供气、供热、通信、广播电视等地下管线资料，气象和水文观测资料，相邻建筑物和构筑物、地下工程的有关资料，并保证资料的真实、准确、完整。</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第七条 在工程项目勘察、设计、施工、工程监理等阶段，应当遵守国家有关法规，不得向相关单位提出不符合建设工程安全生产法律、法规和强制性标准规定的要求，不得无合理要求压缩合同约定的工期。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第八条 工程部预算人员在编制工程概算时，应当确定建设工程安全作业环境及安全施工措施所需费用，并按照程序报财务部门，各部门应根据职责积极予以配合落实。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第九条 公司相关部门负责人员不得明示或者暗示施工单位购买、租赁、使用不符合安全施工要求的安全防护用具、机械设备、施工机具及配件、消防设施和器材。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第十条 工程项目建设应严格实行招投标制度，应当将相关工程发包给具有相应资质等级的施工单位。建设工程的新建、扩建、改建和拆除等活动，应当由具备国家规定的注册资本、专业技术人员、技术装备和安全生产等条件，依法取得相应等级的资质证书，并在其资质等级许可的范围内承揽工程的企业承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公司工程部应当审查督促施工单位建立健全安全生产责任制度和安全生产教育培训制度，制定安全生产规章制度和操作规程，并保证安全生产条件所需资金的投入。要对建设工程进行定期和专项安全检查，做好安全检查记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第十一条</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3"/>
          <w:cols w:space="720"/>
          <w:titlePg w:val="0"/>
          <w:docGrid w:type="lines" w:linePitch="312"/>
        </w:sectPr>
      </w:pPr>
      <w:r>
        <w:rPr>
          <w:rFonts w:asciiTheme="minorEastAsia" w:eastAsiaTheme="minorEastAsia" w:hAnsiTheme="minorEastAsia"/>
          <w:sz w:val="32"/>
          <w:szCs w:val="32"/>
        </w:rPr>
        <w:t xml:space="preserve"> 在建设项目现场安装、拆卸施工起重机械和整体提升脚手架、模板等自升式架设设施，必须由具有相应资质的单位承担。安装、拆卸施工起重机械和整体提升脚手架、模板等自升式架设设施，应当编制拆装方案、制定安全施工措施，并由专业技术人员现场监督。</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施工起重机械和整体提升脚手架、模板等自升式架设设施安装完毕后，安装单位应当自检，出具自检合格证明，并向施工单位进行安全使用说明，办理验收手续并签字，工程部应在整个建设验收过程中进行监督。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第十二条 建设项目的现场办公、生活区应与作业区分开设置，并保持安全距离；办公、生活区的选址应当符合安全性要求。项目现场职工的膳食、饮水、休息场所等应当符合卫生标准。不得在尚未竣工的建筑物内设置员工集体宿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施工现场临时搭建的建筑物应当符合安全使用要求。施工现场使用的装配式活动房屋应当具有产品合格证。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第十三条 在建设项目现场应建立消防安全责任制度，确定消防安全责任人，制定用火、用电、使用易燃易爆材料等各项消防安全管理制度和操作规程，设置消防通道、消防水源，配备消防设施和灭火器材，并在建设项目现场入口处设置明显标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第十四条</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4"/>
          <w:cols w:space="720"/>
          <w:titlePg w:val="0"/>
          <w:docGrid w:type="lines" w:linePitch="312"/>
        </w:sectPr>
      </w:pPr>
      <w:r>
        <w:rPr>
          <w:rFonts w:asciiTheme="minorEastAsia" w:eastAsiaTheme="minorEastAsia" w:hAnsiTheme="minorEastAsia"/>
          <w:sz w:val="32"/>
          <w:szCs w:val="32"/>
        </w:rPr>
        <w:t xml:space="preserve"> 项目建设过程中，应当向现场管理及作业人员提供安全防护用具和安全防护服装，并书面告知危险岗位的操作规程和违章操作的危害，积极宣传自我安全保护意识。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现场人员有权对施工现场的作业条件、作业程序和作业方式中存在的安全问题提出批评、检举和控告，有权拒绝违章指挥和强令冒险作业。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在建设项目中发生危及人身安全的紧急情况时，相关人员有权立即停止工作或者在采取必要的应急措施后撤离危险区域。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第十五条 建设项目的主要负责人、项目负责人、专职安全生产管理人员应当经建设行政主管部门或者其他有关部门考核合格后方可任职，在签订施工合同时，应审核施工单位相关管理人员和技术人员的资格、职称证明材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第十六条 负责建设项目的公司相关部门应当监督落实施工单位为施工现场危险作业的人员办理意外伤害保险。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意外伤害保险费由施工单位支付。实行施工总承包的，由总承包单位支付意外伤害保险费。意外伤害保险期限自建设工程开工之日起至竣工验收合格止。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第三章 安全事故的预防及处理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第十七条</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5"/>
          <w:cols w:space="720"/>
          <w:titlePg w:val="0"/>
          <w:docGrid w:type="lines" w:linePitch="312"/>
        </w:sectPr>
      </w:pPr>
      <w:r>
        <w:rPr>
          <w:rFonts w:asciiTheme="minorEastAsia" w:eastAsiaTheme="minorEastAsia" w:hAnsiTheme="minorEastAsia"/>
          <w:sz w:val="32"/>
          <w:szCs w:val="32"/>
        </w:rPr>
        <w:t xml:space="preserve"> 工程部应当监督施工单位开展安全事故的预防及处理工作，根据建设工程施工的特点、范围，对建设项目现场易发生重大事故的部位、环节进行监控、制定施工现场生产安全事故应急救援预案。实行施工总承包的，由总承包单位统一组织编制建设工程生产安全事故应急救援预案，公司工程部审核落实。公司、工程总承包单位和分包单位按照应急预案，各自建立应急救援组织或者配备应急救援人员，配备救援器材、设备，并定期组织演练。</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第十八条 施工单位发生生产安全师事故，应当按照国家有关伤亡事故报告和调查处理的规定，及时、如实地向公司工程部通报，同时向负责安全生产监督管理的部门、建设行政主管部门或者其他有关部门报告；特种设备发生事故的，还应当同时向特种设备安全监督管理部门报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实行施工总承包的建设工程，由总承包单位负责上报事故。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第十九条 发生生产安全事故后，事故现场有关人员应当立即报告工程部负责人。负责人接到事故报告后，应当迅速采取有效措施，协助施工单位采取措施组织抢救，防止事故扩大，减少人员伤亡和财产损失，并按照国家有关规定立即如实报告当地负有安全生产监督管理职责的部门，不得隐瞒不报、谎报或者拖不报，不得故意破坏事故现场、毁灭有关证据。需要移动现场物品时，应当做出标记和书面记录，妥善保管有关证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第二十条 建设工程生产安全事故的调查、对事故责任单位和责任人的处罚与处理，按照有关法律、法规的规定执行。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第二十一条</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6"/>
          <w:cols w:space="720"/>
          <w:titlePg w:val="0"/>
          <w:docGrid w:type="lines" w:linePitch="312"/>
        </w:sectPr>
      </w:pPr>
      <w:r>
        <w:rPr>
          <w:rFonts w:asciiTheme="minorEastAsia" w:eastAsiaTheme="minorEastAsia" w:hAnsiTheme="minorEastAsia"/>
          <w:sz w:val="32"/>
          <w:szCs w:val="32"/>
        </w:rPr>
        <w:t xml:space="preserve"> 项目建设现场易燃、易爆物品的运输、贮存、使用、废品处理等，必须设有防火、防爆设施，严格执行安全操作守则和定员定量定品种的安全规定。</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第二十二条 易燃、易爆物品的使用地和贮存点，要严禁烟火，要严格消除可能发生火种的一切隐患。检查设备需要动用明火时，必须采取妥善的防护措施，并经有关负责人批准，在专人监护下进行。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第四章 考核与奖罚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第二十三条 公司各部门管理范围内有下列情形之一，疏于管理，造成严重后果，构成犯罪的，依法追究主要负责人和其他责任人员的刑事责任：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 施工现场或生产经营场所不符合国家规定的安全生产要求或者缺乏安全生产防范设施的；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 使用不符合国家或者行业安全生产标准的设备、设施的；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 使用危险性较大的设备未按规定进行监测检验或者未取得安全使用证的；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 未为从业人员提供符合国家或者行业安全标准的劳动防护用品的；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 对重大危险源未登记建档，或者未进行评估、监控，或者未制订应急预案的；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 经营、储存、使用危险物品，未严格执行国家有关规定的。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7"/>
          <w:cols w:space="720"/>
          <w:titlePg w:val="0"/>
          <w:docGrid w:type="lines" w:linePitch="312"/>
        </w:sectPr>
      </w:pPr>
      <w:r>
        <w:rPr>
          <w:rFonts w:asciiTheme="minorEastAsia" w:eastAsiaTheme="minorEastAsia" w:hAnsiTheme="minorEastAsia"/>
          <w:sz w:val="32"/>
          <w:szCs w:val="32"/>
        </w:rPr>
        <w:t xml:space="preserve">    第二十四条 不服从管理，违反安全生产规章制度或操作规程造成伤亡事故，构成犯罪的人员，移送司法机关依法追究刑事责任。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第二十五条 公司建立安全生产奖罚考核体系，设立安全生产奖励专项费用，与安全生产年度考核结果挂钩。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第二十六条 管理范围内发生伤亡事故和重大经济损失的部门，根据情节轻重和责任大小，对事故单位安全生产责任人和有关责任人员分别给予相应处分。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第二十七条 对安全生产责任人和有关责任人员的处分，按公司人事管理权限做出处罚决定；对安全生产责任人和有关责任人员的经济处罚，按公司财务有关规定执行。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第五章  附则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第二十八条 签订电梯订货、安装、维修保养合同时，须遵守有关安全规定要求。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第二十九条 本制度由公司工程部负责解释。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第三十条 本制度从下发之日起执行。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河南无咎置业有限公司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2013年11月10日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房地产开发公司档案管理制度：总则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房地产开发公司档案管理制度:总则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8"/>
          <w:cols w:space="720"/>
          <w:titlePg w:val="0"/>
          <w:docGrid w:type="lines" w:linePitch="312"/>
        </w:sectPr>
      </w:pPr>
      <w:r>
        <w:rPr>
          <w:rFonts w:asciiTheme="minorEastAsia" w:eastAsiaTheme="minorEastAsia" w:hAnsiTheme="minorEastAsia"/>
          <w:sz w:val="32"/>
          <w:szCs w:val="32"/>
        </w:rPr>
        <w:t xml:space="preserve"> 为了公司档案管理的统一性、完整性、规范性和安全性,充分发挥档案的有效作用,维护公司合法权益,防止档案丢失、损坏、被盗、受潮、蛀蚀等,特制定本制度。</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一、编制依据: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(一)《中华人民共和国国档案法》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(二)《国营企业档案管理暂行规定》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(三)《**工业企业档案分类规划》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(四)《**企业网、机关档案归档范围及保管期限》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二、总则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(一)公司档案是指各职能部门及个人在房地产开发建设中所形成的,对公司有保存、查考价值的文字、图表、声像等各种形式的文件材料。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(二)公司档案是公司在各项工作中形成的全部档案的总和,包括行政管理、营销策划、工程开发建设、财务审计、人事劳资、设备等。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(三)档案是公司的宝贵财富,必须坚持集中统一管理,按照《档案法》规定,任何部门和个人不得以任何形式和手段将应归档的文件、资料据为己有。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(四)公司档案由公司总工程师分管,行政隶属总经办。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(五)公司开发建设的工程项目各施工、监理单位应遵照本制度有关条款执行。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集团公司人力资源开发与培训管理制度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**集团公司人力资源开发与培训管理制度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第一章总则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29"/>
          <w:cols w:space="720"/>
          <w:titlePg w:val="0"/>
          <w:docGrid w:type="lines" w:linePitch="312"/>
        </w:sectPr>
      </w:pPr>
      <w:r>
        <w:rPr>
          <w:rFonts w:asciiTheme="minorEastAsia" w:eastAsiaTheme="minorEastAsia" w:hAnsiTheme="minorEastAsia"/>
          <w:sz w:val="32"/>
          <w:szCs w:val="32"/>
        </w:rPr>
        <w:t xml:space="preserve">    第一条目的为了建立和健全事业部人力资源开发与培训管理制度,有计划地组织经理人和员工参加培训,不断地提高经理人和员工的职业化水平与岗位技能,满足事业部可持续经营发展的需要,特制定本管理制度。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第二条理念学习是经理人和员工具备持续性价值创造能力的唯一途径,人力资源开发与培训应引导经理人和员工做好个人职业的发展规划,并负责为经理人和员工创造学习环境和机会,推动学习型组织的建立。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第三条适用范围 本制度适合事业部及其下属的二级单位所有人员,二级单位可根据单位实际情况参照本制度制定本单位的培训与教育管理办法,并报事业部人力资源部备案。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第二章培训职责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四条事业部人力资源部作为事业部人力资源开发和培训的归口管理部门主要负责:事业部培训与学习平台的建立;事业部人力资源开发培训整体方案的设计;相关管理制度体系的制定及培训项目的监控;组织实施针对事业部职能部及二级单位经理人、后备经理人和职能部员工的培训项目;同时负责与集团人力资源开发中心的业务衔接并指导、督促二级单位培训主管开展本部门员工的培训工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0"/>
          <w:cols w:space="720"/>
          <w:titlePg w:val="0"/>
          <w:docGrid w:type="lines" w:linePitch="312"/>
        </w:sectPr>
      </w:pPr>
      <w:r>
        <w:rPr>
          <w:rFonts w:asciiTheme="minorEastAsia" w:eastAsiaTheme="minorEastAsia" w:hAnsiTheme="minorEastAsia"/>
          <w:sz w:val="32"/>
          <w:szCs w:val="32"/>
        </w:rPr>
        <w:t xml:space="preserve"> 第五条二级单位管理部门作为本单位有关员工培训项目的规(计)划、组织和实施的主体责任部门,负责本单位的员工培训工作,并同事业部人力资源部的整体培训工作相衔接。</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第三章人力资源开发与培训体系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第六条事业部人力资源开发和培训体系直接为经理人和员工个人的职业生涯发展服务。根据本宗旨,事业部的培训体系分为以下四部分: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1、新员工入职训练与发展计划;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2、员工职业能力发展计划;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3、后备经理人开发计划;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4、经理人职业能力发展计划。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第四章培训计划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第七条 年度培训计划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1、事业部人力资源部每年12月份修订《人力资源开发与培训课程菜单》在事业部内部网络公布,供事业部、各二级单位相关部门及个人制定年度培训计划参考。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经理人和员工个人根据所在职位工作的需要和个人职业生涯发展的规划,于每年12月份制订好下一年度个人培训与学习计划,经理人、后备经理人及职能部员工的培训计划报事业部人力资源部,二级单位员工的培训计划报各二级单位管理部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1"/>
          <w:cols w:space="720"/>
          <w:titlePg w:val="0"/>
          <w:docGrid w:type="lines" w:linePitch="312"/>
        </w:sectPr>
      </w:pPr>
      <w:r>
        <w:rPr>
          <w:rFonts w:asciiTheme="minorEastAsia" w:eastAsiaTheme="minorEastAsia" w:hAnsiTheme="minorEastAsia"/>
          <w:sz w:val="32"/>
          <w:szCs w:val="32"/>
        </w:rPr>
        <w:t xml:space="preserve"> 3、人力资源部于每年12月份负责事业部下一年度经理人和职能部员工开发培训计划的制定和审核,总经理审批(《年度培训计划表》,附表1),报集团人力资源部备案;二级单位管理部门制定本部门员工的开发培训计划(《年度培训计划表》,附表1),二级单位领导审批,报事业部人力资源部备案。</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4、事业部年度培训计划调整由人力资源部长审核,总经理审批;二级单位年度培训计划的调整由单位领导审批。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第八条 月度培训计划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每月人力资源部负责组织月度培训工作计划与总结会议,总结事业部和各二级单位上一个月度培训计划执行情况(《月度培训统计表》附表3),同时讨论下一个月份事业部和各二级单位的培训计划,事业部培训主管负责汇总形成事业部整体月度培训实施计划,并在事业部内部网络上公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第五章培训项目实施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第九条各部门培训主管根据事业部《月度培训计划表》(附表2)负责其业务范围内具体培训项目的实施,制定《培训项目实施表》(附表4),人力资源部进行监控并协助做好培训项目的实施。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条培训项目实施前应通过事业部内部网络发布信息,培训对象为事业部职能部和二级单位的所有员工,以有效利用培训资源。员工经过本部门的批准可以参加其他单位组织的培训。所需培训费用由本部门划转至培训组织部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第十一条具体培训项目实施形式包括课堂教学、户外拓展、读书与知识分享计划、培训沙龙等形式。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2"/>
          <w:cols w:space="720"/>
          <w:titlePg w:val="0"/>
          <w:docGrid w:type="lines" w:linePitch="312"/>
        </w:sectPr>
      </w:pPr>
      <w:r>
        <w:rPr>
          <w:rFonts w:asciiTheme="minorEastAsia" w:eastAsiaTheme="minorEastAsia" w:hAnsiTheme="minorEastAsia"/>
          <w:sz w:val="32"/>
          <w:szCs w:val="32"/>
        </w:rPr>
        <w:t xml:space="preserve">    第十二条内部讲师课酬按照集团人力资源部制定标准执行,外聘讲师培训费用审批流程见操作指引。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第六章培训效果评估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第十三条评估培训效果的方式因培训项目而异,培训组织部门须对每次培训的效果作出相应的评估和追踪,依培训项目的特点由浅入深分别采用以下三级评估方式: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1、一级评估:针对学员对课程及学习过程的满意度进行评估。所有课程都必需进行,培训主管负责进行问卷调查并形成《培训总结表》(附表6),在培训结束后5天内报人力资源部《培训学员意见调查表》(附表5)。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2、二级评估:针对学员完成课程后的学习成效通过组织考试或实地操作等进行评估,结果汇总后报人力资源部。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三级评估:针对学员回到工作岗位后,其行为或工作绩效是否因培训而有预期中的改变进行评估。员工在培训结束后制定具体的行动计划和绩效改善计划送直接上司备忘并报本单位培训主管备案,3个月后员工的直接上司负责作相关的绩效评价和指导意见。(《培训效果跟踪反馈表》附表7)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第十四条培训效果的评估方式必须在培训项目规划时说明并切实执行,人力资源部不定期对培训效果评估进行抽查,对培训项目没有进行评估的将采取如下方式的负激励: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3"/>
          <w:cols w:space="720"/>
          <w:titlePg w:val="0"/>
          <w:docGrid w:type="lines" w:linePitch="312"/>
        </w:sectPr>
      </w:pPr>
      <w:r>
        <w:rPr>
          <w:rFonts w:asciiTheme="minorEastAsia" w:eastAsiaTheme="minorEastAsia" w:hAnsiTheme="minorEastAsia"/>
          <w:sz w:val="32"/>
          <w:szCs w:val="32"/>
        </w:rPr>
        <w:t xml:space="preserve"> 1、学员不参与、配合培训效果评估(不协助调研、不制订行动计划或绩效改进计划)或考核成绩不合格等负激励100-300元;</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2、员工直接上司在部属接受培训后的第3个月内,没有对员工的绩效是否改进作出评估及指导意见者,负激励200-300元;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3、培训项目组织实施的培训主管没做培训效果评估,视情负激励50-200元。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第十五条事业部本部和二级单位均应建立经理人和员工个人的培训档案,记录员工的培训情况,以便查询。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第七章培训费用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六条事业部人力资源开发与培训主管负责事业部年度培训费用预算,人力资源部部长审核(财务管理部会审),总经理审批,报集团人力资源部备案。二级单位的年度培训费用预算列入本单位年度费用预算(本单位财务管理部门会审),单位领导审批,报事业部人力资源部备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七条员工外出培训凭已审批《外出培训申请表》(附表8)到所属单位财务管理部门办理借款手续,外出培训活动中开支的住宿费、车船费等由所属部门承担。员工参加事业部其他部门组织的内部培训时,培训费用按人均计算后由本部门支付给培训项目组织部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第八章培训讲师管理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B36391" w:rsidRPr="00003029">
      <w:pPr>
        <w:rPr>
          <w:rFonts w:asciiTheme="minorEastAsia" w:eastAsiaTheme="minorEastAsia" w:hAnsiTheme="minorEastAsia"/>
          <w:sz w:val="32"/>
          <w:szCs w:val="32"/>
        </w:rPr>
        <w:sectPr>
          <w:type w:val="nextPage"/>
          <w:pgSz w:w="11906" w:h="16838"/>
          <w:pgMar w:top="1440" w:right="1800" w:bottom="1440" w:left="1800" w:header="851" w:footer="992" w:gutter="0"/>
          <w:pgNumType w:start="34"/>
          <w:cols w:space="720"/>
          <w:titlePg w:val="0"/>
          <w:docGrid w:type="lines" w:linePitch="312"/>
        </w:sectPr>
      </w:pPr>
      <w:r>
        <w:rPr>
          <w:rFonts w:asciiTheme="minorEastAsia" w:eastAsiaTheme="minorEastAsia" w:hAnsiTheme="minorEastAsia"/>
          <w:sz w:val="32"/>
          <w:szCs w:val="32"/>
        </w:rPr>
        <w:t xml:space="preserve"> 第十八条培训讲师分为内部讲师和外部讲师,事业部人力资源部集中建立培训讲师档案供各培训组织部门调阅使用。</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九条内部讲师由事业部各级经理人和优秀员工构成,各级经理人负有培训员工的义务和责任,各级经理人在本职工作同授课不相冲突的情况下,必须配合培训组织部门的工作。讲授课时的数量、培训效果的调查将成为经理人讲师和员工讲师绩效考核的重要组成部分。内部讲师的课酬按照集团的相关规定予以支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第二十条外部讲师是通过培训顾问公司聘请的授课讲师,外部培训讲师的课酬根据实际情况和培训预算确定,通过培训效果的评估决定是否继续聘请该讲师。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第九章培训总结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第二十一条外出培训人员返回后,须将所学知识整理成完整的学习资料,连同考核成绩、结业证书复印件等相关资料送所属部门人力资源培训主管处存档。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第二十二条外出培训人员有义务将培训时所学知识整理成文,作为讲习材料,在事业部人力资源部的安排下向相关人员讲授,有效利用外出培训成果。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第二十三条凡参加外出培训人员,均应相应填写《外出培训申请表》(附表8),并在培训结束后填写《外出培训训练报告书》(附表9),在返回后一周内交所属部门人力资源部培训主管处,否则进行负激励100-300元。 </w:t>
      </w:r>
      <w:r>
        <w:rPr>
          <w:rFonts w:asciiTheme="minorEastAsia" w:eastAsiaTheme="minorEastAsia" w:hAnsiTheme="minorEastAsia"/>
          <w:sz w:val="32"/>
          <w:szCs w:val="32"/>
        </w:rPr>
        <w:br/>
      </w:r>
    </w:p>
    <w:p w:rsidR="00B36391" w:rsidRPr="00003029">
      <w:pPr>
        <w:rPr>
          <w:rFonts w:asciiTheme="minorEastAsia" w:eastAsiaTheme="minorEastAsia" w:hAnsiTheme="minorEastAsia"/>
          <w:sz w:val="32"/>
          <w:szCs w:val="32"/>
        </w:rPr>
      </w:pPr>
      <w:r>
        <w:rPr>
          <w:rFonts w:asciiTheme="minorEastAsia" w:eastAsiaTheme="minorEastAsia" w:hAnsiTheme="minorEastAsia"/>
          <w:sz w:val="32"/>
          <w:szCs w:val="32"/>
        </w:rPr>
        <w:t xml:space="preserve">    第十章培训纪律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四条参加培训的人员应按时参加,因故不能参加培训者须提前一天办理请假手续,请假条须由直接上司(至少是科室负责人)签字。对于无故迟到、早退者负激励100-150元;旷课者给予负激励100-500元、扰乱培训秩序者负激励50-200元,具体负激励额度在每次培训通知中一并通知。事业部人力资源部将不定期地进行抽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第十一章附则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第二十五条本制度参考集团《员工教育管理办法》**集字(2022)029号制定,未涉及内容遵照集团《员工教育管理办法》**集字(2022)029号执行。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第二十六条事业部以前颁布的相关制度与本制度相抵触的,以本制度为准。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第二十七条本制度规定的操作流程如有同事业部《分权手册》(第三版)规定的相关内容冲突的,以本制度为准,《分权手册》(第三版)相关内容待下次修订时调整。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第二十八条本制度的修订权及解释权归事业部人力资源部,本制度自颁布之日起实施。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广东**集团**事业部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v农业开发公司生产管理制度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我为大家整理了一篇关于农业开发公司生产管理制度的范文,大家来一起看看吧。 </w:t>
      </w:r>
      <w:r>
        <w:rPr>
          <w:rFonts w:asciiTheme="minorEastAsia" w:eastAsiaTheme="minorEastAsia" w:hAnsiTheme="minorEastAsia"/>
          <w:sz w:val="32"/>
          <w:szCs w:val="32"/>
        </w:rPr>
        <w:br/>
      </w:r>
      <w:r w:rsidRPr="00003029">
        <w:rPr>
          <w:rFonts w:asciiTheme="minorEastAsia" w:eastAsiaTheme="minorEastAsia" w:hAnsiTheme="minorEastAsia"/>
          <w:sz w:val="32"/>
          <w:szCs w:val="32"/>
        </w:rPr>
        <w:br/>
      </w:r>
      <w:r w:rsidRPr="00003029">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https://d.book118.com/656201045122010103</w:t>
        </w:r>
      </w:hyperlink>
    </w:p>
    <w:p w:rsidR="00B36391" w:rsidRPr="00003029">
      <w:pPr>
        <w:rPr>
          <w:rFonts w:asciiTheme="minorEastAsia" w:eastAsiaTheme="minorEastAsia" w:hAnsiTheme="minorEastAsia"/>
          <w:sz w:val="32"/>
          <w:szCs w:val="32"/>
        </w:rPr>
      </w:pPr>
    </w:p>
    <w:sectPr>
      <w:type w:val="nextPage"/>
      <w:pgSz w:w="11906" w:h="16838"/>
      <w:pgMar w:top="1440" w:right="1800" w:bottom="1440" w:left="1800"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000"/>
    <w:rsid w:val="00003029"/>
    <w:rsid w:val="00A97D04"/>
    <w:rsid w:val="00B36391"/>
    <w:rsid w:val="00CE26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eastAsia="宋体"/>
      <w:kern w:val="2"/>
      <w:sz w:val="21"/>
      <w:szCs w:val="22"/>
    </w:rPr>
  </w:style>
  <w:style w:type="paragraph" w:styleId="Heading1">
    <w:name w:val="heading 1"/>
    <w:basedOn w:val="Normal"/>
    <w:next w:val="Normal"/>
    <w:link w:val="1"/>
    <w:qFormat/>
    <w:rsid w:val="00A97D04"/>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rsid w:val="00A97D04"/>
    <w:rPr>
      <w:rFonts w:eastAsia="宋体"/>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5620104512201010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mei xin</cp:lastModifiedBy>
  <cp:revision>4</cp:revision>
  <dcterms:created xsi:type="dcterms:W3CDTF">2015-12-21T08:03:00Z</dcterms:created>
  <dcterms:modified xsi:type="dcterms:W3CDTF">2023-03-14T09:05:00Z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