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床行业相关公司设立可行性研究报告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(七)、床项目建设必要性分析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四、床项目概况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(二)、床项目提出的理由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(三)、床项目选址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_Toc19765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(六)、床项目投资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(七)、床项目进度规划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1" w:history="1">
        <w:r>
          <w:rPr>
            <w:rFonts w:ascii="仿宋" w:eastAsia="仿宋" w:hAnsi="仿宋" w:cs="仿宋" w:hint="eastAsia"/>
            <w:lang w:eastAsia="zh-CN"/>
          </w:rPr>
          <w:t>(九)、床项目综合评价</w:t>
        </w:r>
        <w:r>
          <w:tab/>
        </w:r>
        <w:r>
          <w:fldChar w:fldCharType="begin"/>
        </w:r>
        <w:r>
          <w:instrText xml:space="preserve"> PAGEREF _Toc20261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_Toc28475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(五)、床项目总投资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eastAsia="zh-CN"/>
          </w:rPr>
          <w:t>八、床项目风险分析</w:t>
        </w:r>
        <w:r>
          <w:tab/>
        </w:r>
        <w:r>
          <w:fldChar w:fldCharType="begin"/>
        </w:r>
        <w:r>
          <w:instrText xml:space="preserve"> PAGEREF _Toc2083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(一)、床项目风险分析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(二)、床项目风险对策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(一)、床项目进度安排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(二)、床项目实施保障措施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_Toc29651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18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https://d.book118.com/656232242142010045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床行业相关公司设立可行性研究报告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床行业相关公司设立可行性研究报告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床行业相关公司设立可行性研究报告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床行业相关公司设立可行性研究报告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床行业相关公司设立可行性研究报告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6232242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2024-02-04T19:56:00Z</dcterms:created>
  <dcterms:modified xsi:type="dcterms:W3CDTF">2024-02-04T19:56:41Z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F2DB793D2E5446CC9C856E821964BA36_11</vt:lpwstr>
  </property>
  <property fmtid="{D5CDD505-2E9C-101B-9397-08002B2CF9AE}" pid="3" name="KSOProductBuildVer">
    <vt:lpwstr>2052-12.1.0.16250</vt:lpwstr>
  </property>
</Properties>
</file>