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航天军工模块电源项目计划设计方案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62" w:history="1">
        <w:r>
          <w:rPr>
            <w:rFonts w:ascii="仿宋" w:eastAsia="仿宋" w:hAnsi="仿宋" w:cs="仿宋" w:hint="eastAsia"/>
            <w:lang w:eastAsia="zh-CN"/>
          </w:rPr>
          <w:t>序言</w:t>
        </w:r>
        <w:r>
          <w:tab/>
        </w:r>
        <w:r>
          <w:fldChar w:fldCharType="begin"/>
        </w:r>
        <w:r>
          <w:instrText xml:space="preserve"> PAGEREF _Toc23362 \h </w:instrText>
        </w:r>
        <w:r>
          <w:fldChar w:fldCharType="separate"/>
        </w:r>
        <w:r>
          <w:t>3</w:t>
        </w:r>
        <w:r>
          <w:fldChar w:fldCharType="end"/>
        </w:r>
      </w:hyperlink>
    </w:p>
    <w:p>
      <w:pPr>
        <w:pStyle w:val="TOC1"/>
        <w:tabs>
          <w:tab w:val="right" w:leader="dot" w:pos="8306"/>
        </w:tabs>
      </w:pPr>
      <w:hyperlink w:anchor="_Toc25465" w:history="1">
        <w:r>
          <w:rPr>
            <w:rFonts w:ascii="仿宋" w:eastAsia="仿宋" w:hAnsi="仿宋" w:cs="仿宋" w:hint="eastAsia"/>
            <w:lang w:eastAsia="zh-CN"/>
          </w:rPr>
          <w:t>一、航天军工模块电源项目绩效评估</w:t>
        </w:r>
        <w:r>
          <w:tab/>
        </w:r>
        <w:r>
          <w:fldChar w:fldCharType="begin"/>
        </w:r>
        <w:r>
          <w:instrText xml:space="preserve"> PAGEREF _Toc25465 \h </w:instrText>
        </w:r>
        <w:r>
          <w:fldChar w:fldCharType="separate"/>
        </w:r>
        <w:r>
          <w:t>3</w:t>
        </w:r>
        <w:r>
          <w:fldChar w:fldCharType="end"/>
        </w:r>
      </w:hyperlink>
    </w:p>
    <w:p>
      <w:pPr>
        <w:pStyle w:val="TOC2"/>
        <w:tabs>
          <w:tab w:val="right" w:leader="dot" w:pos="8306"/>
        </w:tabs>
      </w:pPr>
      <w:hyperlink w:anchor="_Toc3215" w:history="1">
        <w:r>
          <w:rPr>
            <w:rFonts w:ascii="仿宋" w:eastAsia="仿宋" w:hAnsi="仿宋" w:cs="仿宋" w:hint="eastAsia"/>
            <w:lang w:eastAsia="zh-CN"/>
          </w:rPr>
          <w:t>(一)、绩效评估指标</w:t>
        </w:r>
        <w:r>
          <w:tab/>
        </w:r>
        <w:r>
          <w:fldChar w:fldCharType="begin"/>
        </w:r>
        <w:r>
          <w:instrText xml:space="preserve"> PAGEREF _Toc3215 \h </w:instrText>
        </w:r>
        <w:r>
          <w:fldChar w:fldCharType="separate"/>
        </w:r>
        <w:r>
          <w:t>3</w:t>
        </w:r>
        <w:r>
          <w:fldChar w:fldCharType="end"/>
        </w:r>
      </w:hyperlink>
    </w:p>
    <w:p>
      <w:pPr>
        <w:pStyle w:val="TOC2"/>
        <w:tabs>
          <w:tab w:val="right" w:leader="dot" w:pos="8306"/>
        </w:tabs>
      </w:pPr>
      <w:hyperlink w:anchor="_Toc6027" w:history="1">
        <w:r>
          <w:rPr>
            <w:rFonts w:ascii="仿宋" w:eastAsia="仿宋" w:hAnsi="仿宋" w:cs="仿宋" w:hint="eastAsia"/>
            <w:lang w:eastAsia="zh-CN"/>
          </w:rPr>
          <w:t>(二)、绩效评估方法</w:t>
        </w:r>
        <w:r>
          <w:tab/>
        </w:r>
        <w:r>
          <w:fldChar w:fldCharType="begin"/>
        </w:r>
        <w:r>
          <w:instrText xml:space="preserve"> PAGEREF _Toc6027 \h </w:instrText>
        </w:r>
        <w:r>
          <w:fldChar w:fldCharType="separate"/>
        </w:r>
        <w:r>
          <w:t>4</w:t>
        </w:r>
        <w:r>
          <w:fldChar w:fldCharType="end"/>
        </w:r>
      </w:hyperlink>
    </w:p>
    <w:p>
      <w:pPr>
        <w:pStyle w:val="TOC2"/>
        <w:tabs>
          <w:tab w:val="right" w:leader="dot" w:pos="8306"/>
        </w:tabs>
      </w:pPr>
      <w:hyperlink w:anchor="_Toc16787" w:history="1">
        <w:r>
          <w:rPr>
            <w:rFonts w:ascii="仿宋" w:eastAsia="仿宋" w:hAnsi="仿宋" w:cs="仿宋" w:hint="eastAsia"/>
            <w:lang w:eastAsia="zh-CN"/>
          </w:rPr>
          <w:t>(三)、绩效评估周期</w:t>
        </w:r>
        <w:r>
          <w:tab/>
        </w:r>
        <w:r>
          <w:fldChar w:fldCharType="begin"/>
        </w:r>
        <w:r>
          <w:instrText xml:space="preserve"> PAGEREF _Toc16787 \h </w:instrText>
        </w:r>
        <w:r>
          <w:fldChar w:fldCharType="separate"/>
        </w:r>
        <w:r>
          <w:t>5</w:t>
        </w:r>
        <w:r>
          <w:fldChar w:fldCharType="end"/>
        </w:r>
      </w:hyperlink>
    </w:p>
    <w:p>
      <w:pPr>
        <w:pStyle w:val="TOC1"/>
        <w:tabs>
          <w:tab w:val="right" w:leader="dot" w:pos="8306"/>
        </w:tabs>
      </w:pPr>
      <w:hyperlink w:anchor="_Toc2419" w:history="1">
        <w:r>
          <w:rPr>
            <w:rFonts w:ascii="仿宋" w:eastAsia="仿宋" w:hAnsi="仿宋" w:cs="仿宋" w:hint="eastAsia"/>
            <w:lang w:eastAsia="zh-CN"/>
          </w:rPr>
          <w:t>二、航天军工模块电源项目建设单位说明</w:t>
        </w:r>
        <w:r>
          <w:tab/>
        </w:r>
        <w:r>
          <w:fldChar w:fldCharType="begin"/>
        </w:r>
        <w:r>
          <w:instrText xml:space="preserve"> PAGEREF _Toc2419 \h </w:instrText>
        </w:r>
        <w:r>
          <w:fldChar w:fldCharType="separate"/>
        </w:r>
        <w:r>
          <w:t>6</w:t>
        </w:r>
        <w:r>
          <w:fldChar w:fldCharType="end"/>
        </w:r>
      </w:hyperlink>
    </w:p>
    <w:p>
      <w:pPr>
        <w:pStyle w:val="TOC2"/>
        <w:tabs>
          <w:tab w:val="right" w:leader="dot" w:pos="8306"/>
        </w:tabs>
      </w:pPr>
      <w:hyperlink w:anchor="_Toc11031" w:history="1">
        <w:r>
          <w:rPr>
            <w:rFonts w:ascii="仿宋" w:eastAsia="仿宋" w:hAnsi="仿宋" w:cs="仿宋" w:hint="eastAsia"/>
            <w:lang w:eastAsia="zh-CN"/>
          </w:rPr>
          <w:t>(一)、航天军工模块电源项目承办单位基本情况</w:t>
        </w:r>
        <w:r>
          <w:tab/>
        </w:r>
        <w:r>
          <w:fldChar w:fldCharType="begin"/>
        </w:r>
        <w:r>
          <w:instrText xml:space="preserve"> PAGEREF _Toc11031 \h </w:instrText>
        </w:r>
        <w:r>
          <w:fldChar w:fldCharType="separate"/>
        </w:r>
        <w:r>
          <w:t>6</w:t>
        </w:r>
        <w:r>
          <w:fldChar w:fldCharType="end"/>
        </w:r>
      </w:hyperlink>
    </w:p>
    <w:p>
      <w:pPr>
        <w:pStyle w:val="TOC2"/>
        <w:tabs>
          <w:tab w:val="right" w:leader="dot" w:pos="8306"/>
        </w:tabs>
      </w:pPr>
      <w:hyperlink w:anchor="_Toc14542" w:history="1">
        <w:r>
          <w:rPr>
            <w:rFonts w:ascii="仿宋" w:eastAsia="仿宋" w:hAnsi="仿宋" w:cs="仿宋" w:hint="eastAsia"/>
            <w:lang w:eastAsia="zh-CN"/>
          </w:rPr>
          <w:t>(二)、公司经济效益分析</w:t>
        </w:r>
        <w:r>
          <w:tab/>
        </w:r>
        <w:r>
          <w:fldChar w:fldCharType="begin"/>
        </w:r>
        <w:r>
          <w:instrText xml:space="preserve"> PAGEREF _Toc14542 \h </w:instrText>
        </w:r>
        <w:r>
          <w:fldChar w:fldCharType="separate"/>
        </w:r>
        <w:r>
          <w:t>7</w:t>
        </w:r>
        <w:r>
          <w:fldChar w:fldCharType="end"/>
        </w:r>
      </w:hyperlink>
    </w:p>
    <w:p>
      <w:pPr>
        <w:pStyle w:val="TOC1"/>
        <w:tabs>
          <w:tab w:val="right" w:leader="dot" w:pos="8306"/>
        </w:tabs>
      </w:pPr>
      <w:hyperlink w:anchor="_Toc23669" w:history="1">
        <w:r>
          <w:rPr>
            <w:rFonts w:ascii="仿宋" w:eastAsia="仿宋" w:hAnsi="仿宋" w:cs="仿宋" w:hint="eastAsia"/>
            <w:lang w:eastAsia="zh-CN"/>
          </w:rPr>
          <w:t>三、航天军工模块电源项目危机管理</w:t>
        </w:r>
        <w:r>
          <w:tab/>
        </w:r>
        <w:r>
          <w:fldChar w:fldCharType="begin"/>
        </w:r>
        <w:r>
          <w:instrText xml:space="preserve"> PAGEREF _Toc23669 \h </w:instrText>
        </w:r>
        <w:r>
          <w:fldChar w:fldCharType="separate"/>
        </w:r>
        <w:r>
          <w:t>8</w:t>
        </w:r>
        <w:r>
          <w:fldChar w:fldCharType="end"/>
        </w:r>
      </w:hyperlink>
    </w:p>
    <w:p>
      <w:pPr>
        <w:pStyle w:val="TOC2"/>
        <w:tabs>
          <w:tab w:val="right" w:leader="dot" w:pos="8306"/>
        </w:tabs>
      </w:pPr>
      <w:hyperlink w:anchor="_Toc23821" w:history="1">
        <w:r>
          <w:rPr>
            <w:rFonts w:ascii="仿宋" w:eastAsia="仿宋" w:hAnsi="仿宋" w:cs="仿宋" w:hint="eastAsia"/>
            <w:lang w:eastAsia="zh-CN"/>
          </w:rPr>
          <w:t>(一)、危机预警与识别</w:t>
        </w:r>
        <w:r>
          <w:tab/>
        </w:r>
        <w:r>
          <w:fldChar w:fldCharType="begin"/>
        </w:r>
        <w:r>
          <w:instrText xml:space="preserve"> PAGEREF _Toc23821 \h </w:instrText>
        </w:r>
        <w:r>
          <w:fldChar w:fldCharType="separate"/>
        </w:r>
        <w:r>
          <w:t>8</w:t>
        </w:r>
        <w:r>
          <w:fldChar w:fldCharType="end"/>
        </w:r>
      </w:hyperlink>
    </w:p>
    <w:p>
      <w:pPr>
        <w:pStyle w:val="TOC2"/>
        <w:tabs>
          <w:tab w:val="right" w:leader="dot" w:pos="8306"/>
        </w:tabs>
      </w:pPr>
      <w:hyperlink w:anchor="_Toc25295" w:history="1">
        <w:r>
          <w:rPr>
            <w:rFonts w:ascii="仿宋" w:eastAsia="仿宋" w:hAnsi="仿宋" w:cs="仿宋" w:hint="eastAsia"/>
            <w:lang w:eastAsia="zh-CN"/>
          </w:rPr>
          <w:t>(二)、危机应对与恢复</w:t>
        </w:r>
        <w:r>
          <w:tab/>
        </w:r>
        <w:r>
          <w:fldChar w:fldCharType="begin"/>
        </w:r>
        <w:r>
          <w:instrText xml:space="preserve"> PAGEREF _Toc25295 \h </w:instrText>
        </w:r>
        <w:r>
          <w:fldChar w:fldCharType="separate"/>
        </w:r>
        <w:r>
          <w:t>9</w:t>
        </w:r>
        <w:r>
          <w:fldChar w:fldCharType="end"/>
        </w:r>
      </w:hyperlink>
    </w:p>
    <w:p>
      <w:pPr>
        <w:pStyle w:val="TOC1"/>
        <w:tabs>
          <w:tab w:val="right" w:leader="dot" w:pos="8306"/>
        </w:tabs>
      </w:pPr>
      <w:hyperlink w:anchor="_Toc7259" w:history="1">
        <w:r>
          <w:rPr>
            <w:rFonts w:ascii="仿宋" w:eastAsia="仿宋" w:hAnsi="仿宋" w:cs="仿宋" w:hint="eastAsia"/>
            <w:lang w:eastAsia="zh-CN"/>
          </w:rPr>
          <w:t>四、航天军工模块电源项目选址可行性分析</w:t>
        </w:r>
        <w:r>
          <w:tab/>
        </w:r>
        <w:r>
          <w:fldChar w:fldCharType="begin"/>
        </w:r>
        <w:r>
          <w:instrText xml:space="preserve"> PAGEREF _Toc7259 \h </w:instrText>
        </w:r>
        <w:r>
          <w:fldChar w:fldCharType="separate"/>
        </w:r>
        <w:r>
          <w:t>10</w:t>
        </w:r>
        <w:r>
          <w:fldChar w:fldCharType="end"/>
        </w:r>
      </w:hyperlink>
    </w:p>
    <w:p>
      <w:pPr>
        <w:pStyle w:val="TOC2"/>
        <w:tabs>
          <w:tab w:val="right" w:leader="dot" w:pos="8306"/>
        </w:tabs>
      </w:pPr>
      <w:hyperlink w:anchor="_Toc10990" w:history="1">
        <w:r>
          <w:rPr>
            <w:rFonts w:ascii="仿宋" w:eastAsia="仿宋" w:hAnsi="仿宋" w:cs="仿宋" w:hint="eastAsia"/>
            <w:lang w:eastAsia="zh-CN"/>
          </w:rPr>
          <w:t>(一)、航天军工模块电源项目选址</w:t>
        </w:r>
        <w:r>
          <w:tab/>
        </w:r>
        <w:r>
          <w:fldChar w:fldCharType="begin"/>
        </w:r>
        <w:r>
          <w:instrText xml:space="preserve"> PAGEREF _Toc10990 \h </w:instrText>
        </w:r>
        <w:r>
          <w:fldChar w:fldCharType="separate"/>
        </w:r>
        <w:r>
          <w:t>10</w:t>
        </w:r>
        <w:r>
          <w:fldChar w:fldCharType="end"/>
        </w:r>
      </w:hyperlink>
    </w:p>
    <w:p>
      <w:pPr>
        <w:pStyle w:val="TOC2"/>
        <w:tabs>
          <w:tab w:val="right" w:leader="dot" w:pos="8306"/>
        </w:tabs>
      </w:pPr>
      <w:hyperlink w:anchor="_Toc14979" w:history="1">
        <w:r>
          <w:rPr>
            <w:rFonts w:ascii="仿宋" w:eastAsia="仿宋" w:hAnsi="仿宋" w:cs="仿宋" w:hint="eastAsia"/>
            <w:lang w:eastAsia="zh-CN"/>
          </w:rPr>
          <w:t>(二)、用地控制指标</w:t>
        </w:r>
        <w:r>
          <w:tab/>
        </w:r>
        <w:r>
          <w:fldChar w:fldCharType="begin"/>
        </w:r>
        <w:r>
          <w:instrText xml:space="preserve"> PAGEREF _Toc14979 \h </w:instrText>
        </w:r>
        <w:r>
          <w:fldChar w:fldCharType="separate"/>
        </w:r>
        <w:r>
          <w:t>11</w:t>
        </w:r>
        <w:r>
          <w:fldChar w:fldCharType="end"/>
        </w:r>
      </w:hyperlink>
    </w:p>
    <w:p>
      <w:pPr>
        <w:pStyle w:val="TOC2"/>
        <w:tabs>
          <w:tab w:val="right" w:leader="dot" w:pos="8306"/>
        </w:tabs>
      </w:pPr>
      <w:hyperlink w:anchor="_Toc21261" w:history="1">
        <w:r>
          <w:rPr>
            <w:rFonts w:ascii="仿宋" w:eastAsia="仿宋" w:hAnsi="仿宋" w:cs="仿宋" w:hint="eastAsia"/>
            <w:lang w:eastAsia="zh-CN"/>
          </w:rPr>
          <w:t>(三)、节约用地措施</w:t>
        </w:r>
        <w:r>
          <w:tab/>
        </w:r>
        <w:r>
          <w:fldChar w:fldCharType="begin"/>
        </w:r>
        <w:r>
          <w:instrText xml:space="preserve"> PAGEREF _Toc21261 \h </w:instrText>
        </w:r>
        <w:r>
          <w:fldChar w:fldCharType="separate"/>
        </w:r>
        <w:r>
          <w:t>13</w:t>
        </w:r>
        <w:r>
          <w:fldChar w:fldCharType="end"/>
        </w:r>
      </w:hyperlink>
    </w:p>
    <w:p>
      <w:pPr>
        <w:pStyle w:val="TOC2"/>
        <w:tabs>
          <w:tab w:val="right" w:leader="dot" w:pos="8306"/>
        </w:tabs>
      </w:pPr>
      <w:hyperlink w:anchor="_Toc2046" w:history="1">
        <w:r>
          <w:rPr>
            <w:rFonts w:ascii="仿宋" w:eastAsia="仿宋" w:hAnsi="仿宋" w:cs="仿宋" w:hint="eastAsia"/>
            <w:lang w:eastAsia="zh-CN"/>
          </w:rPr>
          <w:t>(四)、总图布置方案</w:t>
        </w:r>
        <w:r>
          <w:tab/>
        </w:r>
        <w:r>
          <w:fldChar w:fldCharType="begin"/>
        </w:r>
        <w:r>
          <w:instrText xml:space="preserve"> PAGEREF _Toc2046 \h </w:instrText>
        </w:r>
        <w:r>
          <w:fldChar w:fldCharType="separate"/>
        </w:r>
        <w:r>
          <w:t>14</w:t>
        </w:r>
        <w:r>
          <w:fldChar w:fldCharType="end"/>
        </w:r>
      </w:hyperlink>
    </w:p>
    <w:p>
      <w:pPr>
        <w:pStyle w:val="TOC2"/>
        <w:tabs>
          <w:tab w:val="right" w:leader="dot" w:pos="8306"/>
        </w:tabs>
      </w:pPr>
      <w:hyperlink w:anchor="_Toc12329" w:history="1">
        <w:r>
          <w:rPr>
            <w:rFonts w:ascii="仿宋" w:eastAsia="仿宋" w:hAnsi="仿宋" w:cs="仿宋" w:hint="eastAsia"/>
            <w:lang w:eastAsia="zh-CN"/>
          </w:rPr>
          <w:t>(五)、选址综合评价</w:t>
        </w:r>
        <w:r>
          <w:tab/>
        </w:r>
        <w:r>
          <w:fldChar w:fldCharType="begin"/>
        </w:r>
        <w:r>
          <w:instrText xml:space="preserve"> PAGEREF _Toc12329 \h </w:instrText>
        </w:r>
        <w:r>
          <w:fldChar w:fldCharType="separate"/>
        </w:r>
        <w:r>
          <w:t>15</w:t>
        </w:r>
        <w:r>
          <w:fldChar w:fldCharType="end"/>
        </w:r>
      </w:hyperlink>
    </w:p>
    <w:p>
      <w:pPr>
        <w:pStyle w:val="TOC1"/>
        <w:tabs>
          <w:tab w:val="right" w:leader="dot" w:pos="8306"/>
        </w:tabs>
      </w:pPr>
      <w:hyperlink w:anchor="_Toc23201" w:history="1">
        <w:r>
          <w:rPr>
            <w:rFonts w:ascii="仿宋" w:eastAsia="仿宋" w:hAnsi="仿宋" w:cs="仿宋" w:hint="eastAsia"/>
            <w:lang w:eastAsia="zh-CN"/>
          </w:rPr>
          <w:t>五、航天军工模块电源项目文档管理</w:t>
        </w:r>
        <w:r>
          <w:tab/>
        </w:r>
        <w:r>
          <w:fldChar w:fldCharType="begin"/>
        </w:r>
        <w:r>
          <w:instrText xml:space="preserve"> PAGEREF _Toc23201 \h </w:instrText>
        </w:r>
        <w:r>
          <w:fldChar w:fldCharType="separate"/>
        </w:r>
        <w:r>
          <w:t>16</w:t>
        </w:r>
        <w:r>
          <w:fldChar w:fldCharType="end"/>
        </w:r>
      </w:hyperlink>
    </w:p>
    <w:p>
      <w:pPr>
        <w:pStyle w:val="TOC2"/>
        <w:tabs>
          <w:tab w:val="right" w:leader="dot" w:pos="8306"/>
        </w:tabs>
      </w:pPr>
      <w:hyperlink w:anchor="_Toc19073" w:history="1">
        <w:r>
          <w:rPr>
            <w:rFonts w:ascii="仿宋" w:eastAsia="仿宋" w:hAnsi="仿宋" w:cs="仿宋" w:hint="eastAsia"/>
            <w:lang w:eastAsia="zh-CN"/>
          </w:rPr>
          <w:t>(一)、文档编制与审查</w:t>
        </w:r>
        <w:r>
          <w:tab/>
        </w:r>
        <w:r>
          <w:fldChar w:fldCharType="begin"/>
        </w:r>
        <w:r>
          <w:instrText xml:space="preserve"> PAGEREF _Toc19073 \h </w:instrText>
        </w:r>
        <w:r>
          <w:fldChar w:fldCharType="separate"/>
        </w:r>
        <w:r>
          <w:t>16</w:t>
        </w:r>
        <w:r>
          <w:fldChar w:fldCharType="end"/>
        </w:r>
      </w:hyperlink>
    </w:p>
    <w:p>
      <w:pPr>
        <w:pStyle w:val="TOC2"/>
        <w:tabs>
          <w:tab w:val="right" w:leader="dot" w:pos="8306"/>
        </w:tabs>
      </w:pPr>
      <w:hyperlink w:anchor="_Toc25722" w:history="1">
        <w:r>
          <w:rPr>
            <w:rFonts w:ascii="仿宋" w:eastAsia="仿宋" w:hAnsi="仿宋" w:cs="仿宋" w:hint="eastAsia"/>
            <w:lang w:eastAsia="zh-CN"/>
          </w:rPr>
          <w:t>(二)、文档发布与分发</w:t>
        </w:r>
        <w:r>
          <w:tab/>
        </w:r>
        <w:r>
          <w:fldChar w:fldCharType="begin"/>
        </w:r>
        <w:r>
          <w:instrText xml:space="preserve"> PAGEREF _Toc25722 \h </w:instrText>
        </w:r>
        <w:r>
          <w:fldChar w:fldCharType="separate"/>
        </w:r>
        <w:r>
          <w:t>17</w:t>
        </w:r>
        <w:r>
          <w:fldChar w:fldCharType="end"/>
        </w:r>
      </w:hyperlink>
    </w:p>
    <w:p>
      <w:pPr>
        <w:pStyle w:val="TOC2"/>
        <w:tabs>
          <w:tab w:val="right" w:leader="dot" w:pos="8306"/>
        </w:tabs>
      </w:pPr>
      <w:hyperlink w:anchor="_Toc29550" w:history="1">
        <w:r>
          <w:rPr>
            <w:rFonts w:ascii="仿宋" w:eastAsia="仿宋" w:hAnsi="仿宋" w:cs="仿宋" w:hint="eastAsia"/>
            <w:lang w:eastAsia="zh-CN"/>
          </w:rPr>
          <w:t>(三)、文档存档与归档</w:t>
        </w:r>
        <w:r>
          <w:tab/>
        </w:r>
        <w:r>
          <w:fldChar w:fldCharType="begin"/>
        </w:r>
        <w:r>
          <w:instrText xml:space="preserve"> PAGEREF _Toc29550 \h </w:instrText>
        </w:r>
        <w:r>
          <w:fldChar w:fldCharType="separate"/>
        </w:r>
        <w:r>
          <w:t>18</w:t>
        </w:r>
        <w:r>
          <w:fldChar w:fldCharType="end"/>
        </w:r>
      </w:hyperlink>
    </w:p>
    <w:p>
      <w:pPr>
        <w:pStyle w:val="TOC1"/>
        <w:tabs>
          <w:tab w:val="right" w:leader="dot" w:pos="8306"/>
        </w:tabs>
      </w:pPr>
      <w:hyperlink w:anchor="_Toc8931" w:history="1">
        <w:r>
          <w:rPr>
            <w:rFonts w:ascii="仿宋" w:eastAsia="仿宋" w:hAnsi="仿宋" w:cs="仿宋" w:hint="eastAsia"/>
            <w:lang w:eastAsia="zh-CN"/>
          </w:rPr>
          <w:t>六、产品规划分析</w:t>
        </w:r>
        <w:r>
          <w:tab/>
        </w:r>
        <w:r>
          <w:fldChar w:fldCharType="begin"/>
        </w:r>
        <w:r>
          <w:instrText xml:space="preserve"> PAGEREF _Toc8931 \h </w:instrText>
        </w:r>
        <w:r>
          <w:fldChar w:fldCharType="separate"/>
        </w:r>
        <w:r>
          <w:t>19</w:t>
        </w:r>
        <w:r>
          <w:fldChar w:fldCharType="end"/>
        </w:r>
      </w:hyperlink>
    </w:p>
    <w:p>
      <w:pPr>
        <w:pStyle w:val="TOC2"/>
        <w:tabs>
          <w:tab w:val="right" w:leader="dot" w:pos="8306"/>
        </w:tabs>
      </w:pPr>
      <w:hyperlink w:anchor="_Toc26309" w:history="1">
        <w:r>
          <w:rPr>
            <w:rFonts w:ascii="仿宋" w:eastAsia="仿宋" w:hAnsi="仿宋" w:cs="仿宋" w:hint="eastAsia"/>
            <w:lang w:eastAsia="zh-CN"/>
          </w:rPr>
          <w:t>(一)、产品规划</w:t>
        </w:r>
        <w:r>
          <w:tab/>
        </w:r>
        <w:r>
          <w:fldChar w:fldCharType="begin"/>
        </w:r>
        <w:r>
          <w:instrText xml:space="preserve"> PAGEREF _Toc26309 \h </w:instrText>
        </w:r>
        <w:r>
          <w:fldChar w:fldCharType="separate"/>
        </w:r>
        <w:r>
          <w:t>19</w:t>
        </w:r>
        <w:r>
          <w:fldChar w:fldCharType="end"/>
        </w:r>
      </w:hyperlink>
    </w:p>
    <w:p>
      <w:pPr>
        <w:pStyle w:val="TOC2"/>
        <w:tabs>
          <w:tab w:val="right" w:leader="dot" w:pos="8306"/>
        </w:tabs>
      </w:pPr>
      <w:hyperlink w:anchor="_Toc11982" w:history="1">
        <w:r>
          <w:rPr>
            <w:rFonts w:ascii="仿宋" w:eastAsia="仿宋" w:hAnsi="仿宋" w:cs="仿宋" w:hint="eastAsia"/>
            <w:lang w:eastAsia="zh-CN"/>
          </w:rPr>
          <w:t>(二)、建设规模</w:t>
        </w:r>
        <w:r>
          <w:tab/>
        </w:r>
        <w:r>
          <w:fldChar w:fldCharType="begin"/>
        </w:r>
        <w:r>
          <w:instrText xml:space="preserve"> PAGEREF _Toc11982 \h </w:instrText>
        </w:r>
        <w:r>
          <w:fldChar w:fldCharType="separate"/>
        </w:r>
        <w:r>
          <w:t>20</w:t>
        </w:r>
        <w:r>
          <w:fldChar w:fldCharType="end"/>
        </w:r>
      </w:hyperlink>
    </w:p>
    <w:p>
      <w:pPr>
        <w:pStyle w:val="TOC1"/>
        <w:tabs>
          <w:tab w:val="right" w:leader="dot" w:pos="8306"/>
        </w:tabs>
      </w:pPr>
      <w:hyperlink w:anchor="_Toc15442" w:history="1">
        <w:r>
          <w:rPr>
            <w:rFonts w:ascii="仿宋" w:eastAsia="仿宋" w:hAnsi="仿宋" w:cs="仿宋" w:hint="eastAsia"/>
            <w:lang w:eastAsia="zh-CN"/>
          </w:rPr>
          <w:t>七、航天军工模块电源项目财务管理</w:t>
        </w:r>
        <w:r>
          <w:tab/>
        </w:r>
        <w:r>
          <w:fldChar w:fldCharType="begin"/>
        </w:r>
        <w:r>
          <w:instrText xml:space="preserve"> PAGEREF _Toc15442 \h </w:instrText>
        </w:r>
        <w:r>
          <w:fldChar w:fldCharType="separate"/>
        </w:r>
        <w:r>
          <w:t>21</w:t>
        </w:r>
        <w:r>
          <w:fldChar w:fldCharType="end"/>
        </w:r>
      </w:hyperlink>
    </w:p>
    <w:p>
      <w:pPr>
        <w:pStyle w:val="TOC2"/>
        <w:tabs>
          <w:tab w:val="right" w:leader="dot" w:pos="8306"/>
        </w:tabs>
      </w:pPr>
      <w:hyperlink w:anchor="_Toc16603" w:history="1">
        <w:r>
          <w:rPr>
            <w:rFonts w:ascii="仿宋" w:eastAsia="仿宋" w:hAnsi="仿宋" w:cs="仿宋" w:hint="eastAsia"/>
            <w:lang w:eastAsia="zh-CN"/>
          </w:rPr>
          <w:t>(一)、资金需求大</w:t>
        </w:r>
        <w:r>
          <w:tab/>
        </w:r>
        <w:r>
          <w:fldChar w:fldCharType="begin"/>
        </w:r>
        <w:r>
          <w:instrText xml:space="preserve"> PAGEREF _Toc16603 \h </w:instrText>
        </w:r>
        <w:r>
          <w:fldChar w:fldCharType="separate"/>
        </w:r>
        <w:r>
          <w:t>21</w:t>
        </w:r>
        <w:r>
          <w:fldChar w:fldCharType="end"/>
        </w:r>
      </w:hyperlink>
    </w:p>
    <w:p>
      <w:pPr>
        <w:pStyle w:val="TOC2"/>
        <w:tabs>
          <w:tab w:val="right" w:leader="dot" w:pos="8306"/>
        </w:tabs>
      </w:pPr>
      <w:hyperlink w:anchor="_Toc21045" w:history="1">
        <w:r>
          <w:rPr>
            <w:rFonts w:ascii="仿宋" w:eastAsia="仿宋" w:hAnsi="仿宋" w:cs="仿宋" w:hint="eastAsia"/>
            <w:lang w:eastAsia="zh-CN"/>
          </w:rPr>
          <w:t>(二)、研发周期长</w:t>
        </w:r>
        <w:r>
          <w:tab/>
        </w:r>
        <w:r>
          <w:fldChar w:fldCharType="begin"/>
        </w:r>
        <w:r>
          <w:instrText xml:space="preserve"> PAGEREF _Toc21045 \h </w:instrText>
        </w:r>
        <w:r>
          <w:fldChar w:fldCharType="separate"/>
        </w:r>
        <w:r>
          <w:t>23</w:t>
        </w:r>
        <w:r>
          <w:fldChar w:fldCharType="end"/>
        </w:r>
      </w:hyperlink>
    </w:p>
    <w:p>
      <w:pPr>
        <w:pStyle w:val="TOC2"/>
        <w:tabs>
          <w:tab w:val="right" w:leader="dot" w:pos="8306"/>
        </w:tabs>
      </w:pPr>
      <w:hyperlink w:anchor="_Toc3767" w:history="1">
        <w:r>
          <w:rPr>
            <w:rFonts w:ascii="仿宋" w:eastAsia="仿宋" w:hAnsi="仿宋" w:cs="仿宋" w:hint="eastAsia"/>
            <w:lang w:eastAsia="zh-CN"/>
          </w:rPr>
          <w:t>(三)、市场风险大</w:t>
        </w:r>
        <w:r>
          <w:tab/>
        </w:r>
        <w:r>
          <w:fldChar w:fldCharType="begin"/>
        </w:r>
        <w:r>
          <w:instrText xml:space="preserve"> PAGEREF _Toc3767 \h </w:instrText>
        </w:r>
        <w:r>
          <w:fldChar w:fldCharType="separate"/>
        </w:r>
        <w:r>
          <w:t>24</w:t>
        </w:r>
        <w:r>
          <w:fldChar w:fldCharType="end"/>
        </w:r>
      </w:hyperlink>
    </w:p>
    <w:p>
      <w:pPr>
        <w:pStyle w:val="TOC2"/>
        <w:tabs>
          <w:tab w:val="right" w:leader="dot" w:pos="8306"/>
        </w:tabs>
      </w:pPr>
      <w:hyperlink w:anchor="_Toc24363" w:history="1">
        <w:r>
          <w:rPr>
            <w:rFonts w:ascii="仿宋" w:eastAsia="仿宋" w:hAnsi="仿宋" w:cs="仿宋" w:hint="eastAsia"/>
            <w:lang w:eastAsia="zh-CN"/>
          </w:rPr>
          <w:t>(四)、利润率高</w:t>
        </w:r>
        <w:r>
          <w:tab/>
        </w:r>
        <w:r>
          <w:fldChar w:fldCharType="begin"/>
        </w:r>
        <w:r>
          <w:instrText xml:space="preserve"> PAGEREF _Toc24363 \h </w:instrText>
        </w:r>
        <w:r>
          <w:fldChar w:fldCharType="separate"/>
        </w:r>
        <w:r>
          <w:t>27</w:t>
        </w:r>
        <w:r>
          <w:fldChar w:fldCharType="end"/>
        </w:r>
      </w:hyperlink>
    </w:p>
    <w:p>
      <w:pPr>
        <w:pStyle w:val="TOC1"/>
        <w:tabs>
          <w:tab w:val="right" w:leader="dot" w:pos="8306"/>
        </w:tabs>
      </w:pPr>
      <w:hyperlink w:anchor="_Toc5331" w:history="1">
        <w:r>
          <w:rPr>
            <w:rFonts w:ascii="仿宋" w:eastAsia="仿宋" w:hAnsi="仿宋" w:cs="仿宋" w:hint="eastAsia"/>
            <w:lang w:eastAsia="zh-CN"/>
          </w:rPr>
          <w:t>八、航天军工模块电源项目风险管理</w:t>
        </w:r>
        <w:r>
          <w:tab/>
        </w:r>
        <w:r>
          <w:fldChar w:fldCharType="begin"/>
        </w:r>
        <w:r>
          <w:instrText xml:space="preserve"> PAGEREF _Toc5331 \h </w:instrText>
        </w:r>
        <w:r>
          <w:fldChar w:fldCharType="separate"/>
        </w:r>
        <w:r>
          <w:t>29</w:t>
        </w:r>
        <w:r>
          <w:fldChar w:fldCharType="end"/>
        </w:r>
      </w:hyperlink>
    </w:p>
    <w:p>
      <w:pPr>
        <w:pStyle w:val="TOC2"/>
        <w:tabs>
          <w:tab w:val="right" w:leader="dot" w:pos="8306"/>
        </w:tabs>
      </w:pPr>
      <w:hyperlink w:anchor="_Toc5121" w:history="1">
        <w:r>
          <w:rPr>
            <w:rFonts w:ascii="仿宋" w:eastAsia="仿宋" w:hAnsi="仿宋" w:cs="仿宋" w:hint="eastAsia"/>
            <w:lang w:eastAsia="zh-CN"/>
          </w:rPr>
          <w:t>(一)、风险识别与评估</w:t>
        </w:r>
        <w:r>
          <w:tab/>
        </w:r>
        <w:r>
          <w:fldChar w:fldCharType="begin"/>
        </w:r>
        <w:r>
          <w:instrText xml:space="preserve"> PAGEREF _Toc5121 \h </w:instrText>
        </w:r>
        <w:r>
          <w:fldChar w:fldCharType="separate"/>
        </w:r>
        <w:r>
          <w:t>29</w:t>
        </w:r>
        <w:r>
          <w:fldChar w:fldCharType="end"/>
        </w:r>
      </w:hyperlink>
    </w:p>
    <w:p>
      <w:pPr>
        <w:pStyle w:val="TOC2"/>
        <w:tabs>
          <w:tab w:val="right" w:leader="dot" w:pos="8306"/>
        </w:tabs>
      </w:pPr>
      <w:hyperlink w:anchor="_Toc13942" w:history="1">
        <w:r>
          <w:rPr>
            <w:rFonts w:ascii="仿宋" w:eastAsia="仿宋" w:hAnsi="仿宋" w:cs="仿宋" w:hint="eastAsia"/>
            <w:lang w:eastAsia="zh-CN"/>
          </w:rPr>
          <w:t>(二)、风险应对策略</w:t>
        </w:r>
        <w:r>
          <w:tab/>
        </w:r>
        <w:r>
          <w:fldChar w:fldCharType="begin"/>
        </w:r>
        <w:r>
          <w:instrText xml:space="preserve"> PAGEREF _Toc13942 \h </w:instrText>
        </w:r>
        <w:r>
          <w:fldChar w:fldCharType="separate"/>
        </w:r>
        <w:r>
          <w:t>30</w:t>
        </w:r>
        <w:r>
          <w:fldChar w:fldCharType="end"/>
        </w:r>
      </w:hyperlink>
    </w:p>
    <w:p>
      <w:pPr>
        <w:pStyle w:val="TOC2"/>
        <w:tabs>
          <w:tab w:val="right" w:leader="dot" w:pos="8306"/>
        </w:tabs>
      </w:pPr>
      <w:hyperlink w:anchor="_Toc11719" w:history="1">
        <w:r>
          <w:rPr>
            <w:rFonts w:ascii="仿宋" w:eastAsia="仿宋" w:hAnsi="仿宋" w:cs="仿宋" w:hint="eastAsia"/>
            <w:lang w:eastAsia="zh-CN"/>
          </w:rPr>
          <w:t>(三)、风险监控与控制</w:t>
        </w:r>
        <w:r>
          <w:tab/>
        </w:r>
        <w:r>
          <w:fldChar w:fldCharType="begin"/>
        </w:r>
        <w:r>
          <w:instrText xml:space="preserve"> PAGEREF _Toc11719 \h </w:instrText>
        </w:r>
        <w:r>
          <w:fldChar w:fldCharType="separate"/>
        </w:r>
        <w:r>
          <w:t>32</w:t>
        </w:r>
        <w:r>
          <w:fldChar w:fldCharType="end"/>
        </w:r>
      </w:hyperlink>
    </w:p>
    <w:p>
      <w:pPr>
        <w:pStyle w:val="TOC1"/>
        <w:tabs>
          <w:tab w:val="right" w:leader="dot" w:pos="8306"/>
        </w:tabs>
      </w:pPr>
      <w:hyperlink w:anchor="_Toc12212" w:history="1">
        <w:r>
          <w:rPr>
            <w:rFonts w:ascii="仿宋" w:eastAsia="仿宋" w:hAnsi="仿宋" w:cs="仿宋" w:hint="eastAsia"/>
            <w:lang w:eastAsia="zh-CN"/>
          </w:rPr>
          <w:t>九、航天军工模块电源项目社会影响</w:t>
        </w:r>
        <w:r>
          <w:tab/>
        </w:r>
        <w:r>
          <w:fldChar w:fldCharType="begin"/>
        </w:r>
        <w:r>
          <w:instrText xml:space="preserve"> PAGEREF _Toc12212 \h </w:instrText>
        </w:r>
        <w:r>
          <w:fldChar w:fldCharType="separate"/>
        </w:r>
        <w:r>
          <w:t>33</w:t>
        </w:r>
        <w:r>
          <w:fldChar w:fldCharType="end"/>
        </w:r>
      </w:hyperlink>
    </w:p>
    <w:p>
      <w:pPr>
        <w:pStyle w:val="TOC2"/>
        <w:tabs>
          <w:tab w:val="right" w:leader="dot" w:pos="8306"/>
        </w:tabs>
      </w:pPr>
      <w:hyperlink w:anchor="_Toc9857" w:history="1">
        <w:r>
          <w:rPr>
            <w:rFonts w:ascii="仿宋" w:eastAsia="仿宋" w:hAnsi="仿宋" w:cs="仿宋" w:hint="eastAsia"/>
            <w:lang w:eastAsia="zh-CN"/>
          </w:rPr>
          <w:t>(一)、社会责任与义务</w:t>
        </w:r>
        <w:r>
          <w:tab/>
        </w:r>
        <w:r>
          <w:fldChar w:fldCharType="begin"/>
        </w:r>
        <w:r>
          <w:instrText xml:space="preserve"> PAGEREF _Toc9857 \h </w:instrText>
        </w:r>
        <w:r>
          <w:fldChar w:fldCharType="separate"/>
        </w:r>
        <w:r>
          <w:t>33</w:t>
        </w:r>
        <w:r>
          <w:fldChar w:fldCharType="end"/>
        </w:r>
      </w:hyperlink>
    </w:p>
    <w:p>
      <w:pPr>
        <w:pStyle w:val="TOC2"/>
        <w:tabs>
          <w:tab w:val="right" w:leader="dot" w:pos="8306"/>
        </w:tabs>
      </w:pPr>
      <w:hyperlink w:anchor="_Toc28627" w:history="1">
        <w:r>
          <w:rPr>
            <w:rFonts w:ascii="仿宋" w:eastAsia="仿宋" w:hAnsi="仿宋" w:cs="仿宋" w:hint="eastAsia"/>
            <w:lang w:eastAsia="zh-CN"/>
          </w:rPr>
          <w:t>(二)、社会参与与沟通</w:t>
        </w:r>
        <w:r>
          <w:tab/>
        </w:r>
        <w:r>
          <w:fldChar w:fldCharType="begin"/>
        </w:r>
        <w:r>
          <w:instrText xml:space="preserve"> PAGEREF _Toc28627 \h </w:instrText>
        </w:r>
        <w:r>
          <w:fldChar w:fldCharType="separate"/>
        </w:r>
        <w:r>
          <w:t>34</w:t>
        </w:r>
        <w:r>
          <w:fldChar w:fldCharType="end"/>
        </w:r>
      </w:hyperlink>
    </w:p>
    <w:p>
      <w:pPr>
        <w:pStyle w:val="TOC1"/>
        <w:tabs>
          <w:tab w:val="right" w:leader="dot" w:pos="8306"/>
        </w:tabs>
      </w:pPr>
      <w:hyperlink w:anchor="_Toc24670" w:history="1">
        <w:r>
          <w:rPr>
            <w:rFonts w:ascii="仿宋" w:eastAsia="仿宋" w:hAnsi="仿宋" w:cs="仿宋" w:hint="eastAsia"/>
            <w:lang w:eastAsia="zh-CN"/>
          </w:rPr>
          <w:t>十、航天军工模块电源项目技术管理</w:t>
        </w:r>
        <w:r>
          <w:tab/>
        </w:r>
        <w:r>
          <w:fldChar w:fldCharType="begin"/>
        </w:r>
        <w:r>
          <w:instrText xml:space="preserve"> PAGEREF _Toc24670 \h </w:instrText>
        </w:r>
        <w:r>
          <w:fldChar w:fldCharType="separate"/>
        </w:r>
        <w:r>
          <w:t>34</w:t>
        </w:r>
        <w:r>
          <w:fldChar w:fldCharType="end"/>
        </w:r>
      </w:hyperlink>
    </w:p>
    <w:p>
      <w:pPr>
        <w:pStyle w:val="TOC2"/>
        <w:tabs>
          <w:tab w:val="right" w:leader="dot" w:pos="8306"/>
        </w:tabs>
      </w:pPr>
      <w:hyperlink w:anchor="_Toc26662" w:history="1">
        <w:r>
          <w:rPr>
            <w:rFonts w:ascii="仿宋" w:eastAsia="仿宋" w:hAnsi="仿宋" w:cs="仿宋" w:hint="eastAsia"/>
            <w:lang w:eastAsia="zh-CN"/>
          </w:rPr>
          <w:t>(一)、技术方案选用方向</w:t>
        </w:r>
        <w:r>
          <w:tab/>
        </w:r>
        <w:r>
          <w:fldChar w:fldCharType="begin"/>
        </w:r>
        <w:r>
          <w:instrText xml:space="preserve"> PAGEREF _Toc26662 \h </w:instrText>
        </w:r>
        <w:r>
          <w:fldChar w:fldCharType="separate"/>
        </w:r>
        <w:r>
          <w:t>34</w:t>
        </w:r>
        <w:r>
          <w:fldChar w:fldCharType="end"/>
        </w:r>
      </w:hyperlink>
    </w:p>
    <w:p>
      <w:pPr>
        <w:pStyle w:val="TOC2"/>
        <w:tabs>
          <w:tab w:val="right" w:leader="dot" w:pos="8306"/>
        </w:tabs>
      </w:pPr>
      <w:hyperlink w:anchor="_Toc18376" w:history="1">
        <w:r>
          <w:rPr>
            <w:rFonts w:ascii="仿宋" w:eastAsia="仿宋" w:hAnsi="仿宋" w:cs="仿宋" w:hint="eastAsia"/>
            <w:lang w:eastAsia="zh-CN"/>
          </w:rPr>
          <w:t>(二)、工艺技术方案选用原则</w:t>
        </w:r>
        <w:r>
          <w:tab/>
        </w:r>
        <w:r>
          <w:fldChar w:fldCharType="begin"/>
        </w:r>
        <w:r>
          <w:instrText xml:space="preserve"> PAGEREF _Toc18376 \h </w:instrText>
        </w:r>
        <w:r>
          <w:fldChar w:fldCharType="separate"/>
        </w:r>
        <w:r>
          <w:t>36</w:t>
        </w:r>
        <w:r>
          <w:fldChar w:fldCharType="end"/>
        </w:r>
      </w:hyperlink>
    </w:p>
    <w:p>
      <w:pPr>
        <w:pStyle w:val="TOC2"/>
        <w:tabs>
          <w:tab w:val="right" w:leader="dot" w:pos="8306"/>
        </w:tabs>
      </w:pPr>
      <w:hyperlink w:anchor="_Toc31330" w:history="1">
        <w:r>
          <w:rPr>
            <w:rFonts w:ascii="仿宋" w:eastAsia="仿宋" w:hAnsi="仿宋" w:cs="仿宋" w:hint="eastAsia"/>
            <w:lang w:eastAsia="zh-CN"/>
          </w:rPr>
          <w:t>(三)、工艺技术方案要求</w:t>
        </w:r>
        <w:r>
          <w:tab/>
        </w:r>
        <w:r>
          <w:fldChar w:fldCharType="begin"/>
        </w:r>
        <w:r>
          <w:instrText xml:space="preserve"> PAGEREF _Toc31330 \h </w:instrText>
        </w:r>
        <w:r>
          <w:fldChar w:fldCharType="separate"/>
        </w:r>
        <w:r>
          <w:t>38</w:t>
        </w:r>
        <w:r>
          <w:fldChar w:fldCharType="end"/>
        </w:r>
      </w:hyperlink>
    </w:p>
    <w:p>
      <w:pPr>
        <w:pStyle w:val="TOC1"/>
        <w:tabs>
          <w:tab w:val="right" w:leader="dot" w:pos="8306"/>
        </w:tabs>
      </w:pPr>
      <w:hyperlink w:anchor="_Toc2756" w:history="1">
        <w:r>
          <w:rPr>
            <w:rFonts w:ascii="仿宋" w:eastAsia="仿宋" w:hAnsi="仿宋" w:cs="仿宋" w:hint="eastAsia"/>
            <w:lang w:eastAsia="zh-CN"/>
          </w:rPr>
          <w:t>十一、航天军工模块电源项目计划安排</w:t>
        </w:r>
        <w:r>
          <w:tab/>
        </w:r>
        <w:r>
          <w:fldChar w:fldCharType="begin"/>
        </w:r>
        <w:r>
          <w:instrText xml:space="preserve"> PAGEREF _Toc2756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93" w:history="1">
        <w:r>
          <w:rPr>
            <w:rFonts w:ascii="仿宋" w:eastAsia="仿宋" w:hAnsi="仿宋" w:cs="仿宋" w:hint="eastAsia"/>
            <w:lang w:eastAsia="zh-CN"/>
          </w:rPr>
          <w:t>(一)、建设周期</w:t>
        </w:r>
        <w:r>
          <w:tab/>
        </w:r>
        <w:r>
          <w:fldChar w:fldCharType="begin"/>
        </w:r>
        <w:r>
          <w:instrText xml:space="preserve"> PAGEREF _Toc19193 \h </w:instrText>
        </w:r>
        <w:r>
          <w:fldChar w:fldCharType="separate"/>
        </w:r>
        <w:r>
          <w:t>41</w:t>
        </w:r>
        <w:r>
          <w:fldChar w:fldCharType="end"/>
        </w:r>
      </w:hyperlink>
    </w:p>
    <w:p>
      <w:pPr>
        <w:pStyle w:val="TOC2"/>
        <w:tabs>
          <w:tab w:val="right" w:leader="dot" w:pos="8306"/>
        </w:tabs>
      </w:pPr>
      <w:hyperlink w:anchor="_Toc14459" w:history="1">
        <w:r>
          <w:rPr>
            <w:rFonts w:ascii="仿宋" w:eastAsia="仿宋" w:hAnsi="仿宋" w:cs="仿宋" w:hint="eastAsia"/>
            <w:lang w:eastAsia="zh-CN"/>
          </w:rPr>
          <w:t>(二)、建设进度</w:t>
        </w:r>
        <w:r>
          <w:tab/>
        </w:r>
        <w:r>
          <w:fldChar w:fldCharType="begin"/>
        </w:r>
        <w:r>
          <w:instrText xml:space="preserve"> PAGEREF _Toc14459 \h </w:instrText>
        </w:r>
        <w:r>
          <w:fldChar w:fldCharType="separate"/>
        </w:r>
        <w:r>
          <w:t>42</w:t>
        </w:r>
        <w:r>
          <w:fldChar w:fldCharType="end"/>
        </w:r>
      </w:hyperlink>
    </w:p>
    <w:p>
      <w:pPr>
        <w:pStyle w:val="TOC2"/>
        <w:tabs>
          <w:tab w:val="right" w:leader="dot" w:pos="8306"/>
        </w:tabs>
      </w:pPr>
      <w:hyperlink w:anchor="_Toc7941" w:history="1">
        <w:r>
          <w:rPr>
            <w:rFonts w:ascii="仿宋" w:eastAsia="仿宋" w:hAnsi="仿宋" w:cs="仿宋" w:hint="eastAsia"/>
            <w:lang w:eastAsia="zh-CN"/>
          </w:rPr>
          <w:t>(三)、进度安排注意事项</w:t>
        </w:r>
        <w:r>
          <w:tab/>
        </w:r>
        <w:r>
          <w:fldChar w:fldCharType="begin"/>
        </w:r>
        <w:r>
          <w:instrText xml:space="preserve"> PAGEREF _Toc7941 \h </w:instrText>
        </w:r>
        <w:r>
          <w:fldChar w:fldCharType="separate"/>
        </w:r>
        <w:r>
          <w:t>43</w:t>
        </w:r>
        <w:r>
          <w:fldChar w:fldCharType="end"/>
        </w:r>
      </w:hyperlink>
    </w:p>
    <w:p>
      <w:pPr>
        <w:pStyle w:val="TOC2"/>
        <w:tabs>
          <w:tab w:val="right" w:leader="dot" w:pos="8306"/>
        </w:tabs>
      </w:pPr>
      <w:hyperlink w:anchor="_Toc29155" w:history="1">
        <w:r>
          <w:rPr>
            <w:rFonts w:ascii="仿宋" w:eastAsia="仿宋" w:hAnsi="仿宋" w:cs="仿宋" w:hint="eastAsia"/>
            <w:lang w:eastAsia="zh-CN"/>
          </w:rPr>
          <w:t>(四)、人力资源配置</w:t>
        </w:r>
        <w:r>
          <w:tab/>
        </w:r>
        <w:r>
          <w:fldChar w:fldCharType="begin"/>
        </w:r>
        <w:r>
          <w:instrText xml:space="preserve"> PAGEREF _Toc29155 \h </w:instrText>
        </w:r>
        <w:r>
          <w:fldChar w:fldCharType="separate"/>
        </w:r>
        <w:r>
          <w:t>44</w:t>
        </w:r>
        <w:r>
          <w:fldChar w:fldCharType="end"/>
        </w:r>
      </w:hyperlink>
    </w:p>
    <w:p>
      <w:pPr>
        <w:pStyle w:val="TOC1"/>
        <w:tabs>
          <w:tab w:val="right" w:leader="dot" w:pos="8306"/>
        </w:tabs>
      </w:pPr>
      <w:hyperlink w:anchor="_Toc27332" w:history="1">
        <w:r>
          <w:rPr>
            <w:rFonts w:ascii="仿宋" w:eastAsia="仿宋" w:hAnsi="仿宋" w:cs="仿宋" w:hint="eastAsia"/>
            <w:lang w:eastAsia="zh-CN"/>
          </w:rPr>
          <w:t>十二、航天军工模块电源项目人力资源培养与发展</w:t>
        </w:r>
        <w:r>
          <w:tab/>
        </w:r>
        <w:r>
          <w:fldChar w:fldCharType="begin"/>
        </w:r>
        <w:r>
          <w:instrText xml:space="preserve"> PAGEREF _Toc27332 \h </w:instrText>
        </w:r>
        <w:r>
          <w:fldChar w:fldCharType="separate"/>
        </w:r>
        <w:r>
          <w:t>45</w:t>
        </w:r>
        <w:r>
          <w:fldChar w:fldCharType="end"/>
        </w:r>
      </w:hyperlink>
    </w:p>
    <w:p>
      <w:pPr>
        <w:pStyle w:val="TOC2"/>
        <w:tabs>
          <w:tab w:val="right" w:leader="dot" w:pos="8306"/>
        </w:tabs>
      </w:pPr>
      <w:hyperlink w:anchor="_Toc23780" w:history="1">
        <w:r>
          <w:rPr>
            <w:rFonts w:ascii="仿宋" w:eastAsia="仿宋" w:hAnsi="仿宋" w:cs="仿宋" w:hint="eastAsia"/>
            <w:lang w:eastAsia="zh-CN"/>
          </w:rPr>
          <w:t>(一)、人才需求与规划</w:t>
        </w:r>
        <w:r>
          <w:tab/>
        </w:r>
        <w:r>
          <w:fldChar w:fldCharType="begin"/>
        </w:r>
        <w:r>
          <w:instrText xml:space="preserve"> PAGEREF _Toc23780 \h </w:instrText>
        </w:r>
        <w:r>
          <w:fldChar w:fldCharType="separate"/>
        </w:r>
        <w:r>
          <w:t>45</w:t>
        </w:r>
        <w:r>
          <w:fldChar w:fldCharType="end"/>
        </w:r>
      </w:hyperlink>
    </w:p>
    <w:p>
      <w:pPr>
        <w:pStyle w:val="TOC2"/>
        <w:tabs>
          <w:tab w:val="right" w:leader="dot" w:pos="8306"/>
        </w:tabs>
      </w:pPr>
      <w:hyperlink w:anchor="_Toc7346" w:history="1">
        <w:r>
          <w:rPr>
            <w:rFonts w:ascii="仿宋" w:eastAsia="仿宋" w:hAnsi="仿宋" w:cs="仿宋" w:hint="eastAsia"/>
            <w:lang w:eastAsia="zh-CN"/>
          </w:rPr>
          <w:t>(二)、培训与发展计划</w:t>
        </w:r>
        <w:r>
          <w:tab/>
        </w:r>
        <w:r>
          <w:fldChar w:fldCharType="begin"/>
        </w:r>
        <w:r>
          <w:instrText xml:space="preserve"> PAGEREF _Toc7346 \h </w:instrText>
        </w:r>
        <w:r>
          <w:fldChar w:fldCharType="separate"/>
        </w:r>
        <w:r>
          <w:t>45</w:t>
        </w:r>
        <w:r>
          <w:fldChar w:fldCharType="end"/>
        </w:r>
      </w:hyperlink>
    </w:p>
    <w:p>
      <w:pPr>
        <w:pStyle w:val="TOC1"/>
        <w:tabs>
          <w:tab w:val="right" w:leader="dot" w:pos="8306"/>
        </w:tabs>
      </w:pPr>
      <w:hyperlink w:anchor="_Toc21865" w:history="1">
        <w:r>
          <w:rPr>
            <w:rFonts w:ascii="仿宋" w:eastAsia="仿宋" w:hAnsi="仿宋" w:cs="仿宋" w:hint="eastAsia"/>
            <w:lang w:eastAsia="zh-CN"/>
          </w:rPr>
          <w:t>十三、风险识别与分类</w:t>
        </w:r>
        <w:r>
          <w:tab/>
        </w:r>
        <w:r>
          <w:fldChar w:fldCharType="begin"/>
        </w:r>
        <w:r>
          <w:instrText xml:space="preserve"> PAGEREF _Toc21865 \h </w:instrText>
        </w:r>
        <w:r>
          <w:fldChar w:fldCharType="separate"/>
        </w:r>
        <w:r>
          <w:t>46</w:t>
        </w:r>
        <w:r>
          <w:fldChar w:fldCharType="end"/>
        </w:r>
      </w:hyperlink>
    </w:p>
    <w:p>
      <w:pPr>
        <w:pStyle w:val="TOC2"/>
        <w:tabs>
          <w:tab w:val="right" w:leader="dot" w:pos="8306"/>
        </w:tabs>
      </w:pPr>
      <w:hyperlink w:anchor="_Toc21195" w:history="1">
        <w:r>
          <w:rPr>
            <w:rFonts w:ascii="仿宋" w:eastAsia="仿宋" w:hAnsi="仿宋" w:cs="仿宋" w:hint="eastAsia"/>
            <w:lang w:eastAsia="zh-CN"/>
          </w:rPr>
          <w:t>(一)、风险识别</w:t>
        </w:r>
        <w:r>
          <w:tab/>
        </w:r>
        <w:r>
          <w:fldChar w:fldCharType="begin"/>
        </w:r>
        <w:r>
          <w:instrText xml:space="preserve"> PAGEREF _Toc21195 \h </w:instrText>
        </w:r>
        <w:r>
          <w:fldChar w:fldCharType="separate"/>
        </w:r>
        <w:r>
          <w:t>46</w:t>
        </w:r>
        <w:r>
          <w:fldChar w:fldCharType="end"/>
        </w:r>
      </w:hyperlink>
    </w:p>
    <w:p>
      <w:pPr>
        <w:pStyle w:val="TOC2"/>
        <w:tabs>
          <w:tab w:val="right" w:leader="dot" w:pos="8306"/>
        </w:tabs>
      </w:pPr>
      <w:hyperlink w:anchor="_Toc29762" w:history="1">
        <w:r>
          <w:rPr>
            <w:rFonts w:ascii="仿宋" w:eastAsia="仿宋" w:hAnsi="仿宋" w:cs="仿宋" w:hint="eastAsia"/>
            <w:lang w:eastAsia="zh-CN"/>
          </w:rPr>
          <w:t>(二)、风险分类</w:t>
        </w:r>
        <w:r>
          <w:tab/>
        </w:r>
        <w:r>
          <w:fldChar w:fldCharType="begin"/>
        </w:r>
        <w:r>
          <w:instrText xml:space="preserve"> PAGEREF _Toc29762 \h </w:instrText>
        </w:r>
        <w:r>
          <w:fldChar w:fldCharType="separate"/>
        </w:r>
        <w:r>
          <w:t>47</w:t>
        </w:r>
        <w:r>
          <w:fldChar w:fldCharType="end"/>
        </w:r>
      </w:hyperlink>
    </w:p>
    <w:p>
      <w:pPr>
        <w:pStyle w:val="TOC1"/>
        <w:tabs>
          <w:tab w:val="right" w:leader="dot" w:pos="8306"/>
        </w:tabs>
      </w:pPr>
      <w:hyperlink w:anchor="_Toc21111" w:history="1">
        <w:r>
          <w:rPr>
            <w:rFonts w:ascii="仿宋" w:eastAsia="仿宋" w:hAnsi="仿宋" w:cs="仿宋" w:hint="eastAsia"/>
            <w:lang w:eastAsia="zh-CN"/>
          </w:rPr>
          <w:t>十四、航天军工模块电源项目工程方案分析</w:t>
        </w:r>
        <w:r>
          <w:tab/>
        </w:r>
        <w:r>
          <w:fldChar w:fldCharType="begin"/>
        </w:r>
        <w:r>
          <w:instrText xml:space="preserve"> PAGEREF _Toc21111 \h </w:instrText>
        </w:r>
        <w:r>
          <w:fldChar w:fldCharType="separate"/>
        </w:r>
        <w:r>
          <w:t>49</w:t>
        </w:r>
        <w:r>
          <w:fldChar w:fldCharType="end"/>
        </w:r>
      </w:hyperlink>
    </w:p>
    <w:p>
      <w:pPr>
        <w:pStyle w:val="TOC2"/>
        <w:tabs>
          <w:tab w:val="right" w:leader="dot" w:pos="8306"/>
        </w:tabs>
      </w:pPr>
      <w:hyperlink w:anchor="_Toc446" w:history="1">
        <w:r>
          <w:rPr>
            <w:rFonts w:ascii="仿宋" w:eastAsia="仿宋" w:hAnsi="仿宋" w:cs="仿宋" w:hint="eastAsia"/>
            <w:lang w:eastAsia="zh-CN"/>
          </w:rPr>
          <w:t>(一)、建筑工程设计原则</w:t>
        </w:r>
        <w:r>
          <w:tab/>
        </w:r>
        <w:r>
          <w:fldChar w:fldCharType="begin"/>
        </w:r>
        <w:r>
          <w:instrText xml:space="preserve"> PAGEREF _Toc446 \h </w:instrText>
        </w:r>
        <w:r>
          <w:fldChar w:fldCharType="separate"/>
        </w:r>
        <w:r>
          <w:t>49</w:t>
        </w:r>
        <w:r>
          <w:fldChar w:fldCharType="end"/>
        </w:r>
      </w:hyperlink>
    </w:p>
    <w:p>
      <w:pPr>
        <w:pStyle w:val="TOC2"/>
        <w:tabs>
          <w:tab w:val="right" w:leader="dot" w:pos="8306"/>
        </w:tabs>
      </w:pPr>
      <w:hyperlink w:anchor="_Toc8486" w:history="1">
        <w:r>
          <w:rPr>
            <w:rFonts w:ascii="仿宋" w:eastAsia="仿宋" w:hAnsi="仿宋" w:cs="仿宋" w:hint="eastAsia"/>
            <w:lang w:eastAsia="zh-CN"/>
          </w:rPr>
          <w:t>(二)、土建工程建设指标</w:t>
        </w:r>
        <w:r>
          <w:tab/>
        </w:r>
        <w:r>
          <w:fldChar w:fldCharType="begin"/>
        </w:r>
        <w:r>
          <w:instrText xml:space="preserve"> PAGEREF _Toc8486 \h </w:instrText>
        </w:r>
        <w:r>
          <w:fldChar w:fldCharType="separate"/>
        </w:r>
        <w:r>
          <w:t>53</w:t>
        </w:r>
        <w:r>
          <w:fldChar w:fldCharType="end"/>
        </w:r>
      </w:hyperlink>
    </w:p>
    <w:p>
      <w:pPr>
        <w:pStyle w:val="TOC1"/>
        <w:tabs>
          <w:tab w:val="right" w:leader="dot" w:pos="8306"/>
        </w:tabs>
      </w:pPr>
      <w:hyperlink w:anchor="_Toc23139" w:history="1">
        <w:r>
          <w:rPr>
            <w:rFonts w:ascii="仿宋" w:eastAsia="仿宋" w:hAnsi="仿宋" w:cs="仿宋" w:hint="eastAsia"/>
            <w:lang w:eastAsia="zh-CN"/>
          </w:rPr>
          <w:t>十五、质量管理体系</w:t>
        </w:r>
        <w:r>
          <w:tab/>
        </w:r>
        <w:r>
          <w:fldChar w:fldCharType="begin"/>
        </w:r>
        <w:r>
          <w:instrText xml:space="preserve"> PAGEREF _Toc23139 \h </w:instrText>
        </w:r>
        <w:r>
          <w:fldChar w:fldCharType="separate"/>
        </w:r>
        <w:r>
          <w:t>54</w:t>
        </w:r>
        <w:r>
          <w:fldChar w:fldCharType="end"/>
        </w:r>
      </w:hyperlink>
    </w:p>
    <w:p>
      <w:pPr>
        <w:pStyle w:val="TOC2"/>
        <w:tabs>
          <w:tab w:val="right" w:leader="dot" w:pos="8306"/>
        </w:tabs>
      </w:pPr>
      <w:hyperlink w:anchor="_Toc19131" w:history="1">
        <w:r>
          <w:rPr>
            <w:rFonts w:ascii="仿宋" w:eastAsia="仿宋" w:hAnsi="仿宋" w:cs="仿宋" w:hint="eastAsia"/>
            <w:lang w:eastAsia="zh-CN"/>
          </w:rPr>
          <w:t>(一)、质量目标与方针</w:t>
        </w:r>
        <w:r>
          <w:tab/>
        </w:r>
        <w:r>
          <w:fldChar w:fldCharType="begin"/>
        </w:r>
        <w:r>
          <w:instrText xml:space="preserve"> PAGEREF _Toc19131 \h </w:instrText>
        </w:r>
        <w:r>
          <w:fldChar w:fldCharType="separate"/>
        </w:r>
        <w:r>
          <w:t>54</w:t>
        </w:r>
        <w:r>
          <w:fldChar w:fldCharType="end"/>
        </w:r>
      </w:hyperlink>
    </w:p>
    <w:p>
      <w:pPr>
        <w:pStyle w:val="TOC2"/>
        <w:tabs>
          <w:tab w:val="right" w:leader="dot" w:pos="8306"/>
        </w:tabs>
      </w:pPr>
      <w:hyperlink w:anchor="_Toc15929" w:history="1">
        <w:r>
          <w:rPr>
            <w:rFonts w:ascii="仿宋" w:eastAsia="仿宋" w:hAnsi="仿宋" w:cs="仿宋" w:hint="eastAsia"/>
            <w:lang w:eastAsia="zh-CN"/>
          </w:rPr>
          <w:t>(二)、质量管理责任</w:t>
        </w:r>
        <w:r>
          <w:tab/>
        </w:r>
        <w:r>
          <w:fldChar w:fldCharType="begin"/>
        </w:r>
        <w:r>
          <w:instrText xml:space="preserve"> PAGEREF _Toc15929 \h </w:instrText>
        </w:r>
        <w:r>
          <w:fldChar w:fldCharType="separate"/>
        </w:r>
        <w:r>
          <w:t>55</w:t>
        </w:r>
        <w:r>
          <w:fldChar w:fldCharType="end"/>
        </w:r>
      </w:hyperlink>
    </w:p>
    <w:p>
      <w:pPr>
        <w:pStyle w:val="TOC2"/>
        <w:tabs>
          <w:tab w:val="right" w:leader="dot" w:pos="8306"/>
        </w:tabs>
      </w:pPr>
      <w:hyperlink w:anchor="_Toc3104" w:history="1">
        <w:r>
          <w:rPr>
            <w:rFonts w:ascii="仿宋" w:eastAsia="仿宋" w:hAnsi="仿宋" w:cs="仿宋" w:hint="eastAsia"/>
            <w:lang w:eastAsia="zh-CN"/>
          </w:rPr>
          <w:t>(三)、质量管理体系文件</w:t>
        </w:r>
        <w:r>
          <w:tab/>
        </w:r>
        <w:r>
          <w:fldChar w:fldCharType="begin"/>
        </w:r>
        <w:r>
          <w:instrText xml:space="preserve"> PAGEREF _Toc3104 \h </w:instrText>
        </w:r>
        <w:r>
          <w:fldChar w:fldCharType="separate"/>
        </w:r>
        <w:r>
          <w:t>57</w:t>
        </w:r>
        <w:r>
          <w:fldChar w:fldCharType="end"/>
        </w:r>
      </w:hyperlink>
    </w:p>
    <w:p>
      <w:pPr>
        <w:pStyle w:val="TOC2"/>
        <w:tabs>
          <w:tab w:val="right" w:leader="dot" w:pos="8306"/>
        </w:tabs>
      </w:pPr>
      <w:hyperlink w:anchor="_Toc1909" w:history="1">
        <w:r>
          <w:rPr>
            <w:rFonts w:ascii="仿宋" w:eastAsia="仿宋" w:hAnsi="仿宋" w:cs="仿宋" w:hint="eastAsia"/>
            <w:lang w:eastAsia="zh-CN"/>
          </w:rPr>
          <w:t>(四)、质量培训与教育</w:t>
        </w:r>
        <w:r>
          <w:tab/>
        </w:r>
        <w:r>
          <w:fldChar w:fldCharType="begin"/>
        </w:r>
        <w:r>
          <w:instrText xml:space="preserve"> PAGEREF _Toc1909 \h </w:instrText>
        </w:r>
        <w:r>
          <w:fldChar w:fldCharType="separate"/>
        </w:r>
        <w:r>
          <w:t>59</w:t>
        </w:r>
        <w:r>
          <w:fldChar w:fldCharType="end"/>
        </w:r>
      </w:hyperlink>
    </w:p>
    <w:p>
      <w:pPr>
        <w:pStyle w:val="TOC2"/>
        <w:tabs>
          <w:tab w:val="right" w:leader="dot" w:pos="8306"/>
        </w:tabs>
      </w:pPr>
      <w:hyperlink w:anchor="_Toc3014" w:history="1">
        <w:r>
          <w:rPr>
            <w:rFonts w:ascii="仿宋" w:eastAsia="仿宋" w:hAnsi="仿宋" w:cs="仿宋" w:hint="eastAsia"/>
            <w:lang w:eastAsia="zh-CN"/>
          </w:rPr>
          <w:t>(五)、质量审核与评价</w:t>
        </w:r>
        <w:r>
          <w:tab/>
        </w:r>
        <w:r>
          <w:fldChar w:fldCharType="begin"/>
        </w:r>
        <w:r>
          <w:instrText xml:space="preserve"> PAGEREF _Toc3014 \h </w:instrText>
        </w:r>
        <w:r>
          <w:fldChar w:fldCharType="separate"/>
        </w:r>
        <w:r>
          <w:t>60</w:t>
        </w:r>
        <w:r>
          <w:fldChar w:fldCharType="end"/>
        </w:r>
      </w:hyperlink>
    </w:p>
    <w:p>
      <w:pPr>
        <w:pStyle w:val="TOC2"/>
        <w:tabs>
          <w:tab w:val="right" w:leader="dot" w:pos="8306"/>
        </w:tabs>
      </w:pPr>
      <w:hyperlink w:anchor="_Toc27539" w:history="1">
        <w:r>
          <w:rPr>
            <w:rFonts w:ascii="仿宋" w:eastAsia="仿宋" w:hAnsi="仿宋" w:cs="仿宋" w:hint="eastAsia"/>
            <w:lang w:eastAsia="zh-CN"/>
          </w:rPr>
          <w:t>(六)、不符合与纠正措施</w:t>
        </w:r>
        <w:r>
          <w:tab/>
        </w:r>
        <w:r>
          <w:fldChar w:fldCharType="begin"/>
        </w:r>
        <w:r>
          <w:instrText xml:space="preserve"> PAGEREF _Toc27539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65"/>
      <w:r>
        <w:rPr>
          <w:rFonts w:ascii="仿宋" w:eastAsia="仿宋" w:hAnsi="仿宋" w:cs="仿宋" w:hint="eastAsia"/>
          <w:sz w:val="28"/>
          <w:lang w:eastAsia="zh-CN"/>
        </w:rPr>
        <w:t>一、航天军工模块电源项目绩效评估</w:t>
      </w:r>
      <w:bookmarkEnd w:id="2"/>
    </w:p>
    <w:p>
      <w:pPr>
        <w:pStyle w:val="Heading2"/>
        <w:rPr>
          <w:rFonts w:ascii="仿宋" w:eastAsia="仿宋" w:hAnsi="仿宋" w:cs="仿宋" w:hint="eastAsia"/>
          <w:lang w:eastAsia="zh-CN"/>
        </w:rPr>
      </w:pPr>
      <w:bookmarkStart w:id="3" w:name="_Toc32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军工模块电源项目中，我们设计了一套全面的绩效评估指标，以确保航天军工模块电源项目的可控和成功交付。这些指标跨足航天军工模块电源项目目标、成本、进度和质量等多个维度，为我们提供了全面洞察航天军工模块电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目标达成率是我们关注的首要指标。我们设定了明确的目标，并通过定期监测和评估，迅速发现并应对潜在的目标偏差。这为航天军工模块电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成本绩效是另一个核心关注点。通过实际成本与预算成本的对比分析，我们深入了解成本差异的原因，及时调整资源分配，保持航天军工模块电源项目在经济效益方面的合理水平。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进度作为关键的绩效指标之一，得到了精心的关注。我们制定了详细的航天军工模块电源项目进度计划，并设立了进度符合度指标，确保实际进度与计划进度保持一致。这使我们能够快速发现和解决潜在的进度问题，保持航天军工模块电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天军工模块电源项目绩效的不可或缺的一环。我们引入了一系列的质量标准和客户满意度指标，以确保航天军工模块电源项目交付的成果在质量上达到或超越预期水平。通过持续监测这些指标，我们努力提升航天军工模块电源项目整体质量水平，为航天军工模块电源项目的成功交付提供有力保障。通过这些科学且全面的绩效评估，我们能够更好地引导航天军工模块电源项目的持续改进，确保航天军工模块电源项目目标的顺利达成。</w:t>
      </w:r>
    </w:p>
    <w:p>
      <w:pPr>
        <w:pStyle w:val="Heading2"/>
        <w:ind w:firstLine="560" w:firstLineChars="200"/>
        <w:rPr>
          <w:rFonts w:ascii="仿宋" w:eastAsia="仿宋" w:hAnsi="仿宋" w:cs="仿宋" w:hint="eastAsia"/>
          <w:sz w:val="28"/>
          <w:lang w:eastAsia="zh-CN"/>
        </w:rPr>
      </w:pPr>
      <w:bookmarkStart w:id="4" w:name="_Toc602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绩效评估是航天军工模块电源项目中的关键环节，为确保航天军工模块电源项目达到预期目标，我们采用了多层次、多维度的绩效评估方法。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军工模块电源项目的战略目标对齐，确保每个决策和行动都与航天军工模块电源项目整体目标保持一致。团队会定期召开战略对齐会议，审视当前工作与航天军工模块电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天军工模块电源项目进度、质量、成本和风险等方面。这些指标通过数据收集和分析，为航天军工模块电源项目管理团队提供了客观的评估依据。例如，我们通过航天军工模块电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天军工模块电源项目内部，还考虑了航天军工模块电源项目对外部环境的影响。我们定期进行干系人满意度调查，以了解各利益相关方对航天军工模块电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这种多层次、多角度的绩效评估方法，使得我们能够全面了解航天军工模块电源项目的运行状态，及时做出调整，确保航天军工模块电源项目在不断变化的环境中保持稳健前行。</w:t>
      </w:r>
    </w:p>
    <w:p>
      <w:pPr>
        <w:pStyle w:val="Heading2"/>
        <w:ind w:firstLine="560" w:firstLineChars="200"/>
        <w:rPr>
          <w:rFonts w:ascii="仿宋" w:eastAsia="仿宋" w:hAnsi="仿宋" w:cs="仿宋" w:hint="eastAsia"/>
          <w:sz w:val="28"/>
          <w:lang w:eastAsia="zh-CN"/>
        </w:rPr>
      </w:pPr>
      <w:bookmarkStart w:id="5" w:name="_Toc167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为了确保航天军工模块电源项目的有效管理和不断优化，我们采用了精心设计的绩效评估周期。这个周期旨在实现灵活、实时和全面的评估，以适应航天军工模块电源项目执行中的各种挑战。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天军工模块电源项目的不同需求，分为短期、中期和长期。短期评估关注每个迭代或工作周期，以及时发现和解决当前任务中的问题。中期评估涵盖几个迭代，深入了解整体航天军工模块电源项目的趋势和性能。长期评估则着眼于整个航天军工模块电源项目阶段，确保航天军工模块电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天军工模块电源项目管理工具和协作平台，团队成员能够随时更新和分享航天军工模块电源项目数据。这种实时性的反馈机制使我们能够及时察觉潜在问题，快速调整，保持航天军工模块电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天军工模块电源项目的决策制定密不可分。每个周期的航天军工模块电源项目回顾会议成为集体总结经验、识别问题深层次原因并找到创新解决方案的平台。这种定期的反思与调整机制使航天军工模块电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19"/>
      <w:r>
        <w:rPr>
          <w:rFonts w:ascii="仿宋" w:eastAsia="仿宋" w:hAnsi="仿宋" w:cs="仿宋" w:hint="eastAsia"/>
          <w:sz w:val="28"/>
          <w:lang w:eastAsia="zh-CN"/>
        </w:rPr>
        <w:t>二、航天军工模块电源项目建设单位说明</w:t>
      </w:r>
      <w:bookmarkEnd w:id="6"/>
    </w:p>
    <w:p>
      <w:pPr>
        <w:pStyle w:val="Heading2"/>
        <w:rPr>
          <w:rFonts w:ascii="仿宋" w:eastAsia="仿宋" w:hAnsi="仿宋" w:cs="仿宋" w:hint="eastAsia"/>
          <w:lang w:eastAsia="zh-CN"/>
        </w:rPr>
      </w:pPr>
      <w:bookmarkStart w:id="7" w:name="_Toc11031"/>
      <w:r>
        <w:rPr>
          <w:rFonts w:ascii="仿宋" w:eastAsia="仿宋" w:hAnsi="仿宋" w:cs="仿宋" w:hint="eastAsia"/>
          <w:lang w:eastAsia="zh-CN"/>
        </w:rPr>
        <w:t>(一)、航天军工模块电源项目承办单位基本情况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54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军工模块电源项目承办单位的XXXX，我们着眼于实现可持续的经济效益。通过技术创新和解决方案的提供，公司预计在航天军工模块电源项目执行期间将获得可观的收入增长。这一收入来源主要包括航天军工模块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同时，我们注重成本控制和效率提升，以确保航天军工模块电源项目的可持续盈利。透过精细的管理和资源优化，公司期望实现航天军工模块电源项目利润最大化。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军工模块电源项目实施进行全面的投资评估，包括航天军工模块电源项目启动阶段的资金投入和后续运营成本。通过对航天军工模块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天军工模块电源项目实施过程中具备足够的资金流动性，公司将进行详尽的现金流分析。这包括资金需求的合理预测、航天军工模块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3669"/>
      <w:r>
        <w:rPr>
          <w:rFonts w:ascii="仿宋" w:eastAsia="仿宋" w:hAnsi="仿宋" w:cs="仿宋" w:hint="eastAsia"/>
          <w:sz w:val="28"/>
          <w:lang w:eastAsia="zh-CN"/>
        </w:rPr>
        <w:t>三、航天军工模块电源项目危机管理</w:t>
      </w:r>
      <w:bookmarkEnd w:id="9"/>
    </w:p>
    <w:p>
      <w:pPr>
        <w:pStyle w:val="Heading2"/>
        <w:rPr>
          <w:rFonts w:ascii="仿宋" w:eastAsia="仿宋" w:hAnsi="仿宋" w:cs="仿宋" w:hint="eastAsia"/>
          <w:lang w:eastAsia="zh-CN"/>
        </w:rPr>
      </w:pPr>
      <w:bookmarkStart w:id="10" w:name="_Toc2382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军工模块电源项目危机管理中，危机预警与识别是确保航天军工模块电源项目稳健运行的核心步骤。通过建立全面的监测机制，航天军工模块电源项目团队旨在及时发现和理解潜在的风险和危机因素，以便采取及时的预防和应对措施，确保航天军工模块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天军工模块电源项目团队全面分析了整个航天军工模块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天军工模块电源项目团队着重于明确定义航天军工模块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天军工模块电源项目进展的持续监控，团队能够及时发现潜在问题并作出迅速反应。航天军工模块电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在这一阶段，团队的专业素养和反应速度将发挥至关重要的作用，以确保潜在危机能够在初期得到有效的处理，最大程度地减轻负面影响。通过危机预警与识别，航天军工模块电源项目得以更有序、可控地推进。</w:t>
      </w:r>
    </w:p>
    <w:p>
      <w:pPr>
        <w:pStyle w:val="Heading2"/>
        <w:ind w:firstLine="560" w:firstLineChars="200"/>
        <w:rPr>
          <w:rFonts w:ascii="仿宋" w:eastAsia="仿宋" w:hAnsi="仿宋" w:cs="仿宋" w:hint="eastAsia"/>
          <w:sz w:val="28"/>
          <w:lang w:eastAsia="zh-CN"/>
        </w:rPr>
      </w:pPr>
      <w:bookmarkStart w:id="11" w:name="_Toc2529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在危机发生时，航天军工模块电源项目团队立即行动，成立了应急小组。该小组的任务是迅速制定并实施紧急应对措施，以最小化潜在损失。以下是采取的主要措施：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暂停航天军工模块电源项目进度：为遏制危机蔓延，航天军工模块电源项目暂时停止进行，以便全面评估当前状况。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资源重新分配：重新评估航天军工模块电源项目资源的分配，确保最大限度地减小损失。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实时沟通：与关键利益相关者建立实时沟通机制，向他们传递航天军工模块电源项目危机的实际状况，保障航天军工模块电源项目核心利益。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在紧急应对的同时，航天军工模块电源项目团队强调了团队协作和有效沟通的重要性。以下是团队协作的关键举措：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信息共享机制：建立了信息共享平台，确保团队成员能够及时获取航天军工模块电源项目危机的实时信息。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领导者沟通：航天军工模块电源项目领导者通过定期会议和即时沟通工具，指导团队应对危机，保持团队稳定运行。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随着危机得到初步控制，航天军工模块电源项目团队转向制定恢复计划，以确保航天军工模块电源项目能够从中迅速恢复。主要恢复计划包括：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修复受损的进度计划：重新评估航天军工模块电源项目进度，制定修复计划，确保航天军工模块电源项目尽快回归正常进程。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重新调整资源分配：优化资源分配，确保航天军工模块电源项目在有限资源下高效运转。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风险管理机制加强：对航天军工模块电源项目风险进行全面评估，制定更强化的风险管理策略，以预防未来可能的危机。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7259"/>
      <w:r>
        <w:rPr>
          <w:rFonts w:ascii="仿宋" w:eastAsia="仿宋" w:hAnsi="仿宋" w:cs="仿宋" w:hint="eastAsia"/>
          <w:sz w:val="28"/>
          <w:lang w:eastAsia="zh-CN"/>
        </w:rPr>
        <w:t>四、航天军工模块电源项目选址可行性分析</w:t>
      </w:r>
      <w:bookmarkEnd w:id="12"/>
    </w:p>
    <w:p>
      <w:pPr>
        <w:pStyle w:val="Heading2"/>
        <w:rPr>
          <w:rFonts w:ascii="仿宋" w:eastAsia="仿宋" w:hAnsi="仿宋" w:cs="仿宋" w:hint="eastAsia"/>
          <w:lang w:eastAsia="zh-CN"/>
        </w:rPr>
      </w:pPr>
      <w:bookmarkStart w:id="13" w:name="_Toc10990"/>
      <w:r>
        <w:rPr>
          <w:rFonts w:ascii="仿宋" w:eastAsia="仿宋" w:hAnsi="仿宋" w:cs="仿宋" w:hint="eastAsia"/>
          <w:lang w:eastAsia="zh-CN"/>
        </w:rPr>
        <w:t>(一)、航天军工模块电源项目选址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该航天军工模块电源项目选址位于XX省XX市XX区XXX街道</w:t>
      </w:r>
    </w:p>
    <w:p>
      <w:pPr>
        <w:pStyle w:val="Heading2"/>
        <w:ind w:firstLine="560" w:firstLineChars="200"/>
        <w:rPr>
          <w:rFonts w:ascii="仿宋" w:eastAsia="仿宋" w:hAnsi="仿宋" w:cs="仿宋" w:hint="eastAsia"/>
          <w:sz w:val="28"/>
          <w:lang w:eastAsia="zh-CN"/>
        </w:rPr>
      </w:pPr>
      <w:bookmarkStart w:id="14" w:name="_Toc1497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军工模块电源项目的征地面积将根据航天军工模块电源项目的实际规模和需求进行精确规划。具体面积XXX平方米，旨在确保航天军工模块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净用地面积是在征地面积基础上去除不可利用面积后的实际可开发用地。具体面积XXX平方米，考虑到环保、交通、安全等多方面因素，以确保航天军工模块电源项目在整体利用效率上达到最优。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航天军工模块电源项目计划建设的建筑总规模具体面积XXX平方米。这一规模的确定综合考虑了航天军工模块电源项目的性质、规模，以及城市规划的相关要求，确保建筑布局与周边环境协调一致。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绿地率是航天军工模块电源项目用地中被规划为绿地的比例。具体面积XXX平方米，旨在通过合理规划绿地，改善航天军工模块电源项目周边环境，提升居民生活质量，并符合城市整体绿化规划。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容积率是用地上可以建设的建筑总体积与用地面积之比。具体面积XXX，通过合理的容积率规划，确保航天军工模块电源项目建筑规模与周边环境和谐共生。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航天军工模块电源项目选址与当地城市规划相一致，具体面积XXX平方米。通过与城市规划部门深入沟通，确保航天军工模块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天军工模块电源项目选址符合当地产业政策，具体面积XXX平方米。这包括航天军工模块电源项目对当地经济的促进作用，以及对相关产业的带动效应，确保航天军工模块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用地总体要求必须符合环保和可持续发展的原则，具体面积XXX平方米。通过采用绿色建筑设计、节能减排等措施，确保航天军工模块电源项目在建设和运营过程中对环境的影响最小化，达到可持续发展的要求。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确保航天军工模块电源项目选址具备必要的公共设施配套，具体面积XXX平方米。这包括交通便利性、教育、医疗等基础设施，以提高居民生活品质，使得航天军工模块电源项目选址更具吸引力。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考虑用地总体要求对当地社会稳定性的影响，具体面积XXX平方米。通过深入了解当地社区反馈，确保航天军工模块电源项目的选址和建设过程对当地社会和谐稳定产生积极作用。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航天军工模块电源项目选址不仅符合法规和规划，还在实际操作中具有可行性。这一全面规划将为航天军工模块电源项目的成功实施提供坚实的基础，确保航天军工模块电源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26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军工模块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军工模块电源项目的设备规划和空间设计中，我们将采取灵活设备布局的措施。设备布局将根据实际需求进行灵活设计，避免不必要的浪费。通过合理规划设备摆放位置，我们将提高设备的利用率，减少设备间距，以确保航天军工模块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军工模块电源项目内部引入共享设施的概念，例如共享会议室、办公区等。通过这种方式，我们可以减少对资源的重复建设，提高资源共享效率，从而减小航天军工模块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4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天军工模块电源项目的总图布置中，我们将不同功能区域进行明确的规划，以最大程度满足航天军工模块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32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天军工模块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天军工模块电源项目对环境的影响是综合评价的重要因素之一。我们将详细考虑选址周边的自然环境、生态保护区、水源地等情况，确保航天军工模块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对选址的评价还需充分考虑当地政府的产业政策和法规。我们将详细了解航天军工模块电源项目所在地的相关政策，确保航天军工模块电源项目的规划和运营与当地法规相符，降低不必要的法律风险。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考虑到社会稳定性对企业运营的重要性，我们将评估选址地区的社会安全情况、劳工关系、社区反馈等方面，以确保航天军工模块电源项目的建设和运营不会受到社会稳定性的负面影响。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最后，我们将综合考虑用地成本，包括土地购置费用、土地开发成本等。通过对用地成本的详细评估，我们能够做出更为精确的经济效益分析，为航天军工模块电源项目的投资决策提供有力支持。</w:t>
      </w:r>
    </w:p>
    <w:p>
      <w:pPr>
        <w:pStyle w:val="Heading1"/>
        <w:ind w:firstLine="560" w:firstLineChars="200"/>
        <w:rPr>
          <w:rFonts w:ascii="仿宋" w:eastAsia="仿宋" w:hAnsi="仿宋" w:cs="仿宋" w:hint="eastAsia"/>
          <w:sz w:val="28"/>
          <w:lang w:eastAsia="zh-CN"/>
        </w:rPr>
      </w:pPr>
      <w:bookmarkStart w:id="18" w:name="_Toc23201"/>
      <w:r>
        <w:rPr>
          <w:rFonts w:ascii="仿宋" w:eastAsia="仿宋" w:hAnsi="仿宋" w:cs="仿宋" w:hint="eastAsia"/>
          <w:sz w:val="28"/>
          <w:lang w:eastAsia="zh-CN"/>
        </w:rPr>
        <w:t>五、航天军工模块电源项目文档管理</w:t>
      </w:r>
      <w:bookmarkEnd w:id="18"/>
    </w:p>
    <w:p>
      <w:pPr>
        <w:pStyle w:val="Heading2"/>
        <w:rPr>
          <w:rFonts w:ascii="仿宋" w:eastAsia="仿宋" w:hAnsi="仿宋" w:cs="仿宋" w:hint="eastAsia"/>
          <w:lang w:eastAsia="zh-CN"/>
        </w:rPr>
      </w:pPr>
      <w:bookmarkStart w:id="19" w:name="_Toc1907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航天军工模块电源项目高度重视文档的质量和准确性，以支持航天军工模块电源项目的各项活动和决策。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文档的编制始于航天军工模块电源项目计划的初期，我们制定了详细的文档编制计划，明确了每个文档的内容、格式和编写责任人。在航天军工模块电源项目启动阶段，我们首先编制了航天军工模块电源项目章程，明确定义了航天军工模块电源项目的目标、范围、风险等关键要素。随后，航天军工模块电源项目团队根据计划陆续编制了需求文档、设计文档、测试文档等各类文档，确保航天军工模块电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https://d.book118.com/657043164025006036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F0B17"/>
    <w:rsid w:val="6CFF0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043164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2024-01-31T03:21:00Z</dcterms:created>
  <dcterms:modified xsi:type="dcterms:W3CDTF">2024-01-31T03:21:42Z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5475CDD809584B47908EA12DC12E8B70_11</vt:lpwstr>
  </property>
  <property fmtid="{D5CDD505-2E9C-101B-9397-08002B2CF9AE}" pid="3" name="KSOProductBuildVer">
    <vt:lpwstr>2052-12.1.0.16250</vt:lpwstr>
  </property>
</Properties>
</file>