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核仪器设备行业相关公司设立可行性研究报告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(七)、核仪器设备项目建设必要性分析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_Toc25350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4" w:history="1">
        <w:r>
          <w:rPr>
            <w:rFonts w:ascii="仿宋" w:eastAsia="仿宋" w:hAnsi="仿宋" w:cs="仿宋" w:hint="eastAsia"/>
            <w:lang w:eastAsia="zh-CN"/>
          </w:rPr>
          <w:t>(一)、核仪器设备项目选址原则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(五)、核仪器设备项目选址综合评价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(五)、核仪器设备项目总投资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八、核仪器设备项目风险分析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(一)、核仪器设备项目风险分析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(二)、核仪器设备项目风险对策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九、核仪器设备项目经济效益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(三)、核仪器设备项目盈利能力分析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eastAsia="zh-CN"/>
          </w:rPr>
          <w:t>十二、核仪器设备项目总结分析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6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3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https://d.book118.com/657045146061006043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核仪器设备行业相关公司设立可行性研究报告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核仪器设备行业相关公司设立可行性研究报告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核仪器设备行业相关公司设立可行性研究报告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核仪器设备行业相关公司设立可行性研究报告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核仪器设备行业相关公司设立可行性研究报告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045146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2024-02-03T06:38:00Z</dcterms:created>
  <dcterms:modified xsi:type="dcterms:W3CDTF">2024-02-03T06:38:59Z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D2689283727241F1A7D0609800237151_11</vt:lpwstr>
  </property>
  <property fmtid="{D5CDD505-2E9C-101B-9397-08002B2CF9AE}" pid="3" name="KSOProductBuildVer">
    <vt:lpwstr>2052-12.1.0.16250</vt:lpwstr>
  </property>
</Properties>
</file>