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eastAsia="黑体" w:hAnsi="Times New Roman" w:cs="Times New Roman"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11620500</wp:posOffset>
            </wp:positionH>
            <wp:positionV relativeFrom="topMargin">
              <wp:posOffset>11785600</wp:posOffset>
            </wp:positionV>
            <wp:extent cx="431800" cy="279400"/>
            <wp:effectExtent l="0" t="0" r="0" b="0"/>
            <wp:wrapNone/>
            <wp:docPr id="100074" name="图片 100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4" name="图片 1000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t>【同步实验课】</w:t>
      </w:r>
      <w:r>
        <w:rPr>
          <w:rFonts w:ascii="Times New Roman" w:eastAsia="黑体" w:hAnsi="Times New Roman" w:cs="Times New Roman"/>
          <w:bCs/>
          <w:color w:val="000000" w:themeColor="text1"/>
          <w:sz w:val="36"/>
          <w:szCs w:val="36"/>
        </w:rPr>
        <w:t>探究分子运动现象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o:spid="_x0000_i1025" type="#_x0000_t202" style="width:492pt;height:71.25pt" coordsize="21600,21600">
            <v:stroke joinstyle="round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  <w:t>01实验梳理         02实验点拨            03典例分析</w:t>
                  </w:r>
                </w:p>
                <w:p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  <w:t>04对点训练         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527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【实验目的】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1．认识分子在不停地运动。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．</w:t>
            </w:r>
            <w:r>
              <w:rPr>
                <w:rFonts w:ascii="Times New Roman" w:hAnsi="Times New Roman" w:cs="Times New Roman"/>
              </w:rPr>
              <w:t>知道酚酞遇碱性溶液（氨水）会变红。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【实验仪器】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烧杯、玻璃棒、试管、胶头滴管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【实验试剂】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蒸馏水、酚酞溶液、浓氨水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6"/>
        </w:trPr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【实验步骤】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7" w:type="dxa"/>
            <w:vAlign w:val="center"/>
          </w:tcPr>
          <w:tbl>
            <w:tblPr>
              <w:tblStyle w:val="TableGrid"/>
              <w:tblpPr w:leftFromText="180" w:rightFromText="180" w:vertAnchor="text" w:horzAnchor="page" w:tblpX="141" w:tblpY="119"/>
              <w:tblOverlap w:val="never"/>
              <w:tblW w:w="0" w:type="auto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96"/>
              <w:gridCol w:w="3600"/>
              <w:gridCol w:w="1874"/>
            </w:tblGrid>
            <w:tr>
              <w:tblPrEx>
                <w:tblW w:w="0" w:type="auto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eastAsia="宋体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szCs w:val="21"/>
                    </w:rPr>
                    <w:t>操作步骤</w:t>
                  </w:r>
                </w:p>
              </w:tc>
              <w:tc>
                <w:tcPr>
                  <w:tcW w:w="3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eastAsia="宋体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szCs w:val="21"/>
                    </w:rPr>
                    <w:t>实验图示</w:t>
                  </w:r>
                </w:p>
              </w:tc>
              <w:tc>
                <w:tcPr>
                  <w:tcW w:w="18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eastAsia="宋体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szCs w:val="21"/>
                    </w:rPr>
                    <w:t>实验现象</w:t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rPr>
                      <w:rFonts w:ascii="Times New Roman" w:eastAsia="宋体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szCs w:val="21"/>
                    </w:rPr>
                    <w:t>（1）向盛有约20 mL蒸馏水的小烧杯A中加入5~6滴酚酞溶液，搅拌均匀，观察溶液的颜色。</w:t>
                  </w:r>
                </w:p>
              </w:tc>
              <w:tc>
                <w:tcPr>
                  <w:tcW w:w="3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>
                  <w:pPr>
                    <w:spacing w:line="360" w:lineRule="auto"/>
                    <w:jc w:val="center"/>
                    <w:rPr>
                      <w:rFonts w:ascii="Times New Roman" w:eastAsia="宋体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szCs w:val="21"/>
                    </w:rPr>
                    <w:drawing>
                      <wp:inline distT="0" distB="0" distL="114300" distR="114300">
                        <wp:extent cx="1381125" cy="1257300"/>
                        <wp:effectExtent l="0" t="0" r="9525" b="0"/>
                        <wp:docPr id="10" name="图片 5" descr="IMG_2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图片 5" descr="IMG_25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81125" cy="1257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rPr>
                      <w:rFonts w:ascii="Times New Roman" w:eastAsia="宋体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szCs w:val="21"/>
                    </w:rPr>
                    <w:t>溶液呈</w:t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rPr>
                      <w:rFonts w:ascii="Times New Roman" w:eastAsia="宋体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szCs w:val="21"/>
                    </w:rPr>
                    <w:t>（2）从烧杯A中取少量溶液于试管中，向其中慢慢滴加浓氨水，观察溶液颜色的变化。</w:t>
                  </w:r>
                </w:p>
              </w:tc>
              <w:tc>
                <w:tcPr>
                  <w:tcW w:w="3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>
                  <w:pPr>
                    <w:spacing w:line="360" w:lineRule="auto"/>
                    <w:jc w:val="center"/>
                    <w:rPr>
                      <w:rFonts w:ascii="Times New Roman" w:eastAsia="宋体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szCs w:val="21"/>
                    </w:rPr>
                    <w:drawing>
                      <wp:inline distT="0" distB="0" distL="114300" distR="114300">
                        <wp:extent cx="1304925" cy="1285875"/>
                        <wp:effectExtent l="0" t="0" r="9525" b="9525"/>
                        <wp:docPr id="12" name="图片 6" descr="IMG_2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图片 6" descr="IMG_25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04925" cy="1285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rPr>
                      <w:rFonts w:ascii="Times New Roman" w:eastAsia="宋体" w:hAnsi="Times New Roman" w:cs="Times New Roman"/>
                      <w:szCs w:val="21"/>
                      <w:u w:val="single"/>
                    </w:rPr>
                  </w:pPr>
                  <w:r>
                    <w:rPr>
                      <w:rFonts w:ascii="Times New Roman" w:eastAsia="宋体" w:hAnsi="Times New Roman" w:cs="Times New Roman"/>
                      <w:szCs w:val="21"/>
                    </w:rPr>
                    <w:t>溶液</w:t>
                  </w:r>
                </w:p>
                <w:p>
                  <w:pPr>
                    <w:spacing w:line="360" w:lineRule="auto"/>
                    <w:jc w:val="center"/>
                    <w:rPr>
                      <w:rFonts w:ascii="Times New Roman" w:eastAsia="宋体" w:hAnsi="Times New Roman" w:cs="Times New Roman"/>
                      <w:szCs w:val="21"/>
                    </w:rPr>
                  </w:pP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rPr>
                      <w:rFonts w:ascii="Times New Roman" w:eastAsia="宋体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szCs w:val="21"/>
                    </w:rPr>
                    <w:t>（3）另取一个小烧杯B，加入约5 mL浓氨水。用一个大烧杯或水槽罩住A、B两个小烧杯。</w:t>
                  </w:r>
                </w:p>
              </w:tc>
              <w:tc>
                <w:tcPr>
                  <w:tcW w:w="3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>
                  <w:pPr>
                    <w:spacing w:line="360" w:lineRule="auto"/>
                    <w:jc w:val="center"/>
                    <w:rPr>
                      <w:rFonts w:ascii="Times New Roman" w:eastAsia="宋体" w:hAnsi="Times New Roman" w:cs="Times New Roman"/>
                      <w:szCs w:val="21"/>
                    </w:rPr>
                  </w:pPr>
                </w:p>
              </w:tc>
              <w:tc>
                <w:tcPr>
                  <w:tcW w:w="18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>
                  <w:pPr>
                    <w:wordWrap w:val="0"/>
                    <w:spacing w:line="360" w:lineRule="auto"/>
                    <w:rPr>
                      <w:rFonts w:ascii="Times New Roman" w:eastAsia="宋体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szCs w:val="21"/>
                    </w:rPr>
                    <w:t>烧杯A溶液，烧杯B溶液</w:t>
                  </w:r>
                </w:p>
              </w:tc>
            </w:tr>
          </w:tbl>
          <w:p/>
        </w:tc>
      </w:tr>
    </w:tbl>
    <w:p>
      <w:pPr>
        <w:sectPr>
          <w:pgSz w:w="11906" w:h="16838"/>
          <w:pgMar w:top="1134" w:right="1701" w:bottom="1134" w:left="1701" w:header="708" w:footer="708" w:gutter="0"/>
          <w:cols w:num="1" w:space="708"/>
          <w:docGrid w:linePitch="286" w:charSpace="0"/>
        </w:sectPr>
      </w:pPr>
    </w:p>
    <w:tbl>
      <w:tblPr>
        <w:tblStyle w:val="TableGrid0"/>
        <w:tblW w:w="0" w:type="auto"/>
        <w:tblInd w:w="0" w:type="dxa"/>
        <w:tblBorders>
          <w:top w:val="single" w:sz="12" w:space="0" w:color="366091"/>
          <w:left w:val="single" w:sz="12" w:space="0" w:color="366091"/>
          <w:bottom w:val="single" w:sz="12" w:space="0" w:color="366091"/>
          <w:right w:val="single" w:sz="12" w:space="0" w:color="366091"/>
          <w:insideH w:val="single" w:sz="8" w:space="0" w:color="366091"/>
          <w:insideV w:val="single" w:sz="8" w:space="0" w:color="366091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527"/>
      </w:tblGrid>
      <w:tr>
        <w:tblPrEx>
          <w:tblW w:w="0" w:type="auto"/>
          <w:tblInd w:w="0" w:type="dxa"/>
          <w:tblBorders>
            <w:top w:val="single" w:sz="12" w:space="0" w:color="366091"/>
            <w:left w:val="single" w:sz="12" w:space="0" w:color="366091"/>
            <w:bottom w:val="single" w:sz="12" w:space="0" w:color="366091"/>
            <w:right w:val="single" w:sz="12" w:space="0" w:color="366091"/>
            <w:insideH w:val="single" w:sz="8" w:space="0" w:color="366091"/>
            <w:insideV w:val="single" w:sz="8" w:space="0" w:color="366091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6"/>
        </w:trPr>
        <w:tc>
          <w:tcPr>
            <w:tcW w:w="1441" w:type="dxa"/>
            <w:vAlign w:val="center"/>
          </w:tcPr>
          <w:p/>
        </w:tc>
        <w:tc>
          <w:tcPr>
            <w:tcW w:w="8527" w:type="dxa"/>
            <w:vAlign w:val="center"/>
          </w:tcPr>
          <w:tbl>
            <w:tblPr>
              <w:tblStyle w:val="TableGrid0"/>
              <w:tblpPr w:leftFromText="180" w:rightFromText="180" w:vertAnchor="text" w:horzAnchor="page" w:tblpX="141" w:tblpY="119"/>
              <w:tblOverlap w:val="never"/>
              <w:tblW w:w="0" w:type="auto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96"/>
              <w:gridCol w:w="3600"/>
              <w:gridCol w:w="1874"/>
            </w:tblGrid>
            <w:tr>
              <w:tblPrEx>
                <w:tblW w:w="0" w:type="auto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/>
              </w:tc>
              <w:tc>
                <w:tcPr>
                  <w:tcW w:w="3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>
                  <w:pPr>
                    <w:spacing w:line="360" w:lineRule="auto"/>
                    <w:jc w:val="center"/>
                    <w:rPr>
                      <w:rFonts w:ascii="Times New Roman" w:eastAsia="宋体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szCs w:val="21"/>
                    </w:rPr>
                    <w:drawing>
                      <wp:inline distT="0" distB="0" distL="114300" distR="114300">
                        <wp:extent cx="1981200" cy="809625"/>
                        <wp:effectExtent l="0" t="0" r="0" b="9525"/>
                        <wp:docPr id="14" name="图片 7" descr="IMG_2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图片 7" descr="IMG_25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8120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/>
              </w:tc>
            </w:tr>
          </w:tbl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【实验分析】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水使酚酞变色，氨水使酚酞变红，浓氨水具有性，浓氨水挥发出的氨分子运动到烧杯A中，与水结合生成氨水，氨水使酚酞</w:t>
            </w: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jc w:val="left"/>
        <w:rPr>
          <w:rFonts w:ascii="Times New Roman" w:eastAsia="宋体" w:hAnsi="Times New Roman" w:cs="Times New Roman"/>
          <w:b/>
          <w:color w:val="366091"/>
          <w:szCs w:val="21"/>
        </w:rPr>
      </w:pPr>
      <w:r>
        <w:rPr>
          <w:rFonts w:ascii="Times New Roman" w:eastAsia="宋体" w:hAnsi="Times New Roman" w:cs="Times New Roman"/>
          <w:b/>
          <w:color w:val="366091"/>
          <w:szCs w:val="21"/>
          <w:highlight w:val="yellow"/>
        </w:rPr>
        <w:t>1. 实验评价</w:t>
      </w:r>
    </w:p>
    <w:p>
      <w:pPr>
        <w:autoSpaceDE w:val="0"/>
        <w:adjustRightIn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（1）</w:t>
      </w:r>
      <w:r>
        <w:rPr>
          <w:rFonts w:ascii="Times New Roman" w:eastAsia="宋体" w:hAnsi="Times New Roman" w:cs="Times New Roman" w:hint="eastAsia"/>
          <w:kern w:val="0"/>
          <w:szCs w:val="21"/>
        </w:rPr>
        <w:t>装置比较开放而浓氨水易挥发，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会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。</w:t>
      </w:r>
    </w:p>
    <w:p>
      <w:pPr>
        <w:autoSpaceDE w:val="0"/>
        <w:adjustRightIn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（2）药品</w:t>
      </w:r>
      <w:r>
        <w:rPr>
          <w:rFonts w:ascii="Times New Roman" w:eastAsia="宋体" w:hAnsi="Times New Roman" w:cs="Times New Roman" w:hint="eastAsia"/>
          <w:kern w:val="0"/>
          <w:szCs w:val="21"/>
        </w:rPr>
        <w:t>用量</w:t>
      </w:r>
      <w:r>
        <w:rPr>
          <w:rFonts w:ascii="Times New Roman" w:eastAsia="宋体" w:hAnsi="Times New Roman" w:cs="Times New Roman"/>
          <w:kern w:val="0"/>
          <w:szCs w:val="21"/>
        </w:rPr>
        <w:t>较大</w:t>
      </w:r>
      <w:r>
        <w:rPr>
          <w:rFonts w:ascii="Times New Roman" w:eastAsia="宋体" w:hAnsi="Times New Roman" w:cs="Times New Roman" w:hint="eastAsia"/>
          <w:kern w:val="0"/>
          <w:szCs w:val="21"/>
        </w:rPr>
        <w:t>造成浪费，且仪器数量较多，步骤繁琐</w:t>
      </w:r>
      <w:r>
        <w:rPr>
          <w:rFonts w:ascii="Times New Roman" w:eastAsia="宋体" w:hAnsi="Times New Roman" w:cs="Times New Roman"/>
          <w:kern w:val="0"/>
          <w:szCs w:val="21"/>
        </w:rPr>
        <w:t>。</w:t>
      </w:r>
    </w:p>
    <w:p>
      <w:pPr>
        <w:autoSpaceDE w:val="0"/>
        <w:adjustRightIn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（3）实验</w:t>
      </w:r>
      <w:r>
        <w:rPr>
          <w:rFonts w:ascii="Times New Roman" w:eastAsia="宋体" w:hAnsi="Times New Roman" w:cs="Times New Roman" w:hint="eastAsia"/>
          <w:kern w:val="0"/>
          <w:szCs w:val="21"/>
        </w:rPr>
        <w:t>耗时</w:t>
      </w:r>
      <w:r>
        <w:rPr>
          <w:rFonts w:ascii="Times New Roman" w:eastAsia="宋体" w:hAnsi="Times New Roman" w:cs="Times New Roman"/>
          <w:kern w:val="0"/>
          <w:szCs w:val="21"/>
        </w:rPr>
        <w:t>偏长，约需要4～5分钟才能观察到明显现象。</w:t>
      </w:r>
      <w:r>
        <w:rPr>
          <w:rFonts w:ascii="Times New Roman" w:eastAsia="宋体" w:hAnsi="Times New Roman" w:cs="Times New Roman" w:hint="eastAsia"/>
          <w:kern w:val="0"/>
          <w:szCs w:val="21"/>
        </w:rPr>
        <w:t>不利于学生随堂实验或分组实验</w:t>
      </w:r>
      <w:r>
        <w:rPr>
          <w:rFonts w:ascii="Times New Roman" w:eastAsia="宋体" w:hAnsi="Times New Roman" w:cs="Times New Roman"/>
          <w:kern w:val="0"/>
          <w:szCs w:val="21"/>
        </w:rPr>
        <w:t>。</w:t>
      </w:r>
    </w:p>
    <w:p>
      <w:pPr>
        <w:spacing w:line="360" w:lineRule="auto"/>
        <w:contextualSpacing/>
        <w:jc w:val="left"/>
        <w:rPr>
          <w:rFonts w:ascii="Times New Roman" w:eastAsia="宋体" w:hAnsi="Times New Roman" w:cs="Times New Roman"/>
          <w:b/>
          <w:color w:val="366091"/>
          <w:szCs w:val="21"/>
        </w:rPr>
      </w:pPr>
      <w:r>
        <w:rPr>
          <w:rFonts w:ascii="Times New Roman" w:eastAsia="宋体" w:hAnsi="Times New Roman" w:cs="Times New Roman"/>
          <w:b/>
          <w:color w:val="366091"/>
          <w:szCs w:val="21"/>
          <w:highlight w:val="yellow"/>
        </w:rPr>
        <w:t>2. 实验改进</w:t>
      </w:r>
    </w:p>
    <w:p>
      <w:pPr>
        <w:spacing w:after="240" w:line="360" w:lineRule="auto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kern w:val="0"/>
          <w:szCs w:val="21"/>
        </w:rPr>
        <w:t>（1）改进装置：</w:t>
      </w:r>
    </w:p>
    <w:p>
      <w:pPr>
        <w:spacing w:after="240" w:line="360" w:lineRule="auto"/>
        <w:jc w:val="left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drawing>
          <wp:inline distT="0" distB="0" distL="114300" distR="114300">
            <wp:extent cx="1332230" cy="913130"/>
            <wp:effectExtent l="0" t="0" r="1270" b="1270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2230" cy="91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bCs/>
          <w:color w:val="000000" w:themeColor="text1"/>
          <w:szCs w:val="21"/>
        </w:rPr>
        <w:drawing>
          <wp:inline distT="0" distB="0" distL="114300" distR="114300">
            <wp:extent cx="1007745" cy="1136015"/>
            <wp:effectExtent l="0" t="0" r="1905" b="6985"/>
            <wp:docPr id="15" name="图片 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07745" cy="113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drawing>
          <wp:inline distT="0" distB="0" distL="114300" distR="114300">
            <wp:extent cx="1080135" cy="1103630"/>
            <wp:effectExtent l="0" t="0" r="5715" b="1270"/>
            <wp:docPr id="6" name="图片 2" descr="db48e8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db48e8a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rcRect r="69441" b="12866"/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</w:rPr>
        <w:br/>
      </w:r>
      <w:r>
        <w:rPr>
          <w:rFonts w:ascii="Times New Roman" w:hAnsi="Times New Roman" w:cs="Times New Roman"/>
          <w:color w:val="000000" w:themeColor="text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https://d.book118.com/657100031021006044</w:t>
        </w:r>
      </w:hyperlink>
    </w:p>
    <w:p>
      <w:pPr>
        <w:spacing w:after="240" w:line="360" w:lineRule="auto"/>
        <w:jc w:val="left"/>
        <w:rPr>
          <w:rFonts w:ascii="Times New Roman" w:hAnsi="Times New Roman" w:cs="Times New Roman"/>
          <w:color w:val="000000" w:themeColor="text1"/>
        </w:rPr>
      </w:pPr>
    </w:p>
    <w:sectPr>
      <w:type w:val="nextPage"/>
      <w:pgSz w:w="11906" w:h="16838"/>
      <w:pgMar w:top="1134" w:right="1701" w:bottom="1134" w:left="1701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87C532C"/>
    <w:multiLevelType w:val="singleLevel"/>
    <w:tmpl w:val="987C532C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4851"/>
    <w:rsid w:val="00072476"/>
    <w:rsid w:val="000A2AA0"/>
    <w:rsid w:val="00133502"/>
    <w:rsid w:val="00172A27"/>
    <w:rsid w:val="00247604"/>
    <w:rsid w:val="002A080C"/>
    <w:rsid w:val="002D5128"/>
    <w:rsid w:val="002E21F1"/>
    <w:rsid w:val="003C7BC3"/>
    <w:rsid w:val="004151FC"/>
    <w:rsid w:val="0042207C"/>
    <w:rsid w:val="004702B8"/>
    <w:rsid w:val="004919CE"/>
    <w:rsid w:val="004D62D4"/>
    <w:rsid w:val="004E7CF9"/>
    <w:rsid w:val="004F3D78"/>
    <w:rsid w:val="00517CC2"/>
    <w:rsid w:val="00606FF3"/>
    <w:rsid w:val="0065351F"/>
    <w:rsid w:val="007226B5"/>
    <w:rsid w:val="0072623F"/>
    <w:rsid w:val="007334A1"/>
    <w:rsid w:val="007809F8"/>
    <w:rsid w:val="007A6640"/>
    <w:rsid w:val="007F7B75"/>
    <w:rsid w:val="00845ACD"/>
    <w:rsid w:val="008A3A64"/>
    <w:rsid w:val="009A5857"/>
    <w:rsid w:val="009E289E"/>
    <w:rsid w:val="00A208AE"/>
    <w:rsid w:val="00A22537"/>
    <w:rsid w:val="00AE1179"/>
    <w:rsid w:val="00B27CBA"/>
    <w:rsid w:val="00B51E04"/>
    <w:rsid w:val="00B53775"/>
    <w:rsid w:val="00BD72B3"/>
    <w:rsid w:val="00C02FC6"/>
    <w:rsid w:val="00C42AD4"/>
    <w:rsid w:val="00C97C79"/>
    <w:rsid w:val="00CB4DAF"/>
    <w:rsid w:val="00D032FB"/>
    <w:rsid w:val="00E0444A"/>
    <w:rsid w:val="00E12032"/>
    <w:rsid w:val="00E66EC4"/>
    <w:rsid w:val="00E92994"/>
    <w:rsid w:val="00F01406"/>
    <w:rsid w:val="00F86E86"/>
    <w:rsid w:val="00FA0819"/>
    <w:rsid w:val="019851CD"/>
    <w:rsid w:val="01A241A4"/>
    <w:rsid w:val="042375CC"/>
    <w:rsid w:val="04FE4606"/>
    <w:rsid w:val="09DD3423"/>
    <w:rsid w:val="0AB172A8"/>
    <w:rsid w:val="0B275F39"/>
    <w:rsid w:val="0BEC6048"/>
    <w:rsid w:val="0D1224D6"/>
    <w:rsid w:val="0DAD4E1B"/>
    <w:rsid w:val="0DB21F97"/>
    <w:rsid w:val="0E1327A4"/>
    <w:rsid w:val="0E8F62CF"/>
    <w:rsid w:val="0F721AEA"/>
    <w:rsid w:val="108856CC"/>
    <w:rsid w:val="1251771B"/>
    <w:rsid w:val="130848A2"/>
    <w:rsid w:val="1415616C"/>
    <w:rsid w:val="146A31F5"/>
    <w:rsid w:val="16041350"/>
    <w:rsid w:val="17116093"/>
    <w:rsid w:val="190E0B7B"/>
    <w:rsid w:val="1C491FAC"/>
    <w:rsid w:val="1DCD0BC2"/>
    <w:rsid w:val="1E1823CB"/>
    <w:rsid w:val="1E8E1648"/>
    <w:rsid w:val="1F225BA0"/>
    <w:rsid w:val="2147583C"/>
    <w:rsid w:val="21CD1190"/>
    <w:rsid w:val="23841D23"/>
    <w:rsid w:val="24BC54EC"/>
    <w:rsid w:val="26EF3957"/>
    <w:rsid w:val="27736336"/>
    <w:rsid w:val="29C25353"/>
    <w:rsid w:val="2A2C6C70"/>
    <w:rsid w:val="2A9160E4"/>
    <w:rsid w:val="2C3F0EDD"/>
    <w:rsid w:val="2EF67B34"/>
    <w:rsid w:val="3186135C"/>
    <w:rsid w:val="33957634"/>
    <w:rsid w:val="33E32D3B"/>
    <w:rsid w:val="353D3BE0"/>
    <w:rsid w:val="36413AA3"/>
    <w:rsid w:val="364517E5"/>
    <w:rsid w:val="36AE1B85"/>
    <w:rsid w:val="37E56DDC"/>
    <w:rsid w:val="38371DA9"/>
    <w:rsid w:val="394713D0"/>
    <w:rsid w:val="3C486CB6"/>
    <w:rsid w:val="3E7072B3"/>
    <w:rsid w:val="3EE0020D"/>
    <w:rsid w:val="41CF5EFF"/>
    <w:rsid w:val="42510572"/>
    <w:rsid w:val="42A5009C"/>
    <w:rsid w:val="43AD4526"/>
    <w:rsid w:val="43E53521"/>
    <w:rsid w:val="448C5AFF"/>
    <w:rsid w:val="463E4B82"/>
    <w:rsid w:val="465231D2"/>
    <w:rsid w:val="48483767"/>
    <w:rsid w:val="49507E2D"/>
    <w:rsid w:val="49A72280"/>
    <w:rsid w:val="4AE7241B"/>
    <w:rsid w:val="4B425E9C"/>
    <w:rsid w:val="4B9007FE"/>
    <w:rsid w:val="4BEE392E"/>
    <w:rsid w:val="4C242BBD"/>
    <w:rsid w:val="4E1458CD"/>
    <w:rsid w:val="4F883FE5"/>
    <w:rsid w:val="4FFC0D0F"/>
    <w:rsid w:val="51A76A58"/>
    <w:rsid w:val="51B81A48"/>
    <w:rsid w:val="5265190D"/>
    <w:rsid w:val="53E22182"/>
    <w:rsid w:val="545F31EA"/>
    <w:rsid w:val="5A82329A"/>
    <w:rsid w:val="5C381321"/>
    <w:rsid w:val="5CE96177"/>
    <w:rsid w:val="5DFD0977"/>
    <w:rsid w:val="5E55500A"/>
    <w:rsid w:val="5E8F4C02"/>
    <w:rsid w:val="5F187AD3"/>
    <w:rsid w:val="62EF7317"/>
    <w:rsid w:val="661765D8"/>
    <w:rsid w:val="6B625A72"/>
    <w:rsid w:val="6CA200F0"/>
    <w:rsid w:val="708244C1"/>
    <w:rsid w:val="72547AD7"/>
    <w:rsid w:val="72B76A57"/>
    <w:rsid w:val="73905A49"/>
    <w:rsid w:val="73A806E2"/>
    <w:rsid w:val="73D474DF"/>
    <w:rsid w:val="73EB4EAE"/>
    <w:rsid w:val="73F13E37"/>
    <w:rsid w:val="744077DC"/>
    <w:rsid w:val="777D5681"/>
    <w:rsid w:val="77E1777D"/>
    <w:rsid w:val="79336CA0"/>
    <w:rsid w:val="79E306C6"/>
    <w:rsid w:val="7A090757"/>
    <w:rsid w:val="7DCA7D98"/>
    <w:rsid w:val="7EE132AF"/>
  </w:rsids>
  <w:docVars>
    <w:docVar w:name="commondata" w:val="eyJoZGlkIjoiOGE5NzIyNzBmNjdmZmIzOTEzMWM5ZTA4NDI2OThhO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table" w:customStyle="1" w:styleId="TableGrid0">
    <w:name w:val="Table Grid_0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hyperlink" Target="https://d.book118.com/657100031021006044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1432</Words>
  <Characters>8166</Characters>
  <Application>Microsoft Office Word</Application>
  <DocSecurity>0</DocSecurity>
  <Lines>68</Lines>
  <Paragraphs>19</Paragraphs>
  <ScaleCrop>false</ScaleCrop>
  <Company/>
  <LinksUpToDate>false</LinksUpToDate>
  <CharactersWithSpaces>9579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2024-02-21T11:40:37Z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