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NOX、NO2自动采样器及测定仪项目计划设计方案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64" w:history="1">
        <w:r>
          <w:rPr>
            <w:rFonts w:ascii="仿宋" w:eastAsia="仿宋" w:hAnsi="仿宋" w:cs="仿宋" w:hint="eastAsia"/>
            <w:lang w:eastAsia="zh-CN"/>
          </w:rPr>
          <w:t>概论</w:t>
        </w:r>
        <w:r>
          <w:tab/>
        </w:r>
        <w:r>
          <w:fldChar w:fldCharType="begin"/>
        </w:r>
        <w:r>
          <w:instrText xml:space="preserve"> PAGEREF _Toc26064 \h </w:instrText>
        </w:r>
        <w:r>
          <w:fldChar w:fldCharType="separate"/>
        </w:r>
        <w:r>
          <w:t>3</w:t>
        </w:r>
        <w:r>
          <w:fldChar w:fldCharType="end"/>
        </w:r>
      </w:hyperlink>
    </w:p>
    <w:p>
      <w:pPr>
        <w:pStyle w:val="TOC1"/>
        <w:tabs>
          <w:tab w:val="right" w:leader="dot" w:pos="8306"/>
        </w:tabs>
      </w:pPr>
      <w:hyperlink w:anchor="_Toc11035" w:history="1">
        <w:r>
          <w:rPr>
            <w:rFonts w:ascii="仿宋" w:eastAsia="仿宋" w:hAnsi="仿宋" w:cs="仿宋" w:hint="eastAsia"/>
            <w:lang w:eastAsia="zh-CN"/>
          </w:rPr>
          <w:t>一、市场分析、调研</w:t>
        </w:r>
        <w:r>
          <w:tab/>
        </w:r>
        <w:r>
          <w:fldChar w:fldCharType="begin"/>
        </w:r>
        <w:r>
          <w:instrText xml:space="preserve"> PAGEREF _Toc11035 \h </w:instrText>
        </w:r>
        <w:r>
          <w:fldChar w:fldCharType="separate"/>
        </w:r>
        <w:r>
          <w:t>3</w:t>
        </w:r>
        <w:r>
          <w:fldChar w:fldCharType="end"/>
        </w:r>
      </w:hyperlink>
    </w:p>
    <w:p>
      <w:pPr>
        <w:pStyle w:val="TOC2"/>
        <w:tabs>
          <w:tab w:val="right" w:leader="dot" w:pos="8306"/>
        </w:tabs>
      </w:pPr>
      <w:hyperlink w:anchor="_Toc26277" w:history="1">
        <w:r>
          <w:rPr>
            <w:rFonts w:ascii="仿宋" w:eastAsia="仿宋" w:hAnsi="仿宋" w:cs="仿宋" w:hint="eastAsia"/>
            <w:lang w:eastAsia="zh-CN"/>
          </w:rPr>
          <w:t>(一)、NOX、NO2自动采样器及测定仪行业分析</w:t>
        </w:r>
        <w:r>
          <w:tab/>
        </w:r>
        <w:r>
          <w:fldChar w:fldCharType="begin"/>
        </w:r>
        <w:r>
          <w:instrText xml:space="preserve"> PAGEREF _Toc26277 \h </w:instrText>
        </w:r>
        <w:r>
          <w:fldChar w:fldCharType="separate"/>
        </w:r>
        <w:r>
          <w:t>3</w:t>
        </w:r>
        <w:r>
          <w:fldChar w:fldCharType="end"/>
        </w:r>
      </w:hyperlink>
    </w:p>
    <w:p>
      <w:pPr>
        <w:pStyle w:val="TOC2"/>
        <w:tabs>
          <w:tab w:val="right" w:leader="dot" w:pos="8306"/>
        </w:tabs>
      </w:pPr>
      <w:hyperlink w:anchor="_Toc16821" w:history="1">
        <w:r>
          <w:rPr>
            <w:rFonts w:ascii="仿宋" w:eastAsia="仿宋" w:hAnsi="仿宋" w:cs="仿宋" w:hint="eastAsia"/>
            <w:lang w:eastAsia="zh-CN"/>
          </w:rPr>
          <w:t>(二)、NOX、NO2自动采样器及测定仪市场分析预测</w:t>
        </w:r>
        <w:r>
          <w:tab/>
        </w:r>
        <w:r>
          <w:fldChar w:fldCharType="begin"/>
        </w:r>
        <w:r>
          <w:instrText xml:space="preserve"> PAGEREF _Toc16821 \h </w:instrText>
        </w:r>
        <w:r>
          <w:fldChar w:fldCharType="separate"/>
        </w:r>
        <w:r>
          <w:t>4</w:t>
        </w:r>
        <w:r>
          <w:fldChar w:fldCharType="end"/>
        </w:r>
      </w:hyperlink>
    </w:p>
    <w:p>
      <w:pPr>
        <w:pStyle w:val="TOC1"/>
        <w:tabs>
          <w:tab w:val="right" w:leader="dot" w:pos="8306"/>
        </w:tabs>
      </w:pPr>
      <w:hyperlink w:anchor="_Toc14250" w:history="1">
        <w:r>
          <w:rPr>
            <w:rFonts w:ascii="仿宋" w:eastAsia="仿宋" w:hAnsi="仿宋" w:cs="仿宋" w:hint="eastAsia"/>
            <w:lang w:eastAsia="zh-CN"/>
          </w:rPr>
          <w:t>二、工艺说明</w:t>
        </w:r>
        <w:r>
          <w:tab/>
        </w:r>
        <w:r>
          <w:fldChar w:fldCharType="begin"/>
        </w:r>
        <w:r>
          <w:instrText xml:space="preserve"> PAGEREF _Toc14250 \h </w:instrText>
        </w:r>
        <w:r>
          <w:fldChar w:fldCharType="separate"/>
        </w:r>
        <w:r>
          <w:t>5</w:t>
        </w:r>
        <w:r>
          <w:fldChar w:fldCharType="end"/>
        </w:r>
      </w:hyperlink>
    </w:p>
    <w:p>
      <w:pPr>
        <w:pStyle w:val="TOC2"/>
        <w:tabs>
          <w:tab w:val="right" w:leader="dot" w:pos="8306"/>
        </w:tabs>
      </w:pPr>
      <w:hyperlink w:anchor="_Toc28619" w:history="1">
        <w:r>
          <w:rPr>
            <w:rFonts w:ascii="仿宋" w:eastAsia="仿宋" w:hAnsi="仿宋" w:cs="仿宋" w:hint="eastAsia"/>
            <w:lang w:eastAsia="zh-CN"/>
          </w:rPr>
          <w:t>(一)、技术管理特点</w:t>
        </w:r>
        <w:r>
          <w:tab/>
        </w:r>
        <w:r>
          <w:fldChar w:fldCharType="begin"/>
        </w:r>
        <w:r>
          <w:instrText xml:space="preserve"> PAGEREF _Toc28619 \h </w:instrText>
        </w:r>
        <w:r>
          <w:fldChar w:fldCharType="separate"/>
        </w:r>
        <w:r>
          <w:t>5</w:t>
        </w:r>
        <w:r>
          <w:fldChar w:fldCharType="end"/>
        </w:r>
      </w:hyperlink>
    </w:p>
    <w:p>
      <w:pPr>
        <w:pStyle w:val="TOC2"/>
        <w:tabs>
          <w:tab w:val="right" w:leader="dot" w:pos="8306"/>
        </w:tabs>
      </w:pPr>
      <w:hyperlink w:anchor="_Toc11031" w:history="1">
        <w:r>
          <w:rPr>
            <w:rFonts w:ascii="仿宋" w:eastAsia="仿宋" w:hAnsi="仿宋" w:cs="仿宋" w:hint="eastAsia"/>
            <w:lang w:eastAsia="zh-CN"/>
          </w:rPr>
          <w:t>(二)、NOX、NO2自动采样器及测定仪项目工艺技术设计方案</w:t>
        </w:r>
        <w:r>
          <w:tab/>
        </w:r>
        <w:r>
          <w:fldChar w:fldCharType="begin"/>
        </w:r>
        <w:r>
          <w:instrText xml:space="preserve"> PAGEREF _Toc11031 \h </w:instrText>
        </w:r>
        <w:r>
          <w:fldChar w:fldCharType="separate"/>
        </w:r>
        <w:r>
          <w:t>6</w:t>
        </w:r>
        <w:r>
          <w:fldChar w:fldCharType="end"/>
        </w:r>
      </w:hyperlink>
    </w:p>
    <w:p>
      <w:pPr>
        <w:pStyle w:val="TOC2"/>
        <w:tabs>
          <w:tab w:val="right" w:leader="dot" w:pos="8306"/>
        </w:tabs>
      </w:pPr>
      <w:hyperlink w:anchor="_Toc31002" w:history="1">
        <w:r>
          <w:rPr>
            <w:rFonts w:ascii="仿宋" w:eastAsia="仿宋" w:hAnsi="仿宋" w:cs="仿宋" w:hint="eastAsia"/>
            <w:lang w:eastAsia="zh-CN"/>
          </w:rPr>
          <w:t>(三)、设备选型方案</w:t>
        </w:r>
        <w:r>
          <w:tab/>
        </w:r>
        <w:r>
          <w:fldChar w:fldCharType="begin"/>
        </w:r>
        <w:r>
          <w:instrText xml:space="preserve"> PAGEREF _Toc31002 \h </w:instrText>
        </w:r>
        <w:r>
          <w:fldChar w:fldCharType="separate"/>
        </w:r>
        <w:r>
          <w:t>8</w:t>
        </w:r>
        <w:r>
          <w:fldChar w:fldCharType="end"/>
        </w:r>
      </w:hyperlink>
    </w:p>
    <w:p>
      <w:pPr>
        <w:pStyle w:val="TOC1"/>
        <w:tabs>
          <w:tab w:val="right" w:leader="dot" w:pos="8306"/>
        </w:tabs>
      </w:pPr>
      <w:hyperlink w:anchor="_Toc20111" w:history="1">
        <w:r>
          <w:rPr>
            <w:rFonts w:ascii="仿宋" w:eastAsia="仿宋" w:hAnsi="仿宋" w:cs="仿宋" w:hint="eastAsia"/>
            <w:lang w:eastAsia="zh-CN"/>
          </w:rPr>
          <w:t>三、NOX、NO2自动采样器及测定仪项目建设单位说明</w:t>
        </w:r>
        <w:r>
          <w:tab/>
        </w:r>
        <w:r>
          <w:fldChar w:fldCharType="begin"/>
        </w:r>
        <w:r>
          <w:instrText xml:space="preserve"> PAGEREF _Toc20111 \h </w:instrText>
        </w:r>
        <w:r>
          <w:fldChar w:fldCharType="separate"/>
        </w:r>
        <w:r>
          <w:t>9</w:t>
        </w:r>
        <w:r>
          <w:fldChar w:fldCharType="end"/>
        </w:r>
      </w:hyperlink>
    </w:p>
    <w:p>
      <w:pPr>
        <w:pStyle w:val="TOC2"/>
        <w:tabs>
          <w:tab w:val="right" w:leader="dot" w:pos="8306"/>
        </w:tabs>
      </w:pPr>
      <w:hyperlink w:anchor="_Toc4644" w:history="1">
        <w:r>
          <w:rPr>
            <w:rFonts w:ascii="仿宋" w:eastAsia="仿宋" w:hAnsi="仿宋" w:cs="仿宋" w:hint="eastAsia"/>
            <w:lang w:eastAsia="zh-CN"/>
          </w:rPr>
          <w:t>(一)、NOX、NO2自动采样器及测定仪项目承办单位基本情况</w:t>
        </w:r>
        <w:r>
          <w:tab/>
        </w:r>
        <w:r>
          <w:fldChar w:fldCharType="begin"/>
        </w:r>
        <w:r>
          <w:instrText xml:space="preserve"> PAGEREF _Toc4644 \h </w:instrText>
        </w:r>
        <w:r>
          <w:fldChar w:fldCharType="separate"/>
        </w:r>
        <w:r>
          <w:t>9</w:t>
        </w:r>
        <w:r>
          <w:fldChar w:fldCharType="end"/>
        </w:r>
      </w:hyperlink>
    </w:p>
    <w:p>
      <w:pPr>
        <w:pStyle w:val="TOC2"/>
        <w:tabs>
          <w:tab w:val="right" w:leader="dot" w:pos="8306"/>
        </w:tabs>
      </w:pPr>
      <w:hyperlink w:anchor="_Toc13362" w:history="1">
        <w:r>
          <w:rPr>
            <w:rFonts w:ascii="仿宋" w:eastAsia="仿宋" w:hAnsi="仿宋" w:cs="仿宋" w:hint="eastAsia"/>
            <w:lang w:eastAsia="zh-CN"/>
          </w:rPr>
          <w:t>(二)、公司经济效益分析</w:t>
        </w:r>
        <w:r>
          <w:tab/>
        </w:r>
        <w:r>
          <w:fldChar w:fldCharType="begin"/>
        </w:r>
        <w:r>
          <w:instrText xml:space="preserve"> PAGEREF _Toc13362 \h </w:instrText>
        </w:r>
        <w:r>
          <w:fldChar w:fldCharType="separate"/>
        </w:r>
        <w:r>
          <w:t>10</w:t>
        </w:r>
        <w:r>
          <w:fldChar w:fldCharType="end"/>
        </w:r>
      </w:hyperlink>
    </w:p>
    <w:p>
      <w:pPr>
        <w:pStyle w:val="TOC1"/>
        <w:tabs>
          <w:tab w:val="right" w:leader="dot" w:pos="8306"/>
        </w:tabs>
      </w:pPr>
      <w:hyperlink w:anchor="_Toc7570" w:history="1">
        <w:r>
          <w:rPr>
            <w:rFonts w:ascii="仿宋" w:eastAsia="仿宋" w:hAnsi="仿宋" w:cs="仿宋" w:hint="eastAsia"/>
            <w:lang w:eastAsia="zh-CN"/>
          </w:rPr>
          <w:t>四、NOX、NO2自动采样器及测定仪项目建设背景及必要性分析</w:t>
        </w:r>
        <w:r>
          <w:tab/>
        </w:r>
        <w:r>
          <w:fldChar w:fldCharType="begin"/>
        </w:r>
        <w:r>
          <w:instrText xml:space="preserve"> PAGEREF _Toc7570 \h </w:instrText>
        </w:r>
        <w:r>
          <w:fldChar w:fldCharType="separate"/>
        </w:r>
        <w:r>
          <w:t>11</w:t>
        </w:r>
        <w:r>
          <w:fldChar w:fldCharType="end"/>
        </w:r>
      </w:hyperlink>
    </w:p>
    <w:p>
      <w:pPr>
        <w:pStyle w:val="TOC2"/>
        <w:tabs>
          <w:tab w:val="right" w:leader="dot" w:pos="8306"/>
        </w:tabs>
      </w:pPr>
      <w:hyperlink w:anchor="_Toc28933" w:history="1">
        <w:r>
          <w:rPr>
            <w:rFonts w:ascii="仿宋" w:eastAsia="仿宋" w:hAnsi="仿宋" w:cs="仿宋" w:hint="eastAsia"/>
            <w:lang w:eastAsia="zh-CN"/>
          </w:rPr>
          <w:t>(一)、NOX、NO2自动采样器及测定仪项目背景分析</w:t>
        </w:r>
        <w:r>
          <w:tab/>
        </w:r>
        <w:r>
          <w:fldChar w:fldCharType="begin"/>
        </w:r>
        <w:r>
          <w:instrText xml:space="preserve"> PAGEREF _Toc28933 \h </w:instrText>
        </w:r>
        <w:r>
          <w:fldChar w:fldCharType="separate"/>
        </w:r>
        <w:r>
          <w:t>11</w:t>
        </w:r>
        <w:r>
          <w:fldChar w:fldCharType="end"/>
        </w:r>
      </w:hyperlink>
    </w:p>
    <w:p>
      <w:pPr>
        <w:pStyle w:val="TOC2"/>
        <w:tabs>
          <w:tab w:val="right" w:leader="dot" w:pos="8306"/>
        </w:tabs>
      </w:pPr>
      <w:hyperlink w:anchor="_Toc3430" w:history="1">
        <w:r>
          <w:rPr>
            <w:rFonts w:ascii="仿宋" w:eastAsia="仿宋" w:hAnsi="仿宋" w:cs="仿宋" w:hint="eastAsia"/>
            <w:lang w:eastAsia="zh-CN"/>
          </w:rPr>
          <w:t>(二)、NOX、NO2自动采样器及测定仪项目建设必要性分析</w:t>
        </w:r>
        <w:r>
          <w:tab/>
        </w:r>
        <w:r>
          <w:fldChar w:fldCharType="begin"/>
        </w:r>
        <w:r>
          <w:instrText xml:space="preserve"> PAGEREF _Toc3430 \h </w:instrText>
        </w:r>
        <w:r>
          <w:fldChar w:fldCharType="separate"/>
        </w:r>
        <w:r>
          <w:t>13</w:t>
        </w:r>
        <w:r>
          <w:fldChar w:fldCharType="end"/>
        </w:r>
      </w:hyperlink>
    </w:p>
    <w:p>
      <w:pPr>
        <w:pStyle w:val="TOC1"/>
        <w:tabs>
          <w:tab w:val="right" w:leader="dot" w:pos="8306"/>
        </w:tabs>
      </w:pPr>
      <w:hyperlink w:anchor="_Toc25544" w:history="1">
        <w:r>
          <w:rPr>
            <w:rFonts w:ascii="仿宋" w:eastAsia="仿宋" w:hAnsi="仿宋" w:cs="仿宋" w:hint="eastAsia"/>
            <w:lang w:eastAsia="zh-CN"/>
          </w:rPr>
          <w:t>五、NOX、NO2自动采样器及测定仪项目可持续发展</w:t>
        </w:r>
        <w:r>
          <w:tab/>
        </w:r>
        <w:r>
          <w:fldChar w:fldCharType="begin"/>
        </w:r>
        <w:r>
          <w:instrText xml:space="preserve"> PAGEREF _Toc25544 \h </w:instrText>
        </w:r>
        <w:r>
          <w:fldChar w:fldCharType="separate"/>
        </w:r>
        <w:r>
          <w:t>14</w:t>
        </w:r>
        <w:r>
          <w:fldChar w:fldCharType="end"/>
        </w:r>
      </w:hyperlink>
    </w:p>
    <w:p>
      <w:pPr>
        <w:pStyle w:val="TOC2"/>
        <w:tabs>
          <w:tab w:val="right" w:leader="dot" w:pos="8306"/>
        </w:tabs>
      </w:pPr>
      <w:hyperlink w:anchor="_Toc20220" w:history="1">
        <w:r>
          <w:rPr>
            <w:rFonts w:ascii="仿宋" w:eastAsia="仿宋" w:hAnsi="仿宋" w:cs="仿宋" w:hint="eastAsia"/>
            <w:lang w:eastAsia="zh-CN"/>
          </w:rPr>
          <w:t>(一)、可持续战略与实践</w:t>
        </w:r>
        <w:r>
          <w:tab/>
        </w:r>
        <w:r>
          <w:fldChar w:fldCharType="begin"/>
        </w:r>
        <w:r>
          <w:instrText xml:space="preserve"> PAGEREF _Toc20220 \h </w:instrText>
        </w:r>
        <w:r>
          <w:fldChar w:fldCharType="separate"/>
        </w:r>
        <w:r>
          <w:t>14</w:t>
        </w:r>
        <w:r>
          <w:fldChar w:fldCharType="end"/>
        </w:r>
      </w:hyperlink>
    </w:p>
    <w:p>
      <w:pPr>
        <w:pStyle w:val="TOC2"/>
        <w:tabs>
          <w:tab w:val="right" w:leader="dot" w:pos="8306"/>
        </w:tabs>
      </w:pPr>
      <w:hyperlink w:anchor="_Toc12163" w:history="1">
        <w:r>
          <w:rPr>
            <w:rFonts w:ascii="仿宋" w:eastAsia="仿宋" w:hAnsi="仿宋" w:cs="仿宋" w:hint="eastAsia"/>
            <w:lang w:eastAsia="zh-CN"/>
          </w:rPr>
          <w:t>(二)、环保与社会责任</w:t>
        </w:r>
        <w:r>
          <w:tab/>
        </w:r>
        <w:r>
          <w:fldChar w:fldCharType="begin"/>
        </w:r>
        <w:r>
          <w:instrText xml:space="preserve"> PAGEREF _Toc12163 \h </w:instrText>
        </w:r>
        <w:r>
          <w:fldChar w:fldCharType="separate"/>
        </w:r>
        <w:r>
          <w:t>15</w:t>
        </w:r>
        <w:r>
          <w:fldChar w:fldCharType="end"/>
        </w:r>
      </w:hyperlink>
    </w:p>
    <w:p>
      <w:pPr>
        <w:pStyle w:val="TOC1"/>
        <w:tabs>
          <w:tab w:val="right" w:leader="dot" w:pos="8306"/>
        </w:tabs>
      </w:pPr>
      <w:hyperlink w:anchor="_Toc8180" w:history="1">
        <w:r>
          <w:rPr>
            <w:rFonts w:ascii="仿宋" w:eastAsia="仿宋" w:hAnsi="仿宋" w:cs="仿宋" w:hint="eastAsia"/>
            <w:lang w:eastAsia="zh-CN"/>
          </w:rPr>
          <w:t>六、NOX、NO2自动采样器及测定仪项目土建工程</w:t>
        </w:r>
        <w:r>
          <w:tab/>
        </w:r>
        <w:r>
          <w:fldChar w:fldCharType="begin"/>
        </w:r>
        <w:r>
          <w:instrText xml:space="preserve"> PAGEREF _Toc8180 \h </w:instrText>
        </w:r>
        <w:r>
          <w:fldChar w:fldCharType="separate"/>
        </w:r>
        <w:r>
          <w:t>16</w:t>
        </w:r>
        <w:r>
          <w:fldChar w:fldCharType="end"/>
        </w:r>
      </w:hyperlink>
    </w:p>
    <w:p>
      <w:pPr>
        <w:pStyle w:val="TOC2"/>
        <w:tabs>
          <w:tab w:val="right" w:leader="dot" w:pos="8306"/>
        </w:tabs>
      </w:pPr>
      <w:hyperlink w:anchor="_Toc28480" w:history="1">
        <w:r>
          <w:rPr>
            <w:rFonts w:ascii="仿宋" w:eastAsia="仿宋" w:hAnsi="仿宋" w:cs="仿宋" w:hint="eastAsia"/>
            <w:lang w:eastAsia="zh-CN"/>
          </w:rPr>
          <w:t>(一)、建筑工程设计原则</w:t>
        </w:r>
        <w:r>
          <w:tab/>
        </w:r>
        <w:r>
          <w:fldChar w:fldCharType="begin"/>
        </w:r>
        <w:r>
          <w:instrText xml:space="preserve"> PAGEREF _Toc28480 \h </w:instrText>
        </w:r>
        <w:r>
          <w:fldChar w:fldCharType="separate"/>
        </w:r>
        <w:r>
          <w:t>16</w:t>
        </w:r>
        <w:r>
          <w:fldChar w:fldCharType="end"/>
        </w:r>
      </w:hyperlink>
    </w:p>
    <w:p>
      <w:pPr>
        <w:pStyle w:val="TOC2"/>
        <w:tabs>
          <w:tab w:val="right" w:leader="dot" w:pos="8306"/>
        </w:tabs>
      </w:pPr>
      <w:hyperlink w:anchor="_Toc23409" w:history="1">
        <w:r>
          <w:rPr>
            <w:rFonts w:ascii="仿宋" w:eastAsia="仿宋" w:hAnsi="仿宋" w:cs="仿宋" w:hint="eastAsia"/>
            <w:lang w:eastAsia="zh-CN"/>
          </w:rPr>
          <w:t>(二)、土建工程设计年限及安全等级</w:t>
        </w:r>
        <w:r>
          <w:tab/>
        </w:r>
        <w:r>
          <w:fldChar w:fldCharType="begin"/>
        </w:r>
        <w:r>
          <w:instrText xml:space="preserve"> PAGEREF _Toc23409 \h </w:instrText>
        </w:r>
        <w:r>
          <w:fldChar w:fldCharType="separate"/>
        </w:r>
        <w:r>
          <w:t>17</w:t>
        </w:r>
        <w:r>
          <w:fldChar w:fldCharType="end"/>
        </w:r>
      </w:hyperlink>
    </w:p>
    <w:p>
      <w:pPr>
        <w:pStyle w:val="TOC2"/>
        <w:tabs>
          <w:tab w:val="right" w:leader="dot" w:pos="8306"/>
        </w:tabs>
      </w:pPr>
      <w:hyperlink w:anchor="_Toc5326" w:history="1">
        <w:r>
          <w:rPr>
            <w:rFonts w:ascii="仿宋" w:eastAsia="仿宋" w:hAnsi="仿宋" w:cs="仿宋" w:hint="eastAsia"/>
            <w:lang w:eastAsia="zh-CN"/>
          </w:rPr>
          <w:t>(三)、建筑工程设计总体要求</w:t>
        </w:r>
        <w:r>
          <w:tab/>
        </w:r>
        <w:r>
          <w:fldChar w:fldCharType="begin"/>
        </w:r>
        <w:r>
          <w:instrText xml:space="preserve"> PAGEREF _Toc5326 \h </w:instrText>
        </w:r>
        <w:r>
          <w:fldChar w:fldCharType="separate"/>
        </w:r>
        <w:r>
          <w:t>19</w:t>
        </w:r>
        <w:r>
          <w:fldChar w:fldCharType="end"/>
        </w:r>
      </w:hyperlink>
    </w:p>
    <w:p>
      <w:pPr>
        <w:pStyle w:val="TOC2"/>
        <w:tabs>
          <w:tab w:val="right" w:leader="dot" w:pos="8306"/>
        </w:tabs>
      </w:pPr>
      <w:hyperlink w:anchor="_Toc2648" w:history="1">
        <w:r>
          <w:rPr>
            <w:rFonts w:ascii="仿宋" w:eastAsia="仿宋" w:hAnsi="仿宋" w:cs="仿宋" w:hint="eastAsia"/>
            <w:lang w:eastAsia="zh-CN"/>
          </w:rPr>
          <w:t>(四)、土建工程建设指标</w:t>
        </w:r>
        <w:r>
          <w:tab/>
        </w:r>
        <w:r>
          <w:fldChar w:fldCharType="begin"/>
        </w:r>
        <w:r>
          <w:instrText xml:space="preserve"> PAGEREF _Toc2648 \h </w:instrText>
        </w:r>
        <w:r>
          <w:fldChar w:fldCharType="separate"/>
        </w:r>
        <w:r>
          <w:t>19</w:t>
        </w:r>
        <w:r>
          <w:fldChar w:fldCharType="end"/>
        </w:r>
      </w:hyperlink>
    </w:p>
    <w:p>
      <w:pPr>
        <w:pStyle w:val="TOC1"/>
        <w:tabs>
          <w:tab w:val="right" w:leader="dot" w:pos="8306"/>
        </w:tabs>
      </w:pPr>
      <w:hyperlink w:anchor="_Toc12940" w:history="1">
        <w:r>
          <w:rPr>
            <w:rFonts w:ascii="仿宋" w:eastAsia="仿宋" w:hAnsi="仿宋" w:cs="仿宋" w:hint="eastAsia"/>
            <w:lang w:eastAsia="zh-CN"/>
          </w:rPr>
          <w:t>七、NOX、NO2自动采样器及测定仪项目人力资源培养与发展</w:t>
        </w:r>
        <w:r>
          <w:tab/>
        </w:r>
        <w:r>
          <w:fldChar w:fldCharType="begin"/>
        </w:r>
        <w:r>
          <w:instrText xml:space="preserve"> PAGEREF _Toc12940 \h </w:instrText>
        </w:r>
        <w:r>
          <w:fldChar w:fldCharType="separate"/>
        </w:r>
        <w:r>
          <w:t>20</w:t>
        </w:r>
        <w:r>
          <w:fldChar w:fldCharType="end"/>
        </w:r>
      </w:hyperlink>
    </w:p>
    <w:p>
      <w:pPr>
        <w:pStyle w:val="TOC2"/>
        <w:tabs>
          <w:tab w:val="right" w:leader="dot" w:pos="8306"/>
        </w:tabs>
      </w:pPr>
      <w:hyperlink w:anchor="_Toc5741" w:history="1">
        <w:r>
          <w:rPr>
            <w:rFonts w:ascii="仿宋" w:eastAsia="仿宋" w:hAnsi="仿宋" w:cs="仿宋" w:hint="eastAsia"/>
            <w:lang w:eastAsia="zh-CN"/>
          </w:rPr>
          <w:t>(一)、人才需求与规划</w:t>
        </w:r>
        <w:r>
          <w:tab/>
        </w:r>
        <w:r>
          <w:fldChar w:fldCharType="begin"/>
        </w:r>
        <w:r>
          <w:instrText xml:space="preserve"> PAGEREF _Toc5741 \h </w:instrText>
        </w:r>
        <w:r>
          <w:fldChar w:fldCharType="separate"/>
        </w:r>
        <w:r>
          <w:t>20</w:t>
        </w:r>
        <w:r>
          <w:fldChar w:fldCharType="end"/>
        </w:r>
      </w:hyperlink>
    </w:p>
    <w:p>
      <w:pPr>
        <w:pStyle w:val="TOC2"/>
        <w:tabs>
          <w:tab w:val="right" w:leader="dot" w:pos="8306"/>
        </w:tabs>
      </w:pPr>
      <w:hyperlink w:anchor="_Toc12419" w:history="1">
        <w:r>
          <w:rPr>
            <w:rFonts w:ascii="仿宋" w:eastAsia="仿宋" w:hAnsi="仿宋" w:cs="仿宋" w:hint="eastAsia"/>
            <w:lang w:eastAsia="zh-CN"/>
          </w:rPr>
          <w:t>(二)、培训与发展计划</w:t>
        </w:r>
        <w:r>
          <w:tab/>
        </w:r>
        <w:r>
          <w:fldChar w:fldCharType="begin"/>
        </w:r>
        <w:r>
          <w:instrText xml:space="preserve"> PAGEREF _Toc12419 \h </w:instrText>
        </w:r>
        <w:r>
          <w:fldChar w:fldCharType="separate"/>
        </w:r>
        <w:r>
          <w:t>20</w:t>
        </w:r>
        <w:r>
          <w:fldChar w:fldCharType="end"/>
        </w:r>
      </w:hyperlink>
    </w:p>
    <w:p>
      <w:pPr>
        <w:pStyle w:val="TOC1"/>
        <w:tabs>
          <w:tab w:val="right" w:leader="dot" w:pos="8306"/>
        </w:tabs>
      </w:pPr>
      <w:hyperlink w:anchor="_Toc16262" w:history="1">
        <w:r>
          <w:rPr>
            <w:rFonts w:ascii="仿宋" w:eastAsia="仿宋" w:hAnsi="仿宋" w:cs="仿宋" w:hint="eastAsia"/>
            <w:lang w:eastAsia="zh-CN"/>
          </w:rPr>
          <w:t>八、NOX、NO2自动采样器及测定仪项目环境影响分析</w:t>
        </w:r>
        <w:r>
          <w:tab/>
        </w:r>
        <w:r>
          <w:fldChar w:fldCharType="begin"/>
        </w:r>
        <w:r>
          <w:instrText xml:space="preserve"> PAGEREF _Toc16262 \h </w:instrText>
        </w:r>
        <w:r>
          <w:fldChar w:fldCharType="separate"/>
        </w:r>
        <w:r>
          <w:t>21</w:t>
        </w:r>
        <w:r>
          <w:fldChar w:fldCharType="end"/>
        </w:r>
      </w:hyperlink>
    </w:p>
    <w:p>
      <w:pPr>
        <w:pStyle w:val="TOC2"/>
        <w:tabs>
          <w:tab w:val="right" w:leader="dot" w:pos="8306"/>
        </w:tabs>
      </w:pPr>
      <w:hyperlink w:anchor="_Toc12123" w:history="1">
        <w:r>
          <w:rPr>
            <w:rFonts w:ascii="仿宋" w:eastAsia="仿宋" w:hAnsi="仿宋" w:cs="仿宋" w:hint="eastAsia"/>
            <w:lang w:eastAsia="zh-CN"/>
          </w:rPr>
          <w:t>(一)、建设区域环境质量现状</w:t>
        </w:r>
        <w:r>
          <w:tab/>
        </w:r>
        <w:r>
          <w:fldChar w:fldCharType="begin"/>
        </w:r>
        <w:r>
          <w:instrText xml:space="preserve"> PAGEREF _Toc12123 \h </w:instrText>
        </w:r>
        <w:r>
          <w:fldChar w:fldCharType="separate"/>
        </w:r>
        <w:r>
          <w:t>21</w:t>
        </w:r>
        <w:r>
          <w:fldChar w:fldCharType="end"/>
        </w:r>
      </w:hyperlink>
    </w:p>
    <w:p>
      <w:pPr>
        <w:pStyle w:val="TOC2"/>
        <w:tabs>
          <w:tab w:val="right" w:leader="dot" w:pos="8306"/>
        </w:tabs>
      </w:pPr>
      <w:hyperlink w:anchor="_Toc11055" w:history="1">
        <w:r>
          <w:rPr>
            <w:rFonts w:ascii="仿宋" w:eastAsia="仿宋" w:hAnsi="仿宋" w:cs="仿宋" w:hint="eastAsia"/>
            <w:lang w:eastAsia="zh-CN"/>
          </w:rPr>
          <w:t>(二)、建设期环境保护</w:t>
        </w:r>
        <w:r>
          <w:tab/>
        </w:r>
        <w:r>
          <w:fldChar w:fldCharType="begin"/>
        </w:r>
        <w:r>
          <w:instrText xml:space="preserve"> PAGEREF _Toc11055 \h </w:instrText>
        </w:r>
        <w:r>
          <w:fldChar w:fldCharType="separate"/>
        </w:r>
        <w:r>
          <w:t>22</w:t>
        </w:r>
        <w:r>
          <w:fldChar w:fldCharType="end"/>
        </w:r>
      </w:hyperlink>
    </w:p>
    <w:p>
      <w:pPr>
        <w:pStyle w:val="TOC2"/>
        <w:tabs>
          <w:tab w:val="right" w:leader="dot" w:pos="8306"/>
        </w:tabs>
      </w:pPr>
      <w:hyperlink w:anchor="_Toc12271" w:history="1">
        <w:r>
          <w:rPr>
            <w:rFonts w:ascii="仿宋" w:eastAsia="仿宋" w:hAnsi="仿宋" w:cs="仿宋" w:hint="eastAsia"/>
            <w:lang w:eastAsia="zh-CN"/>
          </w:rPr>
          <w:t>(三)、运营期环境保护</w:t>
        </w:r>
        <w:r>
          <w:tab/>
        </w:r>
        <w:r>
          <w:fldChar w:fldCharType="begin"/>
        </w:r>
        <w:r>
          <w:instrText xml:space="preserve"> PAGEREF _Toc12271 \h </w:instrText>
        </w:r>
        <w:r>
          <w:fldChar w:fldCharType="separate"/>
        </w:r>
        <w:r>
          <w:t>24</w:t>
        </w:r>
        <w:r>
          <w:fldChar w:fldCharType="end"/>
        </w:r>
      </w:hyperlink>
    </w:p>
    <w:p>
      <w:pPr>
        <w:pStyle w:val="TOC2"/>
        <w:tabs>
          <w:tab w:val="right" w:leader="dot" w:pos="8306"/>
        </w:tabs>
      </w:pPr>
      <w:hyperlink w:anchor="_Toc27237" w:history="1">
        <w:r>
          <w:rPr>
            <w:rFonts w:ascii="仿宋" w:eastAsia="仿宋" w:hAnsi="仿宋" w:cs="仿宋" w:hint="eastAsia"/>
            <w:lang w:eastAsia="zh-CN"/>
          </w:rPr>
          <w:t>(四)、NOX、NO2自动采样器及测定仪项目建设对区域经济的影响</w:t>
        </w:r>
        <w:r>
          <w:tab/>
        </w:r>
        <w:r>
          <w:fldChar w:fldCharType="begin"/>
        </w:r>
        <w:r>
          <w:instrText xml:space="preserve"> PAGEREF _Toc27237 \h </w:instrText>
        </w:r>
        <w:r>
          <w:fldChar w:fldCharType="separate"/>
        </w:r>
        <w:r>
          <w:t>25</w:t>
        </w:r>
        <w:r>
          <w:fldChar w:fldCharType="end"/>
        </w:r>
      </w:hyperlink>
    </w:p>
    <w:p>
      <w:pPr>
        <w:pStyle w:val="TOC2"/>
        <w:tabs>
          <w:tab w:val="right" w:leader="dot" w:pos="8306"/>
        </w:tabs>
      </w:pPr>
      <w:hyperlink w:anchor="_Toc3215" w:history="1">
        <w:r>
          <w:rPr>
            <w:rFonts w:ascii="仿宋" w:eastAsia="仿宋" w:hAnsi="仿宋" w:cs="仿宋" w:hint="eastAsia"/>
            <w:lang w:eastAsia="zh-CN"/>
          </w:rPr>
          <w:t>(五)、废弃物处理</w:t>
        </w:r>
        <w:r>
          <w:tab/>
        </w:r>
        <w:r>
          <w:fldChar w:fldCharType="begin"/>
        </w:r>
        <w:r>
          <w:instrText xml:space="preserve"> PAGEREF _Toc3215 \h </w:instrText>
        </w:r>
        <w:r>
          <w:fldChar w:fldCharType="separate"/>
        </w:r>
        <w:r>
          <w:t>27</w:t>
        </w:r>
        <w:r>
          <w:fldChar w:fldCharType="end"/>
        </w:r>
      </w:hyperlink>
    </w:p>
    <w:p>
      <w:pPr>
        <w:pStyle w:val="TOC2"/>
        <w:tabs>
          <w:tab w:val="right" w:leader="dot" w:pos="8306"/>
        </w:tabs>
      </w:pPr>
      <w:hyperlink w:anchor="_Toc28258" w:history="1">
        <w:r>
          <w:rPr>
            <w:rFonts w:ascii="仿宋" w:eastAsia="仿宋" w:hAnsi="仿宋" w:cs="仿宋" w:hint="eastAsia"/>
            <w:lang w:eastAsia="zh-CN"/>
          </w:rPr>
          <w:t>(六)、特殊环境影响分析</w:t>
        </w:r>
        <w:r>
          <w:tab/>
        </w:r>
        <w:r>
          <w:fldChar w:fldCharType="begin"/>
        </w:r>
        <w:r>
          <w:instrText xml:space="preserve"> PAGEREF _Toc28258 \h </w:instrText>
        </w:r>
        <w:r>
          <w:fldChar w:fldCharType="separate"/>
        </w:r>
        <w:r>
          <w:t>29</w:t>
        </w:r>
        <w:r>
          <w:fldChar w:fldCharType="end"/>
        </w:r>
      </w:hyperlink>
    </w:p>
    <w:p>
      <w:pPr>
        <w:pStyle w:val="TOC2"/>
        <w:tabs>
          <w:tab w:val="right" w:leader="dot" w:pos="8306"/>
        </w:tabs>
      </w:pPr>
      <w:hyperlink w:anchor="_Toc31015" w:history="1">
        <w:r>
          <w:rPr>
            <w:rFonts w:ascii="仿宋" w:eastAsia="仿宋" w:hAnsi="仿宋" w:cs="仿宋" w:hint="eastAsia"/>
            <w:lang w:eastAsia="zh-CN"/>
          </w:rPr>
          <w:t>(七)、清洁生产</w:t>
        </w:r>
        <w:r>
          <w:tab/>
        </w:r>
        <w:r>
          <w:fldChar w:fldCharType="begin"/>
        </w:r>
        <w:r>
          <w:instrText xml:space="preserve"> PAGEREF _Toc31015 \h </w:instrText>
        </w:r>
        <w:r>
          <w:fldChar w:fldCharType="separate"/>
        </w:r>
        <w:r>
          <w:t>30</w:t>
        </w:r>
        <w:r>
          <w:fldChar w:fldCharType="end"/>
        </w:r>
      </w:hyperlink>
    </w:p>
    <w:p>
      <w:pPr>
        <w:pStyle w:val="TOC2"/>
        <w:tabs>
          <w:tab w:val="right" w:leader="dot" w:pos="8306"/>
        </w:tabs>
      </w:pPr>
      <w:hyperlink w:anchor="_Toc27787" w:history="1">
        <w:r>
          <w:rPr>
            <w:rFonts w:ascii="仿宋" w:eastAsia="仿宋" w:hAnsi="仿宋" w:cs="仿宋" w:hint="eastAsia"/>
            <w:lang w:eastAsia="zh-CN"/>
          </w:rPr>
          <w:t>(八)、环境保护综合评价</w:t>
        </w:r>
        <w:r>
          <w:tab/>
        </w:r>
        <w:r>
          <w:fldChar w:fldCharType="begin"/>
        </w:r>
        <w:r>
          <w:instrText xml:space="preserve"> PAGEREF _Toc27787 \h </w:instrText>
        </w:r>
        <w:r>
          <w:fldChar w:fldCharType="separate"/>
        </w:r>
        <w:r>
          <w:t>31</w:t>
        </w:r>
        <w:r>
          <w:fldChar w:fldCharType="end"/>
        </w:r>
      </w:hyperlink>
    </w:p>
    <w:p>
      <w:pPr>
        <w:pStyle w:val="TOC1"/>
        <w:tabs>
          <w:tab w:val="right" w:leader="dot" w:pos="8306"/>
        </w:tabs>
      </w:pPr>
      <w:hyperlink w:anchor="_Toc10737" w:history="1">
        <w:r>
          <w:rPr>
            <w:rFonts w:ascii="仿宋" w:eastAsia="仿宋" w:hAnsi="仿宋" w:cs="仿宋" w:hint="eastAsia"/>
            <w:lang w:eastAsia="zh-CN"/>
          </w:rPr>
          <w:t>九、NOX、NO2自动采样器及测定仪项目经营效益</w:t>
        </w:r>
        <w:r>
          <w:tab/>
        </w:r>
        <w:r>
          <w:fldChar w:fldCharType="begin"/>
        </w:r>
        <w:r>
          <w:instrText xml:space="preserve"> PAGEREF _Toc10737 \h </w:instrText>
        </w:r>
        <w:r>
          <w:fldChar w:fldCharType="separate"/>
        </w:r>
        <w:r>
          <w:t>33</w:t>
        </w:r>
        <w:r>
          <w:fldChar w:fldCharType="end"/>
        </w:r>
      </w:hyperlink>
    </w:p>
    <w:p>
      <w:pPr>
        <w:pStyle w:val="TOC2"/>
        <w:tabs>
          <w:tab w:val="right" w:leader="dot" w:pos="8306"/>
        </w:tabs>
      </w:pPr>
      <w:hyperlink w:anchor="_Toc29436" w:history="1">
        <w:r>
          <w:rPr>
            <w:rFonts w:ascii="仿宋" w:eastAsia="仿宋" w:hAnsi="仿宋" w:cs="仿宋" w:hint="eastAsia"/>
            <w:lang w:eastAsia="zh-CN"/>
          </w:rPr>
          <w:t>(一)、经济评价财务测算</w:t>
        </w:r>
        <w:r>
          <w:tab/>
        </w:r>
        <w:r>
          <w:fldChar w:fldCharType="begin"/>
        </w:r>
        <w:r>
          <w:instrText xml:space="preserve"> PAGEREF _Toc29436 \h </w:instrText>
        </w:r>
        <w:r>
          <w:fldChar w:fldCharType="separate"/>
        </w:r>
        <w:r>
          <w:t>33</w:t>
        </w:r>
        <w:r>
          <w:fldChar w:fldCharType="end"/>
        </w:r>
      </w:hyperlink>
    </w:p>
    <w:p>
      <w:pPr>
        <w:pStyle w:val="TOC2"/>
        <w:tabs>
          <w:tab w:val="right" w:leader="dot" w:pos="8306"/>
        </w:tabs>
      </w:pPr>
      <w:hyperlink w:anchor="_Toc31829" w:history="1">
        <w:r>
          <w:rPr>
            <w:rFonts w:ascii="仿宋" w:eastAsia="仿宋" w:hAnsi="仿宋" w:cs="仿宋" w:hint="eastAsia"/>
            <w:lang w:eastAsia="zh-CN"/>
          </w:rPr>
          <w:t>(二)、NOX、NO2自动采样器及测定仪项目盈利能力分析</w:t>
        </w:r>
        <w:r>
          <w:tab/>
        </w:r>
        <w:r>
          <w:fldChar w:fldCharType="begin"/>
        </w:r>
        <w:r>
          <w:instrText xml:space="preserve"> PAGEREF _Toc31829 \h </w:instrText>
        </w:r>
        <w:r>
          <w:fldChar w:fldCharType="separate"/>
        </w:r>
        <w:r>
          <w:t>34</w:t>
        </w:r>
        <w:r>
          <w:fldChar w:fldCharType="end"/>
        </w:r>
      </w:hyperlink>
    </w:p>
    <w:p>
      <w:pPr>
        <w:pStyle w:val="TOC1"/>
        <w:tabs>
          <w:tab w:val="right" w:leader="dot" w:pos="8306"/>
        </w:tabs>
      </w:pPr>
      <w:hyperlink w:anchor="_Toc14920" w:history="1">
        <w:r>
          <w:rPr>
            <w:rFonts w:ascii="仿宋" w:eastAsia="仿宋" w:hAnsi="仿宋" w:cs="仿宋" w:hint="eastAsia"/>
            <w:lang w:eastAsia="zh-CN"/>
          </w:rPr>
          <w:t>十、生产安全保护</w:t>
        </w:r>
        <w:r>
          <w:tab/>
        </w:r>
        <w:r>
          <w:fldChar w:fldCharType="begin"/>
        </w:r>
        <w:r>
          <w:instrText xml:space="preserve"> PAGEREF _Toc14920 \h </w:instrText>
        </w:r>
        <w:r>
          <w:fldChar w:fldCharType="separate"/>
        </w:r>
        <w:r>
          <w:t>35</w:t>
        </w:r>
        <w:r>
          <w:fldChar w:fldCharType="end"/>
        </w:r>
      </w:hyperlink>
    </w:p>
    <w:p>
      <w:pPr>
        <w:pStyle w:val="TOC2"/>
        <w:tabs>
          <w:tab w:val="right" w:leader="dot" w:pos="8306"/>
        </w:tabs>
      </w:pPr>
      <w:hyperlink w:anchor="_Toc7203" w:history="1">
        <w:r>
          <w:rPr>
            <w:rFonts w:ascii="仿宋" w:eastAsia="仿宋" w:hAnsi="仿宋" w:cs="仿宋" w:hint="eastAsia"/>
            <w:lang w:eastAsia="zh-CN"/>
          </w:rPr>
          <w:t>(一)、消防安全</w:t>
        </w:r>
        <w:r>
          <w:tab/>
        </w:r>
        <w:r>
          <w:fldChar w:fldCharType="begin"/>
        </w:r>
        <w:r>
          <w:instrText xml:space="preserve"> PAGEREF _Toc7203 \h </w:instrText>
        </w:r>
        <w:r>
          <w:fldChar w:fldCharType="separate"/>
        </w:r>
        <w:r>
          <w:t>35</w:t>
        </w:r>
        <w:r>
          <w:fldChar w:fldCharType="end"/>
        </w:r>
      </w:hyperlink>
    </w:p>
    <w:p>
      <w:pPr>
        <w:pStyle w:val="TOC2"/>
        <w:tabs>
          <w:tab w:val="right" w:leader="dot" w:pos="8306"/>
        </w:tabs>
      </w:pPr>
      <w:hyperlink w:anchor="_Toc26215" w:history="1">
        <w:r>
          <w:rPr>
            <w:rFonts w:ascii="仿宋" w:eastAsia="仿宋" w:hAnsi="仿宋" w:cs="仿宋" w:hint="eastAsia"/>
            <w:lang w:eastAsia="zh-CN"/>
          </w:rPr>
          <w:t>(二)、防火防爆总图布置措施</w:t>
        </w:r>
        <w:r>
          <w:tab/>
        </w:r>
        <w:r>
          <w:fldChar w:fldCharType="begin"/>
        </w:r>
        <w:r>
          <w:instrText xml:space="preserve"> PAGEREF _Toc26215 \h </w:instrText>
        </w:r>
        <w:r>
          <w:fldChar w:fldCharType="separate"/>
        </w:r>
        <w:r>
          <w:t>37</w:t>
        </w:r>
        <w:r>
          <w:fldChar w:fldCharType="end"/>
        </w:r>
      </w:hyperlink>
    </w:p>
    <w:p>
      <w:pPr>
        <w:pStyle w:val="TOC2"/>
        <w:tabs>
          <w:tab w:val="right" w:leader="dot" w:pos="8306"/>
        </w:tabs>
      </w:pPr>
      <w:hyperlink w:anchor="_Toc12113" w:history="1">
        <w:r>
          <w:rPr>
            <w:rFonts w:ascii="仿宋" w:eastAsia="仿宋" w:hAnsi="仿宋" w:cs="仿宋" w:hint="eastAsia"/>
            <w:lang w:eastAsia="zh-CN"/>
          </w:rPr>
          <w:t>(三)、自然灾害防范措施</w:t>
        </w:r>
        <w:r>
          <w:tab/>
        </w:r>
        <w:r>
          <w:fldChar w:fldCharType="begin"/>
        </w:r>
        <w:r>
          <w:instrText xml:space="preserve"> PAGEREF _Toc12113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11" w:history="1">
        <w:r>
          <w:rPr>
            <w:rFonts w:ascii="仿宋" w:eastAsia="仿宋" w:hAnsi="仿宋" w:cs="仿宋" w:hint="eastAsia"/>
            <w:lang w:eastAsia="zh-CN"/>
          </w:rPr>
          <w:t>(四)、安全色及安全标志使用要求</w:t>
        </w:r>
        <w:r>
          <w:tab/>
        </w:r>
        <w:r>
          <w:fldChar w:fldCharType="begin"/>
        </w:r>
        <w:r>
          <w:instrText xml:space="preserve"> PAGEREF _Toc14311 \h </w:instrText>
        </w:r>
        <w:r>
          <w:fldChar w:fldCharType="separate"/>
        </w:r>
        <w:r>
          <w:t>39</w:t>
        </w:r>
        <w:r>
          <w:fldChar w:fldCharType="end"/>
        </w:r>
      </w:hyperlink>
    </w:p>
    <w:p>
      <w:pPr>
        <w:pStyle w:val="TOC2"/>
        <w:tabs>
          <w:tab w:val="right" w:leader="dot" w:pos="8306"/>
        </w:tabs>
      </w:pPr>
      <w:hyperlink w:anchor="_Toc9431" w:history="1">
        <w:r>
          <w:rPr>
            <w:rFonts w:ascii="仿宋" w:eastAsia="仿宋" w:hAnsi="仿宋" w:cs="仿宋" w:hint="eastAsia"/>
            <w:lang w:eastAsia="zh-CN"/>
          </w:rPr>
          <w:t>(五)、防尘防毒措施</w:t>
        </w:r>
        <w:r>
          <w:tab/>
        </w:r>
        <w:r>
          <w:fldChar w:fldCharType="begin"/>
        </w:r>
        <w:r>
          <w:instrText xml:space="preserve"> PAGEREF _Toc9431 \h </w:instrText>
        </w:r>
        <w:r>
          <w:fldChar w:fldCharType="separate"/>
        </w:r>
        <w:r>
          <w:t>40</w:t>
        </w:r>
        <w:r>
          <w:fldChar w:fldCharType="end"/>
        </w:r>
      </w:hyperlink>
    </w:p>
    <w:p>
      <w:pPr>
        <w:pStyle w:val="TOC2"/>
        <w:tabs>
          <w:tab w:val="right" w:leader="dot" w:pos="8306"/>
        </w:tabs>
      </w:pPr>
      <w:hyperlink w:anchor="_Toc30687" w:history="1">
        <w:r>
          <w:rPr>
            <w:rFonts w:ascii="仿宋" w:eastAsia="仿宋" w:hAnsi="仿宋" w:cs="仿宋" w:hint="eastAsia"/>
            <w:lang w:eastAsia="zh-CN"/>
          </w:rPr>
          <w:t>(六)、防静电、触电防护及防雷措施</w:t>
        </w:r>
        <w:r>
          <w:tab/>
        </w:r>
        <w:r>
          <w:fldChar w:fldCharType="begin"/>
        </w:r>
        <w:r>
          <w:instrText xml:space="preserve"> PAGEREF _Toc30687 \h </w:instrText>
        </w:r>
        <w:r>
          <w:fldChar w:fldCharType="separate"/>
        </w:r>
        <w:r>
          <w:t>41</w:t>
        </w:r>
        <w:r>
          <w:fldChar w:fldCharType="end"/>
        </w:r>
      </w:hyperlink>
    </w:p>
    <w:p>
      <w:pPr>
        <w:pStyle w:val="TOC2"/>
        <w:tabs>
          <w:tab w:val="right" w:leader="dot" w:pos="8306"/>
        </w:tabs>
      </w:pPr>
      <w:hyperlink w:anchor="_Toc26481" w:history="1">
        <w:r>
          <w:rPr>
            <w:rFonts w:ascii="仿宋" w:eastAsia="仿宋" w:hAnsi="仿宋" w:cs="仿宋" w:hint="eastAsia"/>
            <w:lang w:eastAsia="zh-CN"/>
          </w:rPr>
          <w:t>(七)、机械设备安全保障措施</w:t>
        </w:r>
        <w:r>
          <w:tab/>
        </w:r>
        <w:r>
          <w:fldChar w:fldCharType="begin"/>
        </w:r>
        <w:r>
          <w:instrText xml:space="preserve"> PAGEREF _Toc26481 \h </w:instrText>
        </w:r>
        <w:r>
          <w:fldChar w:fldCharType="separate"/>
        </w:r>
        <w:r>
          <w:t>43</w:t>
        </w:r>
        <w:r>
          <w:fldChar w:fldCharType="end"/>
        </w:r>
      </w:hyperlink>
    </w:p>
    <w:p>
      <w:pPr>
        <w:pStyle w:val="TOC1"/>
        <w:tabs>
          <w:tab w:val="right" w:leader="dot" w:pos="8306"/>
        </w:tabs>
      </w:pPr>
      <w:hyperlink w:anchor="_Toc31792" w:history="1">
        <w:r>
          <w:rPr>
            <w:rFonts w:ascii="仿宋" w:eastAsia="仿宋" w:hAnsi="仿宋" w:cs="仿宋" w:hint="eastAsia"/>
            <w:lang w:eastAsia="zh-CN"/>
          </w:rPr>
          <w:t>十一、NOX、NO2自动采样器及测定仪项目投资规划</w:t>
        </w:r>
        <w:r>
          <w:tab/>
        </w:r>
        <w:r>
          <w:fldChar w:fldCharType="begin"/>
        </w:r>
        <w:r>
          <w:instrText xml:space="preserve"> PAGEREF _Toc31792 \h </w:instrText>
        </w:r>
        <w:r>
          <w:fldChar w:fldCharType="separate"/>
        </w:r>
        <w:r>
          <w:t>44</w:t>
        </w:r>
        <w:r>
          <w:fldChar w:fldCharType="end"/>
        </w:r>
      </w:hyperlink>
    </w:p>
    <w:p>
      <w:pPr>
        <w:pStyle w:val="TOC2"/>
        <w:tabs>
          <w:tab w:val="right" w:leader="dot" w:pos="8306"/>
        </w:tabs>
      </w:pPr>
      <w:hyperlink w:anchor="_Toc31551" w:history="1">
        <w:r>
          <w:rPr>
            <w:rFonts w:ascii="仿宋" w:eastAsia="仿宋" w:hAnsi="仿宋" w:cs="仿宋" w:hint="eastAsia"/>
            <w:lang w:eastAsia="zh-CN"/>
          </w:rPr>
          <w:t>(一)、NOX、NO2自动采样器及测定仪项目总投资估算</w:t>
        </w:r>
        <w:r>
          <w:tab/>
        </w:r>
        <w:r>
          <w:fldChar w:fldCharType="begin"/>
        </w:r>
        <w:r>
          <w:instrText xml:space="preserve"> PAGEREF _Toc31551 \h </w:instrText>
        </w:r>
        <w:r>
          <w:fldChar w:fldCharType="separate"/>
        </w:r>
        <w:r>
          <w:t>44</w:t>
        </w:r>
        <w:r>
          <w:fldChar w:fldCharType="end"/>
        </w:r>
      </w:hyperlink>
    </w:p>
    <w:p>
      <w:pPr>
        <w:pStyle w:val="TOC2"/>
        <w:tabs>
          <w:tab w:val="right" w:leader="dot" w:pos="8306"/>
        </w:tabs>
      </w:pPr>
      <w:hyperlink w:anchor="_Toc20251" w:history="1">
        <w:r>
          <w:rPr>
            <w:rFonts w:ascii="仿宋" w:eastAsia="仿宋" w:hAnsi="仿宋" w:cs="仿宋" w:hint="eastAsia"/>
            <w:lang w:eastAsia="zh-CN"/>
          </w:rPr>
          <w:t>(二)、资金筹措</w:t>
        </w:r>
        <w:r>
          <w:tab/>
        </w:r>
        <w:r>
          <w:fldChar w:fldCharType="begin"/>
        </w:r>
        <w:r>
          <w:instrText xml:space="preserve"> PAGEREF _Toc20251 \h </w:instrText>
        </w:r>
        <w:r>
          <w:fldChar w:fldCharType="separate"/>
        </w:r>
        <w:r>
          <w:t>46</w:t>
        </w:r>
        <w:r>
          <w:fldChar w:fldCharType="end"/>
        </w:r>
      </w:hyperlink>
    </w:p>
    <w:p>
      <w:pPr>
        <w:pStyle w:val="TOC1"/>
        <w:tabs>
          <w:tab w:val="right" w:leader="dot" w:pos="8306"/>
        </w:tabs>
      </w:pPr>
      <w:hyperlink w:anchor="_Toc1441" w:history="1">
        <w:r>
          <w:rPr>
            <w:rFonts w:ascii="仿宋" w:eastAsia="仿宋" w:hAnsi="仿宋" w:cs="仿宋" w:hint="eastAsia"/>
            <w:lang w:eastAsia="zh-CN"/>
          </w:rPr>
          <w:t>十二、NOX、NO2自动采样器及测定仪项目技术管理</w:t>
        </w:r>
        <w:r>
          <w:tab/>
        </w:r>
        <w:r>
          <w:fldChar w:fldCharType="begin"/>
        </w:r>
        <w:r>
          <w:instrText xml:space="preserve"> PAGEREF _Toc1441 \h </w:instrText>
        </w:r>
        <w:r>
          <w:fldChar w:fldCharType="separate"/>
        </w:r>
        <w:r>
          <w:t>46</w:t>
        </w:r>
        <w:r>
          <w:fldChar w:fldCharType="end"/>
        </w:r>
      </w:hyperlink>
    </w:p>
    <w:p>
      <w:pPr>
        <w:pStyle w:val="TOC2"/>
        <w:tabs>
          <w:tab w:val="right" w:leader="dot" w:pos="8306"/>
        </w:tabs>
      </w:pPr>
      <w:hyperlink w:anchor="_Toc7218" w:history="1">
        <w:r>
          <w:rPr>
            <w:rFonts w:ascii="仿宋" w:eastAsia="仿宋" w:hAnsi="仿宋" w:cs="仿宋" w:hint="eastAsia"/>
            <w:lang w:eastAsia="zh-CN"/>
          </w:rPr>
          <w:t>(一)、技术方案选用方向</w:t>
        </w:r>
        <w:r>
          <w:tab/>
        </w:r>
        <w:r>
          <w:fldChar w:fldCharType="begin"/>
        </w:r>
        <w:r>
          <w:instrText xml:space="preserve"> PAGEREF _Toc7218 \h </w:instrText>
        </w:r>
        <w:r>
          <w:fldChar w:fldCharType="separate"/>
        </w:r>
        <w:r>
          <w:t>46</w:t>
        </w:r>
        <w:r>
          <w:fldChar w:fldCharType="end"/>
        </w:r>
      </w:hyperlink>
    </w:p>
    <w:p>
      <w:pPr>
        <w:pStyle w:val="TOC2"/>
        <w:tabs>
          <w:tab w:val="right" w:leader="dot" w:pos="8306"/>
        </w:tabs>
      </w:pPr>
      <w:hyperlink w:anchor="_Toc30916" w:history="1">
        <w:r>
          <w:rPr>
            <w:rFonts w:ascii="仿宋" w:eastAsia="仿宋" w:hAnsi="仿宋" w:cs="仿宋" w:hint="eastAsia"/>
            <w:lang w:eastAsia="zh-CN"/>
          </w:rPr>
          <w:t>(二)、工艺技术方案选用原则</w:t>
        </w:r>
        <w:r>
          <w:tab/>
        </w:r>
        <w:r>
          <w:fldChar w:fldCharType="begin"/>
        </w:r>
        <w:r>
          <w:instrText xml:space="preserve"> PAGEREF _Toc30916 \h </w:instrText>
        </w:r>
        <w:r>
          <w:fldChar w:fldCharType="separate"/>
        </w:r>
        <w:r>
          <w:t>48</w:t>
        </w:r>
        <w:r>
          <w:fldChar w:fldCharType="end"/>
        </w:r>
      </w:hyperlink>
    </w:p>
    <w:p>
      <w:pPr>
        <w:pStyle w:val="TOC2"/>
        <w:tabs>
          <w:tab w:val="right" w:leader="dot" w:pos="8306"/>
        </w:tabs>
      </w:pPr>
      <w:hyperlink w:anchor="_Toc22063" w:history="1">
        <w:r>
          <w:rPr>
            <w:rFonts w:ascii="仿宋" w:eastAsia="仿宋" w:hAnsi="仿宋" w:cs="仿宋" w:hint="eastAsia"/>
            <w:lang w:eastAsia="zh-CN"/>
          </w:rPr>
          <w:t>(三)、工艺技术方案要求</w:t>
        </w:r>
        <w:r>
          <w:tab/>
        </w:r>
        <w:r>
          <w:fldChar w:fldCharType="begin"/>
        </w:r>
        <w:r>
          <w:instrText xml:space="preserve"> PAGEREF _Toc22063 \h </w:instrText>
        </w:r>
        <w:r>
          <w:fldChar w:fldCharType="separate"/>
        </w:r>
        <w:r>
          <w:t>50</w:t>
        </w:r>
        <w:r>
          <w:fldChar w:fldCharType="end"/>
        </w:r>
      </w:hyperlink>
    </w:p>
    <w:p>
      <w:pPr>
        <w:pStyle w:val="TOC1"/>
        <w:tabs>
          <w:tab w:val="right" w:leader="dot" w:pos="8306"/>
        </w:tabs>
      </w:pPr>
      <w:hyperlink w:anchor="_Toc10422" w:history="1">
        <w:r>
          <w:rPr>
            <w:rFonts w:ascii="仿宋" w:eastAsia="仿宋" w:hAnsi="仿宋" w:cs="仿宋" w:hint="eastAsia"/>
            <w:lang w:eastAsia="zh-CN"/>
          </w:rPr>
          <w:t>十三、NOX、NO2自动采样器及测定仪项目实施时间节点</w:t>
        </w:r>
        <w:r>
          <w:tab/>
        </w:r>
        <w:r>
          <w:fldChar w:fldCharType="begin"/>
        </w:r>
        <w:r>
          <w:instrText xml:space="preserve"> PAGEREF _Toc10422 \h </w:instrText>
        </w:r>
        <w:r>
          <w:fldChar w:fldCharType="separate"/>
        </w:r>
        <w:r>
          <w:t>53</w:t>
        </w:r>
        <w:r>
          <w:fldChar w:fldCharType="end"/>
        </w:r>
      </w:hyperlink>
    </w:p>
    <w:p>
      <w:pPr>
        <w:pStyle w:val="TOC2"/>
        <w:tabs>
          <w:tab w:val="right" w:leader="dot" w:pos="8306"/>
        </w:tabs>
      </w:pPr>
      <w:hyperlink w:anchor="_Toc25663" w:history="1">
        <w:r>
          <w:rPr>
            <w:rFonts w:ascii="仿宋" w:eastAsia="仿宋" w:hAnsi="仿宋" w:cs="仿宋" w:hint="eastAsia"/>
            <w:lang w:eastAsia="zh-CN"/>
          </w:rPr>
          <w:t>(一)、NOX、NO2自动采样器及测定仪项目启动阶段时间节点</w:t>
        </w:r>
        <w:r>
          <w:tab/>
        </w:r>
        <w:r>
          <w:fldChar w:fldCharType="begin"/>
        </w:r>
        <w:r>
          <w:instrText xml:space="preserve"> PAGEREF _Toc25663 \h </w:instrText>
        </w:r>
        <w:r>
          <w:fldChar w:fldCharType="separate"/>
        </w:r>
        <w:r>
          <w:t>53</w:t>
        </w:r>
        <w:r>
          <w:fldChar w:fldCharType="end"/>
        </w:r>
      </w:hyperlink>
    </w:p>
    <w:p>
      <w:pPr>
        <w:pStyle w:val="TOC2"/>
        <w:tabs>
          <w:tab w:val="right" w:leader="dot" w:pos="8306"/>
        </w:tabs>
      </w:pPr>
      <w:hyperlink w:anchor="_Toc32251" w:history="1">
        <w:r>
          <w:rPr>
            <w:rFonts w:ascii="仿宋" w:eastAsia="仿宋" w:hAnsi="仿宋" w:cs="仿宋" w:hint="eastAsia"/>
            <w:lang w:eastAsia="zh-CN"/>
          </w:rPr>
          <w:t>(二)、NOX、NO2自动采样器及测定仪项目执行阶段时间节点</w:t>
        </w:r>
        <w:r>
          <w:tab/>
        </w:r>
        <w:r>
          <w:fldChar w:fldCharType="begin"/>
        </w:r>
        <w:r>
          <w:instrText xml:space="preserve"> PAGEREF _Toc32251 \h </w:instrText>
        </w:r>
        <w:r>
          <w:fldChar w:fldCharType="separate"/>
        </w:r>
        <w:r>
          <w:t>54</w:t>
        </w:r>
        <w:r>
          <w:fldChar w:fldCharType="end"/>
        </w:r>
      </w:hyperlink>
    </w:p>
    <w:p>
      <w:pPr>
        <w:pStyle w:val="TOC2"/>
        <w:tabs>
          <w:tab w:val="right" w:leader="dot" w:pos="8306"/>
        </w:tabs>
      </w:pPr>
      <w:hyperlink w:anchor="_Toc23217" w:history="1">
        <w:r>
          <w:rPr>
            <w:rFonts w:ascii="仿宋" w:eastAsia="仿宋" w:hAnsi="仿宋" w:cs="仿宋" w:hint="eastAsia"/>
            <w:lang w:eastAsia="zh-CN"/>
          </w:rPr>
          <w:t>(三)、NOX、NO2自动采样器及测定仪项目完成阶段时间节点</w:t>
        </w:r>
        <w:r>
          <w:tab/>
        </w:r>
        <w:r>
          <w:fldChar w:fldCharType="begin"/>
        </w:r>
        <w:r>
          <w:instrText xml:space="preserve"> PAGEREF _Toc23217 \h </w:instrText>
        </w:r>
        <w:r>
          <w:fldChar w:fldCharType="separate"/>
        </w:r>
        <w:r>
          <w:t>55</w:t>
        </w:r>
        <w:r>
          <w:fldChar w:fldCharType="end"/>
        </w:r>
      </w:hyperlink>
    </w:p>
    <w:p>
      <w:pPr>
        <w:pStyle w:val="TOC1"/>
        <w:tabs>
          <w:tab w:val="right" w:leader="dot" w:pos="8306"/>
        </w:tabs>
      </w:pPr>
      <w:hyperlink w:anchor="_Toc23039" w:history="1">
        <w:r>
          <w:rPr>
            <w:rFonts w:ascii="仿宋" w:eastAsia="仿宋" w:hAnsi="仿宋" w:cs="仿宋" w:hint="eastAsia"/>
            <w:lang w:eastAsia="zh-CN"/>
          </w:rPr>
          <w:t>十四、风险识别与分类</w:t>
        </w:r>
        <w:r>
          <w:tab/>
        </w:r>
        <w:r>
          <w:fldChar w:fldCharType="begin"/>
        </w:r>
        <w:r>
          <w:instrText xml:space="preserve"> PAGEREF _Toc23039 \h </w:instrText>
        </w:r>
        <w:r>
          <w:fldChar w:fldCharType="separate"/>
        </w:r>
        <w:r>
          <w:t>57</w:t>
        </w:r>
        <w:r>
          <w:fldChar w:fldCharType="end"/>
        </w:r>
      </w:hyperlink>
    </w:p>
    <w:p>
      <w:pPr>
        <w:pStyle w:val="TOC2"/>
        <w:tabs>
          <w:tab w:val="right" w:leader="dot" w:pos="8306"/>
        </w:tabs>
      </w:pPr>
      <w:hyperlink w:anchor="_Toc8759" w:history="1">
        <w:r>
          <w:rPr>
            <w:rFonts w:ascii="仿宋" w:eastAsia="仿宋" w:hAnsi="仿宋" w:cs="仿宋" w:hint="eastAsia"/>
            <w:lang w:eastAsia="zh-CN"/>
          </w:rPr>
          <w:t>(一)、风险识别</w:t>
        </w:r>
        <w:r>
          <w:tab/>
        </w:r>
        <w:r>
          <w:fldChar w:fldCharType="begin"/>
        </w:r>
        <w:r>
          <w:instrText xml:space="preserve"> PAGEREF _Toc8759 \h </w:instrText>
        </w:r>
        <w:r>
          <w:fldChar w:fldCharType="separate"/>
        </w:r>
        <w:r>
          <w:t>57</w:t>
        </w:r>
        <w:r>
          <w:fldChar w:fldCharType="end"/>
        </w:r>
      </w:hyperlink>
    </w:p>
    <w:p>
      <w:pPr>
        <w:pStyle w:val="TOC2"/>
        <w:tabs>
          <w:tab w:val="right" w:leader="dot" w:pos="8306"/>
        </w:tabs>
      </w:pPr>
      <w:hyperlink w:anchor="_Toc9173" w:history="1">
        <w:r>
          <w:rPr>
            <w:rFonts w:ascii="仿宋" w:eastAsia="仿宋" w:hAnsi="仿宋" w:cs="仿宋" w:hint="eastAsia"/>
            <w:lang w:eastAsia="zh-CN"/>
          </w:rPr>
          <w:t>(二)、风险分类</w:t>
        </w:r>
        <w:r>
          <w:tab/>
        </w:r>
        <w:r>
          <w:fldChar w:fldCharType="begin"/>
        </w:r>
        <w:r>
          <w:instrText xml:space="preserve"> PAGEREF _Toc9173 \h </w:instrText>
        </w:r>
        <w:r>
          <w:fldChar w:fldCharType="separate"/>
        </w:r>
        <w:r>
          <w:t>58</w:t>
        </w:r>
        <w:r>
          <w:fldChar w:fldCharType="end"/>
        </w:r>
      </w:hyperlink>
    </w:p>
    <w:p>
      <w:pPr>
        <w:pStyle w:val="TOC1"/>
        <w:tabs>
          <w:tab w:val="right" w:leader="dot" w:pos="8306"/>
        </w:tabs>
      </w:pPr>
      <w:hyperlink w:anchor="_Toc18970" w:history="1">
        <w:r>
          <w:rPr>
            <w:rFonts w:ascii="仿宋" w:eastAsia="仿宋" w:hAnsi="仿宋" w:cs="仿宋" w:hint="eastAsia"/>
            <w:lang w:eastAsia="zh-CN"/>
          </w:rPr>
          <w:t>十五、利益相关者分析与沟通计划</w:t>
        </w:r>
        <w:r>
          <w:tab/>
        </w:r>
        <w:r>
          <w:fldChar w:fldCharType="begin"/>
        </w:r>
        <w:r>
          <w:instrText xml:space="preserve"> PAGEREF _Toc18970 \h </w:instrText>
        </w:r>
        <w:r>
          <w:fldChar w:fldCharType="separate"/>
        </w:r>
        <w:r>
          <w:t>60</w:t>
        </w:r>
        <w:r>
          <w:fldChar w:fldCharType="end"/>
        </w:r>
      </w:hyperlink>
    </w:p>
    <w:p>
      <w:pPr>
        <w:pStyle w:val="TOC2"/>
        <w:tabs>
          <w:tab w:val="right" w:leader="dot" w:pos="8306"/>
        </w:tabs>
      </w:pPr>
      <w:hyperlink w:anchor="_Toc26653" w:history="1">
        <w:r>
          <w:rPr>
            <w:rFonts w:ascii="仿宋" w:eastAsia="仿宋" w:hAnsi="仿宋" w:cs="仿宋" w:hint="eastAsia"/>
            <w:lang w:eastAsia="zh-CN"/>
          </w:rPr>
          <w:t>(一)、利益相关者分析</w:t>
        </w:r>
        <w:r>
          <w:tab/>
        </w:r>
        <w:r>
          <w:fldChar w:fldCharType="begin"/>
        </w:r>
        <w:r>
          <w:instrText xml:space="preserve"> PAGEREF _Toc26653 \h </w:instrText>
        </w:r>
        <w:r>
          <w:fldChar w:fldCharType="separate"/>
        </w:r>
        <w:r>
          <w:t>60</w:t>
        </w:r>
        <w:r>
          <w:fldChar w:fldCharType="end"/>
        </w:r>
      </w:hyperlink>
    </w:p>
    <w:p>
      <w:pPr>
        <w:pStyle w:val="TOC2"/>
        <w:tabs>
          <w:tab w:val="right" w:leader="dot" w:pos="8306"/>
        </w:tabs>
      </w:pPr>
      <w:hyperlink w:anchor="_Toc25866" w:history="1">
        <w:r>
          <w:rPr>
            <w:rFonts w:ascii="仿宋" w:eastAsia="仿宋" w:hAnsi="仿宋" w:cs="仿宋" w:hint="eastAsia"/>
            <w:lang w:eastAsia="zh-CN"/>
          </w:rPr>
          <w:t>(二)、沟通计划</w:t>
        </w:r>
        <w:r>
          <w:tab/>
        </w:r>
        <w:r>
          <w:fldChar w:fldCharType="begin"/>
        </w:r>
        <w:r>
          <w:instrText xml:space="preserve"> PAGEREF _Toc25866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3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277"/>
      <w:r>
        <w:rPr>
          <w:rFonts w:ascii="仿宋" w:eastAsia="仿宋" w:hAnsi="仿宋" w:cs="仿宋" w:hint="eastAsia"/>
          <w:lang w:eastAsia="zh-CN"/>
        </w:rPr>
        <w:t>(一)、NOX、NO2自动采样器及测定仪行业分析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行业一直以来都是市场的关注焦点。行业内的发展趋势、竞争态势以及潜在机会都对NOX、NO2自动采样器及测定仪项目的推进产生深远的影响。通过深入研究行业的整体概貌，我们将更好地理解行业的核心特征，为NOX、NO2自动采样器及测定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NOX、NO2自动采样器及测定仪行业，技术一直是推动创新和发展的关键因素。我们将对当前技术趋势进行详尽分析，包括但不限于人工智能、大数据应用、先进制造技术等。这有助于NOX、NO2自动采样器及测定仪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NOX、NO2自动采样器及测定仪项目成功的基础。我们将对主要竞争对手进行深入研究，包括其市场份额、产品特点、市场定位等。通过全面了解竞争对手的优势和劣势，NOX、NO2自动采样器及测定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821"/>
      <w:r>
        <w:rPr>
          <w:rFonts w:ascii="仿宋" w:eastAsia="仿宋" w:hAnsi="仿宋" w:cs="仿宋" w:hint="eastAsia"/>
          <w:sz w:val="28"/>
          <w:lang w:eastAsia="zh-CN"/>
        </w:rPr>
        <w:t>(二)、NOX、NO2自动采样器及测定仪市场分析预测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NOX、NO2自动采样器及测定仪市场未来的增长趋势。这包括市场的整体规模、各细分领域的发展趋势等。NOX、NO2自动采样器及测定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NOX、NO2自动采样器及测定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NOX、NO2自动采样器及测定仪项目实施过程中需要充分考虑的因素。我们将对市场风险进行全面评估，包括但不限于政策法规风险、市场竞争风险、技术变革风险等。通过对潜在风险的深入分析，NOX、NO2自动采样器及测定仪项目可以制定相应的风险缓解策略，降低不确定性对NOX、NO2自动采样器及测定仪项目的影响。</w:t>
      </w:r>
    </w:p>
    <w:p>
      <w:pPr>
        <w:pStyle w:val="Heading1"/>
        <w:ind w:firstLine="560" w:firstLineChars="200"/>
        <w:rPr>
          <w:rFonts w:ascii="仿宋" w:eastAsia="仿宋" w:hAnsi="仿宋" w:cs="仿宋" w:hint="eastAsia"/>
          <w:sz w:val="28"/>
          <w:lang w:eastAsia="zh-CN"/>
        </w:rPr>
      </w:pPr>
      <w:bookmarkStart w:id="5" w:name="_Toc1425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61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的技术管理特点体现在其创新导向。通过引入最先进的技术趋势和解决方案，NOX、NO2自动采样器及测定仪项目致力于提升科技含量、提高质量和效率水平。这意味着我们将采用最新的工具和方法，确保NOX、NO2自动采样器及测定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NOX、NO2自动采样器及测定仪项目技术管理的显著特征。通过整合不同领域的技术资源，我们实现了跨学科的协同工作。这有助于优化技术架构，提高整体效能。此外，整合性策略还促进了不同技术团队之间的紧密沟通和高效合作，确保NOX、NO2自动采样器及测定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NOX、NO2自动采样器及测定仪项目所采用的技术。通过不断优化技术方案，NOX、NO2自动采样器及测定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NOX、NO2自动采样器及测定仪项目团队将在NOX、NO2自动采样器及测定仪项目初期识别可能的技术风险，并采取相应的预防和应对措施。通过建立健全的风险评估机制，NOX、NO2自动采样器及测定仪项目能够在实施过程中及时发现并解决潜在的技术问题，保障NOX、NO2自动采样器及测定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NOX、NO2自动采样器及测定仪项目中，技术将成为NOX、NO2自动采样器及测定仪项目成功的有力支持。这一深度剖析揭示了技术管理在NOX、NO2自动采样器及测定仪项目实施中的关键作用，为NOX、NO2自动采样器及测定仪项目的技术基础奠定了坚实的基础。</w:t>
      </w:r>
    </w:p>
    <w:p>
      <w:pPr>
        <w:pStyle w:val="Heading2"/>
        <w:ind w:firstLine="560" w:firstLineChars="200"/>
        <w:rPr>
          <w:rFonts w:ascii="仿宋" w:eastAsia="仿宋" w:hAnsi="仿宋" w:cs="仿宋" w:hint="eastAsia"/>
          <w:sz w:val="28"/>
          <w:lang w:eastAsia="zh-CN"/>
        </w:rPr>
      </w:pPr>
      <w:bookmarkStart w:id="7" w:name="_Toc11031"/>
      <w:r>
        <w:rPr>
          <w:rFonts w:ascii="仿宋" w:eastAsia="仿宋" w:hAnsi="仿宋" w:cs="仿宋" w:hint="eastAsia"/>
          <w:sz w:val="28"/>
          <w:lang w:eastAsia="zh-CN"/>
        </w:rPr>
        <w:t>(二)、NOX、NO2自动采样器及测定仪项目工艺技术设计方案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NOX、NO2自动采样器及测定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NOX、NO2自动采样器及测定仪项目将严格按照相关行业规范要求进行组织。通过有效控制产品质量，NOX、NO2自动采样器及测定仪项目将致力于为顾客提供优质的NOX、NO2自动采样器及测定仪项目产品和良好的服务。这体现了NOX、NO2自动采样器及测定仪项目对于生产活动合规性和质量标准的高度重视，为NOX、NO2自动采样器及测定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NOX、NO2自动采样器及测定仪项目注重生态效益和清洁生产原则。NOX、NO2自动采样器及测定仪项目建设将紧密结合地方特色经济发展，与社会经济发展规划和区域环境保护规划方案相协调一致。通过与当地区域自然生态系统的结合，NOX、NO2自动采样器及测定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NOX、NO2自动采样器及测定仪项目产品具有多样化的客户需求和个性化的特点。因此，NOX、NO2自动采样器及测定仪项目产品规格品种多样，且单批生产数量较小。为满足这一特点，NOX、NO2自动采样器及测定仪项目承办单位将建设先进的柔性制造生产线。通过广泛应用柔性制造技术，NOX、NO2自动采样器及测定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NOX、NO2自动采样器及测定仪项目采用的技术具有较高的技术含量和自动化水平，处于国内先进水平。这一技术选用不仅体现了对生产效率、质量和环境友好性的高标准要求，同时为NOX、NO2自动采样器及测定仪项目的可持续发展奠定了坚实的基础。</w:t>
      </w:r>
    </w:p>
    <w:p>
      <w:pPr>
        <w:pStyle w:val="Heading2"/>
        <w:ind w:firstLine="560" w:firstLineChars="200"/>
        <w:rPr>
          <w:rFonts w:ascii="仿宋" w:eastAsia="仿宋" w:hAnsi="仿宋" w:cs="仿宋" w:hint="eastAsia"/>
          <w:sz w:val="28"/>
          <w:lang w:eastAsia="zh-CN"/>
        </w:rPr>
      </w:pPr>
      <w:bookmarkStart w:id="8" w:name="_Toc3100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为确保NOX、NO2自动采样器及测定仪项目的高效生产和技术实施，我们制定了一套精心设计的设备选型方案，以满足NOX、NO2自动采样器及测定仪项目生产、质量和环保的要求。该方案的主要特点如下：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NOX、NO2自动采样器及测定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NOX、NO2自动采样器及测定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111"/>
      <w:r>
        <w:rPr>
          <w:rFonts w:ascii="仿宋" w:eastAsia="仿宋" w:hAnsi="仿宋" w:cs="仿宋" w:hint="eastAsia"/>
          <w:sz w:val="28"/>
          <w:lang w:eastAsia="zh-CN"/>
        </w:rPr>
        <w:t>三、NOX、NO2自动采样器及测定仪项目建设单位说明</w:t>
      </w:r>
      <w:bookmarkEnd w:id="9"/>
    </w:p>
    <w:p>
      <w:pPr>
        <w:pStyle w:val="Heading2"/>
        <w:rPr>
          <w:rFonts w:ascii="仿宋" w:eastAsia="仿宋" w:hAnsi="仿宋" w:cs="仿宋" w:hint="eastAsia"/>
          <w:lang w:eastAsia="zh-CN"/>
        </w:rPr>
      </w:pPr>
      <w:bookmarkStart w:id="10" w:name="_Toc4644"/>
      <w:r>
        <w:rPr>
          <w:rFonts w:ascii="仿宋" w:eastAsia="仿宋" w:hAnsi="仿宋" w:cs="仿宋" w:hint="eastAsia"/>
          <w:lang w:eastAsia="zh-CN"/>
        </w:rPr>
        <w:t>(一)、NOX、NO2自动采样器及测定仪项目承办单位基本情况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336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NOX、NO2自动采样器及测定仪项目承办单位的XXXX，我们着眼于实现可持续的经济效益。通过技术创新和解决方案的提供，公司预计在NOX、NO2自动采样器及测定仪项目执行期间将获得可观的收入增长。这一收入来源主要包括NOX、NO2自动采样器及测定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同时，我们注重成本控制和效率提升，以确保NOX、NO2自动采样器及测定仪项目的可持续盈利。透过精细的管理和资源优化，公司期望实现NOX、NO2自动采样器及测定仪项目利润最大化。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NOX、NO2自动采样器及测定仪项目实施进行全面的投资评估，包括NOX、NO2自动采样器及测定仪项目启动阶段的资金投入和后续运营成本。通过对NOX、NO2自动采样器及测定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NOX、NO2自动采样器及测定仪项目实施过程中具备足够的资金流动性，公司将进行详尽的现金流分析。这包括资金需求的合理预测、NOX、NO2自动采样器及测定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570"/>
      <w:r>
        <w:rPr>
          <w:rFonts w:ascii="仿宋" w:eastAsia="仿宋" w:hAnsi="仿宋" w:cs="仿宋" w:hint="eastAsia"/>
          <w:sz w:val="28"/>
          <w:lang w:eastAsia="zh-CN"/>
        </w:rPr>
        <w:t>四、NOX、NO2自动采样器及测定仪项目建设背景及必要性分析</w:t>
      </w:r>
      <w:bookmarkEnd w:id="12"/>
    </w:p>
    <w:p>
      <w:pPr>
        <w:pStyle w:val="Heading2"/>
        <w:rPr>
          <w:rFonts w:ascii="仿宋" w:eastAsia="仿宋" w:hAnsi="仿宋" w:cs="仿宋" w:hint="eastAsia"/>
          <w:lang w:eastAsia="zh-CN"/>
        </w:rPr>
      </w:pPr>
      <w:bookmarkStart w:id="13" w:name="_Toc28933"/>
      <w:r>
        <w:rPr>
          <w:rFonts w:ascii="仿宋" w:eastAsia="仿宋" w:hAnsi="仿宋" w:cs="仿宋" w:hint="eastAsia"/>
          <w:lang w:eastAsia="zh-CN"/>
        </w:rPr>
        <w:t>(一)、NOX、NO2自动采样器及测定仪项目背景分析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NOX、NO2自动采样器及测定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NOX、NO2自动采样器及测定仪项目在这个潮流中的定位。同时，我们将关注行业内涌现的新兴机遇，以便NOX、NO2自动采样器及测定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NOX、NO2自动采样器及测定仪项目提供了强大的发展动力。我们将聚焦于行业内最新的技术发展趋势，包括但不限于人工智能、大数据分析、物联网等领域。通过深度的技术研究，我们将确保NOX、NO2自动采样器及测定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NOX、NO2自动采样器及测定仪项目发展的源泉。我们将投入更多的精力对市场需求进行深入剖析，超越表面的需求，深入挖掘潜在的市场痛点和机遇。通过对市场需求的细致了解，NOX、NO2自动采样器及测定仪项目将更有针对性地设计解决方案，满足市场的多样化需求，从而更好地促进NOX、NO2自动采样器及测定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NOX、NO2自动采样器及测定仪项目战略至关重要。我们将对竞争态势进行更为深入的分析，包括但不限于市场份额、产品特点、客户满意度等多个维度。通过深度的竞争分析，NOX、NO2自动采样器及测定仪项目将能够更准确地把握市场脉搏，制定具有竞争力的NOX、NO2自动采样器及测定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NOX、NO2自动采样器及测定仪项目的发展具有直接的影响。我们将进行更为全面的法规和政策分析，了解行业发展中的潜在法律风险和合规挑战。通过充分了解和遵守相关法规，NOX、NO2自动采样器及测定仪项目将确保在法律框架内合法合规运营，为NOX、NO2自动采样器及测定仪项目的稳健发展提供有力支持。</w:t>
      </w:r>
    </w:p>
    <w:p>
      <w:pPr>
        <w:pStyle w:val="Heading2"/>
        <w:ind w:firstLine="560" w:firstLineChars="200"/>
        <w:rPr>
          <w:rFonts w:ascii="仿宋" w:eastAsia="仿宋" w:hAnsi="仿宋" w:cs="仿宋" w:hint="eastAsia"/>
          <w:sz w:val="28"/>
          <w:lang w:eastAsia="zh-CN"/>
        </w:rPr>
      </w:pPr>
      <w:bookmarkStart w:id="14" w:name="_Toc3430"/>
      <w:r>
        <w:rPr>
          <w:rFonts w:ascii="仿宋" w:eastAsia="仿宋" w:hAnsi="仿宋" w:cs="仿宋" w:hint="eastAsia"/>
          <w:sz w:val="28"/>
          <w:lang w:eastAsia="zh-CN"/>
        </w:rPr>
        <w:t>(二)、NOX、NO2自动采样器及测定仪项目建设必要性分析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建设的迫切性源于对行业发展趋势的深刻洞察。我们正处于一个行业变革的时代，科技创新、数字化转型成为企业发展的关键动力。NOX、NO2自动采样器及测定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建设不仅仅是为了跟上潮流，更是为了通过技术创新推动企业的持续发展。通过引入先进的技术和解决方案，NOX、NO2自动采样器及测定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NOX、NO2自动采样器及测定仪项目的建设成为必然选择，通过提高产品质量、拓展服务领域，从而在竞争中获得更多的机会。NOX、NO2自动采样器及测定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NOX、NO2自动采样器及测定仪项目建设的必要性体现在对客户需求更精准的满足。通过NOX、NO2自动采样器及测定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建设的背后是对企业持续创新的追求。只有通过不断创新，企业才能在竞争中立于不败之地。NOX、NO2自动采样器及测定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5544"/>
      <w:r>
        <w:rPr>
          <w:rFonts w:ascii="仿宋" w:eastAsia="仿宋" w:hAnsi="仿宋" w:cs="仿宋" w:hint="eastAsia"/>
          <w:sz w:val="28"/>
          <w:lang w:eastAsia="zh-CN"/>
        </w:rPr>
        <w:t>五、NOX、NO2自动采样器及测定仪项目可持续发展</w:t>
      </w:r>
      <w:bookmarkEnd w:id="15"/>
    </w:p>
    <w:p>
      <w:pPr>
        <w:pStyle w:val="Heading2"/>
        <w:rPr>
          <w:rFonts w:ascii="仿宋" w:eastAsia="仿宋" w:hAnsi="仿宋" w:cs="仿宋" w:hint="eastAsia"/>
          <w:lang w:eastAsia="zh-CN"/>
        </w:rPr>
      </w:pPr>
      <w:bookmarkStart w:id="16" w:name="_Toc2022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NOX、NO2自动采样器及测定仪项目中，NOX、NO2自动采样器及测定仪项目团队着眼于未来，明确了可持续发展的战略方向。制定的具体可持续发展目标包括降低资源使用、采用环保技术、最大化社会效益等。这一步骤不仅有助于NOX、NO2自动采样器及测定仪项目在环保和社会责任方面达到最高标准，也为未来提供了明确的指引，确保NOX、NO2自动采样器及测定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可持续实践的融入NOX、NO2自动采样器及测定仪项目管理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NOX、NO2自动采样器及测定仪项目管理周期。从NOX、NO2自动采样器及测定仪项目规划开始，NOX、NO2自动采样器及测定仪项目团队就考虑了环境和社会的因素。在执行阶段，NOX、NO2自动采样器及测定仪项目团队积极推动绿色技术的应用，优化资源利用。此外，关注员工的社会责任，通过培训和沟通活动提高员工对可持续发展的认知，使他们能够在日常工作中践行可持续实践。这些举措不仅为NOX、NO2自动采样器及测定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16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NOX、NO2自动采样器及测定仪项目的可持续发展理念，我们深信环保与社会责任是NOX、NO2自动采样器及测定仪项目成功的关键支柱。在NOX、NO2自动采样器及测定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团队通过引入先进的环保技术、建立高效的废物处理系统以及推动能源节约措施，积极履行环保责任。定期的环保监测和评估确保NOX、NO2自动采样器及测定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NOX、NO2自动采样器及测定仪项目不仅致力于自身可持续发展，还注重对社会的回馈。通过支持社区NOX、NO2自动采样器及测定仪项目、参与慈善事业、提供培训机会等方式，NOX、NO2自动采样器及测定仪项目积极履行社会责任。与当地社区建立积极互动，关注员工的工作与生活平衡，以及员工的身心健康，是NOX、NO2自动采样器及测定仪项目在社会责任层面的关键举措。这样的实践不仅增强了NOX、NO2自动采样器及测定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8180"/>
      <w:r>
        <w:rPr>
          <w:rFonts w:ascii="仿宋" w:eastAsia="仿宋" w:hAnsi="仿宋" w:cs="仿宋" w:hint="eastAsia"/>
          <w:sz w:val="28"/>
          <w:lang w:eastAsia="zh-CN"/>
        </w:rPr>
        <w:t>六、NOX、NO2自动采样器及测定仪项目土建工程</w:t>
      </w:r>
      <w:bookmarkEnd w:id="18"/>
    </w:p>
    <w:p>
      <w:pPr>
        <w:pStyle w:val="Heading2"/>
        <w:rPr>
          <w:rFonts w:ascii="仿宋" w:eastAsia="仿宋" w:hAnsi="仿宋" w:cs="仿宋" w:hint="eastAsia"/>
          <w:lang w:eastAsia="zh-CN"/>
        </w:rPr>
      </w:pPr>
      <w:bookmarkStart w:id="19" w:name="_Toc2848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在NOX、NO2自动采样器及测定仪项目的建筑工程设计中，我们将秉承一系列重要的设计原则，以确保NOX、NO2自动采样器及测定仪项目建筑在功能、美观、可持续性等方面达到最佳效果。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首要原则是确保建筑的功能性得到最大化的发挥。我们将充分理解NOX、NO2自动采样器及测定仪项目的实际需求，合理布局各个功能区域，保证建筑在满足业务需求的同时，提供高效的工作环境。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https://d.book118.com/657164053134006052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NOX、NO2自动采样器及测定仪项目计划设计方案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377E6"/>
    <w:rsid w:val="721377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164053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2024-03-01T13:51:00Z</dcterms:created>
  <dcterms:modified xsi:type="dcterms:W3CDTF">2024-03-01T13:52:11Z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B7355304AA444D93A2040E68D1F11AAE_11</vt:lpwstr>
  </property>
  <property fmtid="{D5CDD505-2E9C-101B-9397-08002B2CF9AE}" pid="3" name="KSOProductBuildVer">
    <vt:lpwstr>2052-12.1.0.16388</vt:lpwstr>
  </property>
</Properties>
</file>