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宋体" w:hAnsi="宋体" w:hint="eastAsia"/>
          <w:b/>
          <w:sz w:val="32"/>
          <w:szCs w:val="32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3200" w:firstLineChars="1000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施工组织设计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3200" w:firstLineChars="1000"/>
        <w:rPr>
          <w:rFonts w:ascii="宋体" w:hAnsi="宋体" w:hint="eastAsia"/>
          <w:b/>
          <w:sz w:val="32"/>
          <w:szCs w:val="32"/>
        </w:rPr>
      </w:pP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1．应依据招标文件和对现场的勘察状况，采纳文字并结合图表形式，参考以下要点编制本工程的施工组织设计：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（1）施工方案及技术措施；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（2）质量保证措施和创优支配；</w:t>
      </w:r>
    </w:p>
    <w:p>
      <w:pPr>
        <w:spacing w:line="420" w:lineRule="exact"/>
        <w:ind w:left="1080" w:hanging="600" w:leftChars="200" w:hanging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（3）施工总进度支配及保证措施（包括以横道图或标明关键线路的网络进度支配、保障进度支配须要的主要施工机械设备、劳动力需求支配及保证措施、材料设备进场支配及其他保证措施等）；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（4）施工平安措施支配；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（5）文明施工措施支配；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（6）施工场地治安保卫管理支配；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（7）施工环保措施支配；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（8）冬季和雨季施工方案；</w:t>
      </w:r>
    </w:p>
    <w:p>
      <w:pPr>
        <w:spacing w:line="420" w:lineRule="exact"/>
        <w:ind w:left="1080" w:hanging="600" w:leftChars="200" w:hanging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9）施工现场总平面布置（投标人应递交一份施工总平面图，绘出现场临时设施布置图表并附文字说明，说明临时设施、加工车间、现场办公、设备及仓储、供电、供水、卫生、生活、道路、消防等设施的状况和布置）；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2施工组织设计除采纳文字表述外可附下列图表，图表及格式要求附后。 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附表一  拟投入本工程的主要施工设备表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附表二  拟配备本工程的试验和检测仪器设备表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附表三  劳动力支配表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附表四  支配开、竣工日期和施工进度网络图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附表五  施工总平面图</w:t>
      </w: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</w:p>
    <w:p>
      <w:pPr>
        <w:spacing w:line="420" w:lineRule="exact"/>
        <w:ind w:firstLine="480" w:firstLineChars="200"/>
        <w:rPr>
          <w:rFonts w:ascii="宋体" w:hAnsi="宋体" w:hint="eastAsia"/>
          <w:szCs w:val="21"/>
        </w:rPr>
      </w:pPr>
    </w:p>
    <w:p>
      <w:pPr>
        <w:spacing w:line="480" w:lineRule="exact"/>
        <w:rPr>
          <w:rFonts w:ascii="宋体" w:hAnsi="宋体" w:hint="eastAsia"/>
        </w:rPr>
      </w:pPr>
    </w:p>
    <w:p>
      <w:pPr>
        <w:spacing w:line="480" w:lineRule="exact"/>
        <w:rPr>
          <w:rFonts w:ascii="宋体" w:hAnsi="宋体" w:hint="eastAsia"/>
        </w:rPr>
      </w:pPr>
    </w:p>
    <w:p>
      <w:pPr>
        <w:spacing w:line="480" w:lineRule="exact"/>
        <w:rPr>
          <w:rFonts w:ascii="宋体" w:hAnsi="宋体" w:hint="eastAsia"/>
        </w:rPr>
      </w:pPr>
    </w:p>
    <w:p>
      <w:pPr>
        <w:spacing w:line="480" w:lineRule="exact"/>
        <w:rPr>
          <w:rFonts w:ascii="宋体" w:hAnsi="宋体" w:hint="eastAsia"/>
        </w:rPr>
        <w:sectPr>
          <w:pgSz w:w="11906" w:h="16838"/>
          <w:pgMar w:top="1418" w:right="1418" w:bottom="1418" w:left="1644" w:header="851" w:footer="992" w:gutter="0"/>
          <w:cols w:space="708"/>
          <w:docGrid w:linePitch="312"/>
        </w:sectPr>
      </w:pPr>
    </w:p>
    <w:p>
      <w:pPr>
        <w:pStyle w:val="PlainText"/>
        <w:spacing w:line="600" w:lineRule="exact"/>
        <w:rPr>
          <w:rFonts w:eastAsia="黑体" w:hint="eastAsia"/>
          <w:bCs/>
          <w:color w:val="000000"/>
          <w:sz w:val="48"/>
          <w:szCs w:val="48"/>
        </w:rPr>
      </w:pPr>
    </w:p>
    <w:p>
      <w:pPr>
        <w:pStyle w:val="PlainText"/>
        <w:spacing w:line="600" w:lineRule="exact"/>
        <w:jc w:val="center"/>
        <w:rPr>
          <w:rFonts w:eastAsia="黑体" w:hint="eastAsia"/>
          <w:bCs/>
          <w:color w:val="000000"/>
          <w:sz w:val="48"/>
          <w:szCs w:val="48"/>
        </w:rPr>
      </w:pPr>
    </w:p>
    <w:p>
      <w:pPr>
        <w:pStyle w:val="PlainText"/>
        <w:spacing w:line="600" w:lineRule="exact"/>
        <w:jc w:val="center"/>
        <w:rPr>
          <w:rFonts w:ascii="宋体" w:eastAsia="黑体" w:hAnsi="宋体" w:hint="eastAsia"/>
          <w:sz w:val="52"/>
          <w:szCs w:val="52"/>
        </w:rPr>
      </w:pPr>
      <w:r>
        <w:rPr>
          <w:rFonts w:ascii="宋体" w:eastAsia="黑体" w:hAnsi="宋体" w:hint="eastAsia"/>
          <w:sz w:val="52"/>
          <w:szCs w:val="52"/>
        </w:rPr>
        <w:t>吴忠市太阳山移民开发区2014年小城镇建设改造项目四标段</w:t>
      </w:r>
    </w:p>
    <w:p>
      <w:pPr>
        <w:pStyle w:val="PlainText"/>
        <w:spacing w:line="600" w:lineRule="exact"/>
        <w:jc w:val="center"/>
        <w:rPr>
          <w:rFonts w:ascii="宋体" w:eastAsia="黑体" w:hAnsi="宋体" w:hint="eastAsia"/>
          <w:sz w:val="52"/>
          <w:szCs w:val="52"/>
        </w:rPr>
      </w:pPr>
    </w:p>
    <w:p>
      <w:pPr>
        <w:pStyle w:val="PlainText"/>
        <w:spacing w:line="600" w:lineRule="exact"/>
        <w:rPr>
          <w:rFonts w:ascii="宋体" w:eastAsia="黑体" w:hAnsi="宋体" w:hint="eastAsia"/>
          <w:sz w:val="48"/>
          <w:szCs w:val="48"/>
        </w:rPr>
      </w:pPr>
    </w:p>
    <w:p>
      <w:pPr>
        <w:pStyle w:val="PlainText"/>
        <w:spacing w:line="600" w:lineRule="exact"/>
        <w:rPr>
          <w:rFonts w:ascii="宋体" w:eastAsia="黑体" w:hAnsi="宋体" w:hint="eastAsia"/>
          <w:sz w:val="48"/>
          <w:szCs w:val="48"/>
        </w:rPr>
      </w:pPr>
    </w:p>
    <w:p>
      <w:pPr>
        <w:pStyle w:val="PlainText"/>
        <w:spacing w:line="600" w:lineRule="exact"/>
        <w:jc w:val="center"/>
        <w:rPr>
          <w:rFonts w:ascii="宋体" w:eastAsia="黑体" w:hAnsi="宋体" w:hint="eastAsia"/>
          <w:sz w:val="52"/>
          <w:szCs w:val="52"/>
        </w:rPr>
      </w:pPr>
      <w:r>
        <w:rPr>
          <w:rFonts w:ascii="宋体" w:eastAsia="黑体" w:hAnsi="宋体" w:hint="eastAsia"/>
          <w:sz w:val="52"/>
          <w:szCs w:val="52"/>
        </w:rPr>
        <w:t>施</w:t>
      </w:r>
    </w:p>
    <w:p>
      <w:pPr>
        <w:pStyle w:val="PlainText"/>
        <w:spacing w:line="600" w:lineRule="exact"/>
        <w:jc w:val="center"/>
        <w:rPr>
          <w:rFonts w:ascii="宋体" w:eastAsia="黑体" w:hAnsi="宋体" w:hint="eastAsia"/>
          <w:sz w:val="52"/>
          <w:szCs w:val="52"/>
        </w:rPr>
      </w:pPr>
      <w:r>
        <w:rPr>
          <w:rFonts w:ascii="宋体" w:eastAsia="黑体" w:hAnsi="宋体" w:hint="eastAsia"/>
          <w:sz w:val="52"/>
          <w:szCs w:val="52"/>
        </w:rPr>
        <w:t>工</w:t>
      </w:r>
    </w:p>
    <w:p>
      <w:pPr>
        <w:pStyle w:val="PlainText"/>
        <w:spacing w:line="600" w:lineRule="exact"/>
        <w:jc w:val="center"/>
        <w:rPr>
          <w:rFonts w:ascii="宋体" w:eastAsia="黑体" w:hAnsi="宋体" w:hint="eastAsia"/>
          <w:sz w:val="52"/>
          <w:szCs w:val="52"/>
        </w:rPr>
      </w:pPr>
      <w:r>
        <w:rPr>
          <w:rFonts w:ascii="宋体" w:eastAsia="黑体" w:hAnsi="宋体" w:hint="eastAsia"/>
          <w:sz w:val="52"/>
          <w:szCs w:val="52"/>
        </w:rPr>
        <w:t>组</w:t>
      </w:r>
    </w:p>
    <w:p>
      <w:pPr>
        <w:pStyle w:val="PlainText"/>
        <w:spacing w:line="600" w:lineRule="exact"/>
        <w:jc w:val="center"/>
        <w:rPr>
          <w:rFonts w:ascii="宋体" w:eastAsia="黑体" w:hAnsi="宋体" w:hint="eastAsia"/>
          <w:sz w:val="52"/>
          <w:szCs w:val="52"/>
        </w:rPr>
      </w:pPr>
      <w:r>
        <w:rPr>
          <w:rFonts w:ascii="宋体" w:eastAsia="黑体" w:hAnsi="宋体" w:hint="eastAsia"/>
          <w:sz w:val="52"/>
          <w:szCs w:val="52"/>
        </w:rPr>
        <w:t>织</w:t>
      </w:r>
    </w:p>
    <w:p>
      <w:pPr>
        <w:pStyle w:val="PlainText"/>
        <w:spacing w:line="600" w:lineRule="exact"/>
        <w:ind w:firstLine="3900" w:firstLineChars="750"/>
        <w:rPr>
          <w:rFonts w:ascii="宋体" w:eastAsia="黑体" w:hAnsi="宋体" w:hint="eastAsia"/>
          <w:sz w:val="52"/>
          <w:szCs w:val="52"/>
        </w:rPr>
      </w:pPr>
      <w:r>
        <w:rPr>
          <w:rFonts w:ascii="宋体" w:eastAsia="黑体" w:hAnsi="宋体" w:hint="eastAsia"/>
          <w:sz w:val="52"/>
          <w:szCs w:val="52"/>
        </w:rPr>
        <w:t xml:space="preserve"> 设</w:t>
      </w:r>
    </w:p>
    <w:p>
      <w:pPr>
        <w:pStyle w:val="PlainText"/>
        <w:spacing w:line="600" w:lineRule="exact"/>
        <w:ind w:firstLine="3900" w:firstLineChars="750"/>
        <w:rPr>
          <w:rFonts w:ascii="宋体" w:eastAsia="黑体" w:hAnsi="宋体" w:hint="eastAsia"/>
          <w:sz w:val="52"/>
          <w:szCs w:val="52"/>
        </w:rPr>
      </w:pPr>
      <w:r>
        <w:rPr>
          <w:rFonts w:ascii="宋体" w:eastAsia="黑体" w:hAnsi="宋体" w:hint="eastAsia"/>
          <w:sz w:val="52"/>
          <w:szCs w:val="52"/>
        </w:rPr>
        <w:t xml:space="preserve"> 计</w:t>
      </w:r>
    </w:p>
    <w:p>
      <w:pPr>
        <w:pStyle w:val="PlainText"/>
        <w:spacing w:line="600" w:lineRule="exact"/>
        <w:ind w:firstLine="3900" w:firstLineChars="750"/>
        <w:rPr>
          <w:rFonts w:ascii="宋体" w:eastAsia="黑体" w:hAnsi="宋体" w:hint="eastAsia"/>
          <w:sz w:val="52"/>
          <w:szCs w:val="52"/>
        </w:rPr>
      </w:pPr>
    </w:p>
    <w:p>
      <w:pPr>
        <w:pStyle w:val="PlainText"/>
        <w:spacing w:line="600" w:lineRule="exact"/>
        <w:ind w:firstLine="3900" w:firstLineChars="750"/>
        <w:rPr>
          <w:rFonts w:ascii="宋体" w:eastAsia="黑体" w:hAnsi="宋体" w:hint="eastAsia"/>
          <w:sz w:val="52"/>
          <w:szCs w:val="52"/>
        </w:rPr>
      </w:pPr>
    </w:p>
    <w:p>
      <w:pPr>
        <w:pStyle w:val="PlainText"/>
        <w:spacing w:line="600" w:lineRule="exact"/>
        <w:ind w:firstLine="1760" w:firstLineChars="400"/>
        <w:rPr>
          <w:rFonts w:ascii="宋体" w:eastAsia="黑体" w:hAnsi="宋体" w:hint="eastAsia"/>
          <w:sz w:val="44"/>
          <w:szCs w:val="44"/>
        </w:rPr>
      </w:pPr>
    </w:p>
    <w:p>
      <w:pPr>
        <w:pStyle w:val="PlainText"/>
        <w:spacing w:line="600" w:lineRule="exact"/>
        <w:ind w:firstLine="1760" w:firstLineChars="400"/>
        <w:rPr>
          <w:rFonts w:ascii="宋体" w:eastAsia="黑体" w:hAnsi="宋体" w:hint="eastAsia"/>
          <w:sz w:val="44"/>
          <w:szCs w:val="44"/>
        </w:rPr>
      </w:pPr>
    </w:p>
    <w:p>
      <w:pPr>
        <w:pStyle w:val="PlainText"/>
        <w:spacing w:line="600" w:lineRule="exact"/>
        <w:rPr>
          <w:rFonts w:ascii="宋体" w:eastAsia="黑体" w:hAnsi="宋体" w:hint="eastAsia"/>
          <w:sz w:val="44"/>
          <w:szCs w:val="44"/>
        </w:rPr>
      </w:pPr>
    </w:p>
    <w:p>
      <w:pPr>
        <w:spacing w:line="480" w:lineRule="exact"/>
        <w:rPr>
          <w:rFonts w:ascii="宋体" w:hAnsi="宋体" w:hint="eastAsia"/>
        </w:rPr>
      </w:pPr>
      <w:r>
        <w:rPr>
          <w:rFonts w:ascii="宋体" w:eastAsia="黑体" w:hAnsi="宋体" w:hint="eastAsia"/>
          <w:sz w:val="44"/>
          <w:szCs w:val="44"/>
        </w:rPr>
        <w:t xml:space="preserve">          二〇一四年八月十六日</w:t>
      </w:r>
    </w:p>
    <w:p>
      <w:pPr>
        <w:spacing w:line="480" w:lineRule="exact"/>
        <w:rPr>
          <w:rFonts w:ascii="宋体" w:hAnsi="宋体" w:hint="eastAsia"/>
        </w:rPr>
      </w:pPr>
    </w:p>
    <w:p>
      <w:pPr>
        <w:spacing w:line="480" w:lineRule="exact"/>
        <w:rPr>
          <w:rFonts w:ascii="宋体" w:hAnsi="宋体" w:hint="eastAsia"/>
        </w:rPr>
      </w:pPr>
    </w:p>
    <w:p>
      <w:pPr>
        <w:spacing w:line="400" w:lineRule="exact"/>
        <w:rPr>
          <w:rFonts w:ascii="宋体" w:hAnsi="宋体" w:hint="eastAsia"/>
          <w:b/>
          <w:szCs w:val="28"/>
        </w:rPr>
      </w:pPr>
    </w:p>
    <w:p>
      <w:pPr>
        <w:spacing w:line="400" w:lineRule="exact"/>
        <w:ind w:firstLine="2704" w:firstLineChars="845"/>
        <w:rPr>
          <w:rFonts w:ascii="宋体" w:eastAsia="宋体" w:hAnsi="宋体" w:hint="eastAsia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32"/>
          <w:szCs w:val="32"/>
          <w:lang w:val="en-US" w:eastAsia="zh-CN"/>
        </w:rPr>
        <w:t xml:space="preserve">  目       录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rPr>
          <w:rFonts w:ascii="宋体" w:hAnsi="宋体" w:hint="eastAsia"/>
          <w:b/>
          <w:color w:val="000000"/>
          <w:sz w:val="32"/>
          <w:szCs w:val="32"/>
        </w:rPr>
        <w:sectPr>
          <w:type w:val="nextPage"/>
          <w:pgSz w:w="11906" w:h="16838"/>
          <w:pgMar w:top="1418" w:right="1418" w:bottom="1418" w:left="1644" w:header="851" w:footer="992" w:gutter="0"/>
          <w:pgNumType w:start="2"/>
          <w:cols w:space="708"/>
          <w:titlePg w:val="0"/>
          <w:docGrid w:linePitch="312"/>
        </w:sectPr>
      </w:pPr>
      <w:r>
        <w:rPr>
          <w:rFonts w:ascii="宋体" w:hAnsi="宋体" w:hint="eastAsia"/>
          <w:b/>
          <w:color w:val="000000"/>
          <w:sz w:val="32"/>
          <w:szCs w:val="32"/>
        </w:rPr>
        <w:t>第一章</w:t>
      </w:r>
      <w:r>
        <w:rPr>
          <w:rFonts w:ascii="宋体" w:hAnsi="宋体" w:hint="eastAsia"/>
          <w:b/>
          <w:kern w:val="44"/>
          <w:sz w:val="28"/>
          <w:szCs w:val="28"/>
        </w:rPr>
        <w:t>、编制说明与依据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rPr>
          <w:rFonts w:ascii="宋体" w:hAnsi="宋体" w:hint="eastAsia"/>
          <w:b/>
          <w:kern w:val="44"/>
          <w:sz w:val="28"/>
          <w:szCs w:val="28"/>
        </w:rPr>
      </w:pPr>
      <w:r>
        <w:rPr>
          <w:rFonts w:ascii="宋体" w:hAnsi="宋体" w:hint="eastAsia"/>
          <w:b/>
          <w:kern w:val="44"/>
          <w:sz w:val="28"/>
          <w:szCs w:val="28"/>
        </w:rPr>
        <w:t>其次章、工 程 概 况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rPr>
          <w:rFonts w:ascii="宋体" w:hAnsi="宋体" w:hint="eastAsia"/>
          <w:b/>
          <w:kern w:val="44"/>
          <w:sz w:val="28"/>
          <w:szCs w:val="28"/>
        </w:rPr>
      </w:pPr>
      <w:r>
        <w:rPr>
          <w:rFonts w:ascii="宋体" w:hAnsi="宋体" w:hint="eastAsia"/>
          <w:b/>
          <w:kern w:val="44"/>
          <w:sz w:val="28"/>
          <w:szCs w:val="28"/>
        </w:rPr>
        <w:t>第三章、</w:t>
      </w:r>
      <w:r>
        <w:rPr>
          <w:rFonts w:ascii="宋体" w:hAnsi="宋体" w:hint="eastAsia"/>
          <w:b/>
          <w:bCs/>
          <w:kern w:val="0"/>
          <w:sz w:val="28"/>
          <w:szCs w:val="28"/>
        </w:rPr>
        <w:t>施工组织机构及主要管理人员支配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rPr>
          <w:rFonts w:ascii="宋体" w:hAnsi="宋体" w:hint="eastAsia"/>
          <w:b/>
          <w:bCs/>
          <w:kern w:val="0"/>
          <w:sz w:val="28"/>
          <w:szCs w:val="28"/>
        </w:rPr>
      </w:pPr>
      <w:r>
        <w:rPr>
          <w:rFonts w:ascii="宋体" w:hAnsi="宋体" w:hint="eastAsia"/>
          <w:b/>
          <w:bCs/>
          <w:kern w:val="0"/>
          <w:sz w:val="28"/>
          <w:szCs w:val="28"/>
        </w:rPr>
        <w:t>第四章、工程管理目标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rPr>
          <w:rFonts w:ascii="宋体" w:hAnsi="宋体" w:hint="eastAsia"/>
          <w:b/>
          <w:bCs/>
          <w:kern w:val="0"/>
          <w:sz w:val="28"/>
          <w:szCs w:val="28"/>
        </w:rPr>
      </w:pPr>
      <w:r>
        <w:rPr>
          <w:rFonts w:ascii="宋体" w:hAnsi="宋体" w:hint="eastAsia"/>
          <w:b/>
          <w:bCs/>
          <w:kern w:val="0"/>
          <w:sz w:val="28"/>
          <w:szCs w:val="28"/>
        </w:rPr>
        <w:t>第五章</w:t>
      </w:r>
      <w:r>
        <w:rPr>
          <w:rFonts w:ascii="宋体" w:hAnsi="宋体" w:hint="eastAsia"/>
          <w:b/>
          <w:color w:val="000000"/>
          <w:sz w:val="28"/>
          <w:szCs w:val="28"/>
        </w:rPr>
        <w:t>、施工方案及施工工序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520" w:lineRule="exact"/>
        <w:rPr>
          <w:rFonts w:ascii="宋体" w:hAnsi="宋体" w:hint="eastAsia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32"/>
          <w:szCs w:val="32"/>
        </w:rPr>
        <w:t>第六章、质量保证措施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rPr>
          <w:rFonts w:ascii="宋体" w:hAnsi="宋体" w:hint="eastAsia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第七章、季节性施工措施</w:t>
      </w:r>
    </w:p>
    <w:p>
      <w:pPr>
        <w:spacing w:line="400" w:lineRule="exact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520" w:lineRule="exact"/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第八章、现场施工各项管理措施</w:t>
      </w:r>
    </w:p>
    <w:p>
      <w:pPr>
        <w:spacing w:line="520" w:lineRule="exact"/>
        <w:ind w:firstLine="1140" w:firstLineChars="407"/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 xml:space="preserve">  </w:t>
      </w:r>
    </w:p>
    <w:p>
      <w:pPr>
        <w:spacing w:line="520" w:lineRule="exact"/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第九章、文明施工措施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520" w:lineRule="exact"/>
        <w:jc w:val="both"/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第十章、降低成本措施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rPr>
          <w:rFonts w:ascii="宋体" w:hAnsi="宋体" w:hint="eastAsia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第十一章、工程验收后服务措施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pStyle w:val="Heading1"/>
        <w:spacing w:before="240" w:beforeLines="0"/>
        <w:rPr>
          <w:rFonts w:hint="eastAsia"/>
          <w:color w:val="000000"/>
          <w:kern w:val="2"/>
          <w:szCs w:val="28"/>
        </w:rPr>
      </w:pPr>
      <w:r>
        <w:rPr>
          <w:rFonts w:hint="eastAsia"/>
          <w:color w:val="000000"/>
          <w:kern w:val="2"/>
          <w:szCs w:val="28"/>
        </w:rPr>
        <w:t>第十二章、农夫工工资支付保障措施</w:t>
      </w: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ind w:firstLine="2704" w:firstLineChars="845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rPr>
          <w:rFonts w:ascii="宋体" w:hAnsi="宋体" w:hint="eastAsia"/>
          <w:b/>
          <w:color w:val="000000"/>
          <w:sz w:val="32"/>
          <w:szCs w:val="32"/>
        </w:rPr>
      </w:pPr>
    </w:p>
    <w:p>
      <w:pPr>
        <w:spacing w:line="400" w:lineRule="exact"/>
        <w:ind w:firstLine="2704" w:firstLineChars="845"/>
        <w:rPr>
          <w:rFonts w:ascii="宋体" w:hAnsi="宋体" w:hint="eastAsia"/>
          <w:b/>
          <w:szCs w:val="28"/>
        </w:rPr>
        <w:sectPr>
          <w:type w:val="nextPage"/>
          <w:pgSz w:w="11906" w:h="16838"/>
          <w:pgMar w:top="1418" w:right="1418" w:bottom="1418" w:left="1644" w:header="851" w:footer="992" w:gutter="0"/>
          <w:pgNumType w:start="3"/>
          <w:cols w:space="708"/>
          <w:titlePg w:val="0"/>
          <w:docGrid w:linePitch="312"/>
        </w:sectPr>
      </w:pPr>
      <w:r>
        <w:rPr>
          <w:rFonts w:ascii="宋体" w:hAnsi="宋体" w:hint="eastAsia"/>
          <w:b/>
          <w:color w:val="000000"/>
          <w:sz w:val="32"/>
          <w:szCs w:val="32"/>
        </w:rPr>
        <w:t>第一章</w:t>
      </w:r>
      <w:r>
        <w:rPr>
          <w:rFonts w:ascii="宋体" w:hAnsi="宋体" w:hint="eastAsia"/>
          <w:b/>
          <w:kern w:val="44"/>
          <w:sz w:val="28"/>
          <w:szCs w:val="28"/>
        </w:rPr>
        <w:t>、编制说明与依据</w:t>
      </w:r>
    </w:p>
    <w:p>
      <w:pPr>
        <w:pStyle w:val="Heading1"/>
        <w:spacing w:before="240" w:beforeLines="0"/>
        <w:rPr>
          <w:rFonts w:hint="eastAsia"/>
          <w:szCs w:val="28"/>
        </w:rPr>
      </w:pPr>
      <w:bookmarkStart w:id="0" w:name="_Toc30267"/>
      <w:bookmarkStart w:id="1" w:name="_Toc254874180"/>
      <w:bookmarkStart w:id="2" w:name="_Toc254941689"/>
      <w:bookmarkStart w:id="3" w:name="_Toc14297061"/>
      <w:bookmarkStart w:id="4" w:name="_Toc14297286"/>
      <w:bookmarkStart w:id="5" w:name="_Toc15409449"/>
      <w:bookmarkStart w:id="6" w:name="_Toc15483544"/>
      <w:bookmarkStart w:id="7" w:name="_Toc169362956"/>
      <w:bookmarkStart w:id="8" w:name="_Toc12848764"/>
      <w:bookmarkStart w:id="9" w:name="_Toc12849115"/>
      <w:bookmarkStart w:id="10" w:name="_Toc205643325"/>
      <w:r>
        <w:rPr>
          <w:rFonts w:hint="eastAsia"/>
          <w:szCs w:val="28"/>
        </w:rPr>
        <w:t>1 编制说明与依据</w:t>
      </w:r>
      <w:bookmarkEnd w:id="0"/>
      <w:bookmarkEnd w:id="1"/>
      <w:bookmarkEnd w:id="2"/>
      <w:r>
        <w:rPr>
          <w:rFonts w:hint="eastAsia"/>
          <w:szCs w:val="28"/>
        </w:rPr>
        <w:t xml:space="preserve">                                                                                                                           </w:t>
      </w:r>
    </w:p>
    <w:p>
      <w:pPr>
        <w:pStyle w:val="Heading2"/>
        <w:spacing w:before="0" w:beforeLines="0"/>
        <w:rPr>
          <w:rFonts w:hint="eastAsia"/>
          <w:sz w:val="28"/>
          <w:szCs w:val="28"/>
        </w:rPr>
      </w:pPr>
      <w:bookmarkStart w:id="11" w:name="_Toc254874181"/>
      <w:bookmarkStart w:id="12" w:name="_Toc254941690"/>
      <w:bookmarkStart w:id="13" w:name="_Toc24150"/>
      <w:r>
        <w:rPr>
          <w:rFonts w:hint="eastAsia"/>
          <w:sz w:val="28"/>
          <w:szCs w:val="28"/>
        </w:rPr>
        <w:t>1.1编制说明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>
      <w:pPr>
        <w:pStyle w:val="PlainText"/>
        <w:spacing w:line="600" w:lineRule="exact"/>
        <w:jc w:val="center"/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 xml:space="preserve">  《吴忠市太阳山移民开发区2014年小城镇建设改造项目四标段施工组织设计》是我公司依据设计图纸和现行规范、标准的要求，结合现场实际状况并总结我公司多年来各类工程建设阅历，针对本工程特点编制而成的，本着保质量、保工期的要求，经我单位工程技术人员反复论证和方案比较，最终提出我们的理解和建议。如有幸中标，在施工中过程中对主要的分项工程编制专项施工方案，报监理、建设方审批，</w:t>
      </w:r>
      <w:r>
        <w:rPr>
          <w:rFonts w:ascii="宋体" w:hAnsi="宋体" w:hint="eastAsia"/>
          <w:color w:val="000000"/>
          <w:spacing w:val="20"/>
          <w:sz w:val="28"/>
          <w:szCs w:val="28"/>
        </w:rPr>
        <w:t>确保</w:t>
      </w:r>
      <w:r>
        <w:rPr>
          <w:rFonts w:ascii="宋体" w:hAnsi="宋体" w:hint="eastAsia"/>
          <w:color w:val="000000"/>
          <w:sz w:val="28"/>
          <w:szCs w:val="28"/>
        </w:rPr>
        <w:t>本工程达到</w:t>
      </w:r>
      <w:r>
        <w:rPr>
          <w:rFonts w:ascii="宋体" w:hAnsi="宋体" w:hint="eastAsia"/>
          <w:b/>
          <w:color w:val="000000"/>
          <w:sz w:val="28"/>
          <w:szCs w:val="28"/>
        </w:rPr>
        <w:t xml:space="preserve"> </w:t>
      </w:r>
    </w:p>
    <w:p>
      <w:pPr>
        <w:pStyle w:val="PlainText"/>
        <w:spacing w:line="600" w:lineRule="exact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合格</w:t>
      </w:r>
      <w:r>
        <w:rPr>
          <w:rFonts w:ascii="宋体" w:hAnsi="宋体" w:hint="eastAsia"/>
          <w:color w:val="000000"/>
          <w:sz w:val="28"/>
          <w:szCs w:val="28"/>
        </w:rPr>
        <w:t>质量目标。</w:t>
      </w:r>
    </w:p>
    <w:p>
      <w:pPr>
        <w:pStyle w:val="Heading2"/>
        <w:spacing w:before="240" w:beforeLines="0"/>
        <w:rPr>
          <w:rFonts w:hint="eastAsia"/>
          <w:sz w:val="28"/>
          <w:szCs w:val="28"/>
        </w:rPr>
      </w:pPr>
      <w:bookmarkStart w:id="14" w:name="_Toc254941691"/>
      <w:bookmarkStart w:id="15" w:name="_Toc15483545"/>
      <w:bookmarkStart w:id="16" w:name="_Toc14297287"/>
      <w:bookmarkStart w:id="17" w:name="_Toc254874182"/>
      <w:bookmarkStart w:id="18" w:name="_Toc169362957"/>
      <w:bookmarkStart w:id="19" w:name="_Toc12849116"/>
      <w:bookmarkStart w:id="20" w:name="_Toc30746"/>
      <w:bookmarkStart w:id="21" w:name="_Toc14297062"/>
      <w:bookmarkStart w:id="22" w:name="_Toc12848765"/>
      <w:bookmarkStart w:id="23" w:name="_Toc15409450"/>
      <w:bookmarkStart w:id="24" w:name="_Toc205643326"/>
      <w:r>
        <w:rPr>
          <w:rFonts w:hint="eastAsia"/>
          <w:sz w:val="28"/>
          <w:szCs w:val="28"/>
        </w:rPr>
        <w:t>1.2编制依据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>
      <w:pPr>
        <w:pStyle w:val="PlainText"/>
        <w:spacing w:line="480" w:lineRule="exact"/>
        <w:rPr>
          <w:rFonts w:ascii="宋体" w:hAnsi="宋体" w:hint="eastAsia"/>
          <w:color w:val="000000"/>
          <w:sz w:val="28"/>
          <w:szCs w:val="28"/>
        </w:rPr>
      </w:pPr>
      <w:bookmarkStart w:id="25" w:name="_Toc169362958"/>
      <w:bookmarkStart w:id="26" w:name="_Toc205643327"/>
      <w:r>
        <w:rPr>
          <w:rFonts w:ascii="宋体" w:hAnsi="宋体" w:hint="eastAsia"/>
          <w:sz w:val="28"/>
          <w:szCs w:val="28"/>
        </w:rPr>
        <w:t xml:space="preserve">    1) </w:t>
      </w:r>
      <w:r>
        <w:rPr>
          <w:rFonts w:ascii="宋体" w:hAnsi="宋体" w:hint="eastAsia"/>
          <w:color w:val="000000"/>
          <w:sz w:val="28"/>
          <w:szCs w:val="28"/>
        </w:rPr>
        <w:t>吴忠市太阳山移民开发区2014年小城镇建设改造项目四标段</w:t>
      </w:r>
      <w:r>
        <w:rPr>
          <w:rFonts w:ascii="宋体" w:hAnsi="宋体" w:hint="eastAsia"/>
          <w:sz w:val="28"/>
          <w:szCs w:val="28"/>
        </w:rPr>
        <w:t>施</w:t>
      </w:r>
      <w:r>
        <w:rPr>
          <w:rFonts w:ascii="宋体" w:hAnsi="宋体" w:hint="eastAsia"/>
          <w:color w:val="000000"/>
          <w:sz w:val="28"/>
          <w:szCs w:val="28"/>
        </w:rPr>
        <w:t>工图纸及招标文件。</w:t>
      </w:r>
      <w:bookmarkEnd w:id="25"/>
      <w:bookmarkEnd w:id="26"/>
    </w:p>
    <w:p>
      <w:pPr>
        <w:pStyle w:val="PlainText"/>
        <w:spacing w:line="480" w:lineRule="exac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 xml:space="preserve">    2)</w:t>
      </w:r>
      <w:r>
        <w:rPr>
          <w:rFonts w:ascii="宋体" w:hAnsi="宋体"/>
          <w:sz w:val="28"/>
          <w:szCs w:val="28"/>
        </w:rPr>
        <w:t>中华人民共和国颁布的现行有效的建筑结构和建筑施工的各类规程、规范及验评标准。</w:t>
      </w:r>
    </w:p>
    <w:p>
      <w:pPr>
        <w:pStyle w:val="PlainText"/>
        <w:spacing w:line="480" w:lineRule="exac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3)</w:t>
      </w:r>
      <w:r>
        <w:rPr>
          <w:rFonts w:ascii="宋体" w:hAnsi="宋体"/>
          <w:sz w:val="28"/>
          <w:szCs w:val="28"/>
        </w:rPr>
        <w:t>宁夏回族自治区人民政府有关建筑工程管理、市政管理、环境爱护等法规及规定。</w:t>
      </w:r>
    </w:p>
    <w:p>
      <w:pPr>
        <w:pStyle w:val="PlainText"/>
        <w:spacing w:line="480" w:lineRule="exac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4)</w:t>
      </w:r>
      <w:r>
        <w:rPr>
          <w:rFonts w:ascii="宋体" w:hAnsi="宋体"/>
          <w:sz w:val="28"/>
          <w:szCs w:val="28"/>
        </w:rPr>
        <w:t>ISO9000质量管理体系、 ISO14000环境管理体系、OHSMS18000职业平安卫生管理体系标准，我公司质量、环境、职业健康平安管理体系整合的一体化管理体系程序文件、一体化管理手册及其支持性文件。</w:t>
      </w:r>
    </w:p>
    <w:p>
      <w:pPr>
        <w:pStyle w:val="PlainText"/>
        <w:spacing w:line="480" w:lineRule="exac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5)</w:t>
      </w:r>
      <w:r>
        <w:rPr>
          <w:rFonts w:ascii="宋体" w:hAnsi="宋体"/>
          <w:sz w:val="28"/>
          <w:szCs w:val="28"/>
        </w:rPr>
        <w:t>我公司总承包管理、质量管理、平安管理、文明施工管理规定。</w:t>
      </w:r>
    </w:p>
    <w:p>
      <w:pPr>
        <w:pStyle w:val="PlainText"/>
        <w:spacing w:line="480" w:lineRule="exact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6)</w:t>
      </w:r>
      <w:r>
        <w:rPr>
          <w:rFonts w:ascii="宋体" w:hAnsi="宋体"/>
          <w:sz w:val="28"/>
          <w:szCs w:val="28"/>
        </w:rPr>
        <w:t>现场和周边环境的实地踏勘状况。</w:t>
      </w:r>
    </w:p>
    <w:p>
      <w:pPr>
        <w:pStyle w:val="PlainText"/>
        <w:spacing w:line="480" w:lineRule="exact"/>
        <w:ind w:firstLine="570"/>
        <w:rPr>
          <w:rFonts w:ascii="宋体" w:hAnsi="宋体" w:hint="eastAsia"/>
          <w:color w:val="000000"/>
          <w:sz w:val="28"/>
          <w:szCs w:val="28"/>
        </w:rPr>
      </w:pPr>
      <w:bookmarkStart w:id="27" w:name="_Toc169362959"/>
      <w:bookmarkStart w:id="28" w:name="_Toc205643328"/>
      <w:r>
        <w:rPr>
          <w:rFonts w:ascii="宋体" w:hAnsi="宋体" w:hint="eastAsia"/>
          <w:color w:val="000000"/>
          <w:sz w:val="28"/>
          <w:szCs w:val="28"/>
        </w:rPr>
        <w:t>7)主要技术标准、规范规程</w:t>
      </w:r>
      <w:bookmarkEnd w:id="27"/>
      <w:bookmarkEnd w:id="28"/>
    </w:p>
    <w:tbl>
      <w:tblPr>
        <w:tblStyle w:val="TableNormal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48"/>
        <w:gridCol w:w="5400"/>
        <w:gridCol w:w="2063"/>
        <w:gridCol w:w="1304"/>
      </w:tblGrid>
      <w:tr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pacing w:val="-26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pacing w:val="-26"/>
                <w:sz w:val="24"/>
                <w:szCs w:val="24"/>
              </w:rPr>
              <w:t>序号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1680" w:firstLineChars="7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标准规范名称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编   号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ind w:firstLine="240" w:firstLineChars="1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备 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《建筑工程施工质量验收统一标准》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GB50300-2001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国家标准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《建筑地基与基础工程施工质量验收规范》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GB50202-2002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国家标准</w:t>
            </w:r>
          </w:p>
        </w:tc>
      </w:tr>
    </w:tbl>
    <w:p>
      <w:pPr>
        <w:sectPr>
          <w:type w:val="nextPage"/>
          <w:pgSz w:w="11906" w:h="16838"/>
          <w:pgMar w:top="1418" w:right="1418" w:bottom="1418" w:left="1644" w:header="851" w:footer="992" w:gutter="0"/>
          <w:pgNumType w:start="4"/>
          <w:cols w:space="708"/>
          <w:titlePg w:val="0"/>
          <w:docGrid w:linePitch="312"/>
        </w:sectPr>
      </w:pPr>
    </w:p>
    <w:tbl>
      <w:tblPr>
        <w:tblStyle w:val="TableNormal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48"/>
        <w:gridCol w:w="5400"/>
        <w:gridCol w:w="2063"/>
        <w:gridCol w:w="1304"/>
      </w:tblGrid>
      <w:tr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  《建筑施工平安技术规范》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JGJ130-2011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行业标准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《建筑施工临时用电平安技术规范》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JGJ146-2005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行业标准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pacing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pacing w:val="10"/>
                <w:sz w:val="24"/>
                <w:szCs w:val="24"/>
              </w:rPr>
              <w:t>5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pacing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《建筑施工平安技术规范》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JGJ162-2008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行业标准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840" w:firstLineChars="35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《建筑工程施工工艺标准》 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3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DB/T64(271-283)-2003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pacing w:val="10"/>
                <w:sz w:val="24"/>
                <w:szCs w:val="24"/>
              </w:rPr>
              <w:t>地方标准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《建筑施工平安检查标准》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JGJ59-99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行业标准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《建筑工程施工质量评价标准》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GB／T50375-2006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国家标准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  <w:t>9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  <w:t>《建筑给水排水及采暖工程施工质量及验收规范》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  <w:t>GB50242-2002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国家标准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  <w:t>10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840" w:firstLineChars="35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《建筑工程施工工艺标准》 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3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DB/T64(271-283)-2003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pacing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pacing w:val="10"/>
                <w:sz w:val="24"/>
                <w:szCs w:val="24"/>
              </w:rPr>
              <w:t>地方标准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ind w:firstLine="120" w:firstLineChars="50"/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  <w:t>11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《建筑施工临时用电平安技术规范》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JGJ146-2005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行业标准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ind w:firstLine="120" w:firstLineChars="50"/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10"/>
                <w:sz w:val="24"/>
                <w:szCs w:val="24"/>
              </w:rPr>
              <w:t>12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《建筑施工模板平安技术规范》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JGJ162-2008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行业标准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《建筑施工平安检查标准》</w:t>
            </w: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JGJ59-99</w:t>
            </w: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行业标准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840" w:firstLineChars="350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3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pacing w:val="1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61"/>
        </w:trPr>
        <w:tc>
          <w:tcPr>
            <w:tcW w:w="648" w:type="dxa"/>
            <w:vAlign w:val="center"/>
          </w:tcPr>
          <w:p>
            <w:pPr>
              <w:pStyle w:val="PlainText"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>
            <w:pPr>
              <w:pStyle w:val="PlainText"/>
              <w:spacing w:line="48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PlainText"/>
              <w:spacing w:line="48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</w:tbl>
    <w:p>
      <w:pPr>
        <w:spacing w:line="400" w:lineRule="exact"/>
        <w:ind w:firstLine="2646" w:firstLineChars="945"/>
        <w:rPr>
          <w:rFonts w:ascii="宋体" w:hAnsi="宋体" w:hint="eastAsia"/>
          <w:b/>
          <w:kern w:val="44"/>
          <w:sz w:val="28"/>
          <w:szCs w:val="28"/>
        </w:rPr>
      </w:pPr>
      <w:bookmarkStart w:id="29" w:name="_Toc254874183"/>
      <w:bookmarkStart w:id="30" w:name="_Toc254941692"/>
      <w:bookmarkStart w:id="31" w:name="_Toc15483546"/>
      <w:bookmarkStart w:id="32" w:name="_Toc513"/>
      <w:bookmarkStart w:id="33" w:name="_Toc169362960"/>
      <w:bookmarkStart w:id="34" w:name="_Toc205643329"/>
    </w:p>
    <w:p>
      <w:pPr>
        <w:spacing w:line="400" w:lineRule="exact"/>
        <w:ind w:firstLine="2646" w:firstLineChars="945"/>
        <w:rPr>
          <w:rFonts w:ascii="宋体" w:hAnsi="宋体" w:hint="eastAsia"/>
          <w:b/>
          <w:kern w:val="44"/>
          <w:sz w:val="28"/>
          <w:szCs w:val="28"/>
        </w:rPr>
      </w:pPr>
      <w:r>
        <w:rPr>
          <w:rFonts w:ascii="宋体" w:hAnsi="宋体" w:hint="eastAsia"/>
          <w:b/>
          <w:kern w:val="44"/>
          <w:sz w:val="28"/>
          <w:szCs w:val="28"/>
          <w:lang w:val="en-US" w:eastAsia="zh-CN"/>
        </w:rPr>
        <w:t xml:space="preserve">  </w:t>
      </w:r>
      <w:r>
        <w:rPr>
          <w:rFonts w:ascii="宋体" w:hAnsi="宋体" w:hint="eastAsia"/>
          <w:b/>
          <w:kern w:val="44"/>
          <w:sz w:val="28"/>
          <w:szCs w:val="28"/>
        </w:rPr>
        <w:t>其次章、工 程 概 况</w:t>
      </w:r>
    </w:p>
    <w:p>
      <w:pPr>
        <w:pStyle w:val="Heading1"/>
        <w:spacing w:before="240" w:beforeLines="0"/>
        <w:rPr>
          <w:rFonts w:hint="eastAsia"/>
          <w:szCs w:val="28"/>
        </w:rPr>
      </w:pPr>
      <w:r>
        <w:rPr>
          <w:rFonts w:hint="eastAsia"/>
          <w:szCs w:val="28"/>
        </w:rPr>
        <w:t>2.工 程 概 况</w:t>
      </w:r>
      <w:bookmarkEnd w:id="29"/>
      <w:bookmarkEnd w:id="30"/>
      <w:bookmarkEnd w:id="31"/>
      <w:bookmarkEnd w:id="32"/>
      <w:bookmarkEnd w:id="33"/>
      <w:bookmarkEnd w:id="34"/>
    </w:p>
    <w:p>
      <w:pPr>
        <w:pStyle w:val="Heading2"/>
        <w:spacing w:before="240" w:beforeLines="0"/>
        <w:rPr>
          <w:rFonts w:hint="eastAsia"/>
          <w:sz w:val="28"/>
          <w:szCs w:val="28"/>
        </w:rPr>
      </w:pPr>
      <w:bookmarkStart w:id="35" w:name="_Toc14297064"/>
      <w:bookmarkStart w:id="36" w:name="_Toc169362961"/>
      <w:bookmarkStart w:id="37" w:name="_Toc254941693"/>
      <w:bookmarkStart w:id="38" w:name="_Toc205643330"/>
      <w:bookmarkStart w:id="39" w:name="_Toc254874184"/>
      <w:bookmarkStart w:id="40" w:name="_Toc523739009"/>
      <w:bookmarkStart w:id="41" w:name="_Toc531513949"/>
      <w:bookmarkStart w:id="42" w:name="_Toc522672800"/>
      <w:bookmarkStart w:id="43" w:name="_Toc14297289"/>
      <w:bookmarkStart w:id="44" w:name="_Toc15409452"/>
      <w:bookmarkStart w:id="45" w:name="_Toc15483547"/>
      <w:bookmarkStart w:id="46" w:name="_Toc13927"/>
      <w:r>
        <w:rPr>
          <w:rFonts w:hint="eastAsia"/>
          <w:sz w:val="28"/>
          <w:szCs w:val="28"/>
        </w:rPr>
        <w:t>2.1工程简介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>
        <w:rPr>
          <w:rFonts w:hint="eastAsia"/>
          <w:sz w:val="28"/>
          <w:szCs w:val="28"/>
        </w:rPr>
        <w:t xml:space="preserve">  </w:t>
      </w:r>
    </w:p>
    <w:p>
      <w:pPr>
        <w:spacing w:line="480" w:lineRule="exact"/>
        <w:ind w:left="2104" w:hanging="1540" w:leftChars="235" w:hangingChars="55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1)工程名称：</w:t>
      </w:r>
      <w:r>
        <w:rPr>
          <w:rFonts w:ascii="宋体" w:hAnsi="宋体" w:hint="eastAsia"/>
          <w:color w:val="000000"/>
          <w:sz w:val="28"/>
          <w:szCs w:val="28"/>
        </w:rPr>
        <w:t>吴忠市太阳山移民开发区2014年小城镇建设改造项目</w:t>
      </w:r>
      <w:r>
        <w:rPr>
          <w:rFonts w:ascii="宋体" w:hAnsi="宋体" w:hint="eastAsia"/>
          <w:color w:val="000000"/>
          <w:sz w:val="28"/>
          <w:szCs w:val="28"/>
          <w:lang w:val="en-US" w:eastAsia="zh-CN"/>
        </w:rPr>
        <w:t xml:space="preserve">                    </w:t>
      </w:r>
      <w:r>
        <w:rPr>
          <w:rFonts w:ascii="宋体" w:hAnsi="宋体" w:hint="eastAsia"/>
          <w:color w:val="000000"/>
          <w:sz w:val="28"/>
          <w:szCs w:val="28"/>
        </w:rPr>
        <w:t>四标段</w:t>
      </w:r>
    </w:p>
    <w:p>
      <w:pPr>
        <w:spacing w:line="480" w:lineRule="exact"/>
        <w:ind w:firstLine="57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2)工程地址：</w:t>
      </w:r>
      <w:r>
        <w:rPr>
          <w:rFonts w:ascii="宋体" w:hAnsi="宋体" w:hint="eastAsia"/>
          <w:sz w:val="28"/>
          <w:szCs w:val="28"/>
          <w:lang w:val="en-US" w:eastAsia="zh-CN"/>
        </w:rPr>
        <w:t xml:space="preserve"> </w:t>
      </w:r>
      <w:r>
        <w:rPr>
          <w:rFonts w:ascii="宋体" w:hAnsi="宋体" w:hint="eastAsia"/>
          <w:color w:val="000000"/>
          <w:sz w:val="28"/>
          <w:szCs w:val="28"/>
        </w:rPr>
        <w:t>吴忠市太阳山移民开发区</w:t>
      </w:r>
      <w:r>
        <w:rPr>
          <w:rFonts w:ascii="宋体" w:hAnsi="宋体" w:hint="eastAsia"/>
          <w:sz w:val="28"/>
          <w:szCs w:val="28"/>
        </w:rPr>
        <w:t xml:space="preserve">  </w:t>
      </w:r>
    </w:p>
    <w:p>
      <w:pPr>
        <w:spacing w:line="480" w:lineRule="exact"/>
        <w:ind w:firstLine="57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3)建设单位：</w:t>
      </w:r>
      <w:r>
        <w:rPr>
          <w:rFonts w:ascii="宋体" w:hAnsi="宋体" w:hint="default"/>
          <w:color w:val="000000"/>
          <w:sz w:val="28"/>
          <w:szCs w:val="28"/>
        </w:rPr>
        <w:t>吴忠市太阳山移民开发区管委会</w:t>
      </w:r>
      <w:r>
        <w:rPr>
          <w:rFonts w:ascii="宋体" w:hAnsi="宋体" w:hint="eastAsia"/>
          <w:color w:val="000000"/>
          <w:sz w:val="28"/>
          <w:szCs w:val="28"/>
        </w:rPr>
        <w:br/>
      </w:r>
      <w:r>
        <w:rPr>
          <w:rFonts w:ascii="宋体" w:hAnsi="宋体" w:hint="eastAsia"/>
          <w:color w:val="000000"/>
          <w:sz w:val="28"/>
          <w:szCs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iCs w:val="0"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iCs w:val="0"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iCs w:val="0"/>
            <w:color w:val="0000EE"/>
            <w:kern w:val="0"/>
            <w:sz w:val="30"/>
            <w:szCs w:val="30"/>
            <w:u w:val="single" w:color="0000EE"/>
          </w:rPr>
          <w:t>https://d.book118.com/657201060015006045</w:t>
        </w:r>
      </w:hyperlink>
    </w:p>
    <w:p>
      <w:pPr>
        <w:spacing w:line="480" w:lineRule="exact"/>
        <w:ind w:firstLine="570"/>
        <w:rPr>
          <w:rFonts w:ascii="宋体" w:hAnsi="宋体" w:hint="eastAsia"/>
          <w:color w:val="000000"/>
          <w:sz w:val="28"/>
          <w:szCs w:val="28"/>
        </w:rPr>
      </w:pPr>
    </w:p>
    <w:sectPr>
      <w:type w:val="nextPage"/>
      <w:pgSz w:w="11906" w:h="16838"/>
      <w:pgMar w:top="1418" w:right="1418" w:bottom="1418" w:left="1644" w:header="851" w:footer="992" w:gutter="0"/>
      <w:pgNumType w:start="5"/>
      <w:cols w:space="708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Plotter">
    <w:altName w:val="Lucida Console"/>
    <w:panose1 w:val="00000000000000000000"/>
    <w:charset w:val="00"/>
    <w:family w:val="modern"/>
    <w:pitch w:val="default"/>
    <w:sig w:usb0="00000003" w:usb1="00000000" w:usb2="00000000" w:usb3="00000000" w:csb0="0000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报宋简体">
    <w:altName w:val="黑体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行楷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lvl w:ilvl="0">
      <w:start w:val="1"/>
      <w:numFmt w:val="none"/>
      <w:lvlText w:val="一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6"/>
    <w:multiLevelType w:val="singleLevel"/>
    <w:tmpl w:val="00000006"/>
    <w:lvl w:ilvl="0">
      <w:start w:val="1"/>
      <w:numFmt w:val="upperLetter"/>
      <w:lvlText w:val="%1、"/>
      <w:lvlJc w:val="left"/>
      <w:pPr>
        <w:tabs>
          <w:tab w:val="num" w:pos="1065"/>
        </w:tabs>
        <w:ind w:left="1065" w:hanging="420"/>
      </w:pPr>
      <w:rPr>
        <w:rFonts w:hint="eastAsia"/>
      </w:rPr>
    </w:lvl>
  </w:abstractNum>
  <w:abstractNum w:abstractNumId="2">
    <w:nsid w:val="00000008"/>
    <w:multiLevelType w:val="multilevel"/>
    <w:tmpl w:val="00000008"/>
    <w:lvl w:ilvl="0">
      <w:start w:val="1"/>
      <w:numFmt w:val="chineseCountingThousand"/>
      <w:suff w:val="space"/>
      <w:lvlText w:val="第%1章"/>
      <w:lvlJc w:val="left"/>
      <w:pPr>
        <w:ind w:left="0" w:firstLine="0"/>
      </w:pPr>
    </w:lvl>
    <w:lvl w:ilvl="1">
      <w:start w:val="1"/>
      <w:numFmt w:val="none"/>
      <w:suff w:val="nothing"/>
      <w:lvlJc w:val="left"/>
      <w:pPr>
        <w:ind w:left="0" w:firstLine="0"/>
      </w:pPr>
    </w:lvl>
    <w:lvl w:ilvl="2">
      <w:start w:val="1"/>
      <w:numFmt w:val="none"/>
      <w:suff w:val="nothing"/>
      <w:lvlJc w:val="left"/>
      <w:pPr>
        <w:ind w:left="0" w:firstLine="0"/>
      </w:pPr>
    </w:lvl>
    <w:lvl w:ilvl="3">
      <w:start w:val="1"/>
      <w:numFmt w:val="none"/>
      <w:suff w:val="nothing"/>
      <w:lvlJc w:val="left"/>
      <w:pPr>
        <w:ind w:left="0" w:firstLine="0"/>
      </w:pPr>
    </w:lvl>
    <w:lvl w:ilvl="4">
      <w:start w:val="1"/>
      <w:numFmt w:val="none"/>
      <w:suff w:val="nothing"/>
      <w:lvlJc w:val="left"/>
      <w:pPr>
        <w:ind w:left="0" w:firstLine="0"/>
      </w:pPr>
    </w:lvl>
    <w:lvl w:ilvl="5">
      <w:start w:val="1"/>
      <w:numFmt w:val="none"/>
      <w:suff w:val="nothing"/>
      <w:lvlJc w:val="left"/>
      <w:pPr>
        <w:ind w:left="0" w:firstLine="0"/>
      </w:pPr>
    </w:lvl>
    <w:lvl w:ilvl="6">
      <w:start w:val="1"/>
      <w:numFmt w:val="none"/>
      <w:suff w:val="nothing"/>
      <w:lvlJc w:val="left"/>
      <w:pPr>
        <w:ind w:left="0" w:firstLine="0"/>
      </w:pPr>
    </w:lvl>
    <w:lvl w:ilvl="7">
      <w:start w:val="1"/>
      <w:numFmt w:val="none"/>
      <w:suff w:val="nothing"/>
      <w:lvlJc w:val="left"/>
      <w:pPr>
        <w:ind w:left="0" w:firstLine="0"/>
      </w:pPr>
    </w:lvl>
    <w:lvl w:ilvl="8">
      <w:start w:val="1"/>
      <w:numFmt w:val="none"/>
      <w:suff w:val="nothing"/>
      <w:lvlJc w:val="left"/>
      <w:pPr>
        <w:ind w:left="0" w:firstLine="0"/>
      </w:pPr>
    </w:lvl>
  </w:abstractNum>
  <w:abstractNum w:abstractNumId="3">
    <w:nsid w:val="53EF0109"/>
    <w:multiLevelType w:val="singleLevel"/>
    <w:tmpl w:val="53EF0109"/>
    <w:lvl w:ilvl="0">
      <w:start w:val="4"/>
      <w:numFmt w:val="decimal"/>
      <w:suff w:val="nothing"/>
      <w:lvlText w:val="%1.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pacing w:line="360" w:lineRule="auto"/>
      <w:jc w:val="both"/>
    </w:pPr>
    <w:rPr>
      <w:iCs/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widowControl/>
      <w:spacing w:before="312" w:beforeLines="100" w:after="0" w:afterLines="0" w:line="360" w:lineRule="auto"/>
      <w:jc w:val="left"/>
      <w:outlineLvl w:val="0"/>
    </w:pPr>
    <w:rPr>
      <w:rFonts w:ascii="宋体" w:hAnsi="宋体"/>
      <w:b/>
      <w:kern w:val="44"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0" w:afterLines="0" w:line="360" w:lineRule="auto"/>
      <w:jc w:val="left"/>
      <w:outlineLvl w:val="1"/>
    </w:pPr>
    <w:rPr>
      <w:rFonts w:ascii="宋体" w:hAnsi="宋体"/>
      <w:b/>
      <w:bCs/>
      <w:kern w:val="0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2"/>
      </w:numPr>
      <w:spacing w:before="280" w:beforeLines="0" w:after="290" w:afterLines="0" w:line="376" w:lineRule="auto"/>
      <w:outlineLvl w:val="3"/>
    </w:pPr>
    <w:rPr>
      <w:rFonts w:ascii="Arial" w:eastAsia="黑体" w:hAnsi="Arial"/>
      <w:b/>
      <w:bCs/>
      <w:color w:val="auto"/>
      <w:spacing w:val="20"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numPr>
        <w:ilvl w:val="0"/>
        <w:numId w:val="1"/>
      </w:numPr>
      <w:tabs>
        <w:tab w:val="left" w:pos="1065"/>
      </w:tabs>
      <w:adjustRightInd w:val="0"/>
      <w:spacing w:line="360" w:lineRule="auto"/>
      <w:jc w:val="left"/>
      <w:textAlignment w:val="baseline"/>
      <w:outlineLvl w:val="4"/>
    </w:pPr>
    <w:rPr>
      <w:rFonts w:ascii="宋体" w:eastAsia="宋体"/>
      <w:color w:val="auto"/>
      <w:kern w:val="0"/>
      <w:sz w:val="28"/>
      <w:szCs w:val="20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2"/>
      </w:numPr>
      <w:tabs>
        <w:tab w:val="left" w:pos="465"/>
      </w:tabs>
      <w:spacing w:before="240" w:beforeLines="0" w:after="64" w:afterLines="0" w:line="320" w:lineRule="auto"/>
      <w:ind w:left="465" w:hanging="465"/>
      <w:outlineLvl w:val="6"/>
    </w:pPr>
    <w:rPr>
      <w:rFonts w:eastAsia="宋体"/>
      <w:b/>
      <w:bCs/>
      <w:color w:val="auto"/>
      <w:spacing w:val="20"/>
      <w:sz w:val="24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2"/>
      </w:numPr>
      <w:tabs>
        <w:tab w:val="left" w:pos="615"/>
      </w:tabs>
      <w:spacing w:before="240" w:beforeLines="0" w:after="64" w:afterLines="0" w:line="320" w:lineRule="auto"/>
      <w:ind w:left="615" w:hanging="615"/>
      <w:outlineLvl w:val="7"/>
    </w:pPr>
    <w:rPr>
      <w:rFonts w:ascii="Arial" w:eastAsia="黑体" w:hAnsi="Arial"/>
      <w:color w:val="auto"/>
      <w:spacing w:val="20"/>
      <w:sz w:val="24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2"/>
      </w:numPr>
      <w:tabs>
        <w:tab w:val="left" w:pos="450"/>
      </w:tabs>
      <w:spacing w:before="240" w:beforeLines="0" w:after="64" w:afterLines="0" w:line="320" w:lineRule="auto"/>
      <w:ind w:left="450" w:hanging="450"/>
      <w:outlineLvl w:val="8"/>
    </w:pPr>
    <w:rPr>
      <w:rFonts w:ascii="Arial" w:eastAsia="黑体" w:hAnsi="Arial"/>
      <w:color w:val="auto"/>
      <w:spacing w:val="20"/>
      <w:sz w:val="21"/>
      <w:szCs w:val="21"/>
    </w:rPr>
  </w:style>
  <w:style w:type="character" w:default="1" w:styleId="DefaultParagraphFont">
    <w:name w:val="Default Paragraph Font"/>
    <w:link w:val="CharChar1Char"/>
    <w:rPr>
      <w:rFonts w:ascii="Tahoma" w:hAnsi="Tahoma"/>
      <w:iCs/>
      <w:szCs w:val="20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CharChar9">
    <w:name w:val=" Char Char9"/>
    <w:basedOn w:val="DefaultParagraphFont"/>
    <w:link w:val="Footer"/>
    <w:rPr>
      <w:rFonts w:eastAsia="宋体"/>
      <w:iCs/>
      <w:kern w:val="2"/>
      <w:sz w:val="18"/>
      <w:szCs w:val="18"/>
      <w:lang w:val="en-US" w:eastAsia="zh-CN" w:bidi="ar-SA"/>
    </w:rPr>
  </w:style>
  <w:style w:type="character" w:customStyle="1" w:styleId="1Char">
    <w:name w:val="1 Char"/>
    <w:aliases w:val="3级 Char,标题 5 Char"/>
    <w:basedOn w:val="DefaultParagraphFont"/>
    <w:rPr>
      <w:rFonts w:eastAsia="宋体"/>
      <w:kern w:val="2"/>
      <w:sz w:val="18"/>
      <w:lang w:val="en-US" w:eastAsia="zh-CN" w:bidi="ar-SA"/>
    </w:rPr>
  </w:style>
  <w:style w:type="paragraph" w:styleId="BodyText2">
    <w:name w:val="Body Text 2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shd w:val="clear" w:color="auto" w:fill="auto"/>
      <w:spacing w:line="240" w:lineRule="exact"/>
      <w:jc w:val="center"/>
    </w:pPr>
    <w:rPr>
      <w:rFonts w:ascii="Plotter" w:hAnsi="Plotter"/>
      <w:sz w:val="84"/>
    </w:rPr>
  </w:style>
  <w:style w:type="paragraph" w:styleId="TOC6">
    <w:name w:val="toc 6"/>
    <w:basedOn w:val="Normal"/>
    <w:next w:val="Normal"/>
    <w:pPr>
      <w:ind w:left="7200"/>
      <w:jc w:val="left"/>
    </w:pPr>
    <w:rPr>
      <w:szCs w:val="21"/>
    </w:rPr>
  </w:style>
  <w:style w:type="paragraph" w:styleId="TOC1">
    <w:name w:val="toc 1"/>
    <w:basedOn w:val="Heading3"/>
    <w:next w:val="TableofAuthorities"/>
    <w:pPr>
      <w:keepNext w:val="0"/>
      <w:keepLines w:val="0"/>
      <w:widowControl w:val="0"/>
      <w:tabs>
        <w:tab w:val="right" w:leader="dot" w:pos="9060"/>
      </w:tabs>
      <w:spacing w:before="120" w:beforeLines="0" w:after="120" w:afterLines="0" w:line="420" w:lineRule="exact"/>
      <w:outlineLvl w:val="1"/>
    </w:pPr>
    <w:rPr>
      <w:rFonts w:eastAsia="宋体"/>
      <w:b w:val="0"/>
      <w:bCs w:val="0"/>
      <w:caps/>
      <w:smallCaps/>
      <w:color w:val="000000"/>
      <w:sz w:val="24"/>
      <w:szCs w:val="24"/>
    </w:rPr>
  </w:style>
  <w:style w:type="paragraph" w:styleId="TOC8">
    <w:name w:val="toc 8"/>
    <w:basedOn w:val="Normal"/>
    <w:next w:val="Normal"/>
    <w:pPr>
      <w:ind w:left="10080"/>
      <w:jc w:val="left"/>
    </w:pPr>
    <w:rPr>
      <w:szCs w:val="21"/>
    </w:rPr>
  </w:style>
  <w:style w:type="paragraph" w:styleId="TOC3">
    <w:name w:val="toc 3"/>
    <w:basedOn w:val="Normal"/>
    <w:next w:val="Normal"/>
    <w:pPr>
      <w:tabs>
        <w:tab w:val="right" w:leader="dot" w:pos="9061"/>
      </w:tabs>
      <w:spacing w:line="400" w:lineRule="exact"/>
      <w:ind w:right="-202" w:rightChars="-14"/>
      <w:jc w:val="left"/>
    </w:pPr>
    <w:rPr>
      <w:rFonts w:ascii="宋体" w:eastAsia="宋体" w:hAnsi="宋体"/>
      <w:iCs w:val="0"/>
      <w:sz w:val="28"/>
    </w:rPr>
  </w:style>
  <w:style w:type="paragraph" w:styleId="BodyTextFirstIndent">
    <w:name w:val="Body Text First Indent"/>
    <w:basedOn w:val="BodyText"/>
    <w:pPr>
      <w:autoSpaceDE/>
      <w:autoSpaceDN/>
      <w:adjustRightInd/>
      <w:spacing w:after="120" w:afterLines="0" w:line="240" w:lineRule="auto"/>
      <w:ind w:firstLine="420" w:firstLineChars="100"/>
      <w:textAlignment w:val="auto"/>
      <w:outlineLvl w:val="9"/>
    </w:pPr>
    <w:rPr>
      <w:rFonts w:ascii="Times New Roman"/>
      <w:iCs w:val="0"/>
      <w:spacing w:val="0"/>
      <w:kern w:val="2"/>
      <w:position w:val="0"/>
      <w:sz w:val="21"/>
    </w:rPr>
  </w:style>
  <w:style w:type="paragraph" w:styleId="Index1">
    <w:name w:val="index 1"/>
    <w:basedOn w:val="Normal"/>
    <w:next w:val="Normal"/>
    <w:rPr>
      <w:rFonts w:eastAsia="宋体"/>
      <w:sz w:val="24"/>
    </w:rPr>
  </w:style>
  <w:style w:type="paragraph" w:styleId="TOC9">
    <w:name w:val="toc 9"/>
    <w:basedOn w:val="Normal"/>
    <w:next w:val="Normal"/>
    <w:pPr>
      <w:ind w:left="11520"/>
      <w:jc w:val="left"/>
    </w:pPr>
    <w:rPr>
      <w:szCs w:val="21"/>
    </w:rPr>
  </w:style>
  <w:style w:type="paragraph" w:styleId="Footer">
    <w:name w:val="footer"/>
    <w:basedOn w:val="Normal"/>
    <w:link w:val="CharChar9"/>
    <w:pPr>
      <w:tabs>
        <w:tab w:val="center" w:pos="4153"/>
        <w:tab w:val="right" w:pos="8306"/>
      </w:tabs>
      <w:snapToGrid w:val="0"/>
      <w:jc w:val="left"/>
    </w:pPr>
    <w:rPr>
      <w:rFonts w:eastAsia="宋体"/>
      <w:iCs/>
      <w:kern w:val="2"/>
      <w:sz w:val="18"/>
      <w:szCs w:val="18"/>
      <w:lang w:val="en-US" w:eastAsia="zh-CN" w:bidi="ar-SA"/>
    </w:rPr>
  </w:style>
  <w:style w:type="paragraph" w:styleId="BodyTextIndent2">
    <w:name w:val="Body Text Indent 2"/>
    <w:basedOn w:val="Normal"/>
    <w:pPr>
      <w:spacing w:line="480" w:lineRule="exact"/>
      <w:ind w:firstLine="471" w:firstLineChars="200"/>
    </w:pPr>
    <w:rPr>
      <w:rFonts w:ascii="宋体" w:eastAsia="宋体" w:hAnsi="宋体"/>
      <w:color w:val="auto"/>
      <w:sz w:val="24"/>
    </w:rPr>
  </w:style>
  <w:style w:type="paragraph" w:styleId="TOC5">
    <w:name w:val="toc 5"/>
    <w:basedOn w:val="Normal"/>
    <w:next w:val="Normal"/>
    <w:pPr>
      <w:ind w:left="5760"/>
      <w:jc w:val="left"/>
    </w:pPr>
    <w:rPr>
      <w:rFonts w:eastAsia="宋体"/>
      <w:sz w:val="28"/>
      <w:szCs w:val="21"/>
    </w:rPr>
  </w:style>
  <w:style w:type="paragraph" w:styleId="BlockText">
    <w:name w:val="Block Text"/>
    <w:basedOn w:val="Normal"/>
    <w:pPr>
      <w:autoSpaceDE w:val="0"/>
      <w:autoSpaceDN w:val="0"/>
      <w:adjustRightInd w:val="0"/>
      <w:snapToGrid w:val="0"/>
      <w:spacing w:line="360" w:lineRule="auto"/>
      <w:ind w:left="1155" w:right="504" w:firstLine="420"/>
      <w:textAlignment w:val="center"/>
    </w:pPr>
    <w:rPr>
      <w:rFonts w:ascii="宋体" w:eastAsia="宋体"/>
      <w:snapToGrid w:val="0"/>
      <w:color w:val="000000"/>
      <w:kern w:val="0"/>
      <w:sz w:val="24"/>
    </w:rPr>
  </w:style>
  <w:style w:type="paragraph" w:styleId="BodyTextIndent">
    <w:name w:val="Body Text Indent"/>
    <w:basedOn w:val="Normal"/>
    <w:pPr>
      <w:spacing w:line="460" w:lineRule="exact"/>
      <w:ind w:firstLine="570"/>
    </w:pPr>
    <w:rPr>
      <w:rFonts w:ascii="宋体" w:eastAsia="宋体" w:hAnsi="宋体"/>
      <w:color w:val="auto"/>
      <w:spacing w:val="-4"/>
      <w:sz w:val="28"/>
    </w:rPr>
  </w:style>
  <w:style w:type="paragraph" w:styleId="BodyText3">
    <w:name w:val="Body Text 3"/>
    <w:basedOn w:val="Normal"/>
    <w:pPr>
      <w:jc w:val="center"/>
    </w:pPr>
    <w:rPr>
      <w:rFonts w:ascii="方正报宋简体" w:eastAsia="宋体"/>
      <w:color w:val="000000"/>
      <w:sz w:val="24"/>
    </w:rPr>
  </w:style>
  <w:style w:type="paragraph" w:styleId="TOAHeading">
    <w:name w:val="toa heading"/>
    <w:basedOn w:val="Normal"/>
    <w:next w:val="Normal"/>
    <w:pPr>
      <w:spacing w:before="120" w:beforeLines="0"/>
    </w:pPr>
    <w:rPr>
      <w:rFonts w:ascii="Arial" w:eastAsia="宋体" w:hAnsi="Arial" w:cs="Arial"/>
      <w:sz w:val="24"/>
    </w:rPr>
  </w:style>
  <w:style w:type="paragraph" w:styleId="TOC7">
    <w:name w:val="toc 7"/>
    <w:basedOn w:val="Normal"/>
    <w:next w:val="Normal"/>
    <w:pPr>
      <w:ind w:left="8640"/>
      <w:jc w:val="left"/>
    </w:pPr>
    <w:rPr>
      <w:szCs w:val="21"/>
    </w:rPr>
  </w:style>
  <w:style w:type="paragraph" w:customStyle="1" w:styleId="CharChar1Char">
    <w:name w:val=" Char Char1 Char"/>
    <w:basedOn w:val="Normal"/>
    <w:link w:val="DefaultParagraphFont"/>
    <w:pPr>
      <w:spacing w:line="240" w:lineRule="auto"/>
    </w:pPr>
    <w:rPr>
      <w:rFonts w:ascii="Tahoma" w:hAnsi="Tahoma"/>
      <w:iCs w:val="0"/>
      <w:szCs w:val="20"/>
    </w:rPr>
  </w:style>
  <w:style w:type="paragraph" w:styleId="TOC2">
    <w:name w:val="toc 2"/>
    <w:basedOn w:val="Normal"/>
    <w:next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shd w:val="clear" w:color="auto" w:fill="auto"/>
      <w:spacing w:line="360" w:lineRule="auto"/>
      <w:ind w:left="567"/>
      <w:jc w:val="left"/>
    </w:pPr>
    <w:rPr>
      <w:rFonts w:ascii="宋体" w:hAnsi="宋体" w:cs="宋体"/>
      <w:shd w:val="pct10" w:color="auto" w:fill="FFFFFF"/>
    </w:rPr>
  </w:style>
  <w:style w:type="paragraph" w:styleId="BodyTextIndent3">
    <w:name w:val="Body Text Indent 3"/>
    <w:basedOn w:val="Normal"/>
    <w:pPr>
      <w:tabs>
        <w:tab w:val="left" w:pos="-105"/>
      </w:tabs>
      <w:snapToGrid w:val="0"/>
      <w:spacing w:line="440" w:lineRule="exact"/>
      <w:ind w:firstLine="733" w:firstLineChars="282"/>
    </w:pPr>
    <w:rPr>
      <w:rFonts w:ascii="宋体" w:eastAsia="宋体"/>
      <w:color w:val="auto"/>
      <w:spacing w:val="10"/>
      <w:sz w:val="24"/>
    </w:rPr>
  </w:style>
  <w:style w:type="paragraph" w:styleId="List">
    <w:name w:val="List"/>
    <w:basedOn w:val="Normal"/>
    <w:pPr>
      <w:spacing w:before="78" w:beforeLines="25" w:after="78" w:afterLines="25"/>
    </w:pPr>
    <w:rPr>
      <w:rFonts w:ascii="仿宋_GB2312" w:eastAsia="仿宋_GB2312"/>
      <w:color w:val="auto"/>
      <w:sz w:val="24"/>
      <w:szCs w:val="20"/>
    </w:rPr>
  </w:style>
  <w:style w:type="paragraph" w:styleId="TOC4">
    <w:name w:val="toc 4"/>
    <w:basedOn w:val="Normal"/>
    <w:next w:val="Normal"/>
    <w:pPr>
      <w:ind w:left="4320"/>
      <w:jc w:val="left"/>
    </w:pPr>
    <w:rPr>
      <w:rFonts w:eastAsia="宋体"/>
      <w:sz w:val="24"/>
      <w:szCs w:val="21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/>
      <w:color w:val="auto"/>
      <w:sz w:val="18"/>
      <w:szCs w:val="18"/>
    </w:rPr>
  </w:style>
  <w:style w:type="paragraph" w:styleId="BalloonText">
    <w:name w:val="Balloon Text"/>
    <w:basedOn w:val="Normal"/>
    <w:rPr>
      <w:sz w:val="18"/>
      <w:szCs w:val="18"/>
    </w:rPr>
  </w:style>
  <w:style w:type="paragraph" w:styleId="Date">
    <w:name w:val="Date"/>
    <w:basedOn w:val="Normal"/>
    <w:next w:val="Normal"/>
    <w:rPr>
      <w:rFonts w:eastAsia="宋体"/>
      <w:color w:val="auto"/>
      <w:sz w:val="21"/>
      <w:szCs w:val="20"/>
    </w:rPr>
  </w:style>
  <w:style w:type="paragraph" w:styleId="TableofAuthorities">
    <w:name w:val="table of authorities"/>
    <w:basedOn w:val="Normal"/>
    <w:next w:val="Normal"/>
    <w:pPr>
      <w:ind w:left="420" w:leftChars="200"/>
    </w:pPr>
  </w:style>
  <w:style w:type="paragraph" w:styleId="BodyText">
    <w:name w:val="Body Text"/>
    <w:basedOn w:val="Normal"/>
    <w:pPr>
      <w:autoSpaceDE w:val="0"/>
      <w:autoSpaceDN w:val="0"/>
      <w:adjustRightInd w:val="0"/>
      <w:spacing w:line="440" w:lineRule="exact"/>
      <w:textAlignment w:val="center"/>
      <w:outlineLvl w:val="0"/>
    </w:pPr>
    <w:rPr>
      <w:rFonts w:ascii="宋体" w:eastAsia="宋体"/>
      <w:color w:val="auto"/>
      <w:spacing w:val="10"/>
      <w:kern w:val="24"/>
      <w:position w:val="2"/>
      <w:sz w:val="24"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eastAsia="宋体" w:hAnsi="宋体" w:cs="宋体"/>
      <w:color w:val="auto"/>
      <w:kern w:val="0"/>
      <w:sz w:val="24"/>
    </w:rPr>
  </w:style>
  <w:style w:type="paragraph" w:styleId="TableofFigures">
    <w:name w:val="table of figures"/>
    <w:basedOn w:val="Normal"/>
    <w:next w:val="Normal"/>
    <w:pPr>
      <w:ind w:hanging="200" w:leftChars="200" w:hangingChars="200"/>
    </w:pPr>
    <w:rPr>
      <w:rFonts w:eastAsia="宋体"/>
      <w:sz w:val="24"/>
    </w:rPr>
  </w:style>
  <w:style w:type="paragraph" w:styleId="PlainText">
    <w:name w:val="Plain Text"/>
    <w:basedOn w:val="Normal"/>
    <w:rPr>
      <w:rFonts w:ascii="Courier New" w:eastAsia="宋体" w:hAnsi="Courier New"/>
      <w:color w:val="auto"/>
      <w:sz w:val="21"/>
      <w:szCs w:val="20"/>
    </w:rPr>
  </w:style>
  <w:style w:type="paragraph" w:styleId="NormalIndent">
    <w:name w:val="Normal Indent"/>
    <w:basedOn w:val="Normal"/>
    <w:pPr>
      <w:ind w:firstLine="420"/>
    </w:pPr>
    <w:rPr>
      <w:rFonts w:eastAsia="宋体"/>
      <w:color w:val="auto"/>
      <w:sz w:val="21"/>
      <w:szCs w:val="20"/>
    </w:rPr>
  </w:style>
  <w:style w:type="paragraph" w:customStyle="1" w:styleId="a">
    <w:name w:val="表格"/>
    <w:basedOn w:val="Normal"/>
    <w:pPr>
      <w:spacing w:line="240" w:lineRule="auto"/>
      <w:jc w:val="center"/>
    </w:pPr>
    <w:rPr>
      <w:iCs w:val="0"/>
      <w:shadow/>
      <w:snapToGrid w:val="0"/>
      <w:kern w:val="0"/>
    </w:rPr>
  </w:style>
  <w:style w:type="paragraph" w:customStyle="1" w:styleId="Char">
    <w:name w:val="Char"/>
    <w:basedOn w:val="Normal"/>
    <w:pPr>
      <w:tabs>
        <w:tab w:val="left" w:pos="360"/>
      </w:tabs>
    </w:pPr>
  </w:style>
  <w:style w:type="paragraph" w:customStyle="1" w:styleId="1">
    <w:name w:val="样式1"/>
    <w:pPr>
      <w:spacing w:before="156" w:beforeLines="50" w:after="312" w:afterLines="100"/>
    </w:pPr>
    <w:rPr>
      <w:rFonts w:ascii="黑体"/>
      <w:sz w:val="28"/>
      <w:szCs w:val="32"/>
      <w:lang w:val="en-US" w:eastAsia="zh-CN" w:bidi="ar-SA"/>
    </w:rPr>
  </w:style>
  <w:style w:type="paragraph" w:customStyle="1" w:styleId="10">
    <w:name w:val="1"/>
    <w:basedOn w:val="Normal"/>
    <w:next w:val="Normal"/>
    <w:pPr>
      <w:spacing w:line="240" w:lineRule="auto"/>
      <w:jc w:val="center"/>
    </w:pPr>
    <w:rPr>
      <w:iCs w:val="0"/>
      <w:sz w:val="18"/>
      <w:szCs w:val="20"/>
    </w:rPr>
  </w:style>
  <w:style w:type="paragraph" w:customStyle="1" w:styleId="xl22">
    <w:name w:val="xl22"/>
    <w:basedOn w:val="Normal"/>
    <w:pPr>
      <w:widowControl/>
      <w:pBdr>
        <w:left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楷体_GB2312" w:eastAsia="楷体_GB2312" w:hAnsi="Arial Unicode MS"/>
      <w:kern w:val="0"/>
      <w:sz w:val="24"/>
      <w:szCs w:val="24"/>
    </w:rPr>
  </w:style>
  <w:style w:type="paragraph" w:customStyle="1" w:styleId="Char1CharCharCharCharCharChar">
    <w:name w:val="Char1 Char Char Char Char Char Char"/>
    <w:basedOn w:val="Heading1"/>
    <w:pPr>
      <w:keepLines w:val="0"/>
      <w:widowControl w:val="0"/>
      <w:autoSpaceDE w:val="0"/>
      <w:autoSpaceDN w:val="0"/>
      <w:adjustRightInd w:val="0"/>
      <w:snapToGrid w:val="0"/>
      <w:spacing w:after="312" w:afterLines="100" w:line="480" w:lineRule="auto"/>
      <w:jc w:val="both"/>
    </w:pPr>
    <w:rPr>
      <w:rFonts w:ascii="Times New Roman" w:hAnsi="Times New Roman"/>
      <w:bCs/>
      <w:iCs w:val="0"/>
      <w:sz w:val="44"/>
      <w:szCs w:val="44"/>
    </w:rPr>
  </w:style>
  <w:style w:type="paragraph" w:customStyle="1" w:styleId="z2">
    <w:name w:val="z2"/>
    <w:pPr>
      <w:widowControl w:val="0"/>
      <w:ind w:left="280" w:firstLine="700"/>
    </w:pPr>
    <w:rPr>
      <w:sz w:val="32"/>
      <w:lang w:val="en-US" w:eastAsia="zh-CN" w:bidi="ar-SA"/>
    </w:rPr>
  </w:style>
  <w:style w:type="paragraph" w:customStyle="1" w:styleId="ly4">
    <w:name w:val="ly4"/>
    <w:basedOn w:val="Normal"/>
    <w:pPr>
      <w:widowControl/>
      <w:adjustRightInd w:val="0"/>
      <w:jc w:val="left"/>
    </w:pPr>
    <w:rPr>
      <w:rFonts w:ascii="楷体_GB2312" w:eastAsia="楷体_GB2312"/>
      <w:b/>
      <w:color w:val="auto"/>
      <w:kern w:val="0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7201060015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4647</Words>
  <Characters>26490</Characters>
  <Application>Microsoft Office Word</Application>
  <DocSecurity>0</DocSecurity>
  <Lines>220</Lines>
  <Paragraphs>62</Paragraphs>
  <ScaleCrop>false</ScaleCrop>
  <Company/>
  <LinksUpToDate>false</LinksUpToDate>
  <CharactersWithSpaces>31075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录</dc:title>
  <dc:creator>分公司</dc:creator>
  <cp:lastModifiedBy>Administrator</cp:lastModifiedBy>
  <cp:revision>6</cp:revision>
  <cp:lastPrinted>2013-05-15T00:13:00Z</cp:lastPrinted>
  <dcterms:created xsi:type="dcterms:W3CDTF">2012-11-13T04:59:00Z</dcterms:created>
  <dcterms:modified xsi:type="dcterms:W3CDTF">2014-08-16T08:19:19Z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2052-9.1.0.4715</vt:lpwstr>
  </property>
</Properties>
</file>