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16825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8.9pt;height:26.7pt;margin-top:42.07pt;margin-left:164.58pt;mso-position-horizontal-relative:page;mso-position-vertical-relative:page;position:absolute;z-index:-251658240" o:allowincell="f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left="20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A6A6A6"/>
                      <w:sz w:val="18"/>
                      <w:szCs w:val="18"/>
                    </w:rPr>
                    <w:t>地方政府债与城投行业监测周报</w:t>
                  </w:r>
                  <w:r>
                    <w:rPr>
                      <w:rFonts w:ascii="SimHei" w:eastAsia="SimHei" w:hAnsi="SimHei" w:cs="SimHei"/>
                      <w:color w:val="A6A6A6"/>
                      <w:spacing w:val="-3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A6A6A6"/>
                      <w:sz w:val="18"/>
                      <w:szCs w:val="18"/>
                    </w:rPr>
                    <w:t>2022</w:t>
                  </w:r>
                  <w:r>
                    <w:rPr>
                      <w:rFonts w:ascii="SimHei" w:eastAsia="SimHei" w:hAnsi="SimHei" w:cs="SimHei"/>
                      <w:color w:val="A6A6A6"/>
                      <w:spacing w:val="-3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A6A6A6"/>
                      <w:sz w:val="18"/>
                      <w:szCs w:val="18"/>
                    </w:rPr>
                    <w:t>年第</w:t>
                  </w:r>
                  <w:r>
                    <w:rPr>
                      <w:rFonts w:ascii="SimHei" w:eastAsia="SimHei" w:hAnsi="SimHei" w:cs="SimHei"/>
                      <w:color w:val="A6A6A6"/>
                      <w:spacing w:val="-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A6A6A6"/>
                      <w:sz w:val="18"/>
                      <w:szCs w:val="18"/>
                    </w:rPr>
                    <w:t>9</w:t>
                  </w:r>
                  <w:r>
                    <w:rPr>
                      <w:rFonts w:ascii="SimHei" w:eastAsia="SimHei" w:hAnsi="SimHei" w:cs="SimHei"/>
                      <w:color w:val="A6A6A6"/>
                      <w:spacing w:val="-4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A6A6A6"/>
                      <w:sz w:val="18"/>
                      <w:szCs w:val="18"/>
                    </w:rPr>
                    <w:t>期</w:t>
                  </w:r>
                </w:p>
                <w:p>
                  <w:pPr>
                    <w:spacing w:before="62" w:line="221" w:lineRule="auto"/>
                    <w:ind w:left="24"/>
                    <w:rPr>
                      <w:rFonts w:ascii="SimHei" w:eastAsia="SimHei" w:hAnsi="SimHei" w:cs="SimHei"/>
                      <w:sz w:val="18"/>
                      <w:szCs w:val="18"/>
                    </w:rPr>
                  </w:pPr>
                  <w:r>
                    <w:rPr>
                      <w:rFonts w:ascii="SimHei" w:eastAsia="SimHei" w:hAnsi="SimHei" w:cs="SimHei"/>
                      <w:color w:val="A6A6A6"/>
                      <w:spacing w:val="1"/>
                      <w:sz w:val="18"/>
                      <w:szCs w:val="18"/>
                    </w:rPr>
                    <w:t>隐性债务监管高压态势不变强调防范“处置风险的风险”</w:t>
                  </w:r>
                </w:p>
              </w:txbxContent>
            </v:textbox>
          </v:shape>
        </w:pict>
      </w:r>
      <w:r>
        <w:pict>
          <v:shape id="_x0000_s1026" type="#_x0000_t202" style="width:115.7pt;height:30.45pt;margin-top:60.48pt;margin-left:453.67pt;mso-position-horizontal-relative:page;mso-position-vertical-relative:page;position:absolute;z-index:251663360" o:allowincell="f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jc w:val="right"/>
                    <w:rPr>
                      <w:rFonts w:ascii="SimHei" w:eastAsia="SimHei" w:hAnsi="SimHei" w:cs="SimHei"/>
                      <w:sz w:val="48"/>
                      <w:szCs w:val="48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29"/>
                      <w:sz w:val="48"/>
                      <w:szCs w:val="48"/>
                      <w14:textOutline w14:w="8708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信</w:t>
                  </w:r>
                  <w:r>
                    <w:rPr>
                      <w:rFonts w:ascii="SimHei" w:eastAsia="SimHei" w:hAnsi="SimHei" w:cs="SimHei"/>
                      <w:color w:val="FFFFFF"/>
                      <w:spacing w:val="-28"/>
                      <w:sz w:val="48"/>
                      <w:szCs w:val="48"/>
                      <w14:textOutline w14:w="8708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用债研</w:t>
                  </w:r>
                  <w:r>
                    <w:rPr>
                      <w:rFonts w:ascii="SimHei" w:eastAsia="SimHei" w:hAnsi="SimHei" w:cs="SimHei"/>
                      <w:color w:val="FFFFFF"/>
                      <w:spacing w:val="-17"/>
                      <w:sz w:val="48"/>
                      <w:szCs w:val="48"/>
                      <w14:textOutline w14:w="8708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究</w:t>
                  </w:r>
                </w:p>
              </w:txbxContent>
            </v:textbox>
          </v:shape>
        </w:pict>
      </w:r>
      <w:r>
        <w:pict>
          <v:shape id="_x0000_s1027" type="#_x0000_t202" style="width:317.6pt;height:41.95pt;margin-top:125.16pt;margin-left:211.89pt;mso-position-horizontal-relative:page;mso-position-vertical-relative:page;position:absolute;z-index:251662336" o:allowincell="f" filled="f" stroked="f">
            <o:lock v:ext="edit" aspectratio="f"/>
            <v:textbox inset="0,0,0,0">
              <w:txbxContent>
                <w:p>
                  <w:pPr>
                    <w:spacing w:before="21" w:line="230" w:lineRule="auto"/>
                    <w:ind w:left="2423" w:right="20" w:hanging="2404"/>
                    <w:rPr>
                      <w:rFonts w:ascii="SimHei" w:eastAsia="SimHei" w:hAnsi="SimHei" w:cs="SimHei"/>
                      <w:sz w:val="32"/>
                      <w:szCs w:val="32"/>
                    </w:rPr>
                  </w:pPr>
                  <w:r>
                    <w:rPr>
                      <w:rFonts w:ascii="SimHei" w:eastAsia="SimHei" w:hAnsi="SimHei" w:cs="SimHei"/>
                      <w:spacing w:val="-20"/>
                      <w:sz w:val="32"/>
                      <w:szCs w:val="32"/>
                    </w:rPr>
                    <w:t>融资回暖利率中枢适度下移，把握有色、煤炭行</w:t>
                  </w:r>
                  <w:r>
                    <w:rPr>
                      <w:rFonts w:ascii="SimHei" w:eastAsia="SimHei" w:hAnsi="SimHei" w:cs="SimHei"/>
                      <w:spacing w:val="1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15"/>
                      <w:sz w:val="32"/>
                      <w:szCs w:val="32"/>
                    </w:rPr>
                    <w:t>业投资机会</w:t>
                  </w:r>
                </w:p>
              </w:txbxContent>
            </v:textbox>
          </v:shape>
        </w:pict>
      </w:r>
      <w:r>
        <w:pict>
          <v:shape id="_x0000_s1028" type="#_x0000_t202" style="width:361.3pt;height:44.7pt;margin-top:174.5pt;margin-left:211.16pt;mso-position-horizontal-relative:page;mso-position-vertical-relative:page;position:absolute;z-index:251661312" o:allowincell="f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2307"/>
                    <w:rPr>
                      <w:rFonts w:ascii="SimHei" w:eastAsia="SimHei" w:hAnsi="SimHei" w:cs="SimHei"/>
                      <w:sz w:val="24"/>
                      <w:szCs w:val="24"/>
                    </w:rPr>
                  </w:pPr>
                  <w:r>
                    <w:rPr>
                      <w:rFonts w:ascii="SimHei" w:eastAsia="SimHei" w:hAnsi="SimHei" w:cs="SimHei"/>
                      <w:spacing w:val="-2"/>
                      <w:sz w:val="24"/>
                      <w:szCs w:val="24"/>
                    </w:rPr>
                    <w:t>——信用债市场</w:t>
                  </w:r>
                  <w:r>
                    <w:rPr>
                      <w:rFonts w:ascii="SimHei" w:eastAsia="SimHei" w:hAnsi="SimHei" w:cs="SimHei"/>
                      <w:spacing w:val="-4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2"/>
                      <w:sz w:val="24"/>
                      <w:szCs w:val="24"/>
                    </w:rPr>
                    <w:t>2023</w:t>
                  </w:r>
                  <w:r>
                    <w:rPr>
                      <w:rFonts w:ascii="SimHei" w:eastAsia="SimHei" w:hAnsi="SimHei" w:cs="SimHei"/>
                      <w:spacing w:val="-5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2"/>
                      <w:sz w:val="24"/>
                      <w:szCs w:val="24"/>
                    </w:rPr>
                    <w:t>年回顾与</w:t>
                  </w:r>
                  <w:r>
                    <w:rPr>
                      <w:rFonts w:ascii="SimHei" w:eastAsia="SimHei" w:hAnsi="SimHei" w:cs="SimHei"/>
                      <w:spacing w:val="-5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2"/>
                      <w:sz w:val="24"/>
                      <w:szCs w:val="24"/>
                    </w:rPr>
                    <w:t>2024</w:t>
                  </w:r>
                  <w:r>
                    <w:rPr>
                      <w:rFonts w:ascii="SimHei" w:eastAsia="SimHei" w:hAnsi="SimHei" w:cs="SimHei"/>
                      <w:spacing w:val="-5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2"/>
                      <w:sz w:val="24"/>
                      <w:szCs w:val="24"/>
                    </w:rPr>
                    <w:t>年展望</w:t>
                  </w:r>
                </w:p>
                <w:p>
                  <w:pPr>
                    <w:spacing w:before="103"/>
                    <w:ind w:left="20"/>
                    <w:rPr>
                      <w:rFonts w:ascii="FangSong" w:eastAsia="FangSong" w:hAnsi="FangSong" w:cs="FangSong"/>
                      <w:sz w:val="22"/>
                      <w:szCs w:val="22"/>
                    </w:rPr>
                  </w:pPr>
                  <w:r>
                    <w:rPr>
                      <w:rFonts w:ascii="FangSong" w:eastAsia="FangSong" w:hAnsi="FangSong" w:cs="FangSong"/>
                      <w:position w:val="-11"/>
                      <w:sz w:val="22"/>
                      <w:szCs w:val="22"/>
                    </w:rPr>
                    <w:drawing>
                      <wp:inline distT="0" distB="0" distL="0" distR="0">
                        <wp:extent cx="280416" cy="283464"/>
                        <wp:effectExtent l="0" t="0" r="0" b="0"/>
                        <wp:docPr id="2" name="I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 2"/>
                                <pic:cNvPicPr/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416" cy="2834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angSong" w:eastAsia="FangSong" w:hAnsi="FangSong" w:cs="FangSong"/>
                      <w:spacing w:val="4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2"/>
                      <w:sz w:val="22"/>
                      <w:szCs w:val="22"/>
                      <w:u w:val="single" w:color="000000"/>
                      <w14:textOutline w14:w="400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本期要点</w:t>
                  </w:r>
                  <w:r>
                    <w:rPr>
                      <w:rFonts w:ascii="FangSong" w:eastAsia="FangSong" w:hAnsi="FangSong" w:cs="FangSong"/>
                      <w:spacing w:val="-2"/>
                      <w:sz w:val="22"/>
                      <w:szCs w:val="22"/>
                      <w:u w:val="single" w:color="auto"/>
                    </w:rPr>
                    <w:t xml:space="preserve">                                                </w:t>
                  </w:r>
                  <w:r>
                    <w:rPr>
                      <w:rFonts w:ascii="FangSong" w:eastAsia="FangSong" w:hAnsi="FangSong" w:cs="FangSong"/>
                      <w:spacing w:val="-3"/>
                      <w:sz w:val="22"/>
                      <w:szCs w:val="22"/>
                      <w:u w:val="single" w:color="auto"/>
                    </w:rPr>
                    <w:t xml:space="preserve">     </w:t>
                  </w:r>
                </w:p>
              </w:txbxContent>
            </v:textbox>
          </v:shape>
        </w:pict>
      </w:r>
      <w:r>
        <w:pict>
          <v:shape id="_x0000_s1029" type="#_x0000_t202" style="width:375.15pt;height:545.4pt;margin-top:225.72pt;margin-left:206.51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1" w:lineRule="auto"/>
                    <w:ind w:left="20"/>
                  </w:pPr>
                  <w:r>
                    <w:rPr>
                      <w:rFonts w:ascii="Wingdings" w:eastAsia="Wingdings" w:hAnsi="Wingdings" w:cs="Wingdings"/>
                      <w:color w:val="003366"/>
                      <w:spacing w:val="-5"/>
                    </w:rPr>
                    <w:sym w:font="Wingdings" w:char="F06E"/>
                  </w:r>
                  <w:r>
                    <w:rPr>
                      <w:rFonts w:ascii="Wingdings" w:eastAsia="Wingdings" w:hAnsi="Wingdings" w:cs="Wingdings"/>
                      <w:color w:val="003366"/>
                      <w:spacing w:val="130"/>
                    </w:rPr>
                    <w:t xml:space="preserve"> </w:t>
                  </w:r>
                  <w:r>
                    <w:rPr>
                      <w:color w:val="003366"/>
                      <w:spacing w:val="-5"/>
                      <w14:textOutline w14:w="3309">
                        <w14:solidFill>
                          <w14:srgbClr w14:val="003366"/>
                        </w14:solidFill>
                        <w14:prstDash w14:val="solid"/>
                        <w14:miter w14:lim="10"/>
                      </w14:textOutline>
                    </w:rPr>
                    <w:t>展望及策略：</w:t>
                  </w:r>
                  <w:r>
                    <w:rPr>
                      <w:color w:val="003366"/>
                      <w:spacing w:val="-5"/>
                    </w:rPr>
                    <w:t xml:space="preserve"> </w:t>
                  </w:r>
                  <w:r>
                    <w:rPr>
                      <w:color w:val="003366"/>
                      <w:spacing w:val="-5"/>
                      <w14:textOutline w14:w="3309">
                        <w14:solidFill>
                          <w14:srgbClr w14:val="003366"/>
                        </w14:solidFill>
                        <w14:prstDash w14:val="solid"/>
                        <w14:miter w14:lim="10"/>
                      </w14:textOutline>
                    </w:rPr>
                    <w:t>融资或回暖，</w:t>
                  </w:r>
                  <w:r>
                    <w:rPr>
                      <w:color w:val="003366"/>
                      <w:spacing w:val="-5"/>
                    </w:rPr>
                    <w:t xml:space="preserve"> </w:t>
                  </w:r>
                  <w:r>
                    <w:rPr>
                      <w:color w:val="003366"/>
                      <w:spacing w:val="-5"/>
                      <w14:textOutline w14:w="3309">
                        <w14:solidFill>
                          <w14:srgbClr w14:val="003366"/>
                        </w14:solidFill>
                        <w14:prstDash w14:val="solid"/>
                        <w14:miter w14:lim="10"/>
                      </w14:textOutline>
                    </w:rPr>
                    <w:t>利差或在波动中分化，关注有色、煤炭债券投资机会</w:t>
                  </w:r>
                </w:p>
                <w:p>
                  <w:pPr>
                    <w:pStyle w:val="BodyText"/>
                    <w:spacing w:before="86" w:line="287" w:lineRule="auto"/>
                    <w:ind w:left="435" w:right="170" w:hanging="415"/>
                  </w:pPr>
                  <w:r>
                    <w:rPr>
                      <w:rFonts w:ascii="Wingdings" w:eastAsia="Wingdings" w:hAnsi="Wingdings" w:cs="Wingdings"/>
                      <w:spacing w:val="-3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10"/>
                    </w:rPr>
                    <w:t xml:space="preserve"> </w:t>
                  </w:r>
                  <w:r>
                    <w:rPr>
                      <w:spacing w:val="-3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市场运行：</w:t>
                  </w:r>
                  <w:r>
                    <w:rPr>
                      <w:spacing w:val="-3"/>
                    </w:rPr>
                    <w:t>预计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3"/>
                    </w:rPr>
                    <w:t>2024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spacing w:val="-3"/>
                    </w:rPr>
                    <w:t>年信用债发行规模</w:t>
                  </w:r>
                  <w:r>
                    <w:rPr>
                      <w:spacing w:val="-4"/>
                    </w:rPr>
                    <w:t>或在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rPr>
                      <w:spacing w:val="-4"/>
                    </w:rPr>
                    <w:t>15.5-16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rPr>
                      <w:spacing w:val="-4"/>
                    </w:rPr>
                    <w:t>万亿元，同比有望恢复；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4"/>
                    </w:rPr>
                    <w:t>发行利率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仍将在低位，与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2023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"/>
                    </w:rPr>
                    <w:t>年中枢持平或进一步下行；信用利差中枢或与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1"/>
                    </w:rPr>
                    <w:t>2023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年基本持平，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各等级走势或分化；AAA、AA+级信用债收益率较 2023 年中枢或小</w:t>
                  </w:r>
                  <w:r>
                    <w:rPr>
                      <w:spacing w:val="-3"/>
                    </w:rPr>
                    <w:t>幅下行，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3"/>
                    </w:rPr>
                    <w:t>AA 等级收益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率将基本持平。</w:t>
                  </w:r>
                </w:p>
                <w:p>
                  <w:pPr>
                    <w:pStyle w:val="BodyText"/>
                    <w:spacing w:before="82" w:line="279" w:lineRule="auto"/>
                    <w:ind w:left="434" w:right="171" w:hanging="414"/>
                  </w:pPr>
                  <w:r>
                    <w:rPr>
                      <w:rFonts w:ascii="Wingdings" w:eastAsia="Wingdings" w:hAnsi="Wingdings" w:cs="Wingdings"/>
                      <w:spacing w:val="-3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07"/>
                    </w:rPr>
                    <w:t xml:space="preserve"> </w:t>
                  </w:r>
                  <w:r>
                    <w:rPr>
                      <w:spacing w:val="-3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投资策略：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rPr>
                      <w:spacing w:val="-3"/>
                    </w:rPr>
                    <w:t>可关注有色、煤炭行业优质企业债券；城投行业应优选经</w:t>
                  </w:r>
                  <w:r>
                    <w:rPr>
                      <w:spacing w:val="-4"/>
                    </w:rPr>
                    <w:t>济财政实力强、区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域融资环境好、年内债务到期压力小的优质区域， 可继续挖掘化债支持力度较大区域的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"/>
                    </w:rPr>
                    <w:t>短久期高收益城投债。</w:t>
                  </w:r>
                </w:p>
                <w:p>
                  <w:pPr>
                    <w:pStyle w:val="BodyText"/>
                    <w:spacing w:before="240" w:line="221" w:lineRule="auto"/>
                    <w:ind w:left="20"/>
                  </w:pPr>
                  <w:r>
                    <w:rPr>
                      <w:rFonts w:ascii="Wingdings" w:eastAsia="Wingdings" w:hAnsi="Wingdings" w:cs="Wingdings"/>
                      <w:color w:val="003366"/>
                      <w:spacing w:val="-1"/>
                    </w:rPr>
                    <w:sym w:font="Wingdings" w:char="F06E"/>
                  </w:r>
                  <w:r>
                    <w:rPr>
                      <w:rFonts w:ascii="Wingdings" w:eastAsia="Wingdings" w:hAnsi="Wingdings" w:cs="Wingdings"/>
                      <w:color w:val="003366"/>
                      <w:spacing w:val="140"/>
                    </w:rPr>
                    <w:t xml:space="preserve"> </w:t>
                  </w:r>
                  <w:r>
                    <w:rPr>
                      <w:color w:val="003366"/>
                      <w:spacing w:val="-1"/>
                      <w14:textOutline w14:w="3309">
                        <w14:solidFill>
                          <w14:srgbClr w14:val="003366"/>
                        </w14:solidFill>
                        <w14:prstDash w14:val="solid"/>
                        <w14:miter w14:lim="10"/>
                      </w14:textOutline>
                    </w:rPr>
                    <w:t>一级市场回顾：信用债融资仍显疲弱，融资分化依然显著</w:t>
                  </w:r>
                </w:p>
                <w:p>
                  <w:pPr>
                    <w:pStyle w:val="BodyText"/>
                    <w:spacing w:before="86" w:line="287" w:lineRule="auto"/>
                    <w:ind w:left="432" w:right="169" w:hanging="413"/>
                  </w:pPr>
                  <w:r>
                    <w:rPr>
                      <w:rFonts w:ascii="Wingdings" w:eastAsia="Wingdings" w:hAnsi="Wingdings" w:cs="Wingdings"/>
                      <w:spacing w:val="-4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26"/>
                    </w:rPr>
                    <w:t xml:space="preserve"> </w:t>
                  </w:r>
                  <w:r>
                    <w:rPr>
                      <w:spacing w:val="-4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融资规模：</w:t>
                  </w:r>
                  <w:r>
                    <w:rPr>
                      <w:spacing w:val="-4"/>
                    </w:rPr>
                    <w:t>信用债发行规模共计 14.86 万亿元，未见明显修复， 同时高到期压力下，净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融资流出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1"/>
                    </w:rPr>
                    <w:t>1078.45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1"/>
                    </w:rPr>
                    <w:t>亿元，为</w:t>
                  </w:r>
                  <w:r>
                    <w:rPr>
                      <w:spacing w:val="-42"/>
                    </w:rPr>
                    <w:t xml:space="preserve"> </w:t>
                  </w:r>
                  <w:r>
                    <w:rPr>
                      <w:spacing w:val="-1"/>
                    </w:rPr>
                    <w:t>2014</w:t>
                  </w:r>
                  <w:r>
                    <w:rPr>
                      <w:spacing w:val="-49"/>
                    </w:rPr>
                    <w:t xml:space="preserve"> </w:t>
                  </w:r>
                  <w:r>
                    <w:rPr>
                      <w:spacing w:val="-1"/>
                    </w:rPr>
                    <w:t>年以来信用债市场首次年度融资净流出；城投债发行规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模占信用债比例达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2"/>
                    </w:rPr>
                    <w:t>40%，较 2022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2"/>
                    </w:rPr>
                    <w:t>年的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2"/>
                    </w:rPr>
                    <w:t>32%明显增加，成为支撑信用债融资的重要</w:t>
                  </w:r>
                  <w:r>
                    <w:rPr>
                      <w:spacing w:val="-3"/>
                    </w:rPr>
                    <w:t>因素，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非城投信用债融资延续低迷态势。</w:t>
                  </w:r>
                </w:p>
                <w:p>
                  <w:pPr>
                    <w:pStyle w:val="BodyText"/>
                    <w:spacing w:before="79" w:line="278" w:lineRule="auto"/>
                    <w:ind w:left="435" w:right="170" w:hanging="414"/>
                  </w:pPr>
                  <w:r>
                    <w:rPr>
                      <w:rFonts w:ascii="Wingdings" w:eastAsia="Wingdings" w:hAnsi="Wingdings" w:cs="Wingdings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95"/>
                    </w:rPr>
                    <w:t xml:space="preserve"> </w:t>
                  </w:r>
                  <w:r>
                    <w:rPr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发行利率：</w:t>
                  </w:r>
                  <w:r>
                    <w:t>资金面合理充裕、多项政策引</w:t>
                  </w:r>
                  <w:r>
                    <w:rPr>
                      <w:spacing w:val="-1"/>
                    </w:rPr>
                    <w:t>导融资成本下行的背景下，2023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1"/>
                    </w:rPr>
                    <w:t>年主要券种各</w:t>
                  </w:r>
                  <w:r>
                    <w:t xml:space="preserve"> </w:t>
                  </w:r>
                  <w:r>
                    <w:rPr>
                      <w:spacing w:val="1"/>
                    </w:rPr>
                    <w:t>等级主体发行成本较去年末全面下行，下行幅度在 27-233</w:t>
                  </w:r>
                  <w:r>
                    <w:t>bp</w:t>
                  </w:r>
                  <w:r>
                    <w:rPr>
                      <w:spacing w:val="1"/>
                    </w:rPr>
                    <w:t xml:space="preserve"> 之间，发行利差也普遍收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2"/>
                    </w:rPr>
                    <w:t>窄，幅度在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2"/>
                    </w:rPr>
                    <w:t>18-190bp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rPr>
                      <w:spacing w:val="-2"/>
                    </w:rPr>
                    <w:t>之间。</w:t>
                  </w:r>
                </w:p>
                <w:p>
                  <w:pPr>
                    <w:pStyle w:val="BodyText"/>
                    <w:spacing w:before="89" w:line="280" w:lineRule="auto"/>
                    <w:ind w:left="433" w:right="169" w:hanging="412"/>
                  </w:pPr>
                  <w:r>
                    <w:rPr>
                      <w:rFonts w:ascii="Wingdings" w:eastAsia="Wingdings" w:hAnsi="Wingdings" w:cs="Wingdings"/>
                      <w:spacing w:val="-3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03"/>
                    </w:rPr>
                    <w:t xml:space="preserve"> </w:t>
                  </w:r>
                  <w:r>
                    <w:rPr>
                      <w:spacing w:val="-3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发行结构：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rPr>
                      <w:spacing w:val="-3"/>
                    </w:rPr>
                    <w:t>债券期限短期化趋势小幅缓和，1 年以内期限债券发行规模占比微降；私募</w:t>
                  </w:r>
                  <w:r>
                    <w:t xml:space="preserve"> </w:t>
                  </w:r>
                  <w:r>
                    <w:rPr>
                      <w:spacing w:val="-3"/>
                    </w:rPr>
                    <w:t>城投债发行增多驱动私募公司债、PPN 占比上升；AAA</w:t>
                  </w:r>
                  <w:r>
                    <w:rPr>
                      <w:spacing w:val="-49"/>
                    </w:rPr>
                    <w:t xml:space="preserve"> </w:t>
                  </w:r>
                  <w:r>
                    <w:rPr>
                      <w:spacing w:val="-3"/>
                    </w:rPr>
                    <w:t>和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rPr>
                      <w:spacing w:val="-3"/>
                    </w:rPr>
                    <w:t>AA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spacing w:val="-3"/>
                    </w:rPr>
                    <w:t>等级占比降低、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3"/>
                    </w:rPr>
                    <w:t>AA+等级债券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占比增加。</w:t>
                  </w:r>
                </w:p>
                <w:p>
                  <w:pPr>
                    <w:pStyle w:val="BodyText"/>
                    <w:spacing w:before="81" w:line="279" w:lineRule="auto"/>
                    <w:ind w:left="435" w:right="174" w:hanging="416"/>
                  </w:pPr>
                  <w:r>
                    <w:rPr>
                      <w:rFonts w:ascii="Wingdings" w:eastAsia="Wingdings" w:hAnsi="Wingdings" w:cs="Wingdings"/>
                      <w:spacing w:val="-5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19"/>
                    </w:rPr>
                    <w:t xml:space="preserve"> </w:t>
                  </w:r>
                  <w:r>
                    <w:rPr>
                      <w:spacing w:val="-5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创新品种：</w:t>
                  </w:r>
                  <w:r>
                    <w:rPr>
                      <w:spacing w:val="-5"/>
                    </w:rPr>
                    <w:t>创新品种发行规模在 2023 年逐季度增长，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5"/>
                    </w:rPr>
                    <w:t>全年发行规模突破 1 万亿元，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5"/>
                    </w:rPr>
                    <w:t>较</w:t>
                  </w:r>
                  <w:r>
                    <w:t xml:space="preserve"> </w:t>
                  </w:r>
                  <w:r>
                    <w:t>2023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年同期增长超过一倍；科技创新债券取代碳中</w:t>
                  </w:r>
                  <w:r>
                    <w:rPr>
                      <w:spacing w:val="-1"/>
                    </w:rPr>
                    <w:t>和债券成为发行主力，占创新品种发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行总额的比重接近</w:t>
                  </w:r>
                  <w:r>
                    <w:rPr>
                      <w:spacing w:val="-35"/>
                    </w:rPr>
                    <w:t xml:space="preserve"> </w:t>
                  </w:r>
                  <w:r>
                    <w:rPr>
                      <w:spacing w:val="-2"/>
                    </w:rPr>
                    <w:t>8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rPr>
                      <w:spacing w:val="-2"/>
                    </w:rPr>
                    <w:t>成。</w:t>
                  </w:r>
                </w:p>
                <w:p>
                  <w:pPr>
                    <w:pStyle w:val="BodyText"/>
                    <w:spacing w:before="84" w:line="291" w:lineRule="auto"/>
                    <w:ind w:left="432" w:right="169" w:hanging="412"/>
                  </w:pPr>
                  <w:r>
                    <w:rPr>
                      <w:rFonts w:ascii="Wingdings" w:eastAsia="Wingdings" w:hAnsi="Wingdings" w:cs="Wingdings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09"/>
                    </w:rPr>
                    <w:t xml:space="preserve"> </w:t>
                  </w:r>
                  <w:r>
                    <w:rPr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融资结构：</w:t>
                  </w:r>
                  <w:r>
                    <w:t>融资分化依然显著，民企发行同比降低</w:t>
                  </w:r>
                  <w:r>
                    <w:rPr>
                      <w:spacing w:val="-1"/>
                    </w:rPr>
                    <w:t>且净融资流出量与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spacing w:val="-1"/>
                    </w:rPr>
                    <w:t>2022年持平，仍待</w:t>
                  </w:r>
                  <w:r>
                    <w:t xml:space="preserve"> </w:t>
                  </w:r>
                  <w:r>
                    <w:rPr>
                      <w:spacing w:val="1"/>
                    </w:rPr>
                    <w:t>进一步修复；电力生产与供应、化工、交通运输净流出规模较高，基投、综合行业净流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入规模较高；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rPr>
                      <w:spacing w:val="-2"/>
                    </w:rPr>
                    <w:t>房地产行业发行规模同比降低、净融资大幅净流</w:t>
                  </w:r>
                  <w:r>
                    <w:rPr>
                      <w:spacing w:val="-3"/>
                    </w:rPr>
                    <w:t>出，融资情况仍待修复；</w:t>
                  </w:r>
                  <w:r>
                    <w:t xml:space="preserve"> </w:t>
                  </w:r>
                  <w:r>
                    <w:rPr>
                      <w:spacing w:val="2"/>
                    </w:rPr>
                    <w:t>京苏粤浙鲁沪发行规模位居前六，城投发行</w:t>
                  </w:r>
                  <w:r>
                    <w:rPr>
                      <w:spacing w:val="1"/>
                    </w:rPr>
                    <w:t>火热背景下浙江、江苏和山东融资净流入量</w:t>
                  </w:r>
                  <w:r>
                    <w:t xml:space="preserve"> </w:t>
                  </w:r>
                  <w:r>
                    <w:t>明显高于其他省份；东北、西部地区发行及融资情况仍</w:t>
                  </w:r>
                  <w:r>
                    <w:rPr>
                      <w:spacing w:val="-1"/>
                    </w:rPr>
                    <w:t>待提升。</w:t>
                  </w:r>
                </w:p>
                <w:p>
                  <w:pPr>
                    <w:pStyle w:val="BodyText"/>
                    <w:spacing w:before="234" w:line="221" w:lineRule="auto"/>
                    <w:ind w:left="20"/>
                  </w:pPr>
                  <w:r>
                    <w:rPr>
                      <w:rFonts w:ascii="Wingdings" w:eastAsia="Wingdings" w:hAnsi="Wingdings" w:cs="Wingdings"/>
                      <w:color w:val="003366"/>
                      <w:spacing w:val="-1"/>
                    </w:rPr>
                    <w:sym w:font="Wingdings" w:char="F06E"/>
                  </w:r>
                  <w:r>
                    <w:rPr>
                      <w:rFonts w:ascii="Wingdings" w:eastAsia="Wingdings" w:hAnsi="Wingdings" w:cs="Wingdings"/>
                      <w:color w:val="003366"/>
                      <w:spacing w:val="144"/>
                    </w:rPr>
                    <w:t xml:space="preserve"> </w:t>
                  </w:r>
                  <w:r>
                    <w:rPr>
                      <w:color w:val="003366"/>
                      <w:spacing w:val="-1"/>
                      <w14:textOutline w14:w="3309">
                        <w14:solidFill>
                          <w14:srgbClr w14:val="003366"/>
                        </w14:solidFill>
                        <w14:prstDash w14:val="solid"/>
                        <w14:miter w14:lim="10"/>
                      </w14:textOutline>
                    </w:rPr>
                    <w:t>二级市场回顾：交投小幅降温，信用债收益率、信用利差全面下行</w:t>
                  </w:r>
                </w:p>
                <w:p>
                  <w:pPr>
                    <w:pStyle w:val="BodyText"/>
                    <w:spacing w:before="92" w:line="264" w:lineRule="auto"/>
                    <w:ind w:left="432" w:right="20" w:hanging="413"/>
                  </w:pPr>
                  <w:r>
                    <w:rPr>
                      <w:rFonts w:ascii="Wingdings" w:eastAsia="Wingdings" w:hAnsi="Wingdings" w:cs="Wingdings"/>
                      <w:spacing w:val="-1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06"/>
                    </w:rPr>
                    <w:t xml:space="preserve"> </w:t>
                  </w:r>
                  <w:r>
                    <w:rPr>
                      <w:spacing w:val="-1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现券成交：</w:t>
                  </w:r>
                  <w:r>
                    <w:rPr>
                      <w:spacing w:val="-1"/>
                    </w:rPr>
                    <w:t>信用债成交总额同比降低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rPr>
                      <w:spacing w:val="-1"/>
                    </w:rPr>
                    <w:t>4%至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rPr>
                      <w:spacing w:val="-1"/>
                    </w:rPr>
                    <w:t>62.25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1"/>
                    </w:rPr>
                    <w:t>万亿元，主要</w:t>
                  </w:r>
                  <w:r>
                    <w:rPr>
                      <w:spacing w:val="-2"/>
                    </w:rPr>
                    <w:t xml:space="preserve">因可转债交易规模持续走  </w:t>
                  </w:r>
                  <w:r>
                    <w:rPr>
                      <w:spacing w:val="-1"/>
                    </w:rPr>
                    <w:t>低，全年交易规模占比同比降低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"/>
                    </w:rPr>
                    <w:t>11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rPr>
                      <w:spacing w:val="-1"/>
                    </w:rPr>
                    <w:t>个百分点至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1"/>
                    </w:rPr>
                    <w:t>21%，中票</w:t>
                  </w:r>
                  <w:r>
                    <w:rPr>
                      <w:spacing w:val="-2"/>
                    </w:rPr>
                    <w:t>、公司债成交占比反超可转债。</w:t>
                  </w:r>
                </w:p>
                <w:p>
                  <w:pPr>
                    <w:pStyle w:val="BodyText"/>
                    <w:spacing w:before="87" w:line="261" w:lineRule="auto"/>
                    <w:ind w:left="435" w:right="169" w:hanging="416"/>
                  </w:pPr>
                  <w:r>
                    <w:rPr>
                      <w:rFonts w:ascii="Wingdings" w:eastAsia="Wingdings" w:hAnsi="Wingdings" w:cs="Wingdings"/>
                      <w:spacing w:val="-2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114"/>
                    </w:rPr>
                    <w:t xml:space="preserve"> </w:t>
                  </w:r>
                  <w:r>
                    <w:rPr>
                      <w:spacing w:val="-2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利率利差走势：</w:t>
                  </w:r>
                  <w:r>
                    <w:rPr>
                      <w:spacing w:val="-2"/>
                    </w:rPr>
                    <w:t xml:space="preserve"> 在经济基本面弱修复、资金面合理充裕、“资产荒”行情继续演绎等因</w:t>
                  </w:r>
                  <w:r>
                    <w:t xml:space="preserve"> </w:t>
                  </w:r>
                  <w:r>
                    <w:rPr>
                      <w:spacing w:val="-3"/>
                    </w:rPr>
                    <w:t>素作用下，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rPr>
                      <w:spacing w:val="-3"/>
                    </w:rPr>
                    <w:t>信用债收益率全面下行，幅度在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19-86bp，信用利差全面收窄，幅度在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4"/>
                    </w:rPr>
                    <w:t>17-</w:t>
                  </w:r>
                </w:p>
                <w:p>
                  <w:pPr>
                    <w:pStyle w:val="BodyText"/>
                    <w:spacing w:before="90" w:line="217" w:lineRule="auto"/>
                    <w:ind w:left="435"/>
                  </w:pPr>
                  <w:r>
                    <w:rPr>
                      <w:spacing w:val="-1"/>
                    </w:rPr>
                    <w:t>62bp。</w:t>
                  </w:r>
                </w:p>
                <w:p>
                  <w:pPr>
                    <w:pStyle w:val="BodyText"/>
                    <w:spacing w:before="25" w:line="233" w:lineRule="auto"/>
                    <w:ind w:left="435" w:right="190" w:hanging="414"/>
                    <w:rPr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pacing w:val="-2"/>
                      <w:sz w:val="20"/>
                      <w:szCs w:val="20"/>
                    </w:rPr>
                    <w:t>&gt;</w:t>
                  </w:r>
                  <w:r>
                    <w:rPr>
                      <w:rFonts w:ascii="Wingdings" w:eastAsia="Wingdings" w:hAnsi="Wingdings" w:cs="Wingdings"/>
                      <w:spacing w:val="7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2"/>
                      <w14:textOutline w14:w="3309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等级、行业利差：</w:t>
                  </w:r>
                  <w:r>
                    <w:rPr>
                      <w:spacing w:val="-2"/>
                    </w:rPr>
                    <w:t>AAA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2"/>
                    </w:rPr>
                    <w:t>与</w:t>
                  </w:r>
                  <w:r>
                    <w:rPr>
                      <w:spacing w:val="-49"/>
                    </w:rPr>
                    <w:t xml:space="preserve"> </w:t>
                  </w:r>
                  <w:r>
                    <w:rPr>
                      <w:spacing w:val="-2"/>
                    </w:rPr>
                    <w:t>AA+、AA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rPr>
                      <w:spacing w:val="-2"/>
                    </w:rPr>
                    <w:t>与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rPr>
                      <w:spacing w:val="-3"/>
                    </w:rPr>
                    <w:t>AA-等级利差收窄，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AA+与AA</w:t>
                  </w:r>
                  <w:r>
                    <w:rPr>
                      <w:spacing w:val="-42"/>
                    </w:rPr>
                    <w:t xml:space="preserve"> </w:t>
                  </w:r>
                  <w:r>
                    <w:rPr>
                      <w:spacing w:val="-3"/>
                    </w:rPr>
                    <w:t>级别利差扩张；医药、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文化产业、商业与个人服务行业利差分别扩张 76bp、48bp 和 21bp</w:t>
                  </w:r>
                  <w:r>
                    <w:rPr>
                      <w:spacing w:val="-2"/>
                    </w:rPr>
                    <w:t>，其他行业利差收窄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幅度从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1"/>
                    </w:rPr>
                    <w:t>19-135bp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1"/>
                    </w:rPr>
                    <w:t>不等，医药、建筑、房地产、文化产业行业利差处于高位</w:t>
                  </w:r>
                  <w:r>
                    <w:rPr>
                      <w:spacing w:val="-1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2273807</wp:posOffset>
            </wp:positionH>
            <wp:positionV relativeFrom="page">
              <wp:posOffset>0</wp:posOffset>
            </wp:positionV>
            <wp:extent cx="5288280" cy="143256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6102373</wp:posOffset>
            </wp:positionH>
            <wp:positionV relativeFrom="page">
              <wp:posOffset>207917</wp:posOffset>
            </wp:positionV>
            <wp:extent cx="1134687" cy="318878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687" cy="318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37"/>
        </w:rPr>
        <w:pict>
          <v:group id="_x0000_i1030" style="width:186.75pt;height:841.95pt;mso-position-horizontal-relative:char;mso-position-vertical-relative:line" coordorigin="0,0" coordsize="3735,16839" filled="f" stroked="f">
            <v:rect id="_x0000_s1031" style="width:3725;height:16839;position:absolute" filled="t" fillcolor="#f2f2f2" stroked="f"/>
            <v:rect id="_x0000_s1032" style="width:3735;height:2256;position:absolute" filled="t" fillcolor="#036" stroked="f"/>
            <v:shape id="_x0000_s1033" type="#_x0000_t202" style="width:3232;height:15251;left:255;position:absolute;top:412" filled="f" stroked="f">
              <o:lock v:ext="edit" aspectratio="f"/>
              <v:textbox inset="0,0,0,0">
                <w:txbxContent>
                  <w:p>
                    <w:pPr>
                      <w:spacing w:before="21" w:line="219" w:lineRule="auto"/>
                      <w:ind w:left="726"/>
                      <w:rPr>
                        <w:rFonts w:ascii="SimHei" w:eastAsia="SimHei" w:hAnsi="SimHei" w:cs="SimHei"/>
                        <w:sz w:val="44"/>
                        <w:szCs w:val="44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-4"/>
                        <w:sz w:val="44"/>
                        <w:szCs w:val="44"/>
                        <w14:textOutline w14:w="8011">
                          <w14:solidFill>
                            <w14:srgbClr w14:val="FFFFFF"/>
                          </w14:solidFill>
                          <w14:prstDash w14:val="solid"/>
                          <w14:miter w14:lim="10"/>
                        </w14:textOutline>
                      </w:rPr>
                      <w:t>专题研究</w:t>
                    </w:r>
                  </w:p>
                  <w:p>
                    <w:pPr>
                      <w:spacing w:before="37" w:line="222" w:lineRule="auto"/>
                      <w:jc w:val="right"/>
                      <w:rPr>
                        <w:rFonts w:ascii="SimHei" w:eastAsia="SimHei" w:hAnsi="SimHei" w:cs="SimHei"/>
                        <w:sz w:val="20"/>
                        <w:szCs w:val="20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2023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-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年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5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日—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-7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12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-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31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color w:val="FFFFFF"/>
                        <w:spacing w:val="3"/>
                        <w:sz w:val="20"/>
                        <w:szCs w:val="20"/>
                      </w:rPr>
                      <w:t>日</w:t>
                    </w: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32" w:lineRule="exact"/>
                      <w:ind w:firstLine="177"/>
                    </w:pPr>
                    <w:r>
                      <w:rPr>
                        <w:position w:val="-6"/>
                      </w:rPr>
                      <w:drawing>
                        <wp:inline distT="0" distB="0" distL="0" distR="0">
                          <wp:extent cx="557037" cy="211225"/>
                          <wp:effectExtent l="0" t="0" r="0" b="0"/>
                          <wp:docPr id="8" name="IM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57037" cy="211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85" w:lineRule="exact"/>
                    </w:pPr>
                  </w:p>
                  <w:tbl>
                    <w:tblPr>
                      <w:tblStyle w:val="TableNormal"/>
                      <w:tblW w:w="3084" w:type="dxa"/>
                      <w:tblInd w:w="119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3084"/>
                    </w:tblGrid>
                    <w:tr>
                      <w:tblPrEx>
                        <w:tblW w:w="3084" w:type="dxa"/>
                        <w:tblInd w:w="119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3234"/>
                      </w:trPr>
                      <w:tc>
                        <w:tcPr>
                          <w:tcW w:w="3084" w:type="dxa"/>
                          <w:tcBorders>
                            <w:top w:val="single" w:sz="14" w:space="0" w:color="1F497D"/>
                            <w:bottom w:val="single" w:sz="14" w:space="0" w:color="1F497D"/>
                          </w:tcBorders>
                          <w:vAlign w:val="top"/>
                        </w:tcPr>
                        <w:p>
                          <w:pPr>
                            <w:spacing w:before="179" w:line="218" w:lineRule="auto"/>
                            <w:ind w:left="158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4"/>
                              <w:sz w:val="18"/>
                              <w:szCs w:val="18"/>
                              <w14:textOutline w14:w="3309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作者：</w:t>
                          </w:r>
                        </w:p>
                        <w:p>
                          <w:pPr>
                            <w:spacing w:before="17" w:line="220" w:lineRule="auto"/>
                            <w:ind w:left="179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5"/>
                              <w:sz w:val="18"/>
                              <w:szCs w:val="18"/>
                              <w14:textOutline w14:w="3309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中诚信国际</w:t>
                          </w:r>
                          <w:r>
                            <w:rPr>
                              <w:rFonts w:ascii="FangSong" w:eastAsia="FangSong" w:hAnsi="FangSong" w:cs="FangSong"/>
                              <w:spacing w:val="1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5"/>
                              <w:sz w:val="18"/>
                              <w:szCs w:val="18"/>
                              <w14:textOutline w14:w="3309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研究院</w:t>
                          </w:r>
                        </w:p>
                        <w:p>
                          <w:pPr>
                            <w:spacing w:before="30" w:line="221" w:lineRule="auto"/>
                            <w:ind w:left="238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8"/>
                              <w:szCs w:val="18"/>
                            </w:rPr>
                            <w:t>翟</w:t>
                          </w:r>
                          <w:r>
                            <w:rPr>
                              <w:rFonts w:ascii="FangSong" w:eastAsia="FangSong" w:hAnsi="FangSong" w:cs="FangSong"/>
                              <w:spacing w:val="4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8"/>
                              <w:szCs w:val="18"/>
                            </w:rPr>
                            <w:t>帅</w:t>
                          </w:r>
                          <w:r>
                            <w:rPr>
                              <w:rFonts w:ascii="FangSong" w:eastAsia="FangSong" w:hAnsi="FangSong" w:cs="FangSong"/>
                              <w:spacing w:val="13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shzhai</w:t>
                          </w: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ccxi</w:t>
                          </w: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com</w:t>
                          </w: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cn</w:t>
                          </w:r>
                        </w:p>
                        <w:p>
                          <w:pPr>
                            <w:spacing w:before="29" w:line="219" w:lineRule="auto"/>
                            <w:ind w:left="232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18"/>
                              <w:sz w:val="18"/>
                              <w:szCs w:val="18"/>
                            </w:rPr>
                            <w:t>谭</w:t>
                          </w:r>
                          <w:r>
                            <w:rPr>
                              <w:rFonts w:ascii="FangSong" w:eastAsia="FangSong" w:hAnsi="FangSong" w:cs="FangSong"/>
                              <w:spacing w:val="3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18"/>
                              <w:sz w:val="18"/>
                              <w:szCs w:val="18"/>
                            </w:rPr>
                            <w:t>畅</w:t>
                          </w:r>
                          <w:r>
                            <w:rPr>
                              <w:rFonts w:ascii="FangSong" w:eastAsia="FangSong" w:hAnsi="FangSong" w:cs="FangSong"/>
                              <w:spacing w:val="12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chtan</w:t>
                          </w:r>
                          <w:r>
                            <w:rPr>
                              <w:rFonts w:ascii="FangSong" w:eastAsia="FangSong" w:hAnsi="FangSong" w:cs="FangSong"/>
                              <w:spacing w:val="18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ccxi</w:t>
                          </w:r>
                          <w:r>
                            <w:rPr>
                              <w:rFonts w:ascii="FangSong" w:eastAsia="FangSong" w:hAnsi="FangSong" w:cs="FangSong"/>
                              <w:spacing w:val="18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com</w:t>
                          </w:r>
                          <w:r>
                            <w:rPr>
                              <w:rFonts w:ascii="FangSong" w:eastAsia="FangSong" w:hAnsi="FangSong" w:cs="FangSong"/>
                              <w:spacing w:val="18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  <w:t>cn</w:t>
                          </w:r>
                        </w:p>
                        <w:p>
                          <w:pPr>
                            <w:spacing w:line="33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4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8" w:line="214" w:lineRule="auto"/>
                            <w:ind w:left="179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18"/>
                              <w:szCs w:val="18"/>
                              <w14:textOutline w14:w="3309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中诚信国际研究院</w:t>
                          </w: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18"/>
                              <w:szCs w:val="18"/>
                              <w14:textOutline w14:w="3309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执行院长</w:t>
                          </w:r>
                        </w:p>
                        <w:p>
                          <w:pPr>
                            <w:spacing w:line="244" w:lineRule="exact"/>
                            <w:ind w:left="160"/>
                            <w:rPr>
                              <w:rFonts w:ascii="FangSong" w:eastAsia="FangSong" w:hAnsi="FangSong" w:cs="FangSong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6"/>
                              <w:position w:val="1"/>
                              <w:sz w:val="18"/>
                              <w:szCs w:val="18"/>
                            </w:rPr>
                            <w:t>袁海霞</w:t>
                          </w:r>
                          <w:r>
                            <w:rPr>
                              <w:rFonts w:ascii="FangSong" w:eastAsia="FangSong" w:hAnsi="FangSong" w:cs="FangSong"/>
                              <w:spacing w:val="21"/>
                              <w:position w:val="1"/>
                              <w:sz w:val="18"/>
                              <w:szCs w:val="18"/>
                            </w:rPr>
                            <w:t xml:space="preserve">  </w:t>
                          </w:r>
                          <w:hyperlink r:id="rId8" w:history="1">
                            <w:r>
                              <w:rPr>
                                <w:rFonts w:ascii="FangSong" w:eastAsia="FangSong" w:hAnsi="FangSong" w:cs="FangSong"/>
                                <w:position w:val="1"/>
                                <w:sz w:val="18"/>
                                <w:szCs w:val="18"/>
                              </w:rPr>
                              <w:t>hxyuan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6"/>
                                <w:position w:val="1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rFonts w:ascii="FangSong" w:eastAsia="FangSong" w:hAnsi="FangSong" w:cs="FangSong"/>
                                <w:position w:val="1"/>
                                <w:sz w:val="18"/>
                                <w:szCs w:val="18"/>
                              </w:rPr>
                              <w:t>ccxi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6"/>
                                <w:position w:val="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FangSong" w:eastAsia="FangSong" w:hAnsi="FangSong" w:cs="FangSong"/>
                                <w:position w:val="1"/>
                                <w:sz w:val="18"/>
                                <w:szCs w:val="18"/>
                              </w:rPr>
                              <w:t>com</w:t>
                            </w:r>
                            <w:r>
                              <w:rPr>
                                <w:rFonts w:ascii="FangSong" w:eastAsia="FangSong" w:hAnsi="FangSong" w:cs="FangSong"/>
                                <w:spacing w:val="6"/>
                                <w:position w:val="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FangSong" w:eastAsia="FangSong" w:hAnsi="FangSong" w:cs="FangSong"/>
                                <w:position w:val="1"/>
                                <w:sz w:val="18"/>
                                <w:szCs w:val="18"/>
                              </w:rPr>
                              <w:t>cn</w:t>
                            </w:r>
                          </w:hyperlink>
                        </w:p>
                        <w:p>
                          <w:pPr>
                            <w:spacing w:line="40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1" w:line="184" w:lineRule="auto"/>
                            <w:ind w:left="103"/>
                            <w:rPr>
                              <w:rFonts w:ascii="Microsoft YaHei" w:eastAsia="Microsoft YaHei" w:hAnsi="Microsoft YaHei" w:cs="Microsoft YaHei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103D4D"/>
                              <w:spacing w:val="7"/>
                              <w:sz w:val="26"/>
                              <w:szCs w:val="26"/>
                            </w:rPr>
                            <w:t>相关报告</w:t>
                          </w:r>
                        </w:p>
                      </w:tc>
                    </w:tr>
                    <w:tr>
                      <w:tblPrEx>
                        <w:tblW w:w="3084" w:type="dxa"/>
                        <w:tblInd w:w="119" w:type="dxa"/>
                        <w:tblLayout w:type="fixed"/>
                      </w:tblPrEx>
                      <w:trPr>
                        <w:trHeight w:val="6147"/>
                      </w:trPr>
                      <w:tc>
                        <w:tcPr>
                          <w:tcW w:w="3084" w:type="dxa"/>
                          <w:tcBorders>
                            <w:top w:val="single" w:sz="14" w:space="0" w:color="1F497D"/>
                            <w:bottom w:val="single" w:sz="6" w:space="0" w:color="000000"/>
                          </w:tcBorders>
                          <w:vAlign w:val="top"/>
                        </w:tcPr>
                        <w:p>
                          <w:pPr>
                            <w:spacing w:line="32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49" w:line="278" w:lineRule="auto"/>
                            <w:ind w:left="154" w:right="102" w:hanging="8"/>
                            <w:jc w:val="both"/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6"/>
                              <w:sz w:val="15"/>
                              <w:szCs w:val="15"/>
                            </w:rPr>
                            <w:t>【发行回暖利差中枢或继续收窄，关注有</w:t>
                          </w:r>
                          <w:r>
                            <w:rPr>
                              <w:rFonts w:ascii="FangSong" w:eastAsia="FangSong" w:hAnsi="FangSong" w:cs="FangSong"/>
                              <w:spacing w:val="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11"/>
                              <w:sz w:val="15"/>
                              <w:szCs w:val="15"/>
                            </w:rPr>
                            <w:t>色、钢铁及旅游企业投资机会-信用债运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15"/>
                              <w:szCs w:val="15"/>
                            </w:rPr>
                            <w:t>行三季报】</w:t>
                          </w:r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49" w:line="278" w:lineRule="auto"/>
                            <w:ind w:left="154" w:hanging="8"/>
                            <w:jc w:val="both"/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15"/>
                              <w:szCs w:val="15"/>
                            </w:rPr>
                            <w:t>【到期量增加发行高峰将来临，</w:t>
                          </w:r>
                          <w:r>
                            <w:rPr>
                              <w:rFonts w:ascii="FangSong" w:eastAsia="FangSong" w:hAnsi="FangSong" w:cs="FangSong"/>
                              <w:spacing w:val="5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15"/>
                              <w:szCs w:val="15"/>
                            </w:rPr>
                            <w:t>资产荒缓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FangSong" w:eastAsia="FangSong" w:hAnsi="FangSong" w:cs="FangSong"/>
                              <w:spacing w:val="-3"/>
                              <w:sz w:val="15"/>
                              <w:szCs w:val="15"/>
                            </w:rPr>
                            <w:t>解信用利差或难下，</w:t>
                          </w:r>
                          <w:r>
                            <w:rPr>
                              <w:rFonts w:ascii="FangSong" w:eastAsia="FangSong" w:hAnsi="FangSong" w:cs="FangSong"/>
                              <w:spacing w:val="5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-3"/>
                              <w:sz w:val="15"/>
                              <w:szCs w:val="15"/>
                            </w:rPr>
                            <w:t>销售恢复下挖掘汽车、</w:t>
                          </w:r>
                          <w:r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15"/>
                              <w:szCs w:val="15"/>
                            </w:rPr>
                            <w:t>电子投资机会--信用债运行半年报】</w:t>
                          </w:r>
                        </w:p>
                        <w:p>
                          <w:pPr>
                            <w:spacing w:line="25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48" w:line="278" w:lineRule="auto"/>
                            <w:ind w:left="154" w:right="106" w:hanging="8"/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15"/>
                              <w:szCs w:val="15"/>
                            </w:rPr>
                            <w:t>【2023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15"/>
                              <w:szCs w:val="15"/>
                            </w:rPr>
                            <w:t>年上半年债市信用风险回顾与下阶</w:t>
                          </w:r>
                          <w:r>
                            <w:rPr>
                              <w:rFonts w:ascii="FangSong" w:eastAsia="FangSong" w:hAnsi="FangSong" w:cs="FangSong"/>
                              <w:spacing w:val="12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15"/>
                              <w:szCs w:val="15"/>
                            </w:rPr>
                            <w:t>段展望】违约释放趋缓，展期热潮延续，</w:t>
                          </w:r>
                          <w:r>
                            <w:rPr>
                              <w:rFonts w:ascii="FangSong" w:eastAsia="FangSong" w:hAnsi="FangSong" w:cs="FangSong"/>
                              <w:spacing w:val="1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15"/>
                              <w:szCs w:val="15"/>
                            </w:rPr>
                            <w:t>仍需警惕结构性风险</w:t>
                          </w: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49" w:line="285" w:lineRule="auto"/>
                            <w:ind w:left="154" w:right="102" w:hanging="8"/>
                            <w:jc w:val="both"/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15"/>
                              <w:szCs w:val="15"/>
                            </w:rPr>
                            <w:t>【净融资回暖、借新还旧压力加大债务脆</w:t>
                          </w: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6"/>
                              <w:sz w:val="15"/>
                              <w:szCs w:val="15"/>
                            </w:rPr>
                            <w:t>弱性，信用利差或继续压缩建议持短久期</w:t>
                          </w:r>
                          <w:r>
                            <w:rPr>
                              <w:rFonts w:ascii="FangSong" w:eastAsia="FangSong" w:hAnsi="FangSong" w:cs="FangSong"/>
                              <w:spacing w:val="1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15"/>
                              <w:szCs w:val="15"/>
                            </w:rPr>
                            <w:t>票息策略—城投行业上半年回顾与下半年</w:t>
                          </w:r>
                          <w:r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FangSong" w:eastAsia="FangSong" w:hAnsi="FangSong" w:cs="FangSong"/>
                              <w:sz w:val="15"/>
                              <w:szCs w:val="15"/>
                            </w:rPr>
                            <w:t>展望】</w:t>
                          </w:r>
                        </w:p>
                      </w:tc>
                    </w:tr>
                  </w:tbl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228" w:lineRule="auto"/>
                      <w:ind w:left="320"/>
                      <w:rPr>
                        <w:rFonts w:ascii="SimSun" w:eastAsia="SimSun" w:hAnsi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如需订阅研究报告，</w:t>
                    </w: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敬请联系</w:t>
                    </w:r>
                  </w:p>
                  <w:p>
                    <w:pPr>
                      <w:spacing w:before="174" w:line="230" w:lineRule="auto"/>
                      <w:ind w:left="332"/>
                      <w:rPr>
                        <w:rFonts w:ascii="SimSun" w:eastAsia="SimSun" w:hAnsi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eastAsia="SimSun" w:hAnsi="SimSun" w:cs="SimSun"/>
                        <w:spacing w:val="8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中诚信国际品牌与投资人服务部</w:t>
                    </w:r>
                  </w:p>
                  <w:p>
                    <w:pPr>
                      <w:spacing w:before="173" w:line="230" w:lineRule="auto"/>
                      <w:ind w:left="317"/>
                      <w:rPr>
                        <w:rFonts w:ascii="SimSun" w:eastAsia="SimSun" w:hAnsi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赵</w:t>
                    </w:r>
                    <w:r>
                      <w:rPr>
                        <w:rFonts w:ascii="SimSun" w:eastAsia="SimSun" w:hAnsi="SimSun" w:cs="SimSun"/>
                        <w:spacing w:val="2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耿</w:t>
                    </w:r>
                    <w:r>
                      <w:rPr>
                        <w:rFonts w:ascii="SimSun" w:eastAsia="SimSun" w:hAnsi="SimSun" w:cs="SimSun"/>
                        <w:spacing w:val="5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15"/>
                        <w:szCs w:val="15"/>
                      </w:rPr>
                      <w:t>010-66428731</w:t>
                    </w:r>
                    <w:r>
                      <w:rPr>
                        <w:rFonts w:ascii="SimSun" w:eastAsia="SimSun" w:hAnsi="SimSun" w:cs="SimSun"/>
                        <w:spacing w:val="3"/>
                        <w:sz w:val="15"/>
                        <w:szCs w:val="15"/>
                        <w14:textOutline w14:w="2873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；</w:t>
                    </w:r>
                  </w:p>
                  <w:p>
                    <w:pPr>
                      <w:spacing w:before="202" w:line="197" w:lineRule="auto"/>
                      <w:ind w:left="859"/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</w:rPr>
                    </w:pPr>
                    <w:hyperlink r:id="rId9" w:history="1"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"/>
                          <w:sz w:val="15"/>
                          <w:szCs w:val="15"/>
                        </w:rPr>
                        <w:t>gzhao@ccxi.com.cn</w:t>
                      </w:r>
                    </w:hyperlink>
                  </w:p>
                  <w:p>
                    <w:pPr>
                      <w:spacing w:line="31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3" w:line="231" w:lineRule="auto"/>
                      <w:ind w:left="341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hyperlink r:id="rId10" w:history="1"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"/>
                          <w:sz w:val="18"/>
                          <w:szCs w:val="18"/>
                        </w:rPr>
                        <w:t>www.ccxi.com.cn</w:t>
                      </w:r>
                    </w:hyperlink>
                  </w:p>
                </w:txbxContent>
              </v:textbox>
            </v:shape>
            <w10:wrap type="none"/>
          </v:group>
        </w:pict>
      </w:r>
    </w:p>
    <w:p>
      <w:pPr>
        <w:spacing w:line="16825" w:lineRule="exact"/>
        <w:sectPr>
          <w:headerReference w:type="default" r:id="rId11"/>
          <w:footerReference w:type="default" r:id="rId12"/>
          <w:pgSz w:w="11909" w:h="16839"/>
          <w:pgMar w:top="1" w:right="0" w:bottom="1" w:left="0" w:header="0" w:footer="0" w:gutter="0"/>
          <w:cols w:space="708"/>
        </w:sectPr>
      </w:pPr>
    </w:p>
    <w:p>
      <w:pPr>
        <w:spacing w:line="332" w:lineRule="auto"/>
        <w:rPr>
          <w:rFonts w:ascii="Arial"/>
          <w:sz w:val="21"/>
        </w:rPr>
      </w:pPr>
      <w:r>
        <w:pict>
          <v:shape id="_x0000_s1034" style="width:144.1pt;height:0.5pt;margin-top:738.46pt;margin-left:53.78pt;mso-position-horizontal-relative:page;mso-position-vertical-relative:page;position:absolute;z-index:251665408" coordorigin="0,0" coordsize="2882,10" o:allowincell="f" path="m,9l2881,9l2881,l,l,9xe" filled="t" fillcolor="black" stroked="f"/>
        </w:pict>
      </w:r>
    </w:p>
    <w:p>
      <w:pPr>
        <w:spacing w:line="332" w:lineRule="auto"/>
        <w:rPr>
          <w:rFonts w:ascii="Arial"/>
          <w:sz w:val="21"/>
        </w:rPr>
      </w:pPr>
    </w:p>
    <w:p>
      <w:pPr>
        <w:tabs>
          <w:tab w:val="left" w:pos="10062"/>
        </w:tabs>
        <w:spacing w:before="78" w:line="272" w:lineRule="auto"/>
        <w:ind w:left="109" w:firstLine="516"/>
        <w:jc w:val="both"/>
        <w:rPr>
          <w:rFonts w:ascii="FangSong" w:eastAsia="FangSong" w:hAnsi="FangSong" w:cs="FangSong"/>
          <w:sz w:val="24"/>
          <w:szCs w:val="24"/>
        </w:rPr>
      </w:pPr>
      <w:r>
        <w:rPr>
          <w:rFonts w:ascii="FangSong" w:eastAsia="FangSong" w:hAnsi="FangSong" w:cs="FangSong"/>
          <w:spacing w:val="15"/>
          <w:sz w:val="24"/>
          <w:szCs w:val="24"/>
        </w:rPr>
        <w:t>2023</w:t>
      </w:r>
      <w:r>
        <w:rPr>
          <w:rFonts w:ascii="FangSong" w:eastAsia="FangSong" w:hAnsi="FangSong" w:cs="FangSong"/>
          <w:spacing w:val="1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年</w:t>
      </w:r>
      <w:r>
        <w:rPr>
          <w:rFonts w:ascii="FangSong" w:eastAsia="FangSong" w:hAnsi="FangSong" w:cs="FangSong"/>
          <w:spacing w:val="-6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，我国经济保持韧性、延续复苏并呈现筑底回升态势，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但由于经济供需失</w:t>
      </w:r>
      <w:r>
        <w:rPr>
          <w:rFonts w:ascii="FangSong" w:eastAsia="FangSong" w:hAnsi="FangSong" w:cs="FangSong"/>
          <w:sz w:val="24"/>
          <w:szCs w:val="24"/>
        </w:rPr>
        <w:t xml:space="preserve">   </w:t>
      </w:r>
      <w:r>
        <w:rPr>
          <w:rFonts w:ascii="FangSong" w:eastAsia="FangSong" w:hAnsi="FangSong" w:cs="FangSong"/>
          <w:spacing w:val="17"/>
          <w:sz w:val="24"/>
          <w:szCs w:val="24"/>
        </w:rPr>
        <w:t>衡、内生动力不足、复苏基础依然不牢，</w:t>
      </w:r>
      <w:r>
        <w:rPr>
          <w:rFonts w:ascii="FangSong" w:eastAsia="FangSong" w:hAnsi="FangSong" w:cs="FangSong"/>
          <w:spacing w:val="8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特别是在房地产</w:t>
      </w:r>
      <w:r>
        <w:rPr>
          <w:rFonts w:ascii="FangSong" w:eastAsia="FangSong" w:hAnsi="FangSong" w:cs="FangSong"/>
          <w:spacing w:val="16"/>
          <w:sz w:val="24"/>
          <w:szCs w:val="24"/>
        </w:rPr>
        <w:t>市场下行与外需走弱的扰动</w:t>
      </w:r>
      <w:r>
        <w:rPr>
          <w:rFonts w:ascii="FangSong" w:eastAsia="FangSong" w:hAnsi="FangSong" w:cs="FangSong"/>
          <w:spacing w:val="16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22"/>
          <w:sz w:val="24"/>
          <w:szCs w:val="24"/>
        </w:rPr>
        <w:t>下，经济修复过程呈现“波浪起伏”的特征。在此背景下，央行坚持精准有力</w:t>
      </w:r>
      <w:r>
        <w:rPr>
          <w:rFonts w:ascii="FangSong" w:eastAsia="FangSong" w:hAnsi="FangSong" w:cs="FangSong"/>
          <w:spacing w:val="21"/>
          <w:sz w:val="24"/>
          <w:szCs w:val="24"/>
        </w:rPr>
        <w:t>的政策</w:t>
      </w:r>
      <w:r>
        <w:rPr>
          <w:rFonts w:ascii="FangSong" w:eastAsia="FangSong" w:hAnsi="FangSong" w:cs="FangSong"/>
          <w:spacing w:val="21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7"/>
          <w:sz w:val="24"/>
          <w:szCs w:val="24"/>
        </w:rPr>
        <w:t>基调，</w:t>
      </w:r>
      <w:r>
        <w:rPr>
          <w:rFonts w:ascii="FangSong" w:eastAsia="FangSong" w:hAnsi="FangSong" w:cs="FangSong"/>
          <w:spacing w:val="-4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通过降息、降准等操作维持资金面合理充裕</w:t>
      </w:r>
      <w:r>
        <w:rPr>
          <w:rFonts w:ascii="FangSong" w:eastAsia="FangSong" w:hAnsi="FangSong" w:cs="FangSong"/>
          <w:spacing w:val="-5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。从公司类信用债</w:t>
      </w:r>
      <w:r>
        <w:rPr>
          <w:rFonts w:ascii="FangSong" w:eastAsia="FangSong" w:hAnsi="FangSong" w:cs="FangSong"/>
          <w:spacing w:val="17"/>
          <w:position w:val="11"/>
          <w:sz w:val="12"/>
          <w:szCs w:val="12"/>
        </w:rPr>
        <w:t>1</w:t>
      </w:r>
      <w:r>
        <w:rPr>
          <w:rFonts w:ascii="FangSong" w:eastAsia="FangSong" w:hAnsi="FangSong" w:cs="FangSong"/>
          <w:spacing w:val="17"/>
          <w:sz w:val="24"/>
          <w:szCs w:val="24"/>
        </w:rPr>
        <w:t>一级市场表现来</w:t>
      </w:r>
      <w:r>
        <w:rPr>
          <w:rFonts w:ascii="FangSong" w:eastAsia="FangSong" w:hAnsi="FangSong" w:cs="FangSong"/>
          <w:sz w:val="24"/>
          <w:szCs w:val="24"/>
        </w:rPr>
        <w:tab/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0"/>
          <w:sz w:val="24"/>
          <w:szCs w:val="24"/>
        </w:rPr>
        <w:t>看</w:t>
      </w:r>
      <w:r>
        <w:rPr>
          <w:rFonts w:ascii="FangSong" w:eastAsia="FangSong" w:hAnsi="FangSong" w:cs="FangSong"/>
          <w:spacing w:val="-4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0"/>
          <w:sz w:val="24"/>
          <w:szCs w:val="24"/>
        </w:rPr>
        <w:t>，信用债融资仍显疲弱，分化态势依然显著，尽管发行规模同比小幅上升，但高到</w:t>
      </w:r>
      <w:r>
        <w:rPr>
          <w:rFonts w:ascii="FangSong" w:eastAsia="FangSong" w:hAnsi="FangSong" w:cs="FangSong"/>
          <w:spacing w:val="20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9"/>
          <w:sz w:val="24"/>
          <w:szCs w:val="24"/>
        </w:rPr>
        <w:t>期规模下净融资由正转负</w:t>
      </w:r>
      <w:r>
        <w:rPr>
          <w:rFonts w:ascii="FangSong" w:eastAsia="FangSong" w:hAnsi="FangSong" w:cs="FangSong"/>
          <w:spacing w:val="-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；信用债发行利率则呈波动下行态势</w:t>
      </w:r>
      <w:r>
        <w:rPr>
          <w:rFonts w:ascii="FangSong" w:eastAsia="FangSong" w:hAnsi="FangSong" w:cs="FangSong"/>
          <w:spacing w:val="-6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，依然发挥降成本作</w:t>
      </w:r>
      <w:r>
        <w:rPr>
          <w:rFonts w:ascii="FangSong" w:eastAsia="FangSong" w:hAnsi="FangSong" w:cs="FangSong"/>
          <w:spacing w:val="18"/>
          <w:sz w:val="24"/>
          <w:szCs w:val="24"/>
        </w:rPr>
        <w:t>用。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2"/>
          <w:sz w:val="24"/>
          <w:szCs w:val="24"/>
        </w:rPr>
        <w:t>从融资结构看，国企、央企发行人在信用债市场融资仍占据绝对比重，但融资</w:t>
      </w:r>
      <w:r>
        <w:rPr>
          <w:rFonts w:ascii="FangSong" w:eastAsia="FangSong" w:hAnsi="FangSong" w:cs="FangSong"/>
          <w:spacing w:val="21"/>
          <w:sz w:val="24"/>
          <w:szCs w:val="24"/>
        </w:rPr>
        <w:t>薄弱领</w:t>
      </w:r>
      <w:r>
        <w:rPr>
          <w:rFonts w:ascii="FangSong" w:eastAsia="FangSong" w:hAnsi="FangSong" w:cs="FangSong"/>
          <w:spacing w:val="21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22"/>
          <w:sz w:val="24"/>
          <w:szCs w:val="24"/>
        </w:rPr>
        <w:t>域仍值得关注，民企债券融资净流出规模同比未见改善，房企债券融资状况依然</w:t>
      </w:r>
      <w:r>
        <w:rPr>
          <w:rFonts w:ascii="FangSong" w:eastAsia="FangSong" w:hAnsi="FangSong" w:cs="FangSong"/>
          <w:spacing w:val="21"/>
          <w:sz w:val="24"/>
          <w:szCs w:val="24"/>
        </w:rPr>
        <w:t>较差，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相关融资支持举措显效仍需时间；</w:t>
      </w:r>
      <w:r>
        <w:rPr>
          <w:rFonts w:ascii="FangSong" w:eastAsia="FangSong" w:hAnsi="FangSong" w:cs="FangSong"/>
          <w:spacing w:val="-5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值得关注的</w:t>
      </w:r>
      <w:r>
        <w:rPr>
          <w:rFonts w:ascii="FangSong" w:eastAsia="FangSong" w:hAnsi="FangSong" w:cs="FangSong"/>
          <w:spacing w:val="18"/>
          <w:sz w:val="24"/>
          <w:szCs w:val="24"/>
        </w:rPr>
        <w:t>是，</w:t>
      </w:r>
      <w:r>
        <w:rPr>
          <w:rFonts w:ascii="FangSong" w:eastAsia="FangSong" w:hAnsi="FangSong" w:cs="FangSong"/>
          <w:spacing w:val="-5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科创债等创新品种发行热度明显升</w:t>
      </w:r>
      <w:r>
        <w:rPr>
          <w:rFonts w:ascii="FangSong" w:eastAsia="FangSong" w:hAnsi="FangSong" w:cs="FangSong"/>
          <w:spacing w:val="18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2"/>
          <w:sz w:val="24"/>
          <w:szCs w:val="24"/>
        </w:rPr>
        <w:t>温，发行规模同比增长超</w:t>
      </w:r>
      <w:r>
        <w:rPr>
          <w:rFonts w:ascii="FangSong" w:eastAsia="FangSong" w:hAnsi="FangSong" w:cs="FangSong"/>
          <w:spacing w:val="5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1</w:t>
      </w:r>
      <w:r>
        <w:rPr>
          <w:rFonts w:ascii="FangSong" w:eastAsia="FangSong" w:hAnsi="FangSong" w:cs="FangSong"/>
          <w:spacing w:val="4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倍，</w:t>
      </w:r>
      <w:r>
        <w:rPr>
          <w:rFonts w:ascii="FangSong" w:eastAsia="FangSong" w:hAnsi="FangSong" w:cs="FangSong"/>
          <w:spacing w:val="-6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发行成本亦具优</w:t>
      </w:r>
      <w:r>
        <w:rPr>
          <w:rFonts w:ascii="FangSong" w:eastAsia="FangSong" w:hAnsi="FangSong" w:cs="FangSong"/>
          <w:spacing w:val="11"/>
          <w:sz w:val="24"/>
          <w:szCs w:val="24"/>
        </w:rPr>
        <w:t>势。</w:t>
      </w:r>
      <w:r>
        <w:rPr>
          <w:rFonts w:ascii="FangSong" w:eastAsia="FangSong" w:hAnsi="FangSong" w:cs="FangSong"/>
          <w:spacing w:val="-5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1"/>
          <w:sz w:val="24"/>
          <w:szCs w:val="24"/>
        </w:rPr>
        <w:t>二级市场方面</w:t>
      </w:r>
      <w:r>
        <w:rPr>
          <w:rFonts w:ascii="FangSong" w:eastAsia="FangSong" w:hAnsi="FangSong" w:cs="FangSong"/>
          <w:spacing w:val="-6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1"/>
          <w:sz w:val="24"/>
          <w:szCs w:val="24"/>
        </w:rPr>
        <w:t>，信用债成交额小</w:t>
      </w:r>
      <w:r>
        <w:rPr>
          <w:rFonts w:ascii="FangSong" w:eastAsia="FangSong" w:hAnsi="FangSong" w:cs="FangSong"/>
          <w:spacing w:val="11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7"/>
          <w:sz w:val="24"/>
          <w:szCs w:val="24"/>
        </w:rPr>
        <w:t>幅下降</w:t>
      </w:r>
      <w:r>
        <w:rPr>
          <w:rFonts w:ascii="FangSong" w:eastAsia="FangSong" w:hAnsi="FangSong" w:cs="FangSong"/>
          <w:spacing w:val="-4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，其中中票、公司债成交占比有所上升</w:t>
      </w:r>
      <w:r>
        <w:rPr>
          <w:rFonts w:ascii="FangSong" w:eastAsia="FangSong" w:hAnsi="FangSong" w:cs="FangSong"/>
          <w:spacing w:val="-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，可转债交易规模占比明显降低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。在经</w:t>
      </w:r>
      <w:r>
        <w:rPr>
          <w:rFonts w:ascii="FangSong" w:eastAsia="FangSong" w:hAnsi="FangSong" w:cs="FangSong"/>
          <w:spacing w:val="17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6"/>
          <w:sz w:val="24"/>
          <w:szCs w:val="24"/>
        </w:rPr>
        <w:t>济基本面弱修复、资金面合理充裕、“资产荒”行情继续演绎等因素支撑下</w:t>
      </w:r>
      <w:r>
        <w:rPr>
          <w:rFonts w:ascii="FangSong" w:eastAsia="FangSong" w:hAnsi="FangSong" w:cs="FangSong"/>
          <w:spacing w:val="-5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，2023</w:t>
      </w:r>
      <w:r>
        <w:rPr>
          <w:rFonts w:ascii="FangSong" w:eastAsia="FangSong" w:hAnsi="FangSong" w:cs="FangSong"/>
          <w:spacing w:val="1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年</w:t>
      </w:r>
      <w:r>
        <w:rPr>
          <w:rFonts w:ascii="FangSong" w:eastAsia="FangSong" w:hAnsi="FangSong" w:cs="FangSong"/>
          <w:spacing w:val="16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7"/>
          <w:sz w:val="24"/>
          <w:szCs w:val="24"/>
        </w:rPr>
        <w:t>信用债收益率大致呈波动下行态势，</w:t>
      </w:r>
      <w:r>
        <w:rPr>
          <w:rFonts w:ascii="FangSong" w:eastAsia="FangSong" w:hAnsi="FangSong" w:cs="FangSong"/>
          <w:spacing w:val="-4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信用利差进一步收窄至历史相对较低水平。</w:t>
      </w:r>
    </w:p>
    <w:p>
      <w:pPr>
        <w:spacing w:before="201" w:line="270" w:lineRule="auto"/>
        <w:ind w:left="97" w:right="228" w:firstLine="534"/>
        <w:rPr>
          <w:rFonts w:ascii="FangSong" w:eastAsia="FangSong" w:hAnsi="FangSong" w:cs="FangSong"/>
          <w:sz w:val="24"/>
          <w:szCs w:val="24"/>
        </w:rPr>
      </w:pPr>
      <w:r>
        <w:rPr>
          <w:rFonts w:ascii="FangSong" w:eastAsia="FangSong" w:hAnsi="FangSong" w:cs="FangSong"/>
          <w:spacing w:val="13"/>
          <w:sz w:val="24"/>
          <w:szCs w:val="24"/>
        </w:rPr>
        <w:t>展望后市，</w:t>
      </w:r>
      <w:r>
        <w:rPr>
          <w:rFonts w:ascii="FangSong" w:eastAsia="FangSong" w:hAnsi="FangSong" w:cs="FangSong"/>
          <w:spacing w:val="-4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信用债发行方面</w:t>
      </w:r>
      <w:r>
        <w:rPr>
          <w:rFonts w:ascii="FangSong" w:eastAsia="FangSong" w:hAnsi="FangSong" w:cs="FangSong"/>
          <w:spacing w:val="-5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，预计</w:t>
      </w:r>
      <w:r>
        <w:rPr>
          <w:rFonts w:ascii="FangSong" w:eastAsia="FangSong" w:hAnsi="FangSong" w:cs="FangSong"/>
          <w:spacing w:val="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2024</w:t>
      </w:r>
      <w:r>
        <w:rPr>
          <w:rFonts w:ascii="FangSong" w:eastAsia="FangSong" w:hAnsi="FangSong" w:cs="FangSong"/>
          <w:spacing w:val="5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年发</w:t>
      </w:r>
      <w:r>
        <w:rPr>
          <w:rFonts w:ascii="FangSong" w:eastAsia="FangSong" w:hAnsi="FangSong" w:cs="FangSong"/>
          <w:spacing w:val="12"/>
          <w:sz w:val="24"/>
          <w:szCs w:val="24"/>
        </w:rPr>
        <w:t>行规模将在</w:t>
      </w:r>
      <w:r>
        <w:rPr>
          <w:rFonts w:ascii="FangSong" w:eastAsia="FangSong" w:hAnsi="FangSong" w:cs="FangSong"/>
          <w:spacing w:val="6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15.5-16</w:t>
      </w:r>
      <w:r>
        <w:rPr>
          <w:rFonts w:ascii="FangSong" w:eastAsia="FangSong" w:hAnsi="FangSong" w:cs="FangSong"/>
          <w:spacing w:val="5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万亿元，</w:t>
      </w:r>
      <w:r>
        <w:rPr>
          <w:rFonts w:ascii="FangSong" w:eastAsia="FangSong" w:hAnsi="FangSong" w:cs="FangSong"/>
          <w:spacing w:val="-5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2"/>
          <w:sz w:val="24"/>
          <w:szCs w:val="24"/>
        </w:rPr>
        <w:t>较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2023</w:t>
      </w:r>
      <w:r>
        <w:rPr>
          <w:rFonts w:ascii="FangSong" w:eastAsia="FangSong" w:hAnsi="FangSong" w:cs="FangSong"/>
          <w:spacing w:val="1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年继续小幅回暖</w:t>
      </w:r>
      <w:r>
        <w:rPr>
          <w:rFonts w:ascii="FangSong" w:eastAsia="FangSong" w:hAnsi="FangSong" w:cs="FangSong"/>
          <w:spacing w:val="-5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；资金面保持合理充裕、</w:t>
      </w:r>
      <w:r>
        <w:rPr>
          <w:rFonts w:ascii="FangSong" w:eastAsia="FangSong" w:hAnsi="FangSong" w:cs="FangSong"/>
          <w:spacing w:val="-5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降成本诉求仍存、无风险利率中枢有望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下行的环境下，</w:t>
      </w:r>
      <w:r>
        <w:rPr>
          <w:rFonts w:ascii="FangSong" w:eastAsia="FangSong" w:hAnsi="FangSong" w:cs="FangSong"/>
          <w:spacing w:val="-4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债券发行利率中枢较</w:t>
      </w:r>
      <w:r>
        <w:rPr>
          <w:rFonts w:ascii="FangSong" w:eastAsia="FangSong" w:hAnsi="FangSong" w:cs="FangSong"/>
          <w:spacing w:val="-4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2023</w:t>
      </w:r>
      <w:r>
        <w:rPr>
          <w:rFonts w:ascii="FangSong" w:eastAsia="FangSong" w:hAnsi="FangSong" w:cs="FangSong"/>
          <w:spacing w:val="-2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年水平持平或进一步下行</w:t>
      </w:r>
      <w:r>
        <w:rPr>
          <w:rFonts w:ascii="FangSong" w:eastAsia="FangSong" w:hAnsi="FangSong" w:cs="FangSong"/>
          <w:spacing w:val="-6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。二级市场方面，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2024</w:t>
      </w:r>
      <w:r>
        <w:rPr>
          <w:rFonts w:ascii="FangSong" w:eastAsia="FangSong" w:hAnsi="FangSong" w:cs="FangSong"/>
          <w:spacing w:val="1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年经济及政策环境对利率债走势仍偏利好，</w:t>
      </w:r>
      <w:r>
        <w:rPr>
          <w:rFonts w:ascii="FangSong" w:eastAsia="FangSong" w:hAnsi="FangSong" w:cs="FangSong"/>
          <w:spacing w:val="-6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预计</w:t>
      </w:r>
      <w:r>
        <w:rPr>
          <w:rFonts w:ascii="FangSong" w:eastAsia="FangSong" w:hAnsi="FangSong" w:cs="FangSong"/>
          <w:spacing w:val="4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10</w:t>
      </w:r>
      <w:r>
        <w:rPr>
          <w:rFonts w:ascii="FangSong" w:eastAsia="FangSong" w:hAnsi="FangSong" w:cs="FangSong"/>
          <w:spacing w:val="1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5"/>
          <w:sz w:val="24"/>
          <w:szCs w:val="24"/>
        </w:rPr>
        <w:t>年期国债收益率中枢或下行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至</w:t>
      </w:r>
      <w:r>
        <w:rPr>
          <w:rFonts w:ascii="FangSong" w:eastAsia="FangSong" w:hAnsi="FangSong" w:cs="FangSong"/>
          <w:spacing w:val="4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2.5%-2.6%</w:t>
      </w:r>
      <w:r>
        <w:rPr>
          <w:rFonts w:ascii="FangSong" w:eastAsia="FangSong" w:hAnsi="FangSong" w:cs="FangSong"/>
          <w:spacing w:val="-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；信用利差中枢或与</w:t>
      </w:r>
      <w:r>
        <w:rPr>
          <w:rFonts w:ascii="FangSong" w:eastAsia="FangSong" w:hAnsi="FangSong" w:cs="FangSong"/>
          <w:spacing w:val="4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2023</w:t>
      </w:r>
      <w:r>
        <w:rPr>
          <w:rFonts w:ascii="FangSong" w:eastAsia="FangSong" w:hAnsi="FangSong" w:cs="FangSong"/>
          <w:spacing w:val="5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年基本持平，</w:t>
      </w:r>
      <w:r>
        <w:rPr>
          <w:rFonts w:ascii="FangSong" w:eastAsia="FangSong" w:hAnsi="FangSong" w:cs="FangSong"/>
          <w:spacing w:val="9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各等级走势将有分化，</w:t>
      </w:r>
      <w:r>
        <w:rPr>
          <w:rFonts w:ascii="FangSong" w:eastAsia="FangSong" w:hAnsi="FangSong" w:cs="FangSong"/>
          <w:spacing w:val="75"/>
          <w:sz w:val="24"/>
          <w:szCs w:val="24"/>
        </w:rPr>
        <w:t xml:space="preserve"> </w:t>
      </w:r>
      <w:r>
        <w:rPr>
          <w:rFonts w:ascii="FangSong" w:eastAsia="FangSong" w:hAnsi="FangSong" w:cs="FangSong"/>
          <w:sz w:val="24"/>
          <w:szCs w:val="24"/>
        </w:rPr>
        <w:t>AAA</w:t>
      </w:r>
      <w:r>
        <w:rPr>
          <w:rFonts w:ascii="FangSong" w:eastAsia="FangSong" w:hAnsi="FangSong" w:cs="FangSong"/>
          <w:spacing w:val="-6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8"/>
          <w:sz w:val="24"/>
          <w:szCs w:val="24"/>
        </w:rPr>
        <w:t>、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z w:val="24"/>
          <w:szCs w:val="24"/>
        </w:rPr>
        <w:t>AA</w:t>
      </w:r>
      <w:r>
        <w:rPr>
          <w:rFonts w:ascii="FangSong" w:eastAsia="FangSong" w:hAnsi="FangSong" w:cs="FangSong"/>
          <w:spacing w:val="18"/>
          <w:sz w:val="24"/>
          <w:szCs w:val="24"/>
        </w:rPr>
        <w:t>+级信用债收益率较</w:t>
      </w:r>
      <w:r>
        <w:rPr>
          <w:rFonts w:ascii="FangSong" w:eastAsia="FangSong" w:hAnsi="FangSong" w:cs="FangSong"/>
          <w:spacing w:val="-1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2023</w:t>
      </w:r>
      <w:r>
        <w:rPr>
          <w:rFonts w:ascii="FangSong" w:eastAsia="FangSong" w:hAnsi="FangSong" w:cs="FangSong"/>
          <w:spacing w:val="-2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年中枢或小幅下行，</w:t>
      </w:r>
      <w:r>
        <w:rPr>
          <w:rFonts w:ascii="FangSong" w:eastAsia="FangSong" w:hAnsi="FangSong" w:cs="FangSong"/>
          <w:sz w:val="24"/>
          <w:szCs w:val="24"/>
        </w:rPr>
        <w:t>AA</w:t>
      </w:r>
      <w:r>
        <w:rPr>
          <w:rFonts w:ascii="FangSong" w:eastAsia="FangSong" w:hAnsi="FangSong" w:cs="FangSong"/>
          <w:spacing w:val="-1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等级收益率将基本持平。从策略上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看</w:t>
      </w:r>
      <w:r>
        <w:rPr>
          <w:rFonts w:ascii="FangSong" w:eastAsia="FangSong" w:hAnsi="FangSong" w:cs="FangSong"/>
          <w:spacing w:val="-4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，产业类行业方面</w:t>
      </w:r>
      <w:r>
        <w:rPr>
          <w:rFonts w:ascii="FangSong" w:eastAsia="FangSong" w:hAnsi="FangSong" w:cs="FangSong"/>
          <w:spacing w:val="-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，可关注有色、煤炭行业优质企业债券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；城投行业应优选经济财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1"/>
          <w:sz w:val="24"/>
          <w:szCs w:val="24"/>
        </w:rPr>
        <w:t>政实力强、区域融资环境好、年内债务到期压力小的优质区域</w:t>
      </w:r>
      <w:r>
        <w:rPr>
          <w:rFonts w:ascii="FangSong" w:eastAsia="FangSong" w:hAnsi="FangSong" w:cs="FangSong"/>
          <w:spacing w:val="-4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1"/>
          <w:sz w:val="24"/>
          <w:szCs w:val="24"/>
        </w:rPr>
        <w:t>，此外可继续挖掘化债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支持力度较大区域的短久期高收益城投债。</w:t>
      </w:r>
    </w:p>
    <w:p>
      <w:pPr>
        <w:spacing w:before="191" w:line="594" w:lineRule="exact"/>
        <w:ind w:left="123"/>
        <w:rPr>
          <w:rFonts w:ascii="FangSong" w:eastAsia="FangSong" w:hAnsi="FangSong" w:cs="FangSong"/>
          <w:sz w:val="32"/>
          <w:szCs w:val="32"/>
        </w:rPr>
      </w:pPr>
      <w:r>
        <w:rPr>
          <w:rFonts w:ascii="Wingdings" w:eastAsia="Wingdings" w:hAnsi="Wingdings" w:cs="Wingdings"/>
          <w:color w:val="003366"/>
          <w:spacing w:val="5"/>
          <w:position w:val="20"/>
          <w:sz w:val="32"/>
          <w:szCs w:val="32"/>
        </w:rPr>
        <w:sym w:font="Wingdings" w:char="F06E"/>
      </w:r>
      <w:r>
        <w:rPr>
          <w:rFonts w:ascii="Wingdings" w:eastAsia="Wingdings" w:hAnsi="Wingdings" w:cs="Wingdings"/>
          <w:color w:val="003366"/>
          <w:spacing w:val="-85"/>
          <w:position w:val="20"/>
          <w:sz w:val="32"/>
          <w:szCs w:val="32"/>
        </w:rPr>
        <w:t xml:space="preserve"> </w:t>
      </w:r>
      <w:r>
        <w:rPr>
          <w:rFonts w:ascii="FangSong" w:eastAsia="FangSong" w:hAnsi="FangSong" w:cs="FangSong"/>
          <w:color w:val="003366"/>
          <w:spacing w:val="5"/>
          <w:position w:val="20"/>
          <w:sz w:val="32"/>
          <w:szCs w:val="32"/>
          <w14:textOutline w14:w="5834">
            <w14:solidFill>
              <w14:srgbClr w14:val="003366"/>
            </w14:solidFill>
            <w14:prstDash w14:val="solid"/>
            <w14:miter w14:lim="10"/>
          </w14:textOutline>
        </w:rPr>
        <w:t>一级市场：</w:t>
      </w:r>
      <w:r>
        <w:rPr>
          <w:rFonts w:ascii="FangSong" w:eastAsia="FangSong" w:hAnsi="FangSong" w:cs="FangSong"/>
          <w:color w:val="003366"/>
          <w:spacing w:val="114"/>
          <w:position w:val="20"/>
          <w:sz w:val="32"/>
          <w:szCs w:val="32"/>
        </w:rPr>
        <w:t xml:space="preserve"> </w:t>
      </w:r>
      <w:r>
        <w:rPr>
          <w:rFonts w:ascii="FangSong" w:eastAsia="FangSong" w:hAnsi="FangSong" w:cs="FangSong"/>
          <w:color w:val="003366"/>
          <w:spacing w:val="5"/>
          <w:position w:val="20"/>
          <w:sz w:val="32"/>
          <w:szCs w:val="32"/>
          <w14:textOutline w14:w="5834">
            <w14:solidFill>
              <w14:srgbClr w14:val="003366"/>
            </w14:solidFill>
            <w14:prstDash w14:val="solid"/>
            <w14:miter w14:lim="10"/>
          </w14:textOutline>
        </w:rPr>
        <w:t>信用债融资仍显疲弱，融资分化依</w:t>
      </w:r>
      <w:r>
        <w:rPr>
          <w:rFonts w:ascii="FangSong" w:eastAsia="FangSong" w:hAnsi="FangSong" w:cs="FangSong"/>
          <w:color w:val="003366"/>
          <w:spacing w:val="4"/>
          <w:position w:val="20"/>
          <w:sz w:val="32"/>
          <w:szCs w:val="32"/>
          <w14:textOutline w14:w="5834">
            <w14:solidFill>
              <w14:srgbClr w14:val="003366"/>
            </w14:solidFill>
            <w14:prstDash w14:val="solid"/>
            <w14:miter w14:lim="10"/>
          </w14:textOutline>
        </w:rPr>
        <w:t>然显著</w:t>
      </w:r>
    </w:p>
    <w:p>
      <w:pPr>
        <w:spacing w:line="222" w:lineRule="auto"/>
        <w:ind w:left="12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color w:val="003366"/>
          <w:spacing w:val="21"/>
          <w:sz w:val="27"/>
          <w:szCs w:val="27"/>
          <w14:textOutline w14:w="5050">
            <w14:solidFill>
              <w14:srgbClr w14:val="003366"/>
            </w14:solidFill>
            <w14:prstDash w14:val="solid"/>
            <w14:miter w14:lim="10"/>
          </w14:textOutline>
        </w:rPr>
        <w:t>1.</w:t>
      </w:r>
      <w:r>
        <w:rPr>
          <w:rFonts w:ascii="FangSong" w:eastAsia="FangSong" w:hAnsi="FangSong" w:cs="FangSong"/>
          <w:color w:val="003366"/>
          <w:spacing w:val="10"/>
          <w:sz w:val="27"/>
          <w:szCs w:val="27"/>
        </w:rPr>
        <w:t xml:space="preserve">   </w:t>
      </w:r>
      <w:r>
        <w:rPr>
          <w:rFonts w:ascii="FangSong" w:eastAsia="FangSong" w:hAnsi="FangSong" w:cs="FangSong"/>
          <w:color w:val="003366"/>
          <w:spacing w:val="21"/>
          <w:sz w:val="27"/>
          <w:szCs w:val="27"/>
          <w14:textOutline w14:w="5050">
            <w14:solidFill>
              <w14:srgbClr w14:val="003366"/>
            </w14:solidFill>
            <w14:prstDash w14:val="solid"/>
            <w14:miter w14:lim="10"/>
          </w14:textOutline>
        </w:rPr>
        <w:t>信用债融资规模先升后降</w:t>
      </w:r>
      <w:r>
        <w:rPr>
          <w:rFonts w:ascii="FangSong" w:eastAsia="FangSong" w:hAnsi="FangSong" w:cs="FangSong"/>
          <w:color w:val="003366"/>
          <w:spacing w:val="-71"/>
          <w:sz w:val="27"/>
          <w:szCs w:val="27"/>
        </w:rPr>
        <w:t xml:space="preserve"> </w:t>
      </w:r>
      <w:r>
        <w:rPr>
          <w:rFonts w:ascii="FangSong" w:eastAsia="FangSong" w:hAnsi="FangSong" w:cs="FangSong"/>
          <w:color w:val="003366"/>
          <w:spacing w:val="21"/>
          <w:sz w:val="27"/>
          <w:szCs w:val="27"/>
          <w14:textOutline w14:w="5050">
            <w14:solidFill>
              <w14:srgbClr w14:val="003366"/>
            </w14:solidFill>
            <w14:prstDash w14:val="solid"/>
            <w14:miter w14:lim="10"/>
          </w14:textOutline>
        </w:rPr>
        <w:t>，</w:t>
      </w:r>
      <w:r>
        <w:rPr>
          <w:rFonts w:ascii="FangSong" w:eastAsia="FangSong" w:hAnsi="FangSong" w:cs="FangSong"/>
          <w:color w:val="003366"/>
          <w:spacing w:val="-58"/>
          <w:sz w:val="27"/>
          <w:szCs w:val="27"/>
        </w:rPr>
        <w:t xml:space="preserve"> </w:t>
      </w:r>
      <w:r>
        <w:rPr>
          <w:rFonts w:ascii="FangSong" w:eastAsia="FangSong" w:hAnsi="FangSong" w:cs="FangSong"/>
          <w:color w:val="003366"/>
          <w:spacing w:val="21"/>
          <w:sz w:val="27"/>
          <w:szCs w:val="27"/>
          <w14:textOutline w14:w="5050">
            <w14:solidFill>
              <w14:srgbClr w14:val="003366"/>
            </w14:solidFill>
            <w14:prstDash w14:val="solid"/>
            <w14:miter w14:lim="10"/>
          </w14:textOutline>
        </w:rPr>
        <w:t>四季度净融资缺口较大</w:t>
      </w:r>
    </w:p>
    <w:p>
      <w:pPr>
        <w:spacing w:before="204" w:line="269" w:lineRule="auto"/>
        <w:ind w:left="112" w:right="8" w:firstLine="513"/>
        <w:rPr>
          <w:rFonts w:ascii="FangSong" w:eastAsia="FangSong" w:hAnsi="FangSong" w:cs="FangSong"/>
          <w:sz w:val="24"/>
          <w:szCs w:val="24"/>
        </w:rPr>
      </w:pPr>
      <w:r>
        <w:rPr>
          <w:rFonts w:ascii="FangSong" w:eastAsia="FangSong" w:hAnsi="FangSong" w:cs="FangSong"/>
          <w:spacing w:val="19"/>
          <w:sz w:val="24"/>
          <w:szCs w:val="24"/>
        </w:rPr>
        <w:t>2023年</w:t>
      </w:r>
      <w:r>
        <w:rPr>
          <w:rFonts w:ascii="FangSong" w:eastAsia="FangSong" w:hAnsi="FangSong" w:cs="FangSong"/>
          <w:spacing w:val="-6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，</w:t>
      </w:r>
      <w:r>
        <w:rPr>
          <w:rFonts w:ascii="FangSong" w:eastAsia="FangSong" w:hAnsi="FangSong" w:cs="FangSong"/>
          <w:spacing w:val="-7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公司类信用债融资未见明显修复</w:t>
      </w:r>
      <w:r>
        <w:rPr>
          <w:rFonts w:ascii="FangSong" w:eastAsia="FangSong" w:hAnsi="FangSong" w:cs="FangSong"/>
          <w:spacing w:val="-5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9"/>
          <w:sz w:val="24"/>
          <w:szCs w:val="24"/>
        </w:rPr>
        <w:t>，</w:t>
      </w:r>
      <w:r>
        <w:rPr>
          <w:rFonts w:ascii="FangSong" w:eastAsia="FangSong" w:hAnsi="FangSong" w:cs="FangSong"/>
          <w:spacing w:val="18"/>
          <w:sz w:val="24"/>
          <w:szCs w:val="24"/>
        </w:rPr>
        <w:t>发行规模共计14.86万亿元</w:t>
      </w:r>
      <w:r>
        <w:rPr>
          <w:rFonts w:ascii="FangSong" w:eastAsia="FangSong" w:hAnsi="FangSong" w:cs="FangSong"/>
          <w:spacing w:val="18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，同比小</w:t>
      </w:r>
      <w:r>
        <w:rPr>
          <w:rFonts w:ascii="FangSong" w:eastAsia="FangSong" w:hAnsi="FangSong" w:cs="FangSong"/>
          <w:spacing w:val="18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幅增长3个百分点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。</w:t>
      </w:r>
      <w:r>
        <w:rPr>
          <w:rFonts w:ascii="FangSong" w:eastAsia="FangSong" w:hAnsi="FangSong" w:cs="FangSong"/>
          <w:spacing w:val="14"/>
          <w:sz w:val="24"/>
          <w:szCs w:val="24"/>
        </w:rPr>
        <w:t>净融资方面，</w:t>
      </w:r>
      <w:r>
        <w:rPr>
          <w:rFonts w:ascii="FangSong" w:eastAsia="FangSong" w:hAnsi="FangSong" w:cs="FangSong"/>
          <w:spacing w:val="10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4"/>
          <w:sz w:val="24"/>
          <w:szCs w:val="24"/>
        </w:rPr>
        <w:t>受信用债到期规模同比增</w:t>
      </w:r>
      <w:r>
        <w:rPr>
          <w:rFonts w:ascii="FangSong" w:eastAsia="FangSong" w:hAnsi="FangSong" w:cs="FangSong"/>
          <w:spacing w:val="13"/>
          <w:sz w:val="24"/>
          <w:szCs w:val="24"/>
        </w:rPr>
        <w:t>长超过7%</w:t>
      </w:r>
      <w:r>
        <w:rPr>
          <w:rFonts w:ascii="FangSong" w:eastAsia="FangSong" w:hAnsi="FangSong" w:cs="FangSong"/>
          <w:spacing w:val="-66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</w:rPr>
        <w:t>的影响</w:t>
      </w:r>
      <w:r>
        <w:rPr>
          <w:rFonts w:ascii="FangSong" w:eastAsia="FangSong" w:hAnsi="FangSong" w:cs="FangSong"/>
          <w:spacing w:val="-6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3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，2023年</w:t>
      </w:r>
      <w:r>
        <w:rPr>
          <w:rFonts w:ascii="FangSong" w:eastAsia="FangSong" w:hAnsi="FangSong" w:cs="FangSong"/>
          <w:spacing w:val="13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20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全年净融资流出1078.45亿元，</w:t>
      </w:r>
      <w:r>
        <w:rPr>
          <w:rFonts w:ascii="FangSong" w:eastAsia="FangSong" w:hAnsi="FangSong" w:cs="FangSong"/>
          <w:spacing w:val="-3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0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为2014年以来信用债市场首次年度融资净流出</w:t>
      </w:r>
      <w:r>
        <w:rPr>
          <w:rFonts w:ascii="FangSong" w:eastAsia="FangSong" w:hAnsi="FangSong" w:cs="FangSong"/>
          <w:spacing w:val="20"/>
          <w:sz w:val="24"/>
          <w:szCs w:val="24"/>
        </w:rPr>
        <w:t>。分季</w:t>
      </w:r>
      <w:r>
        <w:rPr>
          <w:rFonts w:ascii="FangSong" w:eastAsia="FangSong" w:hAnsi="FangSong" w:cs="FangSong"/>
          <w:spacing w:val="20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22"/>
          <w:sz w:val="24"/>
          <w:szCs w:val="24"/>
        </w:rPr>
        <w:t>度看，信用债融资呈先升后降态势，前三季度信用债发行</w:t>
      </w:r>
      <w:r>
        <w:rPr>
          <w:rFonts w:ascii="FangSong" w:eastAsia="FangSong" w:hAnsi="FangSong" w:cs="FangSong"/>
          <w:spacing w:val="21"/>
          <w:sz w:val="24"/>
          <w:szCs w:val="24"/>
        </w:rPr>
        <w:t>呈逐季增长趋势，且二季度、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2"/>
          <w:sz w:val="24"/>
          <w:szCs w:val="24"/>
        </w:rPr>
        <w:t>三季度发行量同比均有提升，四季度发行量同、环比均</w:t>
      </w:r>
      <w:r>
        <w:rPr>
          <w:rFonts w:ascii="FangSong" w:eastAsia="FangSong" w:hAnsi="FangSong" w:cs="FangSong"/>
          <w:spacing w:val="21"/>
          <w:sz w:val="24"/>
          <w:szCs w:val="24"/>
        </w:rPr>
        <w:t>有降低；前三季度净融资呈净</w:t>
      </w:r>
      <w:r>
        <w:rPr>
          <w:rFonts w:ascii="FangSong" w:eastAsia="FangSong" w:hAnsi="FangSong" w:cs="FangSong"/>
          <w:spacing w:val="21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8"/>
          <w:sz w:val="24"/>
          <w:szCs w:val="24"/>
        </w:rPr>
        <w:t>流入，</w:t>
      </w:r>
      <w:r>
        <w:rPr>
          <w:rFonts w:ascii="FangSong" w:eastAsia="FangSong" w:hAnsi="FangSong" w:cs="FangSong"/>
          <w:spacing w:val="-35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但四季度信用债到期规模超过4万亿元，</w:t>
      </w:r>
      <w:r>
        <w:rPr>
          <w:rFonts w:ascii="FangSong" w:eastAsia="FangSong" w:hAnsi="FangSong" w:cs="FangSong"/>
          <w:spacing w:val="-5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净融资缺口接近7000亿元，</w:t>
      </w:r>
      <w:r>
        <w:rPr>
          <w:rFonts w:ascii="FangSong" w:eastAsia="FangSong" w:hAnsi="FangSong" w:cs="FangSong"/>
          <w:spacing w:val="-50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对全年净</w:t>
      </w:r>
      <w:r>
        <w:rPr>
          <w:rFonts w:ascii="FangSong" w:eastAsia="FangSong" w:hAnsi="FangSong" w:cs="FangSong"/>
          <w:spacing w:val="18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9"/>
          <w:sz w:val="24"/>
          <w:szCs w:val="24"/>
        </w:rPr>
        <w:t>融资形成拖累。</w:t>
      </w:r>
    </w:p>
    <w:p>
      <w:pPr>
        <w:spacing w:before="75" w:line="247" w:lineRule="auto"/>
        <w:ind w:left="115" w:right="225" w:firstLine="525"/>
        <w:rPr>
          <w:rFonts w:ascii="FangSong" w:eastAsia="FangSong" w:hAnsi="FangSong" w:cs="FangSong"/>
          <w:sz w:val="24"/>
          <w:szCs w:val="24"/>
        </w:rPr>
        <w:sectPr>
          <w:headerReference w:type="default" r:id="rId13"/>
          <w:footerReference w:type="default" r:id="rId14"/>
          <w:pgSz w:w="11909" w:h="16839"/>
          <w:pgMar w:top="1392" w:right="865" w:bottom="1334" w:left="979" w:header="720" w:footer="1037" w:gutter="0"/>
          <w:pgNumType w:start="2"/>
          <w:cols w:space="708"/>
        </w:sectPr>
      </w:pPr>
      <w:r>
        <w:rPr>
          <w:rFonts w:ascii="FangSong" w:eastAsia="FangSong" w:hAnsi="FangSong" w:cs="FangSong"/>
          <w:spacing w:val="2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城投债发行增长是支撑信用债融资增长的重要因素</w:t>
      </w:r>
      <w:r>
        <w:rPr>
          <w:rFonts w:ascii="FangSong" w:eastAsia="FangSong" w:hAnsi="FangSong" w:cs="FangSong"/>
          <w:spacing w:val="-5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21"/>
          <w:sz w:val="24"/>
          <w:szCs w:val="24"/>
        </w:rPr>
        <w:t>，</w:t>
      </w:r>
      <w:r>
        <w:rPr>
          <w:rFonts w:ascii="FangSong" w:eastAsia="FangSong" w:hAnsi="FangSong" w:cs="FangSong"/>
          <w:spacing w:val="2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非城投信用债融资则延续低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迷态势</w:t>
      </w:r>
      <w:r>
        <w:rPr>
          <w:rFonts w:ascii="FangSong" w:eastAsia="FangSong" w:hAnsi="FangSong" w:cs="FangSong"/>
          <w:spacing w:val="-5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。具体来看，</w:t>
      </w:r>
      <w:r>
        <w:rPr>
          <w:rFonts w:ascii="FangSong" w:eastAsia="FangSong" w:hAnsi="FangSong" w:cs="FangSong"/>
          <w:spacing w:val="-4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城投债2023</w:t>
      </w:r>
      <w:r>
        <w:rPr>
          <w:rFonts w:ascii="FangSong" w:eastAsia="FangSong" w:hAnsi="FangSong" w:cs="FangSong"/>
          <w:spacing w:val="-7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年发行规模占信用债比例达40</w:t>
      </w:r>
      <w:r>
        <w:rPr>
          <w:rFonts w:ascii="FangSong" w:eastAsia="FangSong" w:hAnsi="FangSong" w:cs="FangSong"/>
          <w:spacing w:val="16"/>
          <w:sz w:val="24"/>
          <w:szCs w:val="24"/>
        </w:rPr>
        <w:t>%</w:t>
      </w:r>
      <w:r>
        <w:rPr>
          <w:rFonts w:ascii="FangSong" w:eastAsia="FangSong" w:hAnsi="FangSong" w:cs="FangSong"/>
          <w:spacing w:val="-5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，较2022</w:t>
      </w:r>
      <w:r>
        <w:rPr>
          <w:rFonts w:ascii="FangSong" w:eastAsia="FangSong" w:hAnsi="FangSong" w:cs="FangSong"/>
          <w:spacing w:val="-7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年32%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的水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58" w:line="217" w:lineRule="auto"/>
        <w:ind w:left="106"/>
        <w:rPr>
          <w:rFonts w:ascii="FangSong" w:eastAsia="FangSong" w:hAnsi="FangSong" w:cs="FangSong"/>
          <w:sz w:val="18"/>
          <w:szCs w:val="18"/>
        </w:rPr>
      </w:pPr>
      <w:r>
        <w:rPr>
          <w:rFonts w:ascii="FangSong" w:eastAsia="FangSong" w:hAnsi="FangSong" w:cs="FangSong"/>
          <w:position w:val="9"/>
          <w:sz w:val="9"/>
          <w:szCs w:val="9"/>
        </w:rPr>
        <w:t>1</w:t>
      </w:r>
      <w:r>
        <w:rPr>
          <w:rFonts w:ascii="FangSong" w:eastAsia="FangSong" w:hAnsi="FangSong" w:cs="FangSong"/>
          <w:spacing w:val="11"/>
          <w:w w:val="101"/>
          <w:position w:val="9"/>
          <w:sz w:val="9"/>
          <w:szCs w:val="9"/>
        </w:rPr>
        <w:t xml:space="preserve">  </w:t>
      </w:r>
      <w:r>
        <w:rPr>
          <w:rFonts w:ascii="FangSong" w:eastAsia="FangSong" w:hAnsi="FangSong" w:cs="FangSong"/>
          <w:sz w:val="18"/>
          <w:szCs w:val="18"/>
        </w:rPr>
        <w:t>包括非金融企业债务融资工具、企业债、公</w:t>
      </w:r>
      <w:r>
        <w:rPr>
          <w:rFonts w:ascii="FangSong" w:eastAsia="FangSong" w:hAnsi="FangSong" w:cs="FangSong"/>
          <w:spacing w:val="-1"/>
          <w:sz w:val="18"/>
          <w:szCs w:val="18"/>
        </w:rPr>
        <w:t>司债、转股类债券、政府支持机构债和资产支持证券。</w:t>
      </w:r>
    </w:p>
    <w:p>
      <w:pPr>
        <w:spacing w:line="217" w:lineRule="auto"/>
        <w:rPr>
          <w:rFonts w:ascii="FangSong" w:eastAsia="FangSong" w:hAnsi="FangSong" w:cs="FangSong"/>
          <w:sz w:val="18"/>
          <w:szCs w:val="18"/>
        </w:rPr>
        <w:sectPr>
          <w:headerReference w:type="default" r:id="rId15"/>
          <w:footerReference w:type="default" r:id="rId16"/>
          <w:type w:val="nextPage"/>
          <w:pgSz w:w="11909" w:h="16839"/>
          <w:pgMar w:top="1392" w:right="865" w:bottom="1334" w:left="979" w:header="720" w:footer="1037" w:gutter="0"/>
          <w:pgNumType w:start="3"/>
          <w:cols w:space="708"/>
          <w:titlePg w:val="0"/>
        </w:sectPr>
      </w:pPr>
    </w:p>
    <w:p>
      <w:pPr>
        <w:spacing w:line="270" w:lineRule="auto"/>
        <w:rPr>
          <w:rFonts w:ascii="Arial"/>
          <w:sz w:val="21"/>
        </w:rPr>
      </w:pPr>
      <w:r>
        <w:pict>
          <v:rect id="_x0000_s1035" style="width:320.4pt;height:0.75pt;margin-top:492pt;margin-left:137.4pt;mso-position-horizontal-relative:page;mso-position-vertical-relative:page;position:absolute;z-index:251669504" o:allowincell="f" filled="t" fillcolor="#d9d9d9" stroked="f"/>
        </w:pict>
      </w:r>
      <w:r>
        <w:pict>
          <v:shape id="_x0000_s1036" style="width:439.65pt;height:0.75pt;margin-top:410.76pt;margin-left:78.02pt;mso-position-horizontal-relative:page;mso-position-vertical-relative:page;position:absolute;z-index:251667456" coordorigin="0,0" coordsize="8792,15" o:allowincell="f" path="m,14l8792,14l8792,l,l,14xe" filled="t" fillcolor="#036" stroked="f"/>
        </w:pict>
      </w:r>
      <w:r>
        <w:pict>
          <v:shape id="_x0000_s1037" style="width:439.65pt;height:0.75pt;margin-top:685.18pt;margin-left:78.02pt;mso-position-horizontal-relative:page;mso-position-vertical-relative:page;position:absolute;z-index:251668480" coordorigin="0,0" coordsize="8792,15" o:allowincell="f" path="m,14l8792,14l8792,l,l,14xe" filled="t" fillcolor="#036" stroked="f"/>
        </w:pict>
      </w:r>
      <w:r>
        <w:pict>
          <v:shape id="_x0000_s1038" type="#_x0000_t202" style="width:41.1pt;height:169.15pt;margin-top:213.75pt;margin-left:89.26pt;mso-position-horizontal-relative:page;mso-position-vertical-relative:page;position:absolute;z-index:251666432" o:allowincell="f" filled="f" stroked="f">
            <o:lock v:ext="edit" aspectratio="f"/>
            <v:textbox inset="0,0,0,0">
              <w:txbxContent>
                <w:p>
                  <w:pPr>
                    <w:spacing w:before="20" w:line="347" w:lineRule="auto"/>
                    <w:ind w:left="73" w:right="21" w:firstLine="4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50,000.00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40,000.00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30,000.00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20,000.00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2"/>
                      <w:sz w:val="18"/>
                      <w:szCs w:val="18"/>
                    </w:rPr>
                    <w:t>10,000.00</w:t>
                  </w:r>
                </w:p>
                <w:p>
                  <w:pPr>
                    <w:spacing w:line="180" w:lineRule="auto"/>
                    <w:ind w:left="485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595959"/>
                      <w:spacing w:val="-2"/>
                      <w:sz w:val="18"/>
                      <w:szCs w:val="18"/>
                    </w:rPr>
                    <w:t>0.00</w:t>
                  </w:r>
                </w:p>
                <w:p>
                  <w:pPr>
                    <w:spacing w:before="152" w:line="347" w:lineRule="auto"/>
                    <w:ind w:left="20" w:right="20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-10,000.00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6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-20,000.00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6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-30,000.00</w:t>
                  </w:r>
                  <w:r>
                    <w:rPr>
                      <w:rFonts w:ascii="Calibri" w:eastAsia="Calibri" w:hAnsi="Calibri" w:cs="Calibri"/>
                      <w:color w:val="595959"/>
                      <w:spacing w:val="6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-40,000.00</w:t>
                  </w:r>
                </w:p>
                <w:p>
                  <w:pPr>
                    <w:spacing w:line="180" w:lineRule="auto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595959"/>
                      <w:spacing w:val="-1"/>
                      <w:sz w:val="18"/>
                      <w:szCs w:val="18"/>
                    </w:rPr>
                    <w:t>-50,000.00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1589531</wp:posOffset>
            </wp:positionH>
            <wp:positionV relativeFrom="page">
              <wp:posOffset>2910840</wp:posOffset>
            </wp:positionV>
            <wp:extent cx="4767472" cy="1712719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7472" cy="1712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1" w:lineRule="auto"/>
        <w:rPr>
          <w:rFonts w:ascii="Arial"/>
          <w:sz w:val="21"/>
        </w:rPr>
      </w:pPr>
    </w:p>
    <w:p>
      <w:pPr>
        <w:spacing w:before="78" w:line="264" w:lineRule="auto"/>
        <w:ind w:left="113" w:hanging="1"/>
        <w:jc w:val="both"/>
        <w:rPr>
          <w:rFonts w:ascii="FangSong" w:eastAsia="FangSong" w:hAnsi="FangSong" w:cs="FangSong"/>
          <w:sz w:val="24"/>
          <w:szCs w:val="24"/>
        </w:rPr>
      </w:pPr>
      <w:r>
        <w:rPr>
          <w:rFonts w:ascii="FangSong" w:eastAsia="FangSong" w:hAnsi="FangSong" w:cs="FangSong"/>
          <w:spacing w:val="17"/>
          <w:sz w:val="24"/>
          <w:szCs w:val="24"/>
        </w:rPr>
        <w:t>平明显增加；</w:t>
      </w:r>
      <w:r>
        <w:rPr>
          <w:rFonts w:ascii="FangSong" w:eastAsia="FangSong" w:hAnsi="FangSong" w:cs="FangSong"/>
          <w:spacing w:val="-33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净融资方面，</w:t>
      </w:r>
      <w:r>
        <w:rPr>
          <w:rFonts w:ascii="FangSong" w:eastAsia="FangSong" w:hAnsi="FangSong" w:cs="FangSong"/>
          <w:spacing w:val="-47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城投债全年净流入规模8869.51亿元，</w:t>
      </w:r>
      <w:r>
        <w:rPr>
          <w:rFonts w:ascii="FangSong" w:eastAsia="FangSong" w:hAnsi="FangSong" w:cs="FangSong"/>
          <w:spacing w:val="-44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7"/>
          <w:sz w:val="24"/>
          <w:szCs w:val="24"/>
        </w:rPr>
        <w:t>为信用债融资的重</w:t>
      </w:r>
      <w:r>
        <w:rPr>
          <w:rFonts w:ascii="FangSong" w:eastAsia="FangSong" w:hAnsi="FangSong" w:cs="FangSong"/>
          <w:spacing w:val="17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6"/>
          <w:sz w:val="24"/>
          <w:szCs w:val="24"/>
        </w:rPr>
        <w:t>要支撑，</w:t>
      </w:r>
      <w:r>
        <w:rPr>
          <w:rFonts w:ascii="FangSong" w:eastAsia="FangSong" w:hAnsi="FangSong" w:cs="FangSong"/>
          <w:spacing w:val="-3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其中前三季度城投债净融资超过9900亿元，</w:t>
      </w:r>
      <w:r>
        <w:rPr>
          <w:rFonts w:ascii="FangSong" w:eastAsia="FangSong" w:hAnsi="FangSong" w:cs="FangSong"/>
          <w:spacing w:val="-2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6"/>
          <w:sz w:val="24"/>
          <w:szCs w:val="24"/>
        </w:rPr>
        <w:t>四季度由于审核趋严影响发行下</w:t>
      </w:r>
      <w:r>
        <w:rPr>
          <w:rFonts w:ascii="FangSong" w:eastAsia="FangSong" w:hAnsi="FangSong" w:cs="FangSong"/>
          <w:spacing w:val="16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8"/>
          <w:sz w:val="24"/>
          <w:szCs w:val="24"/>
        </w:rPr>
        <w:t>降，</w:t>
      </w:r>
      <w:r>
        <w:rPr>
          <w:rFonts w:ascii="FangSong" w:eastAsia="FangSong" w:hAnsi="FangSong" w:cs="FangSong"/>
          <w:spacing w:val="18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净流出超过1000亿元</w:t>
      </w:r>
      <w:r>
        <w:rPr>
          <w:rFonts w:ascii="FangSong" w:eastAsia="FangSong" w:hAnsi="FangSong" w:cs="FangSong"/>
          <w:spacing w:val="-61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。非城投信</w:t>
      </w:r>
      <w:r>
        <w:rPr>
          <w:rFonts w:ascii="FangSong" w:eastAsia="FangSong" w:hAnsi="FangSong" w:cs="FangSong"/>
          <w:spacing w:val="17"/>
          <w:sz w:val="24"/>
          <w:szCs w:val="24"/>
        </w:rPr>
        <w:t>用债发行规模占比较2022年同比下降8个百分点，</w:t>
      </w:r>
      <w:r>
        <w:rPr>
          <w:rFonts w:ascii="FangSong" w:eastAsia="FangSong" w:hAnsi="FangSong" w:cs="FangSong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全年融资净流出规模接近</w:t>
      </w:r>
      <w:r>
        <w:rPr>
          <w:rFonts w:ascii="FangSong" w:eastAsia="FangSong" w:hAnsi="FangSong" w:cs="FangSong"/>
          <w:spacing w:val="-5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1万亿元，</w:t>
      </w:r>
      <w:r>
        <w:rPr>
          <w:rFonts w:ascii="FangSong" w:eastAsia="FangSong" w:hAnsi="FangSong" w:cs="FangSong"/>
          <w:spacing w:val="-49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且各季度净融资均呈现净流出状态，</w:t>
      </w:r>
      <w:r>
        <w:rPr>
          <w:rFonts w:ascii="FangSong" w:eastAsia="FangSong" w:hAnsi="FangSong" w:cs="FangSong"/>
          <w:spacing w:val="-12"/>
          <w:sz w:val="24"/>
          <w:szCs w:val="24"/>
        </w:rPr>
        <w:t xml:space="preserve"> </w:t>
      </w:r>
      <w:r>
        <w:rPr>
          <w:rFonts w:ascii="FangSong" w:eastAsia="FangSong" w:hAnsi="FangSong" w:cs="FangSong"/>
          <w:spacing w:val="18"/>
          <w:sz w:val="24"/>
          <w:szCs w:val="24"/>
        </w:rPr>
        <w:t>四季度融资</w:t>
      </w:r>
      <w:r>
        <w:rPr>
          <w:rFonts w:ascii="FangSong" w:eastAsia="FangSong" w:hAnsi="FangSong" w:cs="FangSong"/>
          <w:spacing w:val="18"/>
          <w:sz w:val="24"/>
          <w:szCs w:val="24"/>
        </w:rPr>
        <w:t xml:space="preserve">  </w:t>
      </w:r>
      <w:r>
        <w:rPr>
          <w:rFonts w:ascii="FangSong" w:eastAsia="FangSong" w:hAnsi="FangSong" w:cs="FangSong"/>
          <w:spacing w:val="14"/>
          <w:sz w:val="24"/>
          <w:szCs w:val="24"/>
        </w:rPr>
        <w:t>净流出接近6000亿元。</w:t>
      </w:r>
    </w:p>
    <w:p>
      <w:pPr>
        <w:spacing w:line="408" w:lineRule="exact"/>
        <w:ind w:firstLine="581"/>
      </w:pPr>
      <w:r>
        <w:rPr>
          <w:position w:val="-8"/>
        </w:rPr>
        <w:pict>
          <v:shape id="_x0000_i1039" type="#_x0000_t202" style="width:439.65pt;height:20.45pt;mso-position-horizontal-relative:char;mso-position-vertical-relative:line" filled="t" fillcolor="#036" stroked="f">
            <o:lock v:ext="edit" aspectratio="f"/>
            <v:textbox inset="0,0,0,0">
              <w:txbxContent>
                <w:p>
                  <w:pPr>
                    <w:spacing w:before="101" w:line="218" w:lineRule="auto"/>
                    <w:ind w:left="61"/>
                    <w:rPr>
                      <w:rFonts w:ascii="FangSong" w:eastAsia="FangSong" w:hAnsi="FangSong" w:cs="FangSong"/>
                      <w:sz w:val="20"/>
                      <w:szCs w:val="20"/>
                    </w:rPr>
                  </w:pP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图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1：2019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年以来信用债发行、偿还和净融资情况（单位：亿元）</w:t>
                  </w:r>
                </w:p>
              </w:txbxContent>
            </v:textbox>
            <w10:wrap type="none"/>
          </v:shape>
        </w:pict>
      </w:r>
    </w:p>
    <w:p>
      <w:pPr>
        <w:spacing w:line="209" w:lineRule="exact"/>
      </w:pPr>
    </w:p>
    <w:tbl>
      <w:tblPr>
        <w:tblStyle w:val="TableNormal0"/>
        <w:tblW w:w="7329" w:type="dxa"/>
        <w:tblInd w:w="17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7329"/>
      </w:tblGrid>
      <w:tr>
        <w:tblPrEx>
          <w:tblW w:w="7329" w:type="dxa"/>
          <w:tblInd w:w="176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17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6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6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6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8"/>
        </w:trPr>
        <w:tc>
          <w:tcPr>
            <w:tcW w:w="7329" w:type="dxa"/>
            <w:tcBorders>
              <w:top w:val="single" w:sz="4" w:space="0" w:color="D9D9D9"/>
              <w:bottom w:val="single" w:sz="6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298"/>
        </w:trPr>
        <w:tc>
          <w:tcPr>
            <w:tcW w:w="7329" w:type="dxa"/>
            <w:tcBorders>
              <w:top w:val="single" w:sz="6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10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6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06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329" w:type="dxa"/>
          <w:tblInd w:w="1768" w:type="dxa"/>
          <w:tblLayout w:type="fixed"/>
        </w:tblPrEx>
        <w:trPr>
          <w:trHeight w:val="313"/>
        </w:trPr>
        <w:tc>
          <w:tcPr>
            <w:tcW w:w="7329" w:type="dxa"/>
            <w:tcBorders>
              <w:top w:val="single" w:sz="4" w:space="0" w:color="D9D9D9"/>
              <w:bottom w:val="single" w:sz="4" w:space="0" w:color="D9D9D9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before="282" w:line="230" w:lineRule="auto"/>
        <w:ind w:left="2299"/>
        <w:rPr>
          <w:rFonts w:ascii="Calibri" w:eastAsia="Calibri" w:hAnsi="Calibri" w:cs="Calibri"/>
        </w:rPr>
      </w:pPr>
      <w:r>
        <w:rPr>
          <w:color w:val="595959"/>
        </w:rPr>
        <w:drawing>
          <wp:inline distT="0" distB="0" distL="0" distR="0">
            <wp:extent cx="257555" cy="74676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555" cy="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spacing w:val="-45"/>
        </w:rPr>
        <w:t xml:space="preserve"> </w:t>
      </w:r>
      <w:r>
        <w:rPr>
          <w:color w:val="595959"/>
          <w:spacing w:val="1"/>
        </w:rPr>
        <w:t>总发行量</w:t>
      </w:r>
      <w:r>
        <w:rPr>
          <w:rFonts w:ascii="Calibri" w:eastAsia="Calibri" w:hAnsi="Calibri" w:cs="Calibri"/>
          <w:color w:val="595959"/>
          <w:spacing w:val="1"/>
        </w:rPr>
        <w:t>(</w:t>
      </w:r>
      <w:r>
        <w:rPr>
          <w:color w:val="595959"/>
          <w:spacing w:val="1"/>
        </w:rPr>
        <w:t>亿元</w:t>
      </w:r>
      <w:r>
        <w:rPr>
          <w:rFonts w:ascii="Calibri" w:eastAsia="Calibri" w:hAnsi="Calibri" w:cs="Calibri"/>
          <w:color w:val="595959"/>
          <w:spacing w:val="1"/>
        </w:rPr>
        <w:t xml:space="preserve">)      </w:t>
      </w:r>
      <w:r>
        <w:drawing>
          <wp:inline distT="0" distB="0" distL="0" distR="0">
            <wp:extent cx="257555" cy="74676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555" cy="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595959"/>
          <w:spacing w:val="4"/>
        </w:rPr>
        <w:t xml:space="preserve"> </w:t>
      </w:r>
      <w:r>
        <w:rPr>
          <w:color w:val="595959"/>
          <w:spacing w:val="1"/>
        </w:rPr>
        <w:t>总偿还量</w:t>
      </w:r>
      <w:r>
        <w:rPr>
          <w:rFonts w:ascii="Calibri" w:eastAsia="Calibri" w:hAnsi="Calibri" w:cs="Calibri"/>
          <w:color w:val="595959"/>
          <w:spacing w:val="1"/>
        </w:rPr>
        <w:t>(</w:t>
      </w:r>
      <w:r>
        <w:rPr>
          <w:color w:val="595959"/>
          <w:spacing w:val="1"/>
        </w:rPr>
        <w:t>亿元</w:t>
      </w:r>
      <w:r>
        <w:rPr>
          <w:rFonts w:ascii="Calibri" w:eastAsia="Calibri" w:hAnsi="Calibri" w:cs="Calibri"/>
          <w:color w:val="595959"/>
          <w:spacing w:val="1"/>
        </w:rPr>
        <w:t xml:space="preserve">)  </w:t>
      </w:r>
      <w:r>
        <w:rPr>
          <w:rFonts w:ascii="Calibri" w:eastAsia="Calibri" w:hAnsi="Calibri" w:cs="Calibri"/>
          <w:color w:val="595959"/>
        </w:rPr>
        <w:t xml:space="preserve">     </w:t>
      </w:r>
      <w:r>
        <w:rPr>
          <w:position w:val="3"/>
        </w:rPr>
        <w:drawing>
          <wp:inline distT="0" distB="0" distL="0" distR="0">
            <wp:extent cx="277368" cy="33528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595959"/>
          <w:spacing w:val="-14"/>
        </w:rPr>
        <w:t xml:space="preserve"> </w:t>
      </w:r>
      <w:r>
        <w:rPr>
          <w:color w:val="595959"/>
        </w:rPr>
        <w:t>净融资额</w:t>
      </w:r>
      <w:r>
        <w:rPr>
          <w:rFonts w:ascii="Calibri" w:eastAsia="Calibri" w:hAnsi="Calibri" w:cs="Calibri"/>
          <w:color w:val="595959"/>
        </w:rPr>
        <w:t>(</w:t>
      </w:r>
      <w:r>
        <w:rPr>
          <w:color w:val="595959"/>
        </w:rPr>
        <w:t>亿元</w:t>
      </w:r>
      <w:r>
        <w:rPr>
          <w:rFonts w:ascii="Calibri" w:eastAsia="Calibri" w:hAnsi="Calibri" w:cs="Calibri"/>
          <w:color w:val="595959"/>
        </w:rPr>
        <w:t>)</w:t>
      </w:r>
    </w:p>
    <w:p>
      <w:pPr>
        <w:spacing w:before="241" w:line="210" w:lineRule="auto"/>
        <w:ind w:left="613"/>
        <w:rPr>
          <w:rFonts w:ascii="FangSong" w:eastAsia="FangSong" w:hAnsi="FangSong" w:cs="FangSong"/>
          <w:sz w:val="19"/>
          <w:szCs w:val="19"/>
        </w:rPr>
      </w:pPr>
      <w:r>
        <w:rPr>
          <w:rFonts w:ascii="FangSong" w:eastAsia="FangSong" w:hAnsi="FangSong" w:cs="FangSong"/>
          <w:i/>
          <w:iCs/>
          <w:spacing w:val="-6"/>
          <w:sz w:val="19"/>
          <w:szCs w:val="19"/>
        </w:rPr>
        <w:t>数据来源：wind，中诚信国际整理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line="408" w:lineRule="exact"/>
        <w:ind w:firstLine="581"/>
      </w:pPr>
      <w:r>
        <w:rPr>
          <w:position w:val="-8"/>
        </w:rPr>
        <w:pict>
          <v:shape id="_x0000_i1040" type="#_x0000_t202" style="width:439.65pt;height:20.4pt;mso-position-horizontal-relative:char;mso-position-vertical-relative:line" filled="t" fillcolor="#036" stroked="f">
            <o:lock v:ext="edit" aspectratio="f"/>
            <v:textbox inset="0,0,0,0">
              <w:txbxContent>
                <w:p>
                  <w:pPr>
                    <w:spacing w:before="100" w:line="218" w:lineRule="auto"/>
                    <w:ind w:left="61"/>
                    <w:rPr>
                      <w:rFonts w:ascii="FangSong" w:eastAsia="FangSong" w:hAnsi="FangSong" w:cs="FangSong"/>
                      <w:sz w:val="20"/>
                      <w:szCs w:val="20"/>
                    </w:rPr>
                  </w:pP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图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2：2019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color w:val="FFFFFF"/>
                      <w:spacing w:val="-2"/>
                      <w:sz w:val="20"/>
                      <w:szCs w:val="20"/>
                      <w14:textOutline w14:w="3657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年以来信用债发行和净融资结构（单位：亿元）</w:t>
                  </w:r>
                </w:p>
              </w:txbxContent>
            </v:textbox>
            <w10:wrap type="none"/>
          </v:shape>
        </w:pict>
      </w:r>
    </w:p>
    <w:p>
      <w:pPr>
        <w:spacing w:line="158" w:lineRule="exact"/>
      </w:pPr>
    </w:p>
    <w:p>
      <w:pPr>
        <w:spacing w:line="158" w:lineRule="exact"/>
        <w:sectPr>
          <w:headerReference w:type="default" r:id="rId21"/>
          <w:footerReference w:type="default" r:id="rId22"/>
          <w:pgSz w:w="11909" w:h="16839"/>
          <w:pgMar w:top="1392" w:right="885" w:bottom="1334" w:left="979" w:header="720" w:footer="1037" w:gutter="0"/>
          <w:pgNumType w:start="4"/>
          <w:cols w:num="1" w:space="708" w:equalWidth="0">
            <w:col w:w="10045" w:space="0"/>
          </w:cols>
        </w:sectPr>
      </w:pPr>
    </w:p>
    <w:p>
      <w:pPr>
        <w:spacing w:before="6" w:line="276" w:lineRule="auto"/>
        <w:ind w:left="880" w:right="10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45000.00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40000.00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35000.00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30000.00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25000.00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20000.00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15000.00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10000.00</w:t>
      </w:r>
      <w:r>
        <w:rPr>
          <w:rFonts w:ascii="Calibri" w:eastAsia="Calibri" w:hAnsi="Calibri" w:cs="Calibri"/>
          <w:color w:val="595959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5000.00</w:t>
      </w:r>
    </w:p>
    <w:p>
      <w:pPr>
        <w:spacing w:before="1" w:line="177" w:lineRule="auto"/>
        <w:ind w:left="124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0.00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88" w:line="2160" w:lineRule="exact"/>
      </w:pPr>
      <w:r>
        <w:rPr>
          <w:position w:val="-43"/>
        </w:rPr>
        <w:drawing>
          <wp:inline distT="0" distB="0" distL="0" distR="0">
            <wp:extent cx="4069079" cy="137160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907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7" w:lineRule="exact"/>
        <w:ind w:left="1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3"/>
          <w:position w:val="7"/>
          <w:sz w:val="18"/>
          <w:szCs w:val="18"/>
        </w:rPr>
        <w:t>12000.00</w:t>
      </w:r>
    </w:p>
    <w:p>
      <w:pPr>
        <w:spacing w:line="180" w:lineRule="auto"/>
        <w:ind w:left="1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3"/>
          <w:sz w:val="18"/>
          <w:szCs w:val="18"/>
        </w:rPr>
        <w:t>10000.00</w:t>
      </w:r>
    </w:p>
    <w:p>
      <w:pPr>
        <w:spacing w:before="63" w:line="180" w:lineRule="auto"/>
        <w:ind w:left="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8000.00</w:t>
      </w:r>
    </w:p>
    <w:p>
      <w:pPr>
        <w:spacing w:before="64" w:line="180" w:lineRule="auto"/>
        <w:ind w:left="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6000.00</w:t>
      </w:r>
    </w:p>
    <w:p>
      <w:pPr>
        <w:spacing w:before="63" w:line="18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1"/>
          <w:sz w:val="18"/>
          <w:szCs w:val="18"/>
        </w:rPr>
        <w:t>4000.00</w:t>
      </w:r>
    </w:p>
    <w:p>
      <w:pPr>
        <w:spacing w:before="63" w:line="180" w:lineRule="auto"/>
        <w:ind w:left="6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2000.00</w:t>
      </w:r>
    </w:p>
    <w:p>
      <w:pPr>
        <w:spacing w:before="63" w:line="180" w:lineRule="auto"/>
        <w:ind w:left="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595959"/>
          <w:spacing w:val="-2"/>
          <w:sz w:val="18"/>
          <w:szCs w:val="18"/>
        </w:rPr>
        <w:t>0.00</w:t>
      </w:r>
    </w:p>
    <w:p>
      <w:pPr>
        <w:spacing w:before="43" w:line="228" w:lineRule="exact"/>
        <w:ind w:left="7"/>
        <w:rPr>
          <w:rFonts w:ascii="Calibri" w:eastAsia="Calibri" w:hAnsi="Calibri" w:cs="Calibri"/>
          <w:sz w:val="18"/>
          <w:szCs w:val="18"/>
        </w:rPr>
        <w:sectPr>
          <w:headerReference w:type="default" r:id="rId24"/>
          <w:footerReference w:type="default" r:id="rId25"/>
          <w:type w:val="continuous"/>
          <w:pgSz w:w="11909" w:h="16839"/>
          <w:pgMar w:top="1392" w:right="885" w:bottom="1334" w:left="979" w:header="720" w:footer="1037" w:gutter="0"/>
          <w:pgNumType w:start="5"/>
          <w:cols w:num="3" w:space="708" w:equalWidth="0">
            <w:col w:w="1669" w:space="100"/>
            <w:col w:w="6483" w:space="100"/>
            <w:col w:w="1693" w:space="0"/>
          </w:cols>
        </w:sectPr>
      </w:pPr>
      <w:r>
        <w:rPr>
          <w:rFonts w:ascii="Calibri" w:eastAsia="Calibri" w:hAnsi="Calibri" w:cs="Calibri"/>
          <w:color w:val="FF0000"/>
          <w:spacing w:val="-2"/>
          <w:position w:val="4"/>
          <w:sz w:val="18"/>
          <w:szCs w:val="18"/>
        </w:rPr>
        <w:t>(2000.00)</w:t>
      </w:r>
    </w:p>
    <w:p>
      <w:pPr>
        <w:spacing w:before="1" w:line="218" w:lineRule="auto"/>
        <w:ind w:left="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FF0000"/>
          <w:spacing w:val="-2"/>
          <w:sz w:val="18"/>
          <w:szCs w:val="18"/>
        </w:rPr>
        <w:t>(4000.00)</w:t>
      </w:r>
    </w:p>
    <w:p>
      <w:pPr>
        <w:spacing w:before="28" w:line="219" w:lineRule="auto"/>
        <w:ind w:left="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FF0000"/>
          <w:spacing w:val="-2"/>
          <w:sz w:val="18"/>
          <w:szCs w:val="18"/>
        </w:rPr>
        <w:t>(6000.00)</w:t>
      </w:r>
    </w:p>
    <w:p>
      <w:pPr>
        <w:spacing w:before="28" w:line="199" w:lineRule="auto"/>
        <w:ind w:left="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FF0000"/>
          <w:spacing w:val="-2"/>
          <w:sz w:val="18"/>
          <w:szCs w:val="18"/>
        </w:rPr>
        <w:t>(8000.00)</w:t>
      </w:r>
    </w:p>
    <w:p>
      <w:pPr>
        <w:spacing w:line="199" w:lineRule="auto"/>
        <w:rPr>
          <w:rFonts w:ascii="Calibri" w:eastAsia="Calibri" w:hAnsi="Calibri" w:cs="Calibri"/>
          <w:sz w:val="18"/>
          <w:szCs w:val="18"/>
        </w:rPr>
        <w:sectPr>
          <w:headerReference w:type="default" r:id="rId26"/>
          <w:footerReference w:type="default" r:id="rId27"/>
          <w:type w:val="nextPage"/>
          <w:pgSz w:w="11909" w:h="16839"/>
          <w:pgMar w:top="1392" w:right="885" w:bottom="1334" w:left="979" w:header="720" w:footer="1037" w:gutter="0"/>
          <w:pgNumType w:start="6"/>
          <w:cols w:num="3" w:space="708" w:equalWidth="0">
            <w:col w:w="1669" w:space="100"/>
            <w:col w:w="6483" w:space="100"/>
            <w:col w:w="1693" w:space="0"/>
          </w:cols>
          <w:titlePg w:val="0"/>
        </w:sectPr>
      </w:pPr>
    </w:p>
    <w:p>
      <w:pPr>
        <w:spacing w:before="69" w:line="464" w:lineRule="exact"/>
        <w:ind w:firstLine="1498"/>
      </w:pPr>
      <w:r>
        <w:rPr>
          <w:position w:val="-9"/>
        </w:rPr>
        <w:drawing>
          <wp:inline distT="0" distB="0" distL="0" distR="0">
            <wp:extent cx="4156836" cy="294639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56836" cy="29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44" w:line="337" w:lineRule="exact"/>
        <w:ind w:left="2284"/>
        <w:rPr>
          <w:rFonts w:ascii="Calibri" w:eastAsia="Calibri" w:hAnsi="Calibri" w:cs="Calibri"/>
        </w:rPr>
      </w:pPr>
      <w:r>
        <w:rPr>
          <w:color w:val="595959"/>
          <w:position w:val="11"/>
        </w:rPr>
        <w:drawing>
          <wp:inline distT="0" distB="0" distL="0" distR="0">
            <wp:extent cx="243839" cy="64007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spacing w:val="-26"/>
          <w:position w:val="11"/>
        </w:rPr>
        <w:t xml:space="preserve"> </w:t>
      </w:r>
      <w:r>
        <w:rPr>
          <w:color w:val="595959"/>
          <w:position w:val="11"/>
        </w:rPr>
        <w:t>非城投信用债总发行量</w:t>
      </w:r>
      <w:r>
        <w:rPr>
          <w:rFonts w:ascii="Calibri" w:eastAsia="Calibri" w:hAnsi="Calibri" w:cs="Calibri"/>
          <w:color w:val="595959"/>
          <w:position w:val="11"/>
        </w:rPr>
        <w:t>(</w:t>
      </w:r>
      <w:r>
        <w:rPr>
          <w:color w:val="595959"/>
          <w:position w:val="11"/>
        </w:rPr>
        <w:t>亿元</w:t>
      </w:r>
      <w:r>
        <w:rPr>
          <w:rFonts w:ascii="Calibri" w:eastAsia="Calibri" w:hAnsi="Calibri" w:cs="Calibri"/>
          <w:color w:val="595959"/>
          <w:position w:val="11"/>
        </w:rPr>
        <w:t xml:space="preserve">) </w:t>
      </w:r>
      <w:r>
        <w:rPr>
          <w:position w:val="11"/>
        </w:rPr>
        <w:drawing>
          <wp:inline distT="0" distB="0" distL="0" distR="0">
            <wp:extent cx="243840" cy="64007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595959"/>
          <w:spacing w:val="10"/>
          <w:position w:val="11"/>
        </w:rPr>
        <w:t xml:space="preserve"> </w:t>
      </w:r>
      <w:r>
        <w:rPr>
          <w:color w:val="595959"/>
          <w:position w:val="11"/>
        </w:rPr>
        <w:t>城投债总发行量</w:t>
      </w:r>
      <w:r>
        <w:rPr>
          <w:rFonts w:ascii="Calibri" w:eastAsia="Calibri" w:hAnsi="Calibri" w:cs="Calibri"/>
          <w:color w:val="595959"/>
          <w:position w:val="11"/>
        </w:rPr>
        <w:t>(</w:t>
      </w:r>
      <w:r>
        <w:rPr>
          <w:color w:val="595959"/>
          <w:position w:val="11"/>
        </w:rPr>
        <w:t>亿元</w:t>
      </w:r>
      <w:r>
        <w:rPr>
          <w:rFonts w:ascii="Calibri" w:eastAsia="Calibri" w:hAnsi="Calibri" w:cs="Calibri"/>
          <w:color w:val="595959"/>
          <w:position w:val="11"/>
        </w:rPr>
        <w:t>)</w:t>
      </w:r>
    </w:p>
    <w:p>
      <w:pPr>
        <w:pStyle w:val="BodyText"/>
        <w:spacing w:line="224" w:lineRule="exact"/>
        <w:ind w:left="2265"/>
        <w:rPr>
          <w:rFonts w:ascii="Calibri" w:eastAsia="Calibri" w:hAnsi="Calibri" w:cs="Calibri"/>
        </w:rPr>
      </w:pPr>
      <w:r>
        <w:rPr>
          <w:rFonts w:ascii="Arial" w:eastAsia="Arial" w:hAnsi="Arial" w:cs="Arial"/>
          <w:color w:val="9BBB59"/>
          <w:spacing w:val="5"/>
          <w:position w:val="5"/>
          <w:sz w:val="36"/>
          <w:szCs w:val="36"/>
        </w:rPr>
        <w:t>—</w:t>
      </w:r>
      <w:r>
        <w:rPr>
          <w:rFonts w:ascii="Arial" w:eastAsia="Arial" w:hAnsi="Arial" w:cs="Arial"/>
          <w:color w:val="9BBB59"/>
          <w:spacing w:val="-60"/>
          <w:position w:val="5"/>
          <w:sz w:val="36"/>
          <w:szCs w:val="36"/>
        </w:rPr>
        <w:t xml:space="preserve"> </w:t>
      </w:r>
      <w:r>
        <w:rPr>
          <w:color w:val="595959"/>
          <w:spacing w:val="5"/>
          <w:position w:val="1"/>
        </w:rPr>
        <w:t>非城投信用债净融资额</w:t>
      </w:r>
      <w:r>
        <w:rPr>
          <w:rFonts w:ascii="Calibri" w:eastAsia="Calibri" w:hAnsi="Calibri" w:cs="Calibri"/>
          <w:color w:val="595959"/>
          <w:spacing w:val="5"/>
          <w:position w:val="1"/>
        </w:rPr>
        <w:t>(</w:t>
      </w:r>
      <w:r>
        <w:rPr>
          <w:color w:val="595959"/>
          <w:spacing w:val="5"/>
          <w:position w:val="1"/>
        </w:rPr>
        <w:t>亿元</w:t>
      </w:r>
      <w:r>
        <w:rPr>
          <w:rFonts w:ascii="Calibri" w:eastAsia="Calibri" w:hAnsi="Calibri" w:cs="Calibri"/>
          <w:color w:val="595959"/>
          <w:spacing w:val="5"/>
          <w:position w:val="1"/>
        </w:rPr>
        <w:t>)</w:t>
      </w:r>
      <w:r>
        <w:rPr>
          <w:rFonts w:ascii="Calibri" w:eastAsia="Calibri" w:hAnsi="Calibri" w:cs="Calibri"/>
          <w:color w:val="595959"/>
          <w:spacing w:val="-24"/>
          <w:position w:val="1"/>
        </w:rPr>
        <w:t xml:space="preserve"> </w:t>
      </w:r>
      <w:r>
        <w:rPr>
          <w:rFonts w:ascii="Arial" w:eastAsia="Arial" w:hAnsi="Arial" w:cs="Arial"/>
          <w:color w:val="8064A2"/>
          <w:spacing w:val="5"/>
          <w:position w:val="5"/>
          <w:sz w:val="36"/>
          <w:szCs w:val="36"/>
        </w:rPr>
        <w:t>—</w:t>
      </w:r>
      <w:r>
        <w:rPr>
          <w:rFonts w:ascii="Arial" w:eastAsia="Arial" w:hAnsi="Arial" w:cs="Arial"/>
          <w:color w:val="8064A2"/>
          <w:spacing w:val="-69"/>
          <w:position w:val="5"/>
          <w:sz w:val="36"/>
          <w:szCs w:val="36"/>
        </w:rPr>
        <w:t xml:space="preserve"> </w:t>
      </w:r>
      <w:r>
        <w:rPr>
          <w:color w:val="595959"/>
          <w:spacing w:val="5"/>
          <w:position w:val="1"/>
        </w:rPr>
        <w:t>城投债净融资额</w:t>
      </w:r>
      <w:r>
        <w:rPr>
          <w:rFonts w:ascii="Calibri" w:eastAsia="Calibri" w:hAnsi="Calibri" w:cs="Calibri"/>
          <w:color w:val="595959"/>
          <w:spacing w:val="5"/>
          <w:position w:val="1"/>
        </w:rPr>
        <w:t>(</w:t>
      </w:r>
      <w:r>
        <w:rPr>
          <w:color w:val="595959"/>
          <w:spacing w:val="5"/>
          <w:position w:val="1"/>
        </w:rPr>
        <w:t>亿元</w:t>
      </w:r>
      <w:r>
        <w:rPr>
          <w:rFonts w:ascii="Calibri" w:eastAsia="Calibri" w:hAnsi="Calibri" w:cs="Calibri"/>
          <w:color w:val="595959"/>
          <w:spacing w:val="5"/>
          <w:position w:val="1"/>
        </w:rPr>
        <w:t>)</w:t>
      </w:r>
    </w:p>
    <w:p>
      <w:pPr>
        <w:spacing w:before="212" w:line="177" w:lineRule="auto"/>
        <w:ind w:left="613"/>
        <w:rPr>
          <w:rFonts w:ascii="FangSong" w:eastAsia="FangSong" w:hAnsi="FangSong" w:cs="FangSong"/>
          <w:sz w:val="19"/>
          <w:szCs w:val="19"/>
        </w:rPr>
      </w:pPr>
      <w:r>
        <w:rPr>
          <w:rFonts w:ascii="FangSong" w:eastAsia="FangSong" w:hAnsi="FangSong" w:cs="FangSong"/>
          <w:i/>
          <w:iCs/>
          <w:spacing w:val="-6"/>
          <w:sz w:val="19"/>
          <w:szCs w:val="19"/>
        </w:rPr>
        <w:t>数据来源：wind，中诚信国际整理</w:t>
      </w:r>
    </w:p>
    <w:p>
      <w:pPr>
        <w:spacing w:line="177" w:lineRule="auto"/>
        <w:rPr>
          <w:rFonts w:ascii="FangSong" w:eastAsia="FangSong" w:hAnsi="FangSong" w:cs="FangSong"/>
          <w:sz w:val="19"/>
          <w:szCs w:val="19"/>
        </w:rPr>
      </w:pPr>
      <w:r>
        <w:rPr>
          <w:rFonts w:ascii="FangSong" w:eastAsia="FangSong" w:hAnsi="FangSong" w:cs="FangSong"/>
          <w:sz w:val="19"/>
          <w:szCs w:val="19"/>
        </w:rPr>
        <w:br/>
      </w:r>
      <w:r>
        <w:rPr>
          <w:rFonts w:ascii="FangSong" w:eastAsia="FangSong" w:hAnsi="FangSong" w:cs="FangSong"/>
          <w:sz w:val="19"/>
          <w:szCs w:val="19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https://d.book118.com/658002015041006035</w:t>
        </w:r>
      </w:hyperlink>
    </w:p>
    <w:p>
      <w:pPr>
        <w:spacing w:line="177" w:lineRule="auto"/>
        <w:rPr>
          <w:rFonts w:ascii="FangSong" w:eastAsia="FangSong" w:hAnsi="FangSong" w:cs="FangSong"/>
          <w:sz w:val="19"/>
          <w:szCs w:val="19"/>
        </w:rPr>
      </w:pPr>
    </w:p>
    <w:sectPr>
      <w:headerReference w:type="default" r:id="rId32"/>
      <w:footerReference w:type="default" r:id="rId33"/>
      <w:type w:val="continuous"/>
      <w:pgSz w:w="11909" w:h="16839"/>
      <w:pgMar w:top="1392" w:right="885" w:bottom="1334" w:left="979" w:header="720" w:footer="1037" w:gutter="0"/>
      <w:pgNumType w:start="7"/>
      <w:cols w:num="1" w:space="708" w:equalWidth="0">
        <w:col w:w="1004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www.ccxi.com.cn                                                                                        </w:t>
    </w:r>
    <w:r>
      <w:rPr>
        <w:spacing w:val="-1"/>
        <w:position w:val="1"/>
      </w:rPr>
      <w:t>1</w:t>
    </w:r>
    <w:r>
      <w:rPr>
        <w:spacing w:val="92"/>
        <w:position w:val="1"/>
      </w:rPr>
      <w:t xml:space="preserve">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www.ccxi.com.cn                                                                                        </w:t>
    </w:r>
    <w:r>
      <w:rPr>
        <w:spacing w:val="-1"/>
        <w:position w:val="1"/>
      </w:rPr>
      <w:t>1</w:t>
    </w:r>
    <w:r>
      <w:rPr>
        <w:spacing w:val="92"/>
        <w:position w:val="1"/>
      </w:rPr>
      <w:t xml:space="preserve">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1873896272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96272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position w:val="-1"/>
        <w:sz w:val="24"/>
        <w:szCs w:val="24"/>
      </w:rPr>
      <w:t xml:space="preserve">www.ccxi.com.cn                                                </w:t>
    </w: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                                       </w:t>
    </w:r>
    <w:r>
      <w:rPr>
        <w:spacing w:val="-1"/>
        <w:position w:val="1"/>
      </w:rPr>
      <w:t xml:space="preserve">2 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position w:val="-1"/>
        <w:sz w:val="24"/>
        <w:szCs w:val="24"/>
      </w:rPr>
      <w:t xml:space="preserve">www.ccxi.com.cn                                                </w:t>
    </w: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                                       </w:t>
    </w:r>
    <w:r>
      <w:rPr>
        <w:spacing w:val="-1"/>
        <w:position w:val="1"/>
      </w:rPr>
      <w:t xml:space="preserve">2 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1346197849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197849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position w:val="-1"/>
        <w:sz w:val="24"/>
        <w:szCs w:val="24"/>
      </w:rPr>
      <w:t xml:space="preserve">www.ccxi.com.cn                                                </w:t>
    </w: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                                       </w:t>
    </w:r>
    <w:r>
      <w:rPr>
        <w:spacing w:val="-1"/>
        <w:position w:val="1"/>
      </w:rPr>
      <w:t xml:space="preserve">2 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1273578463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578463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87" w:lineRule="exact"/>
      <w:ind w:left="563"/>
    </w:pPr>
    <w:r>
      <w:rPr>
        <w:rFonts w:ascii="Times New Roman" w:eastAsia="Times New Roman" w:hAnsi="Times New Roman" w:cs="Times New Roman"/>
        <w:color w:val="A6A6A6"/>
        <w:position w:val="-1"/>
        <w:sz w:val="24"/>
        <w:szCs w:val="24"/>
      </w:rPr>
      <w:t xml:space="preserve">www.ccxi.com.cn                                                </w:t>
    </w:r>
    <w:r>
      <w:rPr>
        <w:rFonts w:ascii="Times New Roman" w:eastAsia="Times New Roman" w:hAnsi="Times New Roman" w:cs="Times New Roman"/>
        <w:color w:val="A6A6A6"/>
        <w:spacing w:val="-1"/>
        <w:position w:val="-1"/>
        <w:sz w:val="24"/>
        <w:szCs w:val="24"/>
      </w:rPr>
      <w:t xml:space="preserve">                                       </w:t>
    </w:r>
    <w:r>
      <w:rPr>
        <w:spacing w:val="-1"/>
        <w:position w:val="1"/>
      </w:rPr>
      <w:t xml:space="preserve">2  </w:t>
    </w:r>
    <w:r>
      <w:rPr>
        <w:position w:val="-1"/>
      </w:rPr>
      <w:drawing>
        <wp:inline distT="0" distB="0" distL="0" distR="0">
          <wp:extent cx="1294732" cy="122867"/>
          <wp:effectExtent l="0" t="0" r="0" b="0"/>
          <wp:docPr id="472878363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878363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4732" cy="12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951230</wp:posOffset>
          </wp:positionH>
          <wp:positionV relativeFrom="page">
            <wp:posOffset>9827260</wp:posOffset>
          </wp:positionV>
          <wp:extent cx="1161669" cy="175247"/>
          <wp:effectExtent l="0" t="0" r="0" b="0"/>
          <wp:wrapNone/>
          <wp:docPr id="12" name="IM 12">
            <a:hlinkClick xmlns:a="http://schemas.openxmlformats.org/drawingml/2006/main" xmlns:r="http://schemas.openxmlformats.org/officeDocument/2006/relationships" r:id="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161669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812865843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65843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951230</wp:posOffset>
          </wp:positionH>
          <wp:positionV relativeFrom="page">
            <wp:posOffset>9827260</wp:posOffset>
          </wp:positionV>
          <wp:extent cx="1161669" cy="175247"/>
          <wp:effectExtent l="0" t="0" r="0" b="0"/>
          <wp:wrapNone/>
          <wp:docPr id="1591665863" name="IM 12">
            <a:hlinkClick xmlns:a="http://schemas.openxmlformats.org/drawingml/2006/main" xmlns:r="http://schemas.openxmlformats.org/officeDocument/2006/relationships" r:id="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665863" name="IM 12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161669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317917073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917073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522364108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364108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17" w:line="221" w:lineRule="auto"/>
      <w:ind w:left="3230"/>
      <w:rPr>
        <w:rFonts w:ascii="SimHei" w:eastAsia="SimHei" w:hAnsi="SimHei" w:cs="SimHei"/>
        <w:sz w:val="18"/>
        <w:szCs w:val="18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621692</wp:posOffset>
          </wp:positionH>
          <wp:positionV relativeFrom="page">
            <wp:posOffset>457200</wp:posOffset>
          </wp:positionV>
          <wp:extent cx="1941204" cy="426719"/>
          <wp:effectExtent l="0" t="0" r="0" b="0"/>
          <wp:wrapNone/>
          <wp:docPr id="1600639301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639301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941204" cy="4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Hei" w:eastAsia="SimHei" w:hAnsi="SimHei" w:cs="SimHei"/>
        <w:color w:val="A6A6A6"/>
        <w:sz w:val="18"/>
        <w:szCs w:val="18"/>
      </w:rPr>
      <w:t>债券市场研究系列</w:t>
    </w:r>
  </w:p>
  <w:p>
    <w:pPr>
      <w:spacing w:before="62" w:line="221" w:lineRule="auto"/>
      <w:ind w:left="3230"/>
      <w:rPr>
        <w:rFonts w:ascii="SimHei" w:eastAsia="SimHei" w:hAnsi="SimHei" w:cs="SimHei"/>
        <w:sz w:val="18"/>
        <w:szCs w:val="18"/>
      </w:rPr>
    </w:pPr>
    <w:r>
      <w:rPr>
        <w:rFonts w:ascii="SimHei" w:eastAsia="SimHei" w:hAnsi="SimHei" w:cs="SimHei"/>
        <w:color w:val="A6A6A6"/>
        <w:spacing w:val="-1"/>
        <w:sz w:val="18"/>
        <w:szCs w:val="18"/>
      </w:rPr>
      <w:t>信用债市场</w:t>
    </w:r>
    <w:r>
      <w:rPr>
        <w:rFonts w:ascii="SimHei" w:eastAsia="SimHei" w:hAnsi="SimHei" w:cs="SimHei"/>
        <w:color w:val="A6A6A6"/>
        <w:spacing w:val="-23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2023</w:t>
    </w:r>
    <w:r>
      <w:rPr>
        <w:rFonts w:ascii="SimHei" w:eastAsia="SimHei" w:hAnsi="SimHei" w:cs="SimHei"/>
        <w:color w:val="A6A6A6"/>
        <w:spacing w:val="-38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年回顾与</w:t>
    </w:r>
    <w:r>
      <w:rPr>
        <w:rFonts w:ascii="SimHei" w:eastAsia="SimHei" w:hAnsi="SimHei" w:cs="SimHei"/>
        <w:color w:val="A6A6A6"/>
        <w:spacing w:val="-41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2024</w:t>
    </w:r>
    <w:r>
      <w:rPr>
        <w:rFonts w:ascii="SimHei" w:eastAsia="SimHei" w:hAnsi="SimHei" w:cs="SimHei"/>
        <w:color w:val="A6A6A6"/>
        <w:spacing w:val="-39"/>
        <w:sz w:val="18"/>
        <w:szCs w:val="18"/>
      </w:rPr>
      <w:t xml:space="preserve"> </w:t>
    </w:r>
    <w:r>
      <w:rPr>
        <w:rFonts w:ascii="SimHei" w:eastAsia="SimHei" w:hAnsi="SimHei" w:cs="SimHei"/>
        <w:color w:val="A6A6A6"/>
        <w:spacing w:val="-1"/>
        <w:sz w:val="18"/>
        <w:szCs w:val="18"/>
      </w:rPr>
      <w:t>年展望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Calibri" w:eastAsia="Calibri" w:hAnsi="Calibri" w:cs="Calibri"/>
      <w:sz w:val="15"/>
      <w:szCs w:val="15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ccxi.com.cn/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4.xml" /><Relationship Id="rId22" Type="http://schemas.openxmlformats.org/officeDocument/2006/relationships/footer" Target="footer4.xml" /><Relationship Id="rId23" Type="http://schemas.openxmlformats.org/officeDocument/2006/relationships/image" Target="media/image12.png" /><Relationship Id="rId24" Type="http://schemas.openxmlformats.org/officeDocument/2006/relationships/header" Target="header5.xml" /><Relationship Id="rId25" Type="http://schemas.openxmlformats.org/officeDocument/2006/relationships/footer" Target="footer5.xml" /><Relationship Id="rId26" Type="http://schemas.openxmlformats.org/officeDocument/2006/relationships/header" Target="header6.xml" /><Relationship Id="rId27" Type="http://schemas.openxmlformats.org/officeDocument/2006/relationships/footer" Target="footer6.xml" /><Relationship Id="rId28" Type="http://schemas.openxmlformats.org/officeDocument/2006/relationships/image" Target="media/image13.png" /><Relationship Id="rId29" Type="http://schemas.openxmlformats.org/officeDocument/2006/relationships/image" Target="media/image14.png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hyperlink" Target="https://d.book118.com/658002015041006035" TargetMode="External" /><Relationship Id="rId32" Type="http://schemas.openxmlformats.org/officeDocument/2006/relationships/header" Target="header7.xml" /><Relationship Id="rId33" Type="http://schemas.openxmlformats.org/officeDocument/2006/relationships/footer" Target="footer7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mailto:hxyuan@ccxi.com.cn" TargetMode="External" /><Relationship Id="rId9" Type="http://schemas.openxmlformats.org/officeDocument/2006/relationships/hyperlink" Target="mailto:gzhao@ccxi.com.cn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revision>0</cp:revision>
  <dcterms:created xsi:type="dcterms:W3CDTF">2024-02-11T20:57:40Z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2024-02-11T21:45:14Z</vt:filetime>
  </property>
  <property fmtid="{D5CDD505-2E9C-101B-9397-08002B2CF9AE}" pid="3" name="CRO">
    <vt:lpwstr>wqlLaW5nc29mdCBQREYgdG8gV1BTIDkw</vt:lpwstr>
  </property>
</Properties>
</file>