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2024年抚州职业技术学院高职单招（英语／数学／语文）笔试历年真题摘选含答案解析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表现莺莺对现实不满更为强烈的曲词是（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A.前暮私情，昨夜成亲，今日别离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B.有梦也难寻觅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C.蜗角虚名，蝇头微利，拆鸳鸯在两下里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D.但得一个并头莲，煞强如状元及第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《米龙老爹》在叙述方法上的特点是（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A.顺叙方式和第一人称与第三人称叙述方式交互使用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B.顺叙之中有插叙和第三人称叙述方式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C.倒叙方式和第一人称叙述方式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D.倒叙方式和第一人称与第三人称叙述方式交互使用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《张中丞传后叙》中所说的“守一城，捍天下”的“城”是指（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A.汴州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B.睢阳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C.洛阳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称司马迁《史记》为“史家之绝唱，无韵之《离骚》”的作家是（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“瀚海阑干百丈冰，愁云惨淡万里凝”，诗句中所用的修辞格是（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先秦诸子散文中，最富有浪漫色彩的是（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https://d.book118.com/658004121072006045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58004121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