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2018-2023年民办合肥经济技术职业学院高职单招（数学／语文／英语）历年常考试题库含答案解析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下列句子中，不是宾语前置的是（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A.丘未之逮也，而有志焉。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B.姜氏何厌之有？不如早为之所，无使滋蔓。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C.人之将死，其脏腑必有先受其病者。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D.辞曰：“责毕收，以何市而反？”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“蜗角虚名，蝇头微利”的修辞手法是（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A.比喻、对偶、用典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B.排比、比喻、夸张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C.对偶、拟人、用典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D.拟人、对比、对偶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《张中丞传后叙》主要采用____的写法来补记许远的事迹（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韩愈的作品集是（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A.《饮冰室文集》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B.《临川先生文集》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C.《昌黎先生集》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D.《柳河东集》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有“曲状元”之称的元曲作家是（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C.张养浩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B.文艺性论文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D.报告文学作品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43396" cy="2095720"/>
            <wp:effectExtent l="0" t="0" r="0" b="0"/>
            <wp:docPr id="13096684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668418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https://d.book118.com/658020026132006040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020026132006040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