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非油炸食品项目规划设计蓝图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2" w:history="1">
        <w:r>
          <w:rPr>
            <w:rFonts w:ascii="仿宋" w:eastAsia="仿宋" w:hAnsi="仿宋" w:cs="仿宋" w:hint="eastAsia"/>
            <w:lang w:eastAsia="zh-CN"/>
          </w:rPr>
          <w:t>序言</w:t>
        </w:r>
        <w:r>
          <w:tab/>
        </w:r>
        <w:r>
          <w:fldChar w:fldCharType="begin"/>
        </w:r>
        <w:r>
          <w:instrText xml:space="preserve"> PAGEREF _Toc22602 \h </w:instrText>
        </w:r>
        <w:r>
          <w:fldChar w:fldCharType="separate"/>
        </w:r>
        <w:r>
          <w:t>3</w:t>
        </w:r>
        <w:r>
          <w:fldChar w:fldCharType="end"/>
        </w:r>
      </w:hyperlink>
    </w:p>
    <w:p>
      <w:pPr>
        <w:pStyle w:val="TOC1"/>
        <w:tabs>
          <w:tab w:val="right" w:leader="dot" w:pos="8306"/>
        </w:tabs>
      </w:pPr>
      <w:hyperlink w:anchor="_Toc32626" w:history="1">
        <w:r>
          <w:rPr>
            <w:rFonts w:ascii="仿宋" w:eastAsia="仿宋" w:hAnsi="仿宋" w:cs="仿宋" w:hint="eastAsia"/>
            <w:lang w:eastAsia="zh-CN"/>
          </w:rPr>
          <w:t>一、市场分析、调研</w:t>
        </w:r>
        <w:r>
          <w:tab/>
        </w:r>
        <w:r>
          <w:fldChar w:fldCharType="begin"/>
        </w:r>
        <w:r>
          <w:instrText xml:space="preserve"> PAGEREF _Toc32626 \h </w:instrText>
        </w:r>
        <w:r>
          <w:fldChar w:fldCharType="separate"/>
        </w:r>
        <w:r>
          <w:t>3</w:t>
        </w:r>
        <w:r>
          <w:fldChar w:fldCharType="end"/>
        </w:r>
      </w:hyperlink>
    </w:p>
    <w:p>
      <w:pPr>
        <w:pStyle w:val="TOC2"/>
        <w:tabs>
          <w:tab w:val="right" w:leader="dot" w:pos="8306"/>
        </w:tabs>
      </w:pPr>
      <w:hyperlink w:anchor="_Toc25619" w:history="1">
        <w:r>
          <w:rPr>
            <w:rFonts w:ascii="仿宋" w:eastAsia="仿宋" w:hAnsi="仿宋" w:cs="仿宋" w:hint="eastAsia"/>
            <w:lang w:eastAsia="zh-CN"/>
          </w:rPr>
          <w:t>(一)、非油炸食品行业分析</w:t>
        </w:r>
        <w:r>
          <w:tab/>
        </w:r>
        <w:r>
          <w:fldChar w:fldCharType="begin"/>
        </w:r>
        <w:r>
          <w:instrText xml:space="preserve"> PAGEREF _Toc25619 \h </w:instrText>
        </w:r>
        <w:r>
          <w:fldChar w:fldCharType="separate"/>
        </w:r>
        <w:r>
          <w:t>3</w:t>
        </w:r>
        <w:r>
          <w:fldChar w:fldCharType="end"/>
        </w:r>
      </w:hyperlink>
    </w:p>
    <w:p>
      <w:pPr>
        <w:pStyle w:val="TOC2"/>
        <w:tabs>
          <w:tab w:val="right" w:leader="dot" w:pos="8306"/>
        </w:tabs>
      </w:pPr>
      <w:hyperlink w:anchor="_Toc24789" w:history="1">
        <w:r>
          <w:rPr>
            <w:rFonts w:ascii="仿宋" w:eastAsia="仿宋" w:hAnsi="仿宋" w:cs="仿宋" w:hint="eastAsia"/>
            <w:lang w:eastAsia="zh-CN"/>
          </w:rPr>
          <w:t>(二)、非油炸食品市场分析预测</w:t>
        </w:r>
        <w:r>
          <w:tab/>
        </w:r>
        <w:r>
          <w:fldChar w:fldCharType="begin"/>
        </w:r>
        <w:r>
          <w:instrText xml:space="preserve"> PAGEREF _Toc24789 \h </w:instrText>
        </w:r>
        <w:r>
          <w:fldChar w:fldCharType="separate"/>
        </w:r>
        <w:r>
          <w:t>4</w:t>
        </w:r>
        <w:r>
          <w:fldChar w:fldCharType="end"/>
        </w:r>
      </w:hyperlink>
    </w:p>
    <w:p>
      <w:pPr>
        <w:pStyle w:val="TOC1"/>
        <w:tabs>
          <w:tab w:val="right" w:leader="dot" w:pos="8306"/>
        </w:tabs>
      </w:pPr>
      <w:hyperlink w:anchor="_Toc32723" w:history="1">
        <w:r>
          <w:rPr>
            <w:rFonts w:ascii="仿宋" w:eastAsia="仿宋" w:hAnsi="仿宋" w:cs="仿宋" w:hint="eastAsia"/>
            <w:lang w:eastAsia="zh-CN"/>
          </w:rPr>
          <w:t>二、非油炸食品项目建设单位说明</w:t>
        </w:r>
        <w:r>
          <w:tab/>
        </w:r>
        <w:r>
          <w:fldChar w:fldCharType="begin"/>
        </w:r>
        <w:r>
          <w:instrText xml:space="preserve"> PAGEREF _Toc32723 \h </w:instrText>
        </w:r>
        <w:r>
          <w:fldChar w:fldCharType="separate"/>
        </w:r>
        <w:r>
          <w:t>5</w:t>
        </w:r>
        <w:r>
          <w:fldChar w:fldCharType="end"/>
        </w:r>
      </w:hyperlink>
    </w:p>
    <w:p>
      <w:pPr>
        <w:pStyle w:val="TOC2"/>
        <w:tabs>
          <w:tab w:val="right" w:leader="dot" w:pos="8306"/>
        </w:tabs>
      </w:pPr>
      <w:hyperlink w:anchor="_Toc25465" w:history="1">
        <w:r>
          <w:rPr>
            <w:rFonts w:ascii="仿宋" w:eastAsia="仿宋" w:hAnsi="仿宋" w:cs="仿宋" w:hint="eastAsia"/>
            <w:lang w:eastAsia="zh-CN"/>
          </w:rPr>
          <w:t>(一)、非油炸食品项目承办单位基本情况</w:t>
        </w:r>
        <w:r>
          <w:tab/>
        </w:r>
        <w:r>
          <w:fldChar w:fldCharType="begin"/>
        </w:r>
        <w:r>
          <w:instrText xml:space="preserve"> PAGEREF _Toc25465 \h </w:instrText>
        </w:r>
        <w:r>
          <w:fldChar w:fldCharType="separate"/>
        </w:r>
        <w:r>
          <w:t>5</w:t>
        </w:r>
        <w:r>
          <w:fldChar w:fldCharType="end"/>
        </w:r>
      </w:hyperlink>
    </w:p>
    <w:p>
      <w:pPr>
        <w:pStyle w:val="TOC2"/>
        <w:tabs>
          <w:tab w:val="right" w:leader="dot" w:pos="8306"/>
        </w:tabs>
      </w:pPr>
      <w:hyperlink w:anchor="_Toc13655" w:history="1">
        <w:r>
          <w:rPr>
            <w:rFonts w:ascii="仿宋" w:eastAsia="仿宋" w:hAnsi="仿宋" w:cs="仿宋" w:hint="eastAsia"/>
            <w:lang w:eastAsia="zh-CN"/>
          </w:rPr>
          <w:t>(二)、公司经济效益分析</w:t>
        </w:r>
        <w:r>
          <w:tab/>
        </w:r>
        <w:r>
          <w:fldChar w:fldCharType="begin"/>
        </w:r>
        <w:r>
          <w:instrText xml:space="preserve"> PAGEREF _Toc13655 \h </w:instrText>
        </w:r>
        <w:r>
          <w:fldChar w:fldCharType="separate"/>
        </w:r>
        <w:r>
          <w:t>5</w:t>
        </w:r>
        <w:r>
          <w:fldChar w:fldCharType="end"/>
        </w:r>
      </w:hyperlink>
    </w:p>
    <w:p>
      <w:pPr>
        <w:pStyle w:val="TOC1"/>
        <w:tabs>
          <w:tab w:val="right" w:leader="dot" w:pos="8306"/>
        </w:tabs>
      </w:pPr>
      <w:hyperlink w:anchor="_Toc19773" w:history="1">
        <w:r>
          <w:rPr>
            <w:rFonts w:ascii="仿宋" w:eastAsia="仿宋" w:hAnsi="仿宋" w:cs="仿宋" w:hint="eastAsia"/>
            <w:lang w:eastAsia="zh-CN"/>
          </w:rPr>
          <w:t>三、非油炸食品项目可持续发展</w:t>
        </w:r>
        <w:r>
          <w:tab/>
        </w:r>
        <w:r>
          <w:fldChar w:fldCharType="begin"/>
        </w:r>
        <w:r>
          <w:instrText xml:space="preserve"> PAGEREF _Toc19773 \h </w:instrText>
        </w:r>
        <w:r>
          <w:fldChar w:fldCharType="separate"/>
        </w:r>
        <w:r>
          <w:t>6</w:t>
        </w:r>
        <w:r>
          <w:fldChar w:fldCharType="end"/>
        </w:r>
      </w:hyperlink>
    </w:p>
    <w:p>
      <w:pPr>
        <w:pStyle w:val="TOC2"/>
        <w:tabs>
          <w:tab w:val="right" w:leader="dot" w:pos="8306"/>
        </w:tabs>
      </w:pPr>
      <w:hyperlink w:anchor="_Toc4414" w:history="1">
        <w:r>
          <w:rPr>
            <w:rFonts w:ascii="仿宋" w:eastAsia="仿宋" w:hAnsi="仿宋" w:cs="仿宋" w:hint="eastAsia"/>
            <w:lang w:eastAsia="zh-CN"/>
          </w:rPr>
          <w:t>(一)、可持续战略与实践</w:t>
        </w:r>
        <w:r>
          <w:tab/>
        </w:r>
        <w:r>
          <w:fldChar w:fldCharType="begin"/>
        </w:r>
        <w:r>
          <w:instrText xml:space="preserve"> PAGEREF _Toc4414 \h </w:instrText>
        </w:r>
        <w:r>
          <w:fldChar w:fldCharType="separate"/>
        </w:r>
        <w:r>
          <w:t>6</w:t>
        </w:r>
        <w:r>
          <w:fldChar w:fldCharType="end"/>
        </w:r>
      </w:hyperlink>
    </w:p>
    <w:p>
      <w:pPr>
        <w:pStyle w:val="TOC2"/>
        <w:tabs>
          <w:tab w:val="right" w:leader="dot" w:pos="8306"/>
        </w:tabs>
      </w:pPr>
      <w:hyperlink w:anchor="_Toc17812" w:history="1">
        <w:r>
          <w:rPr>
            <w:rFonts w:ascii="仿宋" w:eastAsia="仿宋" w:hAnsi="仿宋" w:cs="仿宋" w:hint="eastAsia"/>
            <w:lang w:eastAsia="zh-CN"/>
          </w:rPr>
          <w:t>(二)、环保与社会责任</w:t>
        </w:r>
        <w:r>
          <w:tab/>
        </w:r>
        <w:r>
          <w:fldChar w:fldCharType="begin"/>
        </w:r>
        <w:r>
          <w:instrText xml:space="preserve"> PAGEREF _Toc17812 \h </w:instrText>
        </w:r>
        <w:r>
          <w:fldChar w:fldCharType="separate"/>
        </w:r>
        <w:r>
          <w:t>7</w:t>
        </w:r>
        <w:r>
          <w:fldChar w:fldCharType="end"/>
        </w:r>
      </w:hyperlink>
    </w:p>
    <w:p>
      <w:pPr>
        <w:pStyle w:val="TOC1"/>
        <w:tabs>
          <w:tab w:val="right" w:leader="dot" w:pos="8306"/>
        </w:tabs>
      </w:pPr>
      <w:hyperlink w:anchor="_Toc32052" w:history="1">
        <w:r>
          <w:rPr>
            <w:rFonts w:ascii="仿宋" w:eastAsia="仿宋" w:hAnsi="仿宋" w:cs="仿宋" w:hint="eastAsia"/>
            <w:lang w:eastAsia="zh-CN"/>
          </w:rPr>
          <w:t>四、非油炸食品项目绩效评估</w:t>
        </w:r>
        <w:r>
          <w:tab/>
        </w:r>
        <w:r>
          <w:fldChar w:fldCharType="begin"/>
        </w:r>
        <w:r>
          <w:instrText xml:space="preserve"> PAGEREF _Toc32052 \h </w:instrText>
        </w:r>
        <w:r>
          <w:fldChar w:fldCharType="separate"/>
        </w:r>
        <w:r>
          <w:t>8</w:t>
        </w:r>
        <w:r>
          <w:fldChar w:fldCharType="end"/>
        </w:r>
      </w:hyperlink>
    </w:p>
    <w:p>
      <w:pPr>
        <w:pStyle w:val="TOC2"/>
        <w:tabs>
          <w:tab w:val="right" w:leader="dot" w:pos="8306"/>
        </w:tabs>
      </w:pPr>
      <w:hyperlink w:anchor="_Toc5980" w:history="1">
        <w:r>
          <w:rPr>
            <w:rFonts w:ascii="仿宋" w:eastAsia="仿宋" w:hAnsi="仿宋" w:cs="仿宋" w:hint="eastAsia"/>
            <w:lang w:eastAsia="zh-CN"/>
          </w:rPr>
          <w:t>(一)、绩效评估指标</w:t>
        </w:r>
        <w:r>
          <w:tab/>
        </w:r>
        <w:r>
          <w:fldChar w:fldCharType="begin"/>
        </w:r>
        <w:r>
          <w:instrText xml:space="preserve"> PAGEREF _Toc5980 \h </w:instrText>
        </w:r>
        <w:r>
          <w:fldChar w:fldCharType="separate"/>
        </w:r>
        <w:r>
          <w:t>8</w:t>
        </w:r>
        <w:r>
          <w:fldChar w:fldCharType="end"/>
        </w:r>
      </w:hyperlink>
    </w:p>
    <w:p>
      <w:pPr>
        <w:pStyle w:val="TOC2"/>
        <w:tabs>
          <w:tab w:val="right" w:leader="dot" w:pos="8306"/>
        </w:tabs>
      </w:pPr>
      <w:hyperlink w:anchor="_Toc2302" w:history="1">
        <w:r>
          <w:rPr>
            <w:rFonts w:ascii="仿宋" w:eastAsia="仿宋" w:hAnsi="仿宋" w:cs="仿宋" w:hint="eastAsia"/>
            <w:lang w:eastAsia="zh-CN"/>
          </w:rPr>
          <w:t>(二)、绩效评估方法</w:t>
        </w:r>
        <w:r>
          <w:tab/>
        </w:r>
        <w:r>
          <w:fldChar w:fldCharType="begin"/>
        </w:r>
        <w:r>
          <w:instrText xml:space="preserve"> PAGEREF _Toc2302 \h </w:instrText>
        </w:r>
        <w:r>
          <w:fldChar w:fldCharType="separate"/>
        </w:r>
        <w:r>
          <w:t>9</w:t>
        </w:r>
        <w:r>
          <w:fldChar w:fldCharType="end"/>
        </w:r>
      </w:hyperlink>
    </w:p>
    <w:p>
      <w:pPr>
        <w:pStyle w:val="TOC2"/>
        <w:tabs>
          <w:tab w:val="right" w:leader="dot" w:pos="8306"/>
        </w:tabs>
      </w:pPr>
      <w:hyperlink w:anchor="_Toc10807" w:history="1">
        <w:r>
          <w:rPr>
            <w:rFonts w:ascii="仿宋" w:eastAsia="仿宋" w:hAnsi="仿宋" w:cs="仿宋" w:hint="eastAsia"/>
            <w:lang w:eastAsia="zh-CN"/>
          </w:rPr>
          <w:t>(三)、绩效评估周期</w:t>
        </w:r>
        <w:r>
          <w:tab/>
        </w:r>
        <w:r>
          <w:fldChar w:fldCharType="begin"/>
        </w:r>
        <w:r>
          <w:instrText xml:space="preserve"> PAGEREF _Toc10807 \h </w:instrText>
        </w:r>
        <w:r>
          <w:fldChar w:fldCharType="separate"/>
        </w:r>
        <w:r>
          <w:t>10</w:t>
        </w:r>
        <w:r>
          <w:fldChar w:fldCharType="end"/>
        </w:r>
      </w:hyperlink>
    </w:p>
    <w:p>
      <w:pPr>
        <w:pStyle w:val="TOC1"/>
        <w:tabs>
          <w:tab w:val="right" w:leader="dot" w:pos="8306"/>
        </w:tabs>
      </w:pPr>
      <w:hyperlink w:anchor="_Toc223" w:history="1">
        <w:r>
          <w:rPr>
            <w:rFonts w:ascii="仿宋" w:eastAsia="仿宋" w:hAnsi="仿宋" w:cs="仿宋" w:hint="eastAsia"/>
            <w:lang w:eastAsia="zh-CN"/>
          </w:rPr>
          <w:t>五、非油炸食品项目文档管理</w:t>
        </w:r>
        <w:r>
          <w:tab/>
        </w:r>
        <w:r>
          <w:fldChar w:fldCharType="begin"/>
        </w:r>
        <w:r>
          <w:instrText xml:space="preserve"> PAGEREF _Toc223 \h </w:instrText>
        </w:r>
        <w:r>
          <w:fldChar w:fldCharType="separate"/>
        </w:r>
        <w:r>
          <w:t>11</w:t>
        </w:r>
        <w:r>
          <w:fldChar w:fldCharType="end"/>
        </w:r>
      </w:hyperlink>
    </w:p>
    <w:p>
      <w:pPr>
        <w:pStyle w:val="TOC2"/>
        <w:tabs>
          <w:tab w:val="right" w:leader="dot" w:pos="8306"/>
        </w:tabs>
      </w:pPr>
      <w:hyperlink w:anchor="_Toc14306" w:history="1">
        <w:r>
          <w:rPr>
            <w:rFonts w:ascii="仿宋" w:eastAsia="仿宋" w:hAnsi="仿宋" w:cs="仿宋" w:hint="eastAsia"/>
            <w:lang w:eastAsia="zh-CN"/>
          </w:rPr>
          <w:t>(一)、文档编制与审查</w:t>
        </w:r>
        <w:r>
          <w:tab/>
        </w:r>
        <w:r>
          <w:fldChar w:fldCharType="begin"/>
        </w:r>
        <w:r>
          <w:instrText xml:space="preserve"> PAGEREF _Toc14306 \h </w:instrText>
        </w:r>
        <w:r>
          <w:fldChar w:fldCharType="separate"/>
        </w:r>
        <w:r>
          <w:t>11</w:t>
        </w:r>
        <w:r>
          <w:fldChar w:fldCharType="end"/>
        </w:r>
      </w:hyperlink>
    </w:p>
    <w:p>
      <w:pPr>
        <w:pStyle w:val="TOC2"/>
        <w:tabs>
          <w:tab w:val="right" w:leader="dot" w:pos="8306"/>
        </w:tabs>
      </w:pPr>
      <w:hyperlink w:anchor="_Toc25625" w:history="1">
        <w:r>
          <w:rPr>
            <w:rFonts w:ascii="仿宋" w:eastAsia="仿宋" w:hAnsi="仿宋" w:cs="仿宋" w:hint="eastAsia"/>
            <w:lang w:eastAsia="zh-CN"/>
          </w:rPr>
          <w:t>(二)、文档发布与分发</w:t>
        </w:r>
        <w:r>
          <w:tab/>
        </w:r>
        <w:r>
          <w:fldChar w:fldCharType="begin"/>
        </w:r>
        <w:r>
          <w:instrText xml:space="preserve"> PAGEREF _Toc25625 \h </w:instrText>
        </w:r>
        <w:r>
          <w:fldChar w:fldCharType="separate"/>
        </w:r>
        <w:r>
          <w:t>12</w:t>
        </w:r>
        <w:r>
          <w:fldChar w:fldCharType="end"/>
        </w:r>
      </w:hyperlink>
    </w:p>
    <w:p>
      <w:pPr>
        <w:pStyle w:val="TOC2"/>
        <w:tabs>
          <w:tab w:val="right" w:leader="dot" w:pos="8306"/>
        </w:tabs>
      </w:pPr>
      <w:hyperlink w:anchor="_Toc9508" w:history="1">
        <w:r>
          <w:rPr>
            <w:rFonts w:ascii="仿宋" w:eastAsia="仿宋" w:hAnsi="仿宋" w:cs="仿宋" w:hint="eastAsia"/>
            <w:lang w:eastAsia="zh-CN"/>
          </w:rPr>
          <w:t>(三)、文档存档与归档</w:t>
        </w:r>
        <w:r>
          <w:tab/>
        </w:r>
        <w:r>
          <w:fldChar w:fldCharType="begin"/>
        </w:r>
        <w:r>
          <w:instrText xml:space="preserve"> PAGEREF _Toc9508 \h </w:instrText>
        </w:r>
        <w:r>
          <w:fldChar w:fldCharType="separate"/>
        </w:r>
        <w:r>
          <w:t>13</w:t>
        </w:r>
        <w:r>
          <w:fldChar w:fldCharType="end"/>
        </w:r>
      </w:hyperlink>
    </w:p>
    <w:p>
      <w:pPr>
        <w:pStyle w:val="TOC1"/>
        <w:tabs>
          <w:tab w:val="right" w:leader="dot" w:pos="8306"/>
        </w:tabs>
      </w:pPr>
      <w:hyperlink w:anchor="_Toc9376" w:history="1">
        <w:r>
          <w:rPr>
            <w:rFonts w:ascii="仿宋" w:eastAsia="仿宋" w:hAnsi="仿宋" w:cs="仿宋" w:hint="eastAsia"/>
            <w:lang w:eastAsia="zh-CN"/>
          </w:rPr>
          <w:t>六、非油炸食品项目概论</w:t>
        </w:r>
        <w:r>
          <w:tab/>
        </w:r>
        <w:r>
          <w:fldChar w:fldCharType="begin"/>
        </w:r>
        <w:r>
          <w:instrText xml:space="preserve"> PAGEREF _Toc9376 \h </w:instrText>
        </w:r>
        <w:r>
          <w:fldChar w:fldCharType="separate"/>
        </w:r>
        <w:r>
          <w:t>14</w:t>
        </w:r>
        <w:r>
          <w:fldChar w:fldCharType="end"/>
        </w:r>
      </w:hyperlink>
    </w:p>
    <w:p>
      <w:pPr>
        <w:pStyle w:val="TOC2"/>
        <w:tabs>
          <w:tab w:val="right" w:leader="dot" w:pos="8306"/>
        </w:tabs>
      </w:pPr>
      <w:hyperlink w:anchor="_Toc25413" w:history="1">
        <w:r>
          <w:rPr>
            <w:rFonts w:ascii="仿宋" w:eastAsia="仿宋" w:hAnsi="仿宋" w:cs="仿宋" w:hint="eastAsia"/>
            <w:lang w:eastAsia="zh-CN"/>
          </w:rPr>
          <w:t>(一)、非油炸食品项目概况</w:t>
        </w:r>
        <w:r>
          <w:tab/>
        </w:r>
        <w:r>
          <w:fldChar w:fldCharType="begin"/>
        </w:r>
        <w:r>
          <w:instrText xml:space="preserve"> PAGEREF _Toc25413 \h </w:instrText>
        </w:r>
        <w:r>
          <w:fldChar w:fldCharType="separate"/>
        </w:r>
        <w:r>
          <w:t>14</w:t>
        </w:r>
        <w:r>
          <w:fldChar w:fldCharType="end"/>
        </w:r>
      </w:hyperlink>
    </w:p>
    <w:p>
      <w:pPr>
        <w:pStyle w:val="TOC2"/>
        <w:tabs>
          <w:tab w:val="right" w:leader="dot" w:pos="8306"/>
        </w:tabs>
      </w:pPr>
      <w:hyperlink w:anchor="_Toc8503" w:history="1">
        <w:r>
          <w:rPr>
            <w:rFonts w:ascii="仿宋" w:eastAsia="仿宋" w:hAnsi="仿宋" w:cs="仿宋" w:hint="eastAsia"/>
            <w:lang w:eastAsia="zh-CN"/>
          </w:rPr>
          <w:t>(二)、非油炸食品项目目标</w:t>
        </w:r>
        <w:r>
          <w:tab/>
        </w:r>
        <w:r>
          <w:fldChar w:fldCharType="begin"/>
        </w:r>
        <w:r>
          <w:instrText xml:space="preserve"> PAGEREF _Toc8503 \h </w:instrText>
        </w:r>
        <w:r>
          <w:fldChar w:fldCharType="separate"/>
        </w:r>
        <w:r>
          <w:t>17</w:t>
        </w:r>
        <w:r>
          <w:fldChar w:fldCharType="end"/>
        </w:r>
      </w:hyperlink>
    </w:p>
    <w:p>
      <w:pPr>
        <w:pStyle w:val="TOC2"/>
        <w:tabs>
          <w:tab w:val="right" w:leader="dot" w:pos="8306"/>
        </w:tabs>
      </w:pPr>
      <w:hyperlink w:anchor="_Toc9777" w:history="1">
        <w:r>
          <w:rPr>
            <w:rFonts w:ascii="仿宋" w:eastAsia="仿宋" w:hAnsi="仿宋" w:cs="仿宋" w:hint="eastAsia"/>
            <w:lang w:eastAsia="zh-CN"/>
          </w:rPr>
          <w:t>(三)、非油炸食品项目提出的理由</w:t>
        </w:r>
        <w:r>
          <w:tab/>
        </w:r>
        <w:r>
          <w:fldChar w:fldCharType="begin"/>
        </w:r>
        <w:r>
          <w:instrText xml:space="preserve"> PAGEREF _Toc9777 \h </w:instrText>
        </w:r>
        <w:r>
          <w:fldChar w:fldCharType="separate"/>
        </w:r>
        <w:r>
          <w:t>18</w:t>
        </w:r>
        <w:r>
          <w:fldChar w:fldCharType="end"/>
        </w:r>
      </w:hyperlink>
    </w:p>
    <w:p>
      <w:pPr>
        <w:pStyle w:val="TOC2"/>
        <w:tabs>
          <w:tab w:val="right" w:leader="dot" w:pos="8306"/>
        </w:tabs>
      </w:pPr>
      <w:hyperlink w:anchor="_Toc5510" w:history="1">
        <w:r>
          <w:rPr>
            <w:rFonts w:ascii="仿宋" w:eastAsia="仿宋" w:hAnsi="仿宋" w:cs="仿宋" w:hint="eastAsia"/>
            <w:lang w:eastAsia="zh-CN"/>
          </w:rPr>
          <w:t>(四)、非油炸食品项目意义</w:t>
        </w:r>
        <w:r>
          <w:tab/>
        </w:r>
        <w:r>
          <w:fldChar w:fldCharType="begin"/>
        </w:r>
        <w:r>
          <w:instrText xml:space="preserve"> PAGEREF _Toc5510 \h </w:instrText>
        </w:r>
        <w:r>
          <w:fldChar w:fldCharType="separate"/>
        </w:r>
        <w:r>
          <w:t>19</w:t>
        </w:r>
        <w:r>
          <w:fldChar w:fldCharType="end"/>
        </w:r>
      </w:hyperlink>
    </w:p>
    <w:p>
      <w:pPr>
        <w:pStyle w:val="TOC2"/>
        <w:tabs>
          <w:tab w:val="right" w:leader="dot" w:pos="8306"/>
        </w:tabs>
      </w:pPr>
      <w:hyperlink w:anchor="_Toc23724" w:history="1">
        <w:r>
          <w:rPr>
            <w:rFonts w:ascii="仿宋" w:eastAsia="仿宋" w:hAnsi="仿宋" w:cs="仿宋" w:hint="eastAsia"/>
            <w:lang w:eastAsia="zh-CN"/>
          </w:rPr>
          <w:t>(五)、非油炸食品项目背景</w:t>
        </w:r>
        <w:r>
          <w:tab/>
        </w:r>
        <w:r>
          <w:fldChar w:fldCharType="begin"/>
        </w:r>
        <w:r>
          <w:instrText xml:space="preserve"> PAGEREF _Toc23724 \h </w:instrText>
        </w:r>
        <w:r>
          <w:fldChar w:fldCharType="separate"/>
        </w:r>
        <w:r>
          <w:t>20</w:t>
        </w:r>
        <w:r>
          <w:fldChar w:fldCharType="end"/>
        </w:r>
      </w:hyperlink>
    </w:p>
    <w:p>
      <w:pPr>
        <w:pStyle w:val="TOC1"/>
        <w:tabs>
          <w:tab w:val="right" w:leader="dot" w:pos="8306"/>
        </w:tabs>
      </w:pPr>
      <w:hyperlink w:anchor="_Toc22520" w:history="1">
        <w:r>
          <w:rPr>
            <w:rFonts w:ascii="仿宋" w:eastAsia="仿宋" w:hAnsi="仿宋" w:cs="仿宋" w:hint="eastAsia"/>
            <w:lang w:eastAsia="zh-CN"/>
          </w:rPr>
          <w:t>七、非油炸食品项目风险管理</w:t>
        </w:r>
        <w:r>
          <w:tab/>
        </w:r>
        <w:r>
          <w:fldChar w:fldCharType="begin"/>
        </w:r>
        <w:r>
          <w:instrText xml:space="preserve"> PAGEREF _Toc22520 \h </w:instrText>
        </w:r>
        <w:r>
          <w:fldChar w:fldCharType="separate"/>
        </w:r>
        <w:r>
          <w:t>21</w:t>
        </w:r>
        <w:r>
          <w:fldChar w:fldCharType="end"/>
        </w:r>
      </w:hyperlink>
    </w:p>
    <w:p>
      <w:pPr>
        <w:pStyle w:val="TOC2"/>
        <w:tabs>
          <w:tab w:val="right" w:leader="dot" w:pos="8306"/>
        </w:tabs>
      </w:pPr>
      <w:hyperlink w:anchor="_Toc843" w:history="1">
        <w:r>
          <w:rPr>
            <w:rFonts w:ascii="仿宋" w:eastAsia="仿宋" w:hAnsi="仿宋" w:cs="仿宋" w:hint="eastAsia"/>
            <w:lang w:eastAsia="zh-CN"/>
          </w:rPr>
          <w:t>(一)、风险识别与评估</w:t>
        </w:r>
        <w:r>
          <w:tab/>
        </w:r>
        <w:r>
          <w:fldChar w:fldCharType="begin"/>
        </w:r>
        <w:r>
          <w:instrText xml:space="preserve"> PAGEREF _Toc843 \h </w:instrText>
        </w:r>
        <w:r>
          <w:fldChar w:fldCharType="separate"/>
        </w:r>
        <w:r>
          <w:t>21</w:t>
        </w:r>
        <w:r>
          <w:fldChar w:fldCharType="end"/>
        </w:r>
      </w:hyperlink>
    </w:p>
    <w:p>
      <w:pPr>
        <w:pStyle w:val="TOC2"/>
        <w:tabs>
          <w:tab w:val="right" w:leader="dot" w:pos="8306"/>
        </w:tabs>
      </w:pPr>
      <w:hyperlink w:anchor="_Toc15194" w:history="1">
        <w:r>
          <w:rPr>
            <w:rFonts w:ascii="仿宋" w:eastAsia="仿宋" w:hAnsi="仿宋" w:cs="仿宋" w:hint="eastAsia"/>
            <w:lang w:eastAsia="zh-CN"/>
          </w:rPr>
          <w:t>(二)、风险应对策略</w:t>
        </w:r>
        <w:r>
          <w:tab/>
        </w:r>
        <w:r>
          <w:fldChar w:fldCharType="begin"/>
        </w:r>
        <w:r>
          <w:instrText xml:space="preserve"> PAGEREF _Toc15194 \h </w:instrText>
        </w:r>
        <w:r>
          <w:fldChar w:fldCharType="separate"/>
        </w:r>
        <w:r>
          <w:t>22</w:t>
        </w:r>
        <w:r>
          <w:fldChar w:fldCharType="end"/>
        </w:r>
      </w:hyperlink>
    </w:p>
    <w:p>
      <w:pPr>
        <w:pStyle w:val="TOC2"/>
        <w:tabs>
          <w:tab w:val="right" w:leader="dot" w:pos="8306"/>
        </w:tabs>
      </w:pPr>
      <w:hyperlink w:anchor="_Toc28684" w:history="1">
        <w:r>
          <w:rPr>
            <w:rFonts w:ascii="仿宋" w:eastAsia="仿宋" w:hAnsi="仿宋" w:cs="仿宋" w:hint="eastAsia"/>
            <w:lang w:eastAsia="zh-CN"/>
          </w:rPr>
          <w:t>(三)、风险监控与控制</w:t>
        </w:r>
        <w:r>
          <w:tab/>
        </w:r>
        <w:r>
          <w:fldChar w:fldCharType="begin"/>
        </w:r>
        <w:r>
          <w:instrText xml:space="preserve"> PAGEREF _Toc28684 \h </w:instrText>
        </w:r>
        <w:r>
          <w:fldChar w:fldCharType="separate"/>
        </w:r>
        <w:r>
          <w:t>24</w:t>
        </w:r>
        <w:r>
          <w:fldChar w:fldCharType="end"/>
        </w:r>
      </w:hyperlink>
    </w:p>
    <w:p>
      <w:pPr>
        <w:pStyle w:val="TOC1"/>
        <w:tabs>
          <w:tab w:val="right" w:leader="dot" w:pos="8306"/>
        </w:tabs>
      </w:pPr>
      <w:hyperlink w:anchor="_Toc23179" w:history="1">
        <w:r>
          <w:rPr>
            <w:rFonts w:ascii="仿宋" w:eastAsia="仿宋" w:hAnsi="仿宋" w:cs="仿宋" w:hint="eastAsia"/>
            <w:lang w:eastAsia="zh-CN"/>
          </w:rPr>
          <w:t>八、非油炸食品项目人力资源管理</w:t>
        </w:r>
        <w:r>
          <w:tab/>
        </w:r>
        <w:r>
          <w:fldChar w:fldCharType="begin"/>
        </w:r>
        <w:r>
          <w:instrText xml:space="preserve"> PAGEREF _Toc23179 \h </w:instrText>
        </w:r>
        <w:r>
          <w:fldChar w:fldCharType="separate"/>
        </w:r>
        <w:r>
          <w:t>25</w:t>
        </w:r>
        <w:r>
          <w:fldChar w:fldCharType="end"/>
        </w:r>
      </w:hyperlink>
    </w:p>
    <w:p>
      <w:pPr>
        <w:pStyle w:val="TOC2"/>
        <w:tabs>
          <w:tab w:val="right" w:leader="dot" w:pos="8306"/>
        </w:tabs>
      </w:pPr>
      <w:hyperlink w:anchor="_Toc25531" w:history="1">
        <w:r>
          <w:rPr>
            <w:rFonts w:ascii="仿宋" w:eastAsia="仿宋" w:hAnsi="仿宋" w:cs="仿宋" w:hint="eastAsia"/>
            <w:lang w:eastAsia="zh-CN"/>
          </w:rPr>
          <w:t>(一)、建立健全的预算管理制度</w:t>
        </w:r>
        <w:r>
          <w:tab/>
        </w:r>
        <w:r>
          <w:fldChar w:fldCharType="begin"/>
        </w:r>
        <w:r>
          <w:instrText xml:space="preserve"> PAGEREF _Toc25531 \h </w:instrText>
        </w:r>
        <w:r>
          <w:fldChar w:fldCharType="separate"/>
        </w:r>
        <w:r>
          <w:t>25</w:t>
        </w:r>
        <w:r>
          <w:fldChar w:fldCharType="end"/>
        </w:r>
      </w:hyperlink>
    </w:p>
    <w:p>
      <w:pPr>
        <w:pStyle w:val="TOC2"/>
        <w:tabs>
          <w:tab w:val="right" w:leader="dot" w:pos="8306"/>
        </w:tabs>
      </w:pPr>
      <w:hyperlink w:anchor="_Toc1745" w:history="1">
        <w:r>
          <w:rPr>
            <w:rFonts w:ascii="仿宋" w:eastAsia="仿宋" w:hAnsi="仿宋" w:cs="仿宋" w:hint="eastAsia"/>
            <w:lang w:eastAsia="zh-CN"/>
          </w:rPr>
          <w:t>(二)、加强资金流动监控</w:t>
        </w:r>
        <w:r>
          <w:tab/>
        </w:r>
        <w:r>
          <w:fldChar w:fldCharType="begin"/>
        </w:r>
        <w:r>
          <w:instrText xml:space="preserve"> PAGEREF _Toc1745 \h </w:instrText>
        </w:r>
        <w:r>
          <w:fldChar w:fldCharType="separate"/>
        </w:r>
        <w:r>
          <w:t>27</w:t>
        </w:r>
        <w:r>
          <w:fldChar w:fldCharType="end"/>
        </w:r>
      </w:hyperlink>
    </w:p>
    <w:p>
      <w:pPr>
        <w:pStyle w:val="TOC2"/>
        <w:tabs>
          <w:tab w:val="right" w:leader="dot" w:pos="8306"/>
        </w:tabs>
      </w:pPr>
      <w:hyperlink w:anchor="_Toc22416" w:history="1">
        <w:r>
          <w:rPr>
            <w:rFonts w:ascii="仿宋" w:eastAsia="仿宋" w:hAnsi="仿宋" w:cs="仿宋" w:hint="eastAsia"/>
            <w:lang w:eastAsia="zh-CN"/>
          </w:rPr>
          <w:t>(三)、制定完善的风险控制机制</w:t>
        </w:r>
        <w:r>
          <w:tab/>
        </w:r>
        <w:r>
          <w:fldChar w:fldCharType="begin"/>
        </w:r>
        <w:r>
          <w:instrText xml:space="preserve"> PAGEREF _Toc22416 \h </w:instrText>
        </w:r>
        <w:r>
          <w:fldChar w:fldCharType="separate"/>
        </w:r>
        <w:r>
          <w:t>28</w:t>
        </w:r>
        <w:r>
          <w:fldChar w:fldCharType="end"/>
        </w:r>
      </w:hyperlink>
    </w:p>
    <w:p>
      <w:pPr>
        <w:pStyle w:val="TOC2"/>
        <w:tabs>
          <w:tab w:val="right" w:leader="dot" w:pos="8306"/>
        </w:tabs>
      </w:pPr>
      <w:hyperlink w:anchor="_Toc5501" w:history="1">
        <w:r>
          <w:rPr>
            <w:rFonts w:ascii="仿宋" w:eastAsia="仿宋" w:hAnsi="仿宋" w:cs="仿宋" w:hint="eastAsia"/>
            <w:lang w:eastAsia="zh-CN"/>
          </w:rPr>
          <w:t>(四)、优化成本管理</w:t>
        </w:r>
        <w:r>
          <w:tab/>
        </w:r>
        <w:r>
          <w:fldChar w:fldCharType="begin"/>
        </w:r>
        <w:r>
          <w:instrText xml:space="preserve"> PAGEREF _Toc5501 \h </w:instrText>
        </w:r>
        <w:r>
          <w:fldChar w:fldCharType="separate"/>
        </w:r>
        <w:r>
          <w:t>29</w:t>
        </w:r>
        <w:r>
          <w:fldChar w:fldCharType="end"/>
        </w:r>
      </w:hyperlink>
    </w:p>
    <w:p>
      <w:pPr>
        <w:pStyle w:val="TOC1"/>
        <w:tabs>
          <w:tab w:val="right" w:leader="dot" w:pos="8306"/>
        </w:tabs>
      </w:pPr>
      <w:hyperlink w:anchor="_Toc28840" w:history="1">
        <w:r>
          <w:rPr>
            <w:rFonts w:ascii="仿宋" w:eastAsia="仿宋" w:hAnsi="仿宋" w:cs="仿宋" w:hint="eastAsia"/>
            <w:lang w:eastAsia="zh-CN"/>
          </w:rPr>
          <w:t>九、非油炸食品项目投资规划</w:t>
        </w:r>
        <w:r>
          <w:tab/>
        </w:r>
        <w:r>
          <w:fldChar w:fldCharType="begin"/>
        </w:r>
        <w:r>
          <w:instrText xml:space="preserve"> PAGEREF _Toc28840 \h </w:instrText>
        </w:r>
        <w:r>
          <w:fldChar w:fldCharType="separate"/>
        </w:r>
        <w:r>
          <w:t>30</w:t>
        </w:r>
        <w:r>
          <w:fldChar w:fldCharType="end"/>
        </w:r>
      </w:hyperlink>
    </w:p>
    <w:p>
      <w:pPr>
        <w:pStyle w:val="TOC2"/>
        <w:tabs>
          <w:tab w:val="right" w:leader="dot" w:pos="8306"/>
        </w:tabs>
      </w:pPr>
      <w:hyperlink w:anchor="_Toc28677" w:history="1">
        <w:r>
          <w:rPr>
            <w:rFonts w:ascii="仿宋" w:eastAsia="仿宋" w:hAnsi="仿宋" w:cs="仿宋" w:hint="eastAsia"/>
            <w:lang w:eastAsia="zh-CN"/>
          </w:rPr>
          <w:t>(一)、非油炸食品项目总投资估算</w:t>
        </w:r>
        <w:r>
          <w:tab/>
        </w:r>
        <w:r>
          <w:fldChar w:fldCharType="begin"/>
        </w:r>
        <w:r>
          <w:instrText xml:space="preserve"> PAGEREF _Toc28677 \h </w:instrText>
        </w:r>
        <w:r>
          <w:fldChar w:fldCharType="separate"/>
        </w:r>
        <w:r>
          <w:t>30</w:t>
        </w:r>
        <w:r>
          <w:fldChar w:fldCharType="end"/>
        </w:r>
      </w:hyperlink>
    </w:p>
    <w:p>
      <w:pPr>
        <w:pStyle w:val="TOC2"/>
        <w:tabs>
          <w:tab w:val="right" w:leader="dot" w:pos="8306"/>
        </w:tabs>
      </w:pPr>
      <w:hyperlink w:anchor="_Toc4159" w:history="1">
        <w:r>
          <w:rPr>
            <w:rFonts w:ascii="仿宋" w:eastAsia="仿宋" w:hAnsi="仿宋" w:cs="仿宋" w:hint="eastAsia"/>
            <w:lang w:eastAsia="zh-CN"/>
          </w:rPr>
          <w:t>(二)、资金筹措</w:t>
        </w:r>
        <w:r>
          <w:tab/>
        </w:r>
        <w:r>
          <w:fldChar w:fldCharType="begin"/>
        </w:r>
        <w:r>
          <w:instrText xml:space="preserve"> PAGEREF _Toc4159 \h </w:instrText>
        </w:r>
        <w:r>
          <w:fldChar w:fldCharType="separate"/>
        </w:r>
        <w:r>
          <w:t>32</w:t>
        </w:r>
        <w:r>
          <w:fldChar w:fldCharType="end"/>
        </w:r>
      </w:hyperlink>
    </w:p>
    <w:p>
      <w:pPr>
        <w:pStyle w:val="TOC1"/>
        <w:tabs>
          <w:tab w:val="right" w:leader="dot" w:pos="8306"/>
        </w:tabs>
      </w:pPr>
      <w:hyperlink w:anchor="_Toc8654" w:history="1">
        <w:r>
          <w:rPr>
            <w:rFonts w:ascii="仿宋" w:eastAsia="仿宋" w:hAnsi="仿宋" w:cs="仿宋" w:hint="eastAsia"/>
            <w:lang w:eastAsia="zh-CN"/>
          </w:rPr>
          <w:t>十、非油炸食品项目经营效益</w:t>
        </w:r>
        <w:r>
          <w:tab/>
        </w:r>
        <w:r>
          <w:fldChar w:fldCharType="begin"/>
        </w:r>
        <w:r>
          <w:instrText xml:space="preserve"> PAGEREF _Toc8654 \h </w:instrText>
        </w:r>
        <w:r>
          <w:fldChar w:fldCharType="separate"/>
        </w:r>
        <w:r>
          <w:t>32</w:t>
        </w:r>
        <w:r>
          <w:fldChar w:fldCharType="end"/>
        </w:r>
      </w:hyperlink>
    </w:p>
    <w:p>
      <w:pPr>
        <w:pStyle w:val="TOC2"/>
        <w:tabs>
          <w:tab w:val="right" w:leader="dot" w:pos="8306"/>
        </w:tabs>
      </w:pPr>
      <w:hyperlink w:anchor="_Toc28381" w:history="1">
        <w:r>
          <w:rPr>
            <w:rFonts w:ascii="仿宋" w:eastAsia="仿宋" w:hAnsi="仿宋" w:cs="仿宋" w:hint="eastAsia"/>
            <w:lang w:eastAsia="zh-CN"/>
          </w:rPr>
          <w:t>(一)、经济评价财务测算</w:t>
        </w:r>
        <w:r>
          <w:tab/>
        </w:r>
        <w:r>
          <w:fldChar w:fldCharType="begin"/>
        </w:r>
        <w:r>
          <w:instrText xml:space="preserve"> PAGEREF _Toc28381 \h </w:instrText>
        </w:r>
        <w:r>
          <w:fldChar w:fldCharType="separate"/>
        </w:r>
        <w:r>
          <w:t>32</w:t>
        </w:r>
        <w:r>
          <w:fldChar w:fldCharType="end"/>
        </w:r>
      </w:hyperlink>
    </w:p>
    <w:p>
      <w:pPr>
        <w:pStyle w:val="TOC2"/>
        <w:tabs>
          <w:tab w:val="right" w:leader="dot" w:pos="8306"/>
        </w:tabs>
      </w:pPr>
      <w:hyperlink w:anchor="_Toc14630" w:history="1">
        <w:r>
          <w:rPr>
            <w:rFonts w:ascii="仿宋" w:eastAsia="仿宋" w:hAnsi="仿宋" w:cs="仿宋" w:hint="eastAsia"/>
            <w:lang w:eastAsia="zh-CN"/>
          </w:rPr>
          <w:t>(二)、非油炸食品项目盈利能力分析</w:t>
        </w:r>
        <w:r>
          <w:tab/>
        </w:r>
        <w:r>
          <w:fldChar w:fldCharType="begin"/>
        </w:r>
        <w:r>
          <w:instrText xml:space="preserve"> PAGEREF _Toc14630 \h </w:instrText>
        </w:r>
        <w:r>
          <w:fldChar w:fldCharType="separate"/>
        </w:r>
        <w:r>
          <w:t>34</w:t>
        </w:r>
        <w:r>
          <w:fldChar w:fldCharType="end"/>
        </w:r>
      </w:hyperlink>
    </w:p>
    <w:p>
      <w:pPr>
        <w:pStyle w:val="TOC1"/>
        <w:tabs>
          <w:tab w:val="right" w:leader="dot" w:pos="8306"/>
        </w:tabs>
      </w:pPr>
      <w:hyperlink w:anchor="_Toc25049" w:history="1">
        <w:r>
          <w:rPr>
            <w:rFonts w:ascii="仿宋" w:eastAsia="仿宋" w:hAnsi="仿宋" w:cs="仿宋" w:hint="eastAsia"/>
            <w:lang w:eastAsia="zh-CN"/>
          </w:rPr>
          <w:t>十一、非油炸食品项目计划安排</w:t>
        </w:r>
        <w:r>
          <w:tab/>
        </w:r>
        <w:r>
          <w:fldChar w:fldCharType="begin"/>
        </w:r>
        <w:r>
          <w:instrText xml:space="preserve"> PAGEREF _Toc25049 \h </w:instrText>
        </w:r>
        <w:r>
          <w:fldChar w:fldCharType="separate"/>
        </w:r>
        <w:r>
          <w:t>34</w:t>
        </w:r>
        <w:r>
          <w:fldChar w:fldCharType="end"/>
        </w:r>
      </w:hyperlink>
    </w:p>
    <w:p>
      <w:pPr>
        <w:pStyle w:val="TOC2"/>
        <w:tabs>
          <w:tab w:val="right" w:leader="dot" w:pos="8306"/>
        </w:tabs>
      </w:pPr>
      <w:hyperlink w:anchor="_Toc15690" w:history="1">
        <w:r>
          <w:rPr>
            <w:rFonts w:ascii="仿宋" w:eastAsia="仿宋" w:hAnsi="仿宋" w:cs="仿宋" w:hint="eastAsia"/>
            <w:lang w:eastAsia="zh-CN"/>
          </w:rPr>
          <w:t>(一)、建设周期</w:t>
        </w:r>
        <w:r>
          <w:tab/>
        </w:r>
        <w:r>
          <w:fldChar w:fldCharType="begin"/>
        </w:r>
        <w:r>
          <w:instrText xml:space="preserve"> PAGEREF _Toc15690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7" w:history="1">
        <w:r>
          <w:rPr>
            <w:rFonts w:ascii="仿宋" w:eastAsia="仿宋" w:hAnsi="仿宋" w:cs="仿宋" w:hint="eastAsia"/>
            <w:lang w:eastAsia="zh-CN"/>
          </w:rPr>
          <w:t>(二)、建设进度</w:t>
        </w:r>
        <w:r>
          <w:tab/>
        </w:r>
        <w:r>
          <w:fldChar w:fldCharType="begin"/>
        </w:r>
        <w:r>
          <w:instrText xml:space="preserve"> PAGEREF _Toc9677 \h </w:instrText>
        </w:r>
        <w:r>
          <w:fldChar w:fldCharType="separate"/>
        </w:r>
        <w:r>
          <w:t>35</w:t>
        </w:r>
        <w:r>
          <w:fldChar w:fldCharType="end"/>
        </w:r>
      </w:hyperlink>
    </w:p>
    <w:p>
      <w:pPr>
        <w:pStyle w:val="TOC2"/>
        <w:tabs>
          <w:tab w:val="right" w:leader="dot" w:pos="8306"/>
        </w:tabs>
      </w:pPr>
      <w:hyperlink w:anchor="_Toc18797" w:history="1">
        <w:r>
          <w:rPr>
            <w:rFonts w:ascii="仿宋" w:eastAsia="仿宋" w:hAnsi="仿宋" w:cs="仿宋" w:hint="eastAsia"/>
            <w:lang w:eastAsia="zh-CN"/>
          </w:rPr>
          <w:t>(三)、进度安排注意事项</w:t>
        </w:r>
        <w:r>
          <w:tab/>
        </w:r>
        <w:r>
          <w:fldChar w:fldCharType="begin"/>
        </w:r>
        <w:r>
          <w:instrText xml:space="preserve"> PAGEREF _Toc18797 \h </w:instrText>
        </w:r>
        <w:r>
          <w:fldChar w:fldCharType="separate"/>
        </w:r>
        <w:r>
          <w:t>36</w:t>
        </w:r>
        <w:r>
          <w:fldChar w:fldCharType="end"/>
        </w:r>
      </w:hyperlink>
    </w:p>
    <w:p>
      <w:pPr>
        <w:pStyle w:val="TOC2"/>
        <w:tabs>
          <w:tab w:val="right" w:leader="dot" w:pos="8306"/>
        </w:tabs>
      </w:pPr>
      <w:hyperlink w:anchor="_Toc7681" w:history="1">
        <w:r>
          <w:rPr>
            <w:rFonts w:ascii="仿宋" w:eastAsia="仿宋" w:hAnsi="仿宋" w:cs="仿宋" w:hint="eastAsia"/>
            <w:lang w:eastAsia="zh-CN"/>
          </w:rPr>
          <w:t>(四)、人力资源配置</w:t>
        </w:r>
        <w:r>
          <w:tab/>
        </w:r>
        <w:r>
          <w:fldChar w:fldCharType="begin"/>
        </w:r>
        <w:r>
          <w:instrText xml:space="preserve"> PAGEREF _Toc7681 \h </w:instrText>
        </w:r>
        <w:r>
          <w:fldChar w:fldCharType="separate"/>
        </w:r>
        <w:r>
          <w:t>38</w:t>
        </w:r>
        <w:r>
          <w:fldChar w:fldCharType="end"/>
        </w:r>
      </w:hyperlink>
    </w:p>
    <w:p>
      <w:pPr>
        <w:pStyle w:val="TOC1"/>
        <w:tabs>
          <w:tab w:val="right" w:leader="dot" w:pos="8306"/>
        </w:tabs>
      </w:pPr>
      <w:hyperlink w:anchor="_Toc7446" w:history="1">
        <w:r>
          <w:rPr>
            <w:rFonts w:ascii="仿宋" w:eastAsia="仿宋" w:hAnsi="仿宋" w:cs="仿宋" w:hint="eastAsia"/>
            <w:lang w:eastAsia="zh-CN"/>
          </w:rPr>
          <w:t>十二、非油炸食品项目技术管理</w:t>
        </w:r>
        <w:r>
          <w:tab/>
        </w:r>
        <w:r>
          <w:fldChar w:fldCharType="begin"/>
        </w:r>
        <w:r>
          <w:instrText xml:space="preserve"> PAGEREF _Toc7446 \h </w:instrText>
        </w:r>
        <w:r>
          <w:fldChar w:fldCharType="separate"/>
        </w:r>
        <w:r>
          <w:t>39</w:t>
        </w:r>
        <w:r>
          <w:fldChar w:fldCharType="end"/>
        </w:r>
      </w:hyperlink>
    </w:p>
    <w:p>
      <w:pPr>
        <w:pStyle w:val="TOC2"/>
        <w:tabs>
          <w:tab w:val="right" w:leader="dot" w:pos="8306"/>
        </w:tabs>
      </w:pPr>
      <w:hyperlink w:anchor="_Toc14292" w:history="1">
        <w:r>
          <w:rPr>
            <w:rFonts w:ascii="仿宋" w:eastAsia="仿宋" w:hAnsi="仿宋" w:cs="仿宋" w:hint="eastAsia"/>
            <w:lang w:eastAsia="zh-CN"/>
          </w:rPr>
          <w:t>(一)、技术方案选用方向</w:t>
        </w:r>
        <w:r>
          <w:tab/>
        </w:r>
        <w:r>
          <w:fldChar w:fldCharType="begin"/>
        </w:r>
        <w:r>
          <w:instrText xml:space="preserve"> PAGEREF _Toc14292 \h </w:instrText>
        </w:r>
        <w:r>
          <w:fldChar w:fldCharType="separate"/>
        </w:r>
        <w:r>
          <w:t>39</w:t>
        </w:r>
        <w:r>
          <w:fldChar w:fldCharType="end"/>
        </w:r>
      </w:hyperlink>
    </w:p>
    <w:p>
      <w:pPr>
        <w:pStyle w:val="TOC2"/>
        <w:tabs>
          <w:tab w:val="right" w:leader="dot" w:pos="8306"/>
        </w:tabs>
      </w:pPr>
      <w:hyperlink w:anchor="_Toc13394" w:history="1">
        <w:r>
          <w:rPr>
            <w:rFonts w:ascii="仿宋" w:eastAsia="仿宋" w:hAnsi="仿宋" w:cs="仿宋" w:hint="eastAsia"/>
            <w:lang w:eastAsia="zh-CN"/>
          </w:rPr>
          <w:t>(二)、工艺技术方案选用原则</w:t>
        </w:r>
        <w:r>
          <w:tab/>
        </w:r>
        <w:r>
          <w:fldChar w:fldCharType="begin"/>
        </w:r>
        <w:r>
          <w:instrText xml:space="preserve"> PAGEREF _Toc13394 \h </w:instrText>
        </w:r>
        <w:r>
          <w:fldChar w:fldCharType="separate"/>
        </w:r>
        <w:r>
          <w:t>40</w:t>
        </w:r>
        <w:r>
          <w:fldChar w:fldCharType="end"/>
        </w:r>
      </w:hyperlink>
    </w:p>
    <w:p>
      <w:pPr>
        <w:pStyle w:val="TOC2"/>
        <w:tabs>
          <w:tab w:val="right" w:leader="dot" w:pos="8306"/>
        </w:tabs>
      </w:pPr>
      <w:hyperlink w:anchor="_Toc23201" w:history="1">
        <w:r>
          <w:rPr>
            <w:rFonts w:ascii="仿宋" w:eastAsia="仿宋" w:hAnsi="仿宋" w:cs="仿宋" w:hint="eastAsia"/>
            <w:lang w:eastAsia="zh-CN"/>
          </w:rPr>
          <w:t>(三)、工艺技术方案要求</w:t>
        </w:r>
        <w:r>
          <w:tab/>
        </w:r>
        <w:r>
          <w:fldChar w:fldCharType="begin"/>
        </w:r>
        <w:r>
          <w:instrText xml:space="preserve"> PAGEREF _Toc23201 \h </w:instrText>
        </w:r>
        <w:r>
          <w:fldChar w:fldCharType="separate"/>
        </w:r>
        <w:r>
          <w:t>43</w:t>
        </w:r>
        <w:r>
          <w:fldChar w:fldCharType="end"/>
        </w:r>
      </w:hyperlink>
    </w:p>
    <w:p>
      <w:pPr>
        <w:pStyle w:val="TOC1"/>
        <w:tabs>
          <w:tab w:val="right" w:leader="dot" w:pos="8306"/>
        </w:tabs>
      </w:pPr>
      <w:hyperlink w:anchor="_Toc20106" w:history="1">
        <w:r>
          <w:rPr>
            <w:rFonts w:ascii="仿宋" w:eastAsia="仿宋" w:hAnsi="仿宋" w:cs="仿宋" w:hint="eastAsia"/>
            <w:lang w:eastAsia="zh-CN"/>
          </w:rPr>
          <w:t>十三、非油炸食品项目治理与监督</w:t>
        </w:r>
        <w:r>
          <w:tab/>
        </w:r>
        <w:r>
          <w:fldChar w:fldCharType="begin"/>
        </w:r>
        <w:r>
          <w:instrText xml:space="preserve"> PAGEREF _Toc20106 \h </w:instrText>
        </w:r>
        <w:r>
          <w:fldChar w:fldCharType="separate"/>
        </w:r>
        <w:r>
          <w:t>45</w:t>
        </w:r>
        <w:r>
          <w:fldChar w:fldCharType="end"/>
        </w:r>
      </w:hyperlink>
    </w:p>
    <w:p>
      <w:pPr>
        <w:pStyle w:val="TOC2"/>
        <w:tabs>
          <w:tab w:val="right" w:leader="dot" w:pos="8306"/>
        </w:tabs>
      </w:pPr>
      <w:hyperlink w:anchor="_Toc20416" w:history="1">
        <w:r>
          <w:rPr>
            <w:rFonts w:ascii="仿宋" w:eastAsia="仿宋" w:hAnsi="仿宋" w:cs="仿宋" w:hint="eastAsia"/>
            <w:lang w:eastAsia="zh-CN"/>
          </w:rPr>
          <w:t>(一)、非油炸食品项目治理结构</w:t>
        </w:r>
        <w:r>
          <w:tab/>
        </w:r>
        <w:r>
          <w:fldChar w:fldCharType="begin"/>
        </w:r>
        <w:r>
          <w:instrText xml:space="preserve"> PAGEREF _Toc20416 \h </w:instrText>
        </w:r>
        <w:r>
          <w:fldChar w:fldCharType="separate"/>
        </w:r>
        <w:r>
          <w:t>45</w:t>
        </w:r>
        <w:r>
          <w:fldChar w:fldCharType="end"/>
        </w:r>
      </w:hyperlink>
    </w:p>
    <w:p>
      <w:pPr>
        <w:pStyle w:val="TOC2"/>
        <w:tabs>
          <w:tab w:val="right" w:leader="dot" w:pos="8306"/>
        </w:tabs>
      </w:pPr>
      <w:hyperlink w:anchor="_Toc16639" w:history="1">
        <w:r>
          <w:rPr>
            <w:rFonts w:ascii="仿宋" w:eastAsia="仿宋" w:hAnsi="仿宋" w:cs="仿宋" w:hint="eastAsia"/>
            <w:lang w:eastAsia="zh-CN"/>
          </w:rPr>
          <w:t>(二)、监督与审计</w:t>
        </w:r>
        <w:r>
          <w:tab/>
        </w:r>
        <w:r>
          <w:fldChar w:fldCharType="begin"/>
        </w:r>
        <w:r>
          <w:instrText xml:space="preserve"> PAGEREF _Toc16639 \h </w:instrText>
        </w:r>
        <w:r>
          <w:fldChar w:fldCharType="separate"/>
        </w:r>
        <w:r>
          <w:t>46</w:t>
        </w:r>
        <w:r>
          <w:fldChar w:fldCharType="end"/>
        </w:r>
      </w:hyperlink>
    </w:p>
    <w:p>
      <w:pPr>
        <w:pStyle w:val="TOC1"/>
        <w:tabs>
          <w:tab w:val="right" w:leader="dot" w:pos="8306"/>
        </w:tabs>
      </w:pPr>
      <w:hyperlink w:anchor="_Toc11147" w:history="1">
        <w:r>
          <w:rPr>
            <w:rFonts w:ascii="仿宋" w:eastAsia="仿宋" w:hAnsi="仿宋" w:cs="仿宋" w:hint="eastAsia"/>
            <w:lang w:eastAsia="zh-CN"/>
          </w:rPr>
          <w:t>十四、质量管理体系</w:t>
        </w:r>
        <w:r>
          <w:tab/>
        </w:r>
        <w:r>
          <w:fldChar w:fldCharType="begin"/>
        </w:r>
        <w:r>
          <w:instrText xml:space="preserve"> PAGEREF _Toc11147 \h </w:instrText>
        </w:r>
        <w:r>
          <w:fldChar w:fldCharType="separate"/>
        </w:r>
        <w:r>
          <w:t>48</w:t>
        </w:r>
        <w:r>
          <w:fldChar w:fldCharType="end"/>
        </w:r>
      </w:hyperlink>
    </w:p>
    <w:p>
      <w:pPr>
        <w:pStyle w:val="TOC2"/>
        <w:tabs>
          <w:tab w:val="right" w:leader="dot" w:pos="8306"/>
        </w:tabs>
      </w:pPr>
      <w:hyperlink w:anchor="_Toc6718" w:history="1">
        <w:r>
          <w:rPr>
            <w:rFonts w:ascii="仿宋" w:eastAsia="仿宋" w:hAnsi="仿宋" w:cs="仿宋" w:hint="eastAsia"/>
            <w:lang w:eastAsia="zh-CN"/>
          </w:rPr>
          <w:t>(一)、质量目标与方针</w:t>
        </w:r>
        <w:r>
          <w:tab/>
        </w:r>
        <w:r>
          <w:fldChar w:fldCharType="begin"/>
        </w:r>
        <w:r>
          <w:instrText xml:space="preserve"> PAGEREF _Toc6718 \h </w:instrText>
        </w:r>
        <w:r>
          <w:fldChar w:fldCharType="separate"/>
        </w:r>
        <w:r>
          <w:t>48</w:t>
        </w:r>
        <w:r>
          <w:fldChar w:fldCharType="end"/>
        </w:r>
      </w:hyperlink>
    </w:p>
    <w:p>
      <w:pPr>
        <w:pStyle w:val="TOC2"/>
        <w:tabs>
          <w:tab w:val="right" w:leader="dot" w:pos="8306"/>
        </w:tabs>
      </w:pPr>
      <w:hyperlink w:anchor="_Toc18320" w:history="1">
        <w:r>
          <w:rPr>
            <w:rFonts w:ascii="仿宋" w:eastAsia="仿宋" w:hAnsi="仿宋" w:cs="仿宋" w:hint="eastAsia"/>
            <w:lang w:eastAsia="zh-CN"/>
          </w:rPr>
          <w:t>(二)、质量管理责任</w:t>
        </w:r>
        <w:r>
          <w:tab/>
        </w:r>
        <w:r>
          <w:fldChar w:fldCharType="begin"/>
        </w:r>
        <w:r>
          <w:instrText xml:space="preserve"> PAGEREF _Toc18320 \h </w:instrText>
        </w:r>
        <w:r>
          <w:fldChar w:fldCharType="separate"/>
        </w:r>
        <w:r>
          <w:t>49</w:t>
        </w:r>
        <w:r>
          <w:fldChar w:fldCharType="end"/>
        </w:r>
      </w:hyperlink>
    </w:p>
    <w:p>
      <w:pPr>
        <w:pStyle w:val="TOC2"/>
        <w:tabs>
          <w:tab w:val="right" w:leader="dot" w:pos="8306"/>
        </w:tabs>
      </w:pPr>
      <w:hyperlink w:anchor="_Toc1540" w:history="1">
        <w:r>
          <w:rPr>
            <w:rFonts w:ascii="仿宋" w:eastAsia="仿宋" w:hAnsi="仿宋" w:cs="仿宋" w:hint="eastAsia"/>
            <w:lang w:eastAsia="zh-CN"/>
          </w:rPr>
          <w:t>(三)、质量管理体系文件</w:t>
        </w:r>
        <w:r>
          <w:tab/>
        </w:r>
        <w:r>
          <w:fldChar w:fldCharType="begin"/>
        </w:r>
        <w:r>
          <w:instrText xml:space="preserve"> PAGEREF _Toc1540 \h </w:instrText>
        </w:r>
        <w:r>
          <w:fldChar w:fldCharType="separate"/>
        </w:r>
        <w:r>
          <w:t>50</w:t>
        </w:r>
        <w:r>
          <w:fldChar w:fldCharType="end"/>
        </w:r>
      </w:hyperlink>
    </w:p>
    <w:p>
      <w:pPr>
        <w:pStyle w:val="TOC2"/>
        <w:tabs>
          <w:tab w:val="right" w:leader="dot" w:pos="8306"/>
        </w:tabs>
      </w:pPr>
      <w:hyperlink w:anchor="_Toc8028" w:history="1">
        <w:r>
          <w:rPr>
            <w:rFonts w:ascii="仿宋" w:eastAsia="仿宋" w:hAnsi="仿宋" w:cs="仿宋" w:hint="eastAsia"/>
            <w:lang w:eastAsia="zh-CN"/>
          </w:rPr>
          <w:t>(四)、质量培训与教育</w:t>
        </w:r>
        <w:r>
          <w:tab/>
        </w:r>
        <w:r>
          <w:fldChar w:fldCharType="begin"/>
        </w:r>
        <w:r>
          <w:instrText xml:space="preserve"> PAGEREF _Toc8028 \h </w:instrText>
        </w:r>
        <w:r>
          <w:fldChar w:fldCharType="separate"/>
        </w:r>
        <w:r>
          <w:t>52</w:t>
        </w:r>
        <w:r>
          <w:fldChar w:fldCharType="end"/>
        </w:r>
      </w:hyperlink>
    </w:p>
    <w:p>
      <w:pPr>
        <w:pStyle w:val="TOC2"/>
        <w:tabs>
          <w:tab w:val="right" w:leader="dot" w:pos="8306"/>
        </w:tabs>
      </w:pPr>
      <w:hyperlink w:anchor="_Toc7528" w:history="1">
        <w:r>
          <w:rPr>
            <w:rFonts w:ascii="仿宋" w:eastAsia="仿宋" w:hAnsi="仿宋" w:cs="仿宋" w:hint="eastAsia"/>
            <w:lang w:eastAsia="zh-CN"/>
          </w:rPr>
          <w:t>(五)、质量审核与评价</w:t>
        </w:r>
        <w:r>
          <w:tab/>
        </w:r>
        <w:r>
          <w:fldChar w:fldCharType="begin"/>
        </w:r>
        <w:r>
          <w:instrText xml:space="preserve"> PAGEREF _Toc7528 \h </w:instrText>
        </w:r>
        <w:r>
          <w:fldChar w:fldCharType="separate"/>
        </w:r>
        <w:r>
          <w:t>53</w:t>
        </w:r>
        <w:r>
          <w:fldChar w:fldCharType="end"/>
        </w:r>
      </w:hyperlink>
    </w:p>
    <w:p>
      <w:pPr>
        <w:pStyle w:val="TOC2"/>
        <w:tabs>
          <w:tab w:val="right" w:leader="dot" w:pos="8306"/>
        </w:tabs>
      </w:pPr>
      <w:hyperlink w:anchor="_Toc11388" w:history="1">
        <w:r>
          <w:rPr>
            <w:rFonts w:ascii="仿宋" w:eastAsia="仿宋" w:hAnsi="仿宋" w:cs="仿宋" w:hint="eastAsia"/>
            <w:lang w:eastAsia="zh-CN"/>
          </w:rPr>
          <w:t>(六)、不符合与纠正措施</w:t>
        </w:r>
        <w:r>
          <w:tab/>
        </w:r>
        <w:r>
          <w:fldChar w:fldCharType="begin"/>
        </w:r>
        <w:r>
          <w:instrText xml:space="preserve"> PAGEREF _Toc11388 \h </w:instrText>
        </w:r>
        <w:r>
          <w:fldChar w:fldCharType="separate"/>
        </w:r>
        <w:r>
          <w:t>54</w:t>
        </w:r>
        <w:r>
          <w:fldChar w:fldCharType="end"/>
        </w:r>
      </w:hyperlink>
    </w:p>
    <w:p>
      <w:pPr>
        <w:pStyle w:val="TOC1"/>
        <w:tabs>
          <w:tab w:val="right" w:leader="dot" w:pos="8306"/>
        </w:tabs>
      </w:pPr>
      <w:hyperlink w:anchor="_Toc27980" w:history="1">
        <w:r>
          <w:rPr>
            <w:rFonts w:ascii="仿宋" w:eastAsia="仿宋" w:hAnsi="仿宋" w:cs="仿宋" w:hint="eastAsia"/>
            <w:lang w:eastAsia="zh-CN"/>
          </w:rPr>
          <w:t>十五、供应链管理</w:t>
        </w:r>
        <w:r>
          <w:tab/>
        </w:r>
        <w:r>
          <w:fldChar w:fldCharType="begin"/>
        </w:r>
        <w:r>
          <w:instrText xml:space="preserve"> PAGEREF _Toc27980 \h </w:instrText>
        </w:r>
        <w:r>
          <w:fldChar w:fldCharType="separate"/>
        </w:r>
        <w:r>
          <w:t>56</w:t>
        </w:r>
        <w:r>
          <w:fldChar w:fldCharType="end"/>
        </w:r>
      </w:hyperlink>
    </w:p>
    <w:p>
      <w:pPr>
        <w:pStyle w:val="TOC2"/>
        <w:tabs>
          <w:tab w:val="right" w:leader="dot" w:pos="8306"/>
        </w:tabs>
      </w:pPr>
      <w:hyperlink w:anchor="_Toc934" w:history="1">
        <w:r>
          <w:rPr>
            <w:rFonts w:ascii="仿宋" w:eastAsia="仿宋" w:hAnsi="仿宋" w:cs="仿宋" w:hint="eastAsia"/>
            <w:lang w:eastAsia="zh-CN"/>
          </w:rPr>
          <w:t>(一)、供应链战略规划</w:t>
        </w:r>
        <w:r>
          <w:tab/>
        </w:r>
        <w:r>
          <w:fldChar w:fldCharType="begin"/>
        </w:r>
        <w:r>
          <w:instrText xml:space="preserve"> PAGEREF _Toc934 \h </w:instrText>
        </w:r>
        <w:r>
          <w:fldChar w:fldCharType="separate"/>
        </w:r>
        <w:r>
          <w:t>56</w:t>
        </w:r>
        <w:r>
          <w:fldChar w:fldCharType="end"/>
        </w:r>
      </w:hyperlink>
    </w:p>
    <w:p>
      <w:pPr>
        <w:pStyle w:val="TOC2"/>
        <w:tabs>
          <w:tab w:val="right" w:leader="dot" w:pos="8306"/>
        </w:tabs>
      </w:pPr>
      <w:hyperlink w:anchor="_Toc3429" w:history="1">
        <w:r>
          <w:rPr>
            <w:rFonts w:ascii="仿宋" w:eastAsia="仿宋" w:hAnsi="仿宋" w:cs="仿宋" w:hint="eastAsia"/>
            <w:lang w:eastAsia="zh-CN"/>
          </w:rPr>
          <w:t>(二)、供应商选择与合作</w:t>
        </w:r>
        <w:r>
          <w:tab/>
        </w:r>
        <w:r>
          <w:fldChar w:fldCharType="begin"/>
        </w:r>
        <w:r>
          <w:instrText xml:space="preserve"> PAGEREF _Toc3429 \h </w:instrText>
        </w:r>
        <w:r>
          <w:fldChar w:fldCharType="separate"/>
        </w:r>
        <w:r>
          <w:t>57</w:t>
        </w:r>
        <w:r>
          <w:fldChar w:fldCharType="end"/>
        </w:r>
      </w:hyperlink>
    </w:p>
    <w:p>
      <w:pPr>
        <w:pStyle w:val="TOC2"/>
        <w:tabs>
          <w:tab w:val="right" w:leader="dot" w:pos="8306"/>
        </w:tabs>
      </w:pPr>
      <w:hyperlink w:anchor="_Toc17461" w:history="1">
        <w:r>
          <w:rPr>
            <w:rFonts w:ascii="仿宋" w:eastAsia="仿宋" w:hAnsi="仿宋" w:cs="仿宋" w:hint="eastAsia"/>
            <w:lang w:eastAsia="zh-CN"/>
          </w:rPr>
          <w:t>(三)、物流与库存管理</w:t>
        </w:r>
        <w:r>
          <w:tab/>
        </w:r>
        <w:r>
          <w:fldChar w:fldCharType="begin"/>
        </w:r>
        <w:r>
          <w:instrText xml:space="preserve"> PAGEREF _Toc17461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619"/>
      <w:r>
        <w:rPr>
          <w:rFonts w:ascii="仿宋" w:eastAsia="仿宋" w:hAnsi="仿宋" w:cs="仿宋" w:hint="eastAsia"/>
          <w:lang w:eastAsia="zh-CN"/>
        </w:rPr>
        <w:t>(一)、非油炸食品行业分析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行业一直以来都是市场的关注焦点。行业内的发展趋势、竞争态势以及潜在机会都对非油炸食品项目的推进产生深远的影响。通过深入研究行业的整体概貌，我们将更好地理解行业的核心特征，为非油炸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油炸食品行业，技术一直是推动创新和发展的关键因素。我们将对当前技术趋势进行详尽分析，包括但不限于人工智能、大数据应用、先进制造技术等。这有助于非油炸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油炸食品项目成功的基础。我们将对主要竞争对手进行深入研究，包括其市场份额、产品特点、市场定位等。通过全面了解竞争对手的优势和劣势，非油炸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789"/>
      <w:r>
        <w:rPr>
          <w:rFonts w:ascii="仿宋" w:eastAsia="仿宋" w:hAnsi="仿宋" w:cs="仿宋" w:hint="eastAsia"/>
          <w:sz w:val="28"/>
          <w:lang w:eastAsia="zh-CN"/>
        </w:rPr>
        <w:t>(二)、非油炸食品市场分析预测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油炸食品市场未来的增长趋势。这包括市场的整体规模、各细分领域的发展趋势等。非油炸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油炸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非油炸食品项目实施过程中需要充分考虑的因素。我们将对市场风险进行全面评估，包括但不限于政策法规风险、市场竞争风险、技术变革风险等。通过对潜在风险的深入分析，非油炸食品项目可以制定相应的风险缓解策略，降低不确定性对非油炸食品项目的影响。</w:t>
      </w:r>
    </w:p>
    <w:p>
      <w:pPr>
        <w:pStyle w:val="Heading1"/>
        <w:ind w:firstLine="560" w:firstLineChars="200"/>
        <w:rPr>
          <w:rFonts w:ascii="仿宋" w:eastAsia="仿宋" w:hAnsi="仿宋" w:cs="仿宋" w:hint="eastAsia"/>
          <w:sz w:val="28"/>
          <w:lang w:eastAsia="zh-CN"/>
        </w:rPr>
      </w:pPr>
      <w:bookmarkStart w:id="5" w:name="_Toc32723"/>
      <w:r>
        <w:rPr>
          <w:rFonts w:ascii="仿宋" w:eastAsia="仿宋" w:hAnsi="仿宋" w:cs="仿宋" w:hint="eastAsia"/>
          <w:sz w:val="28"/>
          <w:lang w:eastAsia="zh-CN"/>
        </w:rPr>
        <w:t>二、非油炸食品项目建设单位说明</w:t>
      </w:r>
      <w:bookmarkEnd w:id="5"/>
    </w:p>
    <w:p>
      <w:pPr>
        <w:pStyle w:val="Heading2"/>
        <w:rPr>
          <w:rFonts w:ascii="仿宋" w:eastAsia="仿宋" w:hAnsi="仿宋" w:cs="仿宋" w:hint="eastAsia"/>
          <w:lang w:eastAsia="zh-CN"/>
        </w:rPr>
      </w:pPr>
      <w:bookmarkStart w:id="6" w:name="_Toc25465"/>
      <w:r>
        <w:rPr>
          <w:rFonts w:ascii="仿宋" w:eastAsia="仿宋" w:hAnsi="仿宋" w:cs="仿宋" w:hint="eastAsia"/>
          <w:lang w:eastAsia="zh-CN"/>
        </w:rPr>
        <w:t>(一)、非油炸食品项目承办单位基本情况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65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油炸食品项目承办单位的XXXX，我们着眼于实现可持续的经济效益。通过技术创新和解决方案的提供，公司预计在非油炸食品项目执行期间将获得可观的收入增长。这一收入来源主要包括非油炸食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同时，我们注重成本控制和效率提升，以确保非油炸食品项目的可持续盈利。透过精细的管理和资源优化，公司期望实现非油炸食品项目利润最大化。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油炸食品项目实施进行全面的投资评估，包括非油炸食品项目启动阶段的资金投入和后续运营成本。通过对非油炸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油炸食品项目实施过程中具备足够的资金流动性，公司将进行详尽的现金流分析。这包括资金需求的合理预测、非油炸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773"/>
      <w:r>
        <w:rPr>
          <w:rFonts w:ascii="仿宋" w:eastAsia="仿宋" w:hAnsi="仿宋" w:cs="仿宋" w:hint="eastAsia"/>
          <w:sz w:val="28"/>
          <w:lang w:eastAsia="zh-CN"/>
        </w:rPr>
        <w:t>三、非油炸食品项目可持续发展</w:t>
      </w:r>
      <w:bookmarkEnd w:id="8"/>
    </w:p>
    <w:p>
      <w:pPr>
        <w:pStyle w:val="Heading2"/>
        <w:rPr>
          <w:rFonts w:ascii="仿宋" w:eastAsia="仿宋" w:hAnsi="仿宋" w:cs="仿宋" w:hint="eastAsia"/>
          <w:lang w:eastAsia="zh-CN"/>
        </w:rPr>
      </w:pPr>
      <w:bookmarkStart w:id="9" w:name="_Toc441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非油炸食品项目中，非油炸食品项目团队着眼于未来，明确了可持续发展的战略方向。制定的具体可持续发展目标包括降低资源使用、采用环保技术、最大化社会效益等。这一步骤不仅有助于非油炸食品项目在环保和社会责任方面达到最高标准，也为未来提供了明确的指引，确保非油炸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可持续实践的融入非油炸食品项目管理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油炸食品项目管理周期。从非油炸食品项目规划开始，非油炸食品项目团队就考虑了环境和社会的因素。在执行阶段，非油炸食品项目团队积极推动绿色技术的应用，优化资源利用。此外，关注员工的社会责任，通过培训和沟通活动提高员工对可持续发展的认知，使他们能够在日常工作中践行可持续实践。这些举措不仅为非油炸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81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扎根于非油炸食品项目的可持续发展理念，我们深信环保与社会责任是非油炸食品项目成功的关键支柱。在非油炸食品项目的每一步，我们都致力于通过创新和实践，履行对环境和社会的坚定责任。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团队通过引入先进的环保技术、建立高效的废物处理系统以及推动能源节约措施，积极履行环保责任。定期的环保监测和评估确保非油炸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不仅致力于自身可持续发展，还注重对社会的回馈。通过支持社区非油炸食品项目、参与慈善事业、提供培训机会等方式，非油炸食品项目积极履行社会责任。与当地社区建立积极互动，关注员工的工作与生活平衡，以及员工的身心健康，是非油炸食品项目在社会责任层面的关键举措。这样的实践不仅增强了非油炸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052"/>
      <w:r>
        <w:rPr>
          <w:rFonts w:ascii="仿宋" w:eastAsia="仿宋" w:hAnsi="仿宋" w:cs="仿宋" w:hint="eastAsia"/>
          <w:sz w:val="28"/>
          <w:lang w:eastAsia="zh-CN"/>
        </w:rPr>
        <w:t>四、非油炸食品项目绩效评估</w:t>
      </w:r>
      <w:bookmarkEnd w:id="11"/>
    </w:p>
    <w:p>
      <w:pPr>
        <w:pStyle w:val="Heading2"/>
        <w:rPr>
          <w:rFonts w:ascii="仿宋" w:eastAsia="仿宋" w:hAnsi="仿宋" w:cs="仿宋" w:hint="eastAsia"/>
          <w:lang w:eastAsia="zh-CN"/>
        </w:rPr>
      </w:pPr>
      <w:bookmarkStart w:id="12" w:name="_Toc59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非油炸食品项目中，我们设计了一套全面的绩效评估指标，以确保非油炸食品项目的可控和成功交付。这些指标跨足非油炸食品项目目标、成本、进度和质量等多个维度，为我们提供了全面洞察非油炸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目标达成率是我们关注的首要指标。我们设定了明确的目标，并通过定期监测和评估，迅速发现并应对潜在的目标偏差。这为非油炸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成本绩效是另一个核心关注点。通过实际成本与预算成本的对比分析，我们深入了解成本差异的原因，及时调整资源分配，保持非油炸食品项目在经济效益方面的合理水平。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进度作为关键的绩效指标之一，得到了精心的关注。我们制定了详细的非油炸食品项目进度计划，并设立了进度符合度指标，确保实际进度与计划进度保持一致。这使我们能够快速发现和解决潜在的进度问题，保持非油炸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油炸食品项目绩效的不可或缺的一环。我们引入了一系列的质量标准和客户满意度指标，以确保非油炸食品项目交付的成果在质量上达到或超越预期水平。通过持续监测这些指标，我们努力提升非油炸食品项目整体质量水平，为非油炸食品项目的成功交付提供有力保障。通过这些科学且全面的绩效评估，我们能够更好地引导非油炸食品项目的持续改进，确保非油炸食品项目目标的顺利达成。</w:t>
      </w:r>
    </w:p>
    <w:p>
      <w:pPr>
        <w:pStyle w:val="Heading2"/>
        <w:ind w:firstLine="560" w:firstLineChars="200"/>
        <w:rPr>
          <w:rFonts w:ascii="仿宋" w:eastAsia="仿宋" w:hAnsi="仿宋" w:cs="仿宋" w:hint="eastAsia"/>
          <w:sz w:val="28"/>
          <w:lang w:eastAsia="zh-CN"/>
        </w:rPr>
      </w:pPr>
      <w:bookmarkStart w:id="13" w:name="_Toc230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绩效评估是非油炸食品项目中的关键环节，为确保非油炸食品项目达到预期目标，我们采用了多层次、多维度的绩效评估方法。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油炸食品项目的战略目标对齐，确保每个决策和行动都与非油炸食品项目整体目标保持一致。团队会定期召开战略对齐会议，审视当前工作与非油炸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油炸食品项目进度、质量、成本和风险等方面。这些指标通过数据收集和分析，为非油炸食品项目管理团队提供了客观的评估依据。例如，我们通过非油炸食品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绩效评估不仅仅停留在非油炸食品项目内部，还考虑了非油炸食品项目对外部环境的影响。我们定期进行干系人满意度调查，以了解各利益相关方对非油炸食品项目的期望和满意度，并及时做出调整。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这种多层次、多角度的绩效评估方法，使得我们能够全面了解非油炸食品项目的运行状态，及时做出调整，确保非油炸食品项目在不断变化的环境中保持稳健前行。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080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为了确保非油炸食品项目的有效管理和不断优化，我们采用了精心设计的绩效评估周期。这个周期旨在实现灵活、实时和全面的评估，以适应非油炸食品项目执行中的各种挑战。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油炸食品项目的不同需求，分为短期、中期和长期。短期评估关注每个迭代或工作周期，以及时发现和解决当前任务中的问题。中期评估涵盖几个迭代，深入了解整体非油炸食品项目的趋势和性能。长期评估则着眼于整个非油炸食品项目阶段，确保非油炸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油炸食品项目管理工具和协作平台，团队成员能够随时更新和分享非油炸食品项目数据。这种实时性的反馈机制使我们能够及时察觉潜在问题，快速调整，保持非油炸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油炸食品项目的决策制定密不可分。每个周期的非油炸食品项目回顾会议成为集体总结经验、识别问题深层次原因并找到创新解决方案的平台。这种定期的反思与调整机制使非油炸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3"/>
      <w:r>
        <w:rPr>
          <w:rFonts w:ascii="仿宋" w:eastAsia="仿宋" w:hAnsi="仿宋" w:cs="仿宋" w:hint="eastAsia"/>
          <w:sz w:val="28"/>
          <w:lang w:eastAsia="zh-CN"/>
        </w:rPr>
        <w:t>五、非油炸食品项目文档管理</w:t>
      </w:r>
      <w:bookmarkEnd w:id="15"/>
    </w:p>
    <w:p>
      <w:pPr>
        <w:pStyle w:val="Heading2"/>
        <w:rPr>
          <w:rFonts w:ascii="仿宋" w:eastAsia="仿宋" w:hAnsi="仿宋" w:cs="仿宋" w:hint="eastAsia"/>
          <w:lang w:eastAsia="zh-CN"/>
        </w:rPr>
      </w:pPr>
      <w:bookmarkStart w:id="16" w:name="_Toc1430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非油炸食品项目高度重视文档的质量和准确性，以支持非油炸食品项目的各项活动和决策。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文档的编制始于非油炸食品项目计划的初期，我们制定了详细的文档编制计划，明确了每个文档的内容、格式和编写责任人。在非油炸食品项目启动阶段，我们首先编制了非油炸食品项目章程，明确定义了非油炸食品项目的目标、范围、风险等关键要素。随后，非油炸食品项目团队根据计划陆续编制了需求文档、设计文档、测试文档等各类文档，确保非油炸食品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油炸食品项目管理中的重要环节，旨在确保非油炸食品项目文档符合质量标准和非油炸食品项目需求。在非油炸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油炸食品项目相关利益方和专业领域的专家对文档进行独立审查。这有助于获取更全面、客观的反馈，确保非油炸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非油炸食品项目在文档编制与审查方面建立了严格的管理机制，通过规范的流程和多维度的审查，确保非油炸食品项目文档的质量、准确性和可靠性，为非油炸食品项目的顺利推进提供了有力支持。</w:t>
      </w:r>
    </w:p>
    <w:p>
      <w:pPr>
        <w:pStyle w:val="Heading2"/>
        <w:ind w:firstLine="560" w:firstLineChars="200"/>
        <w:rPr>
          <w:rFonts w:ascii="仿宋" w:eastAsia="仿宋" w:hAnsi="仿宋" w:cs="仿宋" w:hint="eastAsia"/>
          <w:sz w:val="28"/>
          <w:lang w:eastAsia="zh-CN"/>
        </w:rPr>
      </w:pPr>
      <w:bookmarkStart w:id="17" w:name="_Toc2562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在非油炸食品项目中，我们致力于优化文档发布与分发过程，以确保信息的高效传递和团队间协作的顺畅进行。以下是我们采取的关键优化策略：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我们通过多渠道发布文档，包括电子邮件、非油炸食品项目管理平台、内部网站等，以满足不同团队成员的偏好和需求。多渠道发布确保了信息的全面覆盖。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我们采用了精细的权限控制，确保只有授权人员可以访问敏感信息。这种安全措施保护了非油炸食品项目文档的机密性，防止了未经授权的信息泄露。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950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文档存档与归档是非油炸食品项目生命周期中一个至关重要的环节，直接关系到非油炸食品项目信息的长期保存和历史记录的完整性。在非油炸食品项目中，我们实施了一系列有效的文档存档与归档管理策略：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9376"/>
      <w:r>
        <w:rPr>
          <w:rFonts w:ascii="仿宋" w:eastAsia="仿宋" w:hAnsi="仿宋" w:cs="仿宋" w:hint="eastAsia"/>
          <w:sz w:val="28"/>
          <w:lang w:eastAsia="zh-CN"/>
        </w:rPr>
        <w:t>六、非油炸食品项目概论</w:t>
      </w:r>
      <w:bookmarkEnd w:id="19"/>
    </w:p>
    <w:p>
      <w:pPr>
        <w:pStyle w:val="Heading2"/>
        <w:rPr>
          <w:rFonts w:ascii="仿宋" w:eastAsia="仿宋" w:hAnsi="仿宋" w:cs="仿宋" w:hint="eastAsia"/>
          <w:lang w:eastAsia="zh-CN"/>
        </w:rPr>
      </w:pPr>
      <w:bookmarkStart w:id="20" w:name="_Toc25413"/>
      <w:r>
        <w:rPr>
          <w:rFonts w:ascii="仿宋" w:eastAsia="仿宋" w:hAnsi="仿宋" w:cs="仿宋" w:hint="eastAsia"/>
          <w:lang w:eastAsia="zh-CN"/>
        </w:rPr>
        <w:t>(一)、非油炸食品项目概况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起源追溯至对市场的深入洞察。市场的不断演变与变革为非油炸食品项目提供了难得的机遇。当前市场存在的需求缺口和变革的大环境共同构成了非油炸食品项目的背景。这个非油炸食品项目旨在充分利用市场机遇，填补行业中尚未满足的需求，为客户提供全新的解决方案。市场的变革和需求的增长使得这个非油炸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非油炸食品项目名称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正式命名为非油炸食品。这个名称不仅仅是一个标识，更代表了非油炸食品项目的核心理念和愿景。它蕴含着非油炸食品项目所要解决问题的关键字，具有强烈的表达和辨识度，为非油炸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非油炸食品项目目标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核心目标是提供一种全新、高效的解决方案，满足客户日益增长的需求。非油炸食品项目追求的不仅仅是满足市场需求，更是在市场中获得卓越的竞争优势。通过不断提升产品或服务的质量和创新水平，非油炸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非油炸食品项目范围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全面涵盖了产品研发、制造、市场推广和售后服务，确保从产品设计到最终用户体验的全方位关注。这一全面的非油炸食品项目范围是为了确保非油炸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非油炸食品项目时间表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非油炸食品项目计划在未来18个月内完成，包括研发、测试、市场试点和正式推出等不同阶段。这个时间表的合理设计是为了确保非油炸食品项目各个阶段的顺利推进，以便按时交付高质量的成果。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非油炸食品项目预算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非油炸食品项目总预算估算为XX百万美元，主要分配在研发、市场推广、人员培训和运营等方面。这一充足的预算为非油炸食品项目提供了充足的资源，确保非油炸食品项目在各个方面都能取得优异的表现。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非油炸食品项目风险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可能面临的风险包括市场接受度低、技术难题、竞争激烈等。非油炸食品项目团队已经制定了相应的风险应对计划，通过前瞻性的风险管理，确保非油炸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非油炸食品项目团队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非油炸食品项目汇聚了一支经验丰富、多领域专业素养的核心团队，确保非油炸食品项目在各个方面都能拥有高水平的执行力。团队的协同作战是非油炸食品项目成功的关键因素之一。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非油炸食品项目背景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非油炸食品项目的背景根植于市场对更高效、创新产品的渴望，同时也受到科技发展对行业格局的深刻改变的影响。这为非油炸食品项目提供了广阔的发展空间和市场需求。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非油炸食品项目现状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https://d.book118.com/658026075122006024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F3FB3"/>
    <w:rsid w:val="35EF3F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2607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2024-01-08T20:07:00Z</dcterms:created>
  <dcterms:modified xsi:type="dcterms:W3CDTF">2024-01-08T20:07:51Z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FE259D25B7B24CCD8F32506CCB7E4F93_11</vt:lpwstr>
  </property>
  <property fmtid="{D5CDD505-2E9C-101B-9397-08002B2CF9AE}" pid="3" name="KSOProductBuildVer">
    <vt:lpwstr>2052-12.1.0.16120</vt:lpwstr>
  </property>
</Properties>
</file>