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jc w:val="center"/>
        <w:textAlignment w:val="auto"/>
        <w:outlineLvl w:val="9"/>
        <w:rPr>
          <w:rFonts w:ascii="黑体" w:eastAsia="黑体" w:hAnsi="黑体" w:cs="黑体" w:hint="eastAsia"/>
          <w:kern w:val="2"/>
          <w:sz w:val="36"/>
          <w:szCs w:val="36"/>
          <w:lang w:val="en-US" w:bidi="ar-SA"/>
        </w:rPr>
      </w:pPr>
      <w:r>
        <w:rPr>
          <w:rFonts w:ascii="黑体" w:eastAsia="黑体" w:hAnsi="黑体" w:cs="黑体" w:hint="eastAsia"/>
          <w:kern w:val="2"/>
          <w:sz w:val="36"/>
          <w:szCs w:val="36"/>
          <w:lang w:val="en-US" w:eastAsia="zh-CN" w:bidi="ar-SA"/>
        </w:rPr>
        <w:t>大股东资金占用案例分析——以ST金刚为例</w:t>
      </w:r>
    </w:p>
    <w:p>
      <w:pPr>
        <w:spacing w:after="240"/>
        <w:ind w:firstLine="960" w:firstLineChars="400"/>
        <w:rPr>
          <w:rFonts w:eastAsia="楷体" w:hAnsi="楷体" w:hint="eastAsia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摘</w:t>
      </w:r>
      <w:r>
        <w:rPr>
          <w:rFonts w:ascii="黑体" w:eastAsia="黑体" w:hAnsi="黑体" w:cs="黑体" w:hint="eastAsia"/>
          <w:sz w:val="24"/>
          <w:szCs w:val="24"/>
          <w:lang w:val="en-US" w:eastAsia="zh-CN"/>
        </w:rPr>
        <w:t xml:space="preserve"> </w:t>
      </w:r>
      <w:r>
        <w:rPr>
          <w:rFonts w:ascii="黑体" w:eastAsia="黑体" w:hAnsi="黑体" w:cs="黑体" w:hint="eastAsia"/>
          <w:sz w:val="24"/>
          <w:szCs w:val="24"/>
        </w:rPr>
        <w:t>要</w:t>
      </w:r>
      <w:r>
        <w:rPr>
          <w:rFonts w:ascii="黑体" w:eastAsia="黑体" w:hAnsi="黑体" w:cs="黑体"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从我国资本市场形成以来，上市公司大股东资金占用问题一直存在，近年在融资环境影响下该问题日益严峻。因此从多方面研究大股东资金占用，对进一步解决该问题具有现实意义。本文以委托代理理论和信息不对称理论为基础，研究ST</w:t>
      </w:r>
      <w:r>
        <w:rPr>
          <w:rFonts w:hint="eastAsia"/>
          <w:sz w:val="24"/>
          <w:szCs w:val="24"/>
          <w:lang w:eastAsia="zh-CN"/>
        </w:rPr>
        <w:t>金刚</w:t>
      </w:r>
      <w:r>
        <w:rPr>
          <w:rFonts w:hint="eastAsia"/>
          <w:sz w:val="24"/>
          <w:szCs w:val="24"/>
        </w:rPr>
        <w:t>大股东资金占用案例。发现大股东在无力偿还债务和多元化扩张的动机下，以非经营性资金占用和违规担保的方式侵占资金，主要原因是股权结构不合理、内部控制缺陷、外部审计失职、监管部门惩处不足，最终对上市公司、中小股东和证券市场造成严重影响。建议从改善股权结构、完善内部治理、提高审计质量、加大惩处力度四个方面防范。希望本文能为抑制大股东资金占用提供参考，助力中小投资者的利益保护和证券市场的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2" w:charSpace="0"/>
        </w:sectPr>
      </w:pPr>
      <w:r>
        <w:rPr>
          <w:rFonts w:ascii="黑体" w:eastAsia="黑体" w:hAnsi="黑体" w:cs="黑体" w:hint="eastAsia"/>
          <w:sz w:val="21"/>
          <w:szCs w:val="21"/>
        </w:rPr>
        <w:t>关键词：</w:t>
      </w:r>
      <w:r>
        <w:rPr>
          <w:rFonts w:hint="eastAsia"/>
          <w:sz w:val="24"/>
          <w:szCs w:val="24"/>
        </w:rPr>
        <w:t>大股东；资金占用；内部治理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auto"/>
        <w:jc w:val="center"/>
        <w:textAlignment w:val="auto"/>
        <w:outlineLvl w:val="0"/>
        <w:rPr>
          <w:rFonts w:ascii="Times New Roman" w:hAnsi="Times New Roman" w:cs="Times New Roman" w:hint="default"/>
          <w:sz w:val="24"/>
          <w:szCs w:val="24"/>
        </w:rPr>
      </w:pPr>
    </w:p>
    <w:sdt>
      <w:sdtPr>
        <w:rPr>
          <w:rFonts w:ascii="黑体" w:eastAsia="黑体" w:hAnsi="黑体" w:cs="黑体" w:hint="eastAsia"/>
          <w:sz w:val="32"/>
          <w:szCs w:val="32"/>
          <w:lang w:val="zh-CN" w:eastAsia="zh-CN" w:bidi="zh-CN"/>
        </w:rPr>
        <w:id w:val="147480104"/>
        <w:docPartObj>
          <w:docPartGallery w:val="Table of Contents"/>
          <w:docPartUnique/>
        </w:docPartObj>
        <w15:color w:val="DBDBDB"/>
      </w:sdtPr>
      <w:sdtEndPr>
        <w:rPr>
          <w:rFonts w:ascii="黑体" w:eastAsia="黑体" w:hAnsi="黑体" w:cs="黑体" w:hint="eastAsia"/>
          <w:sz w:val="32"/>
          <w:szCs w:val="32"/>
          <w:lang w:val="zh-CN" w:eastAsia="zh-CN" w:bidi="zh-CN"/>
        </w:rPr>
      </w:sdtEndPr>
      <w:sdtContent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adjustRightInd/>
            <w:snapToGrid/>
            <w:spacing w:before="0" w:beforeLines="0" w:after="0" w:afterLines="0" w:line="300" w:lineRule="auto"/>
            <w:ind w:left="0" w:right="0" w:firstLine="0" w:leftChars="0" w:rightChars="0" w:firstLineChars="0"/>
            <w:jc w:val="center"/>
            <w:textAlignment w:val="auto"/>
            <w:rPr>
              <w:rFonts w:ascii="黑体" w:eastAsia="黑体" w:hAnsi="黑体" w:cs="黑体" w:hint="eastAsia"/>
              <w:sz w:val="32"/>
              <w:szCs w:val="32"/>
            </w:rPr>
          </w:pPr>
          <w:r>
            <w:rPr>
              <w:rFonts w:ascii="黑体" w:eastAsia="黑体" w:hAnsi="黑体" w:cs="黑体" w:hint="eastAsia"/>
              <w:sz w:val="32"/>
              <w:szCs w:val="32"/>
            </w:rPr>
            <w:t>目录</w:t>
          </w:r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r>
            <w:rPr>
              <w:rFonts w:ascii="Times New Roman" w:eastAsia="宋体" w:hAnsi="Times New Roman" w:cs="Times New Roman" w:hint="default"/>
              <w:sz w:val="24"/>
              <w:szCs w:val="24"/>
            </w:rPr>
            <w:fldChar w:fldCharType="begin"/>
          </w:r>
          <w:r>
            <w:rPr>
              <w:rFonts w:ascii="Times New Roman" w:eastAsia="宋体" w:hAnsi="Times New Roman" w:cs="Times New Roman" w:hint="default"/>
              <w:sz w:val="24"/>
              <w:szCs w:val="24"/>
            </w:rPr>
            <w:instrText xml:space="preserve">TOC \o "1-3" \h \u </w:instrText>
          </w:r>
          <w:r>
            <w:rPr>
              <w:rFonts w:ascii="Times New Roman" w:eastAsia="宋体" w:hAnsi="Times New Roman" w:cs="Times New Roman" w:hint="default"/>
              <w:sz w:val="24"/>
              <w:szCs w:val="24"/>
            </w:rPr>
            <w:fldChar w:fldCharType="separate"/>
          </w:r>
          <w:hyperlink w:anchor="_Toc25200" w:history="1">
            <w:r>
              <w:rPr>
                <w:rFonts w:ascii="Times New Roman" w:eastAsia="宋体" w:hAnsi="Times New Roman" w:cs="Times New Roman" w:hint="default"/>
                <w:bCs/>
                <w:kern w:val="44"/>
                <w:sz w:val="24"/>
                <w:szCs w:val="24"/>
                <w:lang w:val="en-US" w:eastAsia="zh-CN" w:bidi="ar-SA"/>
              </w:rPr>
              <w:t>一、绪论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_Toc25200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  <w:r>
            <w:rPr>
              <w:rFonts w:ascii="Times New Roman" w:eastAsia="宋体" w:hAnsi="Times New Roman" w:cs="Times New Roman" w:hint="default"/>
              <w:sz w:val="24"/>
              <w:szCs w:val="24"/>
            </w:rPr>
            <w:fldChar w:fldCharType="end"/>
          </w:r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887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（一）研究背景与意义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_Toc2887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3665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1、研究背景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_Toc23665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5145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2、研究意义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_Toc5145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84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（二）研究思路与方法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_Toc284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32208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1、研究思路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_Toc32208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32112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2、研究方法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_Toc32112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6790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（三）论文框架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_Toc6790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4287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（四）文献综述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_Toc14287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6888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1、国外文献综述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_Toc26888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7941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2、国内文献综述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_Toc17941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30962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3、研究述评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_Toc30962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8095" w:history="1">
            <w:r>
              <w:rPr>
                <w:rFonts w:ascii="Times New Roman" w:eastAsia="宋体" w:hAnsi="Times New Roman" w:cs="Times New Roman" w:hint="default"/>
                <w:bCs/>
                <w:kern w:val="44"/>
                <w:sz w:val="24"/>
                <w:szCs w:val="24"/>
                <w:lang w:val="en-US" w:eastAsia="zh-CN" w:bidi="ar-SA"/>
              </w:rPr>
              <w:t>二、基本概念和理论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_Toc28095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5820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（一）大股东概念的界定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_Toc25820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7894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（二）基本理论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_Toc17894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5062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1、委托代理理论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_Toc15062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4687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2、信息不对称理论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_Toc4687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1705" w:history="1">
            <w:r>
              <w:rPr>
                <w:rFonts w:ascii="Times New Roman" w:eastAsia="宋体" w:hAnsi="Times New Roman" w:cs="Times New Roman" w:hint="default"/>
                <w:bCs/>
                <w:kern w:val="44"/>
                <w:sz w:val="24"/>
                <w:szCs w:val="24"/>
                <w:lang w:val="en-US" w:eastAsia="zh-CN" w:bidi="ar-SA"/>
              </w:rPr>
              <w:t>三、ST金刚大股东资金占用案例分析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_Toc11705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6607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（一）ST金刚资金占用案例情况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_Toc26607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32285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1、ST金刚基本信息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_Toc32285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8302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2、ST金刚大股东资金占用案例回顾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_Toc28302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6379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（二）金刚集团大股东资金占用方式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_Toc16379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8775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1、非经营性资金占用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_Toc28775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615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2、违规担保形成资金占用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_Toc2615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2288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（三）金刚集团大股东资金占用动机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_Toc12288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8345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1、无力偿还高额股权质押下的巨额债务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_Toc18345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32144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2、大股东多元化经营战略的实施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_Toc32144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23913" w:history="1">
            <w:r>
              <w:rPr>
                <w:rFonts w:ascii="Times New Roman" w:eastAsia="宋体" w:hAnsi="Times New Roman" w:cs="Times New Roman" w:hint="default"/>
                <w:bCs/>
                <w:kern w:val="2"/>
                <w:sz w:val="24"/>
                <w:szCs w:val="24"/>
                <w:lang w:val="en-US" w:eastAsia="zh-CN" w:bidi="ar-SA"/>
              </w:rPr>
              <w:t>（四）金刚集团大股东资金占用的原因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_Toc23913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4258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1、股权结构不合理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_Toc4258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4431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2、内部控制存在缺陷且执行失效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_Toc14431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4063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3、外部会计师事务所审计的失职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_Toc4063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9319" w:history="1">
            <w:r>
              <w:rPr>
                <w:rFonts w:ascii="Times New Roman" w:eastAsia="宋体" w:hAnsi="Times New Roman" w:cs="Times New Roman" w:hint="default"/>
                <w:kern w:val="2"/>
                <w:sz w:val="24"/>
                <w:szCs w:val="24"/>
                <w:lang w:val="en-US" w:eastAsia="zh-CN" w:bidi="ar-SA"/>
              </w:rPr>
              <w:t>4、外部监管惩处力度不足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_Toc9319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  <w:hyperlink w:anchor="_Toc16424" w:history="1">
            <w:r>
              <w:rPr>
                <w:rFonts w:ascii="Times New Roman" w:eastAsia="宋体" w:hAnsi="Times New Roman" w:cs="Times New Roman" w:hint="default"/>
                <w:bCs/>
                <w:kern w:val="44"/>
                <w:sz w:val="24"/>
                <w:szCs w:val="24"/>
                <w:lang w:val="en-US" w:eastAsia="zh-CN" w:bidi="ar-SA"/>
              </w:rPr>
              <w:t>四、ST金刚大股东资金占用的后果、现状与建议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ab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instrText xml:space="preserve"> PAGEREF _Toc16424 \h </w:instrTex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t>11</w:t>
            </w:r>
            <w:r>
              <w:rPr>
                <w:rFonts w:ascii="Times New Roman" w:eastAsia="宋体" w:hAnsi="Times New Roman" w:cs="Times New Roman" w:hint="default"/>
                <w:sz w:val="24"/>
                <w:szCs w:val="24"/>
              </w:rPr>
              <w:fldChar w:fldCharType="end"/>
            </w:r>
          </w:hyperlink>
          <w:r>
            <w:rPr>
              <w:rFonts w:hint="default"/>
              <w:sz w:val="24"/>
              <w:szCs w:val="24"/>
            </w:rPr>
            <w:br/>
          </w:r>
          <w:r>
            <w:rPr>
              <w:rFonts w:hint="default"/>
              <w:sz w:val="24"/>
              <w:szCs w:val="24"/>
            </w:rP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7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https://d.book118.com/658100051067006046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bidi w:val="0"/>
            <w:adjustRightInd/>
            <w:snapToGrid/>
            <w:spacing w:line="300" w:lineRule="auto"/>
            <w:textAlignment w:val="auto"/>
            <w:rPr>
              <w:rFonts w:hint="default"/>
              <w:sz w:val="24"/>
              <w:szCs w:val="24"/>
            </w:rPr>
          </w:pPr>
        </w:p>
      </w:sdtContent>
    </w:sdt>
    <w:sectPr>
      <w:headerReference w:type="default" r:id="rId8"/>
      <w:footerReference w:type="default" r:id="rId9"/>
      <w:type w:val="nextPage"/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  <w:p>
    <w:pPr>
      <w:pStyle w:val="Footer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2049" type="#_x0000_t202" style="width:9.05pt;height:10.35pt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  <w:p>
    <w:pPr>
      <w:pStyle w:val="Footer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30933035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2050" type="#_x0000_t202" style="width:9.05pt;height:10.35pt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75pt">
              <v:textbox style="mso-fit-shape-to-text:t" inset="0,0,0,0">
                <w:txbxContent>
                  <w:p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5B44C6"/>
    <w:rsid w:val="056164F6"/>
    <w:rsid w:val="155B44C6"/>
    <w:rsid w:val="18CC1CF5"/>
  </w:rsids>
  <w:docVars>
    <w:docVar w:name="commondata" w:val="eyJoZGlkIjoiMjg0MzY1ZTU0NTBiNTI0MzFmOTU2ODE5N2RmMjAwM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1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qFormat="1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zh-CN" w:eastAsia="zh-CN" w:bidi="zh-CN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after="330" w:line="360" w:lineRule="auto"/>
      <w:jc w:val="center"/>
      <w:outlineLvl w:val="0"/>
    </w:pPr>
    <w:rPr>
      <w:rFonts w:ascii="黑体" w:hAnsi="黑体"/>
      <w:kern w:val="44"/>
      <w:sz w:val="36"/>
      <w:szCs w:val="20"/>
    </w:rPr>
  </w:style>
  <w:style w:type="paragraph" w:styleId="Heading2">
    <w:name w:val="heading 2"/>
    <w:basedOn w:val="Normal"/>
    <w:next w:val="Normal"/>
    <w:autoRedefine/>
    <w:qFormat/>
    <w:pPr>
      <w:keepNext/>
      <w:keepLines/>
      <w:spacing w:before="260" w:after="260" w:line="413" w:lineRule="auto"/>
      <w:jc w:val="left"/>
      <w:outlineLvl w:val="1"/>
    </w:pPr>
    <w:rPr>
      <w:rFonts w:ascii="黑体" w:eastAsia="黑体" w:hAnsi="黑体"/>
      <w:sz w:val="30"/>
    </w:rPr>
  </w:style>
  <w:style w:type="paragraph" w:styleId="Heading3">
    <w:name w:val="heading 3"/>
    <w:basedOn w:val="Normal"/>
    <w:next w:val="Normal"/>
    <w:qFormat/>
    <w:pPr>
      <w:keepNext/>
      <w:keepLines/>
      <w:spacing w:before="260" w:after="260" w:line="413" w:lineRule="auto"/>
      <w:jc w:val="left"/>
      <w:outlineLvl w:val="2"/>
    </w:pPr>
    <w:rPr>
      <w:rFonts w:ascii="黑体" w:eastAsia="黑体" w:hAnsi="黑体"/>
      <w:sz w:val="28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autoRedefine/>
    <w:uiPriority w:val="1"/>
    <w:qFormat/>
    <w:pPr>
      <w:ind w:left="100"/>
    </w:pPr>
    <w:rPr>
      <w:rFonts w:ascii="宋体" w:eastAsia="宋体" w:hAnsi="宋体" w:cs="宋体"/>
      <w:sz w:val="21"/>
      <w:szCs w:val="21"/>
      <w:lang w:val="zh-CN" w:eastAsia="zh-CN" w:bidi="zh-CN"/>
    </w:rPr>
  </w:style>
  <w:style w:type="paragraph" w:styleId="Footer">
    <w:name w:val="footer"/>
    <w:basedOn w:val="Normal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spacing w:before="31"/>
      <w:ind w:left="100" w:firstLine="420"/>
    </w:pPr>
    <w:rPr>
      <w:rFonts w:ascii="宋体" w:eastAsia="宋体" w:hAnsi="宋体" w:cs="宋体"/>
      <w:lang w:val="zh-CN" w:eastAsia="zh-CN" w:bidi="zh-CN"/>
    </w:rPr>
  </w:style>
  <w:style w:type="paragraph" w:customStyle="1" w:styleId="TableParagraph">
    <w:name w:val="Table Paragraph"/>
    <w:basedOn w:val="Normal"/>
    <w:uiPriority w:val="1"/>
    <w:qFormat/>
    <w:pPr>
      <w:spacing w:before="15" w:line="265" w:lineRule="exact"/>
    </w:pPr>
    <w:rPr>
      <w:rFonts w:ascii="宋体" w:eastAsia="宋体" w:hAnsi="宋体" w:cs="宋体"/>
      <w:lang w:val="zh-CN" w:eastAsia="zh-CN" w:bidi="zh-CN"/>
    </w:rPr>
  </w:style>
  <w:style w:type="paragraph" w:customStyle="1" w:styleId="a">
    <w:name w:val="原创声明"/>
    <w:basedOn w:val="Normal"/>
    <w:uiPriority w:val="99"/>
    <w:qFormat/>
    <w:pPr>
      <w:tabs>
        <w:tab w:val="left" w:pos="377"/>
      </w:tabs>
      <w:adjustRightInd w:val="0"/>
      <w:snapToGrid w:val="0"/>
      <w:spacing w:after="240" w:line="360" w:lineRule="auto"/>
      <w:jc w:val="center"/>
    </w:pPr>
    <w:rPr>
      <w:rFonts w:ascii="黑体" w:eastAsia="黑体" w:hAnsi="黑体" w:cs="黑体"/>
      <w:bCs/>
      <w:color w:val="000000"/>
      <w:sz w:val="36"/>
      <w:szCs w:val="44"/>
    </w:rPr>
  </w:style>
  <w:style w:type="paragraph" w:customStyle="1" w:styleId="a0">
    <w:name w:val="授权声明"/>
    <w:basedOn w:val="Normal"/>
    <w:uiPriority w:val="99"/>
    <w:qFormat/>
    <w:pPr>
      <w:adjustRightInd w:val="0"/>
      <w:snapToGrid w:val="0"/>
      <w:spacing w:after="240" w:line="360" w:lineRule="auto"/>
      <w:jc w:val="center"/>
    </w:pPr>
    <w:rPr>
      <w:rFonts w:ascii="黑体" w:eastAsia="黑体" w:hAnsi="黑体" w:cs="黑体"/>
      <w:bCs/>
      <w:color w:val="000000"/>
      <w:sz w:val="36"/>
      <w:szCs w:val="44"/>
    </w:rPr>
  </w:style>
  <w:style w:type="paragraph" w:customStyle="1" w:styleId="Abstract">
    <w:name w:val="Abstract"/>
    <w:basedOn w:val="Normal"/>
    <w:uiPriority w:val="99"/>
    <w:qFormat/>
    <w:pPr>
      <w:adjustRightInd w:val="0"/>
      <w:snapToGrid w:val="0"/>
      <w:spacing w:after="240" w:line="360" w:lineRule="auto"/>
      <w:jc w:val="center"/>
    </w:pPr>
    <w:rPr>
      <w:sz w:val="30"/>
    </w:rPr>
  </w:style>
  <w:style w:type="character" w:customStyle="1" w:styleId="font11">
    <w:name w:val="font11"/>
    <w:basedOn w:val="DefaultParagraphFont"/>
    <w:qFormat/>
    <w:rPr>
      <w:rFonts w:ascii="Arial" w:hAnsi="Arial" w:cs="Arial"/>
      <w:color w:val="191919"/>
      <w:sz w:val="20"/>
      <w:szCs w:val="20"/>
      <w:u w:val="none"/>
    </w:rPr>
  </w:style>
  <w:style w:type="character" w:customStyle="1" w:styleId="font21">
    <w:name w:val="font21"/>
    <w:basedOn w:val="DefaultParagraphFont"/>
    <w:qFormat/>
    <w:rPr>
      <w:rFonts w:ascii="宋体" w:eastAsia="宋体" w:hAnsi="宋体" w:cs="宋体" w:hint="eastAsia"/>
      <w:color w:val="191919"/>
      <w:sz w:val="20"/>
      <w:szCs w:val="20"/>
      <w:u w:val="none"/>
    </w:rPr>
  </w:style>
  <w:style w:type="paragraph" w:customStyle="1" w:styleId="WPSOffice1">
    <w:name w:val="WPSOffice手动目录 1"/>
    <w:autoRedefine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autoRedefine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autoRedefine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d.book118.com/658100051067006046" TargetMode="Externa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@.</dc:creator>
  <cp:lastModifiedBy>永驰</cp:lastModifiedBy>
  <cp:revision>1</cp:revision>
  <dcterms:created xsi:type="dcterms:W3CDTF">2022-03-15T12:57:00Z</dcterms:created>
  <dcterms:modified xsi:type="dcterms:W3CDTF">2024-02-26T04:58:08Z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1C5B37455DFB457E957D89FCF3E7CF51</vt:lpwstr>
  </property>
  <property fmtid="{D5CDD505-2E9C-101B-9397-08002B2CF9AE}" pid="3" name="KSOProductBuildVer">
    <vt:lpwstr>2052-12.1.0.16388</vt:lpwstr>
  </property>
</Properties>
</file>