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3" w:lineRule="auto"/>
      </w:pPr>
      <w:r>
        <w:pict>
          <v:rect id="_x0000_s1025" style="width:595.35pt;height:0.75pt;margin-top:275.02pt;margin-left:0;mso-position-horizontal-relative:page;mso-position-vertical-relative:page;position:absolute;z-index:251665408" o:allowincell="f" filled="t" fillcolor="white" stroked="f"/>
        </w:pict>
      </w:r>
      <w:r>
        <w:pict>
          <v:rect id="_x0000_s1026" style="width:595.35pt;height:0.75pt;margin-top:496.62pt;margin-left:0;mso-position-horizontal-relative:page;mso-position-vertical-relative:page;position:absolute;z-index:251664384" o:allowincell="f" filled="t" fillcolor="white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954851</wp:posOffset>
            </wp:positionH>
            <wp:positionV relativeFrom="page">
              <wp:posOffset>1548527</wp:posOffset>
            </wp:positionV>
            <wp:extent cx="432062" cy="28419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062" cy="28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2551429</wp:posOffset>
            </wp:positionH>
            <wp:positionV relativeFrom="page">
              <wp:posOffset>1089533</wp:posOffset>
            </wp:positionV>
            <wp:extent cx="1933575" cy="119189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191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line="203" w:lineRule="exact"/>
        <w:ind w:firstLine="2351"/>
      </w:pPr>
      <w:r>
        <w:rPr>
          <w:position w:val="-4"/>
        </w:rPr>
        <w:drawing>
          <wp:inline distT="0" distB="0" distL="0" distR="0">
            <wp:extent cx="761079" cy="12831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1079" cy="12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1" w:line="162" w:lineRule="auto"/>
        <w:ind w:left="2351"/>
        <w:rPr>
          <w:sz w:val="10"/>
          <w:szCs w:val="10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column">
                  <wp:posOffset>871855</wp:posOffset>
                </wp:positionH>
                <wp:positionV relativeFrom="paragraph">
                  <wp:posOffset>-404538</wp:posOffset>
                </wp:positionV>
                <wp:extent cx="1462405" cy="723900"/>
                <wp:effectExtent l="0" t="0" r="0" b="0"/>
                <wp:wrapNone/>
                <wp:docPr id="10" name="Rect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871855" y="-404538"/>
                          <a:ext cx="146240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0" o:spid="_x0000_s1027" style="width:115.15pt;height:57pt;margin-top:-31.85pt;margin-left:68.65pt;mso-wrap-distance-bottom:0;mso-wrap-distance-left:0;mso-wrap-distance-right:0;mso-wrap-distance-top:0;position:absolute;v-text-anchor:top;z-index:-251658240" fillcolor="white" stroked="f"/>
            </w:pict>
          </mc:Fallback>
        </mc:AlternateContent>
      </w:r>
      <w:r>
        <w:rPr>
          <w:color w:val="042275"/>
          <w:spacing w:val="12"/>
          <w:w w:val="106"/>
          <w:sz w:val="10"/>
          <w:szCs w:val="10"/>
        </w:rPr>
        <w:t>CINDA</w:t>
      </w:r>
      <w:r>
        <w:rPr>
          <w:color w:val="042275"/>
          <w:spacing w:val="23"/>
          <w:w w:val="103"/>
          <w:sz w:val="10"/>
          <w:szCs w:val="10"/>
        </w:rPr>
        <w:t xml:space="preserve"> </w:t>
      </w:r>
      <w:r>
        <w:rPr>
          <w:color w:val="042275"/>
          <w:spacing w:val="12"/>
          <w:w w:val="106"/>
          <w:sz w:val="10"/>
          <w:szCs w:val="10"/>
        </w:rPr>
        <w:t>SECURITIES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54" w:line="218" w:lineRule="auto"/>
        <w:ind w:right="186" w:firstLine="898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-551910</wp:posOffset>
                </wp:positionV>
                <wp:extent cx="7560944" cy="2814954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-551910"/>
                          <a:ext cx="7560944" cy="2814954"/>
                        </a:xfrm>
                        <a:prstGeom prst="rect">
                          <a:avLst/>
                        </a:prstGeom>
                        <a:solidFill>
                          <a:srgbClr val="3D628F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" o:spid="_x0000_s1028" style="width:595.35pt;height:221.65pt;margin-top:-43.46pt;margin-left:0;mso-wrap-distance-bottom:0;mso-wrap-distance-left:0;mso-wrap-distance-right:0;mso-wrap-distance-top:0;position:absolute;v-text-anchor:top;z-index:-251656192" fillcolor="#3d628f" stroked="f"/>
            </w:pict>
          </mc:Fallback>
        </mc:AlternateContent>
      </w: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36"/>
          <w:szCs w:val="36"/>
        </w:rPr>
        <w:t>对比 Costco、Sam</w:t>
      </w:r>
      <w:r>
        <w:rPr>
          <w:rFonts w:ascii="DengXian" w:eastAsia="DengXian" w:hAnsi="DengXian" w:cs="DengXian"/>
          <w:b/>
          <w:bCs/>
          <w:color w:val="FFFFFF"/>
          <w:spacing w:val="-1"/>
          <w:sz w:val="36"/>
          <w:szCs w:val="36"/>
        </w:rPr>
        <w:t>’</w:t>
      </w: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36"/>
          <w:szCs w:val="36"/>
        </w:rPr>
        <w:t>s Club、Aldi</w:t>
      </w:r>
      <w:r>
        <w:rPr>
          <w:rFonts w:ascii="Microsoft YaHei" w:eastAsia="Microsoft YaHei" w:hAnsi="Microsoft YaHei" w:cs="Microsoft YaHei"/>
          <w:b/>
          <w:bCs/>
          <w:color w:val="FFFFFF"/>
          <w:spacing w:val="-2"/>
          <w:sz w:val="36"/>
          <w:szCs w:val="36"/>
        </w:rPr>
        <w:t>，本土企业布局硬折扣有哪些值得</w:t>
      </w:r>
      <w:r>
        <w:rPr>
          <w:rFonts w:ascii="Microsoft YaHei" w:eastAsia="Microsoft YaHei" w:hAnsi="Microsoft YaHei" w:cs="Microsoft YaHei"/>
          <w:b/>
          <w:bCs/>
          <w:color w:val="FFFFFF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17"/>
          <w:w w:val="97"/>
          <w:sz w:val="36"/>
          <w:szCs w:val="36"/>
        </w:rPr>
        <w:t>借鉴的地方？</w:t>
      </w:r>
    </w:p>
    <w:p>
      <w:pPr>
        <w:spacing w:before="275" w:line="216" w:lineRule="auto"/>
        <w:ind w:left="1554"/>
        <w:rPr>
          <w:rFonts w:ascii="KaiTi" w:eastAsia="KaiTi" w:hAnsi="KaiTi" w:cs="KaiTi"/>
          <w:sz w:val="36"/>
          <w:szCs w:val="36"/>
        </w:rPr>
      </w:pPr>
      <w:r>
        <w:rPr>
          <w:rFonts w:ascii="KaiTi" w:eastAsia="KaiTi" w:hAnsi="KaiTi" w:cs="KaiTi"/>
          <w:color w:val="FFFFFF"/>
          <w:spacing w:val="-5"/>
          <w:sz w:val="36"/>
          <w:szCs w:val="36"/>
        </w:rPr>
        <w:t>一般零售</w:t>
      </w:r>
    </w:p>
    <w:p>
      <w:pPr>
        <w:pStyle w:val="BodyText"/>
        <w:spacing w:line="267" w:lineRule="auto"/>
      </w:pPr>
    </w:p>
    <w:p>
      <w:pPr>
        <w:pStyle w:val="BodyText"/>
        <w:spacing w:line="268" w:lineRule="auto"/>
      </w:pPr>
    </w:p>
    <w:p>
      <w:pPr>
        <w:pStyle w:val="BodyText"/>
        <w:spacing w:before="98" w:line="220" w:lineRule="auto"/>
        <w:jc w:val="right"/>
        <w:rPr>
          <w:rFonts w:ascii="SimHei" w:eastAsia="SimHei" w:hAnsi="SimHei" w:cs="SimHei"/>
          <w:sz w:val="30"/>
          <w:szCs w:val="30"/>
        </w:rPr>
      </w:pPr>
      <w:r>
        <w:rPr>
          <w:color w:val="FFFFFF"/>
          <w:spacing w:val="-10"/>
          <w:sz w:val="30"/>
          <w:szCs w:val="30"/>
        </w:rPr>
        <w:t xml:space="preserve">2024 </w:t>
      </w:r>
      <w:r>
        <w:rPr>
          <w:rFonts w:ascii="SimHei" w:eastAsia="SimHei" w:hAnsi="SimHei" w:cs="SimHei"/>
          <w:color w:val="FFFFFF"/>
          <w:spacing w:val="-10"/>
          <w:sz w:val="30"/>
          <w:szCs w:val="30"/>
        </w:rPr>
        <w:t>年</w:t>
      </w:r>
      <w:r>
        <w:rPr>
          <w:rFonts w:ascii="SimHei" w:eastAsia="SimHei" w:hAnsi="SimHei" w:cs="SimHei"/>
          <w:color w:val="FFFFFF"/>
          <w:spacing w:val="-59"/>
          <w:sz w:val="30"/>
          <w:szCs w:val="30"/>
        </w:rPr>
        <w:t xml:space="preserve"> </w:t>
      </w:r>
      <w:r>
        <w:rPr>
          <w:color w:val="FFFFFF"/>
          <w:spacing w:val="-10"/>
          <w:sz w:val="30"/>
          <w:szCs w:val="30"/>
        </w:rPr>
        <w:t>01</w:t>
      </w:r>
      <w:r>
        <w:rPr>
          <w:color w:val="FFFFFF"/>
          <w:spacing w:val="11"/>
          <w:sz w:val="30"/>
          <w:szCs w:val="30"/>
        </w:rPr>
        <w:t xml:space="preserve"> </w:t>
      </w:r>
      <w:r>
        <w:rPr>
          <w:rFonts w:ascii="SimHei" w:eastAsia="SimHei" w:hAnsi="SimHei" w:cs="SimHei"/>
          <w:color w:val="FFFFFF"/>
          <w:spacing w:val="-10"/>
          <w:sz w:val="30"/>
          <w:szCs w:val="30"/>
        </w:rPr>
        <w:t>月</w:t>
      </w:r>
      <w:r>
        <w:rPr>
          <w:rFonts w:ascii="SimHei" w:eastAsia="SimHei" w:hAnsi="SimHei" w:cs="SimHei"/>
          <w:color w:val="FFFFFF"/>
          <w:spacing w:val="-67"/>
          <w:sz w:val="30"/>
          <w:szCs w:val="30"/>
        </w:rPr>
        <w:t xml:space="preserve"> </w:t>
      </w:r>
      <w:r>
        <w:rPr>
          <w:color w:val="FFFFFF"/>
          <w:spacing w:val="-10"/>
          <w:sz w:val="30"/>
          <w:szCs w:val="30"/>
        </w:rPr>
        <w:t>23</w:t>
      </w:r>
      <w:r>
        <w:rPr>
          <w:color w:val="FFFFFF"/>
          <w:spacing w:val="49"/>
          <w:sz w:val="30"/>
          <w:szCs w:val="30"/>
        </w:rPr>
        <w:t xml:space="preserve"> </w:t>
      </w:r>
      <w:r>
        <w:rPr>
          <w:rFonts w:ascii="SimHei" w:eastAsia="SimHei" w:hAnsi="SimHei" w:cs="SimHei"/>
          <w:color w:val="FFFFFF"/>
          <w:spacing w:val="-10"/>
          <w:sz w:val="30"/>
          <w:szCs w:val="30"/>
        </w:rPr>
        <w:t>日</w:t>
      </w:r>
    </w:p>
    <w:p>
      <w:pPr>
        <w:spacing w:line="220" w:lineRule="auto"/>
        <w:rPr>
          <w:rFonts w:ascii="SimHei" w:eastAsia="SimHei" w:hAnsi="SimHei" w:cs="SimHei"/>
          <w:sz w:val="30"/>
          <w:szCs w:val="30"/>
        </w:rPr>
        <w:sectPr>
          <w:headerReference w:type="default" r:id="rId7"/>
          <w:pgSz w:w="11907" w:h="16839"/>
          <w:pgMar w:top="400" w:right="0" w:bottom="0" w:left="0" w:header="0" w:footer="0" w:gutter="0"/>
          <w:cols w:space="708"/>
        </w:sectPr>
      </w:pPr>
    </w:p>
    <w:p>
      <w:pPr>
        <w:spacing w:line="575" w:lineRule="exact"/>
        <w:ind w:firstLine="8018"/>
      </w:pPr>
      <w:r>
        <w:pict>
          <v:rect id="_x0000_s1029" style="width:389.85pt;height:28.05pt;margin-top:13.93pt;margin-left:30.7pt;mso-position-horizontal-relative:page;mso-position-vertical-relative:page;position:absolute;z-index:251668480" o:allowincell="f" filled="t" fillcolor="#4b709a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354.25pt;height:54.65pt;margin-top:62.26pt;margin-left:211.77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626" w:lineRule="exact"/>
                    <w:ind w:left="20"/>
                    <w:rPr>
                      <w:rFonts w:ascii="SimHei" w:eastAsia="SimHei" w:hAnsi="SimHei" w:cs="SimHei"/>
                      <w:sz w:val="36"/>
                      <w:szCs w:val="36"/>
                    </w:rPr>
                  </w:pPr>
                  <w:r>
                    <w:rPr>
                      <w:rFonts w:ascii="SimHei" w:eastAsia="SimHei" w:hAnsi="SimHei" w:cs="SimHei"/>
                      <w:spacing w:val="-6"/>
                      <w:position w:val="20"/>
                      <w:sz w:val="36"/>
                      <w:szCs w:val="36"/>
                      <w14:textOutline w14:w="65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对比</w:t>
                  </w:r>
                  <w:r>
                    <w:rPr>
                      <w:rFonts w:ascii="SimHei" w:eastAsia="SimHei" w:hAnsi="SimHei" w:cs="SimHei"/>
                      <w:spacing w:val="-56"/>
                      <w:position w:val="20"/>
                      <w:sz w:val="36"/>
                      <w:szCs w:val="36"/>
                    </w:rPr>
                    <w:t xml:space="preserve"> </w:t>
                  </w:r>
                  <w:r>
                    <w:rPr>
                      <w:b/>
                      <w:bCs/>
                      <w:spacing w:val="-6"/>
                      <w:position w:val="20"/>
                      <w:sz w:val="36"/>
                      <w:szCs w:val="36"/>
                    </w:rPr>
                    <w:t>Costco</w:t>
                  </w:r>
                  <w:r>
                    <w:rPr>
                      <w:rFonts w:ascii="SimHei" w:eastAsia="SimHei" w:hAnsi="SimHei" w:cs="SimHei"/>
                      <w:spacing w:val="-6"/>
                      <w:position w:val="20"/>
                      <w:sz w:val="36"/>
                      <w:szCs w:val="36"/>
                      <w14:textOutline w14:w="65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、</w:t>
                  </w:r>
                  <w:r>
                    <w:rPr>
                      <w:b/>
                      <w:bCs/>
                      <w:spacing w:val="-6"/>
                      <w:position w:val="20"/>
                      <w:sz w:val="36"/>
                      <w:szCs w:val="36"/>
                    </w:rPr>
                    <w:t>Sam’s Club</w:t>
                  </w:r>
                  <w:r>
                    <w:rPr>
                      <w:rFonts w:ascii="SimHei" w:eastAsia="SimHei" w:hAnsi="SimHei" w:cs="SimHei"/>
                      <w:spacing w:val="-6"/>
                      <w:position w:val="20"/>
                      <w:sz w:val="36"/>
                      <w:szCs w:val="36"/>
                      <w14:textOutline w14:w="65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、</w:t>
                  </w:r>
                  <w:r>
                    <w:rPr>
                      <w:b/>
                      <w:bCs/>
                      <w:spacing w:val="-6"/>
                      <w:position w:val="20"/>
                      <w:sz w:val="36"/>
                      <w:szCs w:val="36"/>
                    </w:rPr>
                    <w:t>Aldi</w:t>
                  </w:r>
                  <w:r>
                    <w:rPr>
                      <w:rFonts w:ascii="SimHei" w:eastAsia="SimHei" w:hAnsi="SimHei" w:cs="SimHei"/>
                      <w:spacing w:val="-6"/>
                      <w:position w:val="20"/>
                      <w:sz w:val="36"/>
                      <w:szCs w:val="36"/>
                      <w14:textOutline w14:w="65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，本土企业</w:t>
                  </w:r>
                </w:p>
                <w:p>
                  <w:pPr>
                    <w:spacing w:line="218" w:lineRule="auto"/>
                    <w:ind w:left="20"/>
                    <w:rPr>
                      <w:rFonts w:ascii="SimHei" w:eastAsia="SimHei" w:hAnsi="SimHei" w:cs="SimHei"/>
                      <w:sz w:val="36"/>
                      <w:szCs w:val="36"/>
                    </w:rPr>
                  </w:pPr>
                  <w:r>
                    <w:rPr>
                      <w:rFonts w:ascii="SimHei" w:eastAsia="SimHei" w:hAnsi="SimHei" w:cs="SimHei"/>
                      <w:spacing w:val="-5"/>
                      <w:sz w:val="36"/>
                      <w:szCs w:val="36"/>
                      <w14:textOutline w14:w="65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布局硬折扣有哪些值得借鉴的地方？</w:t>
                  </w:r>
                </w:p>
              </w:txbxContent>
            </v:textbox>
          </v:shape>
        </w:pict>
      </w:r>
      <w:r>
        <w:pict>
          <v:shape id="_x0000_s1031" type="#_x0000_t202" style="width:92.5pt;height:15pt;margin-top:131.74pt;margin-left:471.76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before="20" w:line="218" w:lineRule="auto"/>
                    <w:jc w:val="right"/>
                    <w:rPr>
                      <w:rFonts w:ascii="KaiTi" w:eastAsia="KaiTi" w:hAnsi="KaiTi" w:cs="KaiTi"/>
                      <w:sz w:val="22"/>
                      <w:szCs w:val="22"/>
                    </w:rPr>
                  </w:pPr>
                  <w:r>
                    <w:rPr>
                      <w:rFonts w:ascii="KaiTi" w:eastAsia="KaiTi" w:hAnsi="KaiTi" w:cs="KaiTi"/>
                      <w:spacing w:val="-9"/>
                      <w:sz w:val="22"/>
                      <w:szCs w:val="22"/>
                    </w:rPr>
                    <w:t>2024</w:t>
                  </w:r>
                  <w:r>
                    <w:rPr>
                      <w:rFonts w:ascii="KaiTi" w:eastAsia="KaiTi" w:hAnsi="KaiTi" w:cs="KaiTi"/>
                      <w:spacing w:val="-42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9"/>
                      <w:sz w:val="22"/>
                      <w:szCs w:val="22"/>
                    </w:rPr>
                    <w:t>年</w:t>
                  </w:r>
                  <w:r>
                    <w:rPr>
                      <w:rFonts w:ascii="KaiTi" w:eastAsia="KaiTi" w:hAnsi="KaiTi" w:cs="KaiTi"/>
                      <w:spacing w:val="-48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9"/>
                      <w:sz w:val="22"/>
                      <w:szCs w:val="22"/>
                    </w:rPr>
                    <w:t>01</w:t>
                  </w:r>
                  <w:r>
                    <w:rPr>
                      <w:rFonts w:ascii="KaiTi" w:eastAsia="KaiTi" w:hAnsi="KaiTi" w:cs="KaiTi"/>
                      <w:spacing w:val="-36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9"/>
                      <w:sz w:val="22"/>
                      <w:szCs w:val="22"/>
                    </w:rPr>
                    <w:t>月</w:t>
                  </w:r>
                  <w:r>
                    <w:rPr>
                      <w:rFonts w:ascii="KaiTi" w:eastAsia="KaiTi" w:hAnsi="KaiTi" w:cs="KaiTi"/>
                      <w:spacing w:val="-48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9"/>
                      <w:sz w:val="22"/>
                      <w:szCs w:val="22"/>
                    </w:rPr>
                    <w:t>23</w:t>
                  </w:r>
                  <w:r>
                    <w:rPr>
                      <w:rFonts w:ascii="KaiTi" w:eastAsia="KaiTi" w:hAnsi="KaiTi" w:cs="KaiTi"/>
                      <w:spacing w:val="-9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9"/>
                      <w:sz w:val="22"/>
                      <w:szCs w:val="22"/>
                    </w:rPr>
                    <w:t>日</w:t>
                  </w:r>
                </w:p>
              </w:txbxContent>
            </v:textbox>
          </v:shape>
        </w:pict>
      </w:r>
      <w:r>
        <w:pict>
          <v:shape id="_x0000_s1032" type="#_x0000_t202" style="width:354.2pt;height:15.6pt;margin-top:146.3pt;margin-left:212.21pt;mso-position-horizontal-relative:page;mso-position-vertical-relative:page;position:absolute;z-index:251669504" o:allowincell="f" filled="t" fillcolor="#4b7099" stroked="f">
            <o:lock v:ext="edit" aspectratio="f"/>
            <v:textbox inset="0,0,0,0">
              <w:txbxContent>
                <w:p>
                  <w:pPr>
                    <w:spacing w:before="35" w:line="217" w:lineRule="auto"/>
                    <w:ind w:left="125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2"/>
                      <w:sz w:val="24"/>
                      <w:szCs w:val="24"/>
                      <w14:textOutline w14:w="4354">
                        <w14:solidFill>
                          <w14:srgbClr w14:val="FFFFFF"/>
                        </w14:solidFill>
                        <w14:prstDash w14:val="solid"/>
                        <w14:miter w14:lim="10"/>
                      </w14:textOutline>
                    </w:rPr>
                    <w:t>本期内容提要:</w:t>
                  </w:r>
                </w:p>
              </w:txbxContent>
            </v:textbox>
          </v:shape>
        </w:pict>
      </w:r>
      <w:r>
        <w:pict>
          <v:group id="_x0000_s1033" style="width:156.2pt;height:465.45pt;margin-top:55.44pt;margin-left:41.88pt;mso-position-horizontal-relative:page;mso-position-vertical-relative:page;position:absolute;z-index:251666432" coordorigin="0,0" coordsize="3123,9309" o:allowincell="f" filled="f" stroked="f">
            <v:rect id="_x0000_s1034" style="width:3108;height:9309;left:14;position:absolute" filled="t" fillcolor="#4b7099" stroked="f"/>
            <v:shape id="_x0000_s1035" type="#_x0000_t202" style="width:3163;height:9140;left:-20;position:absolute;top:151" filled="f" stroked="f">
              <o:lock v:ext="edit" aspectratio="f"/>
              <v:textbox inset="0,0,0,0">
                <w:txbxContent>
                  <w:p>
                    <w:pPr>
                      <w:spacing w:before="20" w:line="219" w:lineRule="auto"/>
                      <w:ind w:left="152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2"/>
                        <w:sz w:val="28"/>
                        <w:szCs w:val="28"/>
                      </w:rPr>
                      <w:t>证券研究报告</w:t>
                    </w:r>
                  </w:p>
                  <w:p>
                    <w:pPr>
                      <w:spacing w:line="59" w:lineRule="exact"/>
                    </w:pPr>
                  </w:p>
                  <w:tbl>
                    <w:tblPr>
                      <w:tblStyle w:val="TableNormal0"/>
                      <w:tblW w:w="3120" w:type="dxa"/>
                      <w:tblInd w:w="20" w:type="dxa"/>
                      <w:tblBorders>
                        <w:top w:val="single" w:sz="2" w:space="0" w:color="4B7099"/>
                        <w:left w:val="single" w:sz="2" w:space="0" w:color="4B7099"/>
                        <w:bottom w:val="single" w:sz="2" w:space="0" w:color="4B7099"/>
                        <w:right w:val="single" w:sz="2" w:space="0" w:color="4B7099"/>
                        <w:insideH w:val="single" w:sz="2" w:space="0" w:color="4B7099"/>
                        <w:insideV w:val="single" w:sz="2" w:space="0" w:color="4B7099"/>
                      </w:tblBorders>
                      <w:tblLayout w:type="fixed"/>
                    </w:tblPr>
                    <w:tblGrid>
                      <w:gridCol w:w="3120"/>
                    </w:tblGrid>
                    <w:tr>
                      <w:tblPrEx>
                        <w:tblW w:w="3120" w:type="dxa"/>
                        <w:tblInd w:w="20" w:type="dxa"/>
                        <w:tblBorders>
                          <w:top w:val="single" w:sz="2" w:space="0" w:color="4B7099"/>
                          <w:left w:val="single" w:sz="2" w:space="0" w:color="4B7099"/>
                          <w:bottom w:val="single" w:sz="2" w:space="0" w:color="4B7099"/>
                          <w:right w:val="single" w:sz="2" w:space="0" w:color="4B7099"/>
                          <w:insideH w:val="single" w:sz="2" w:space="0" w:color="4B7099"/>
                          <w:insideV w:val="single" w:sz="2" w:space="0" w:color="4B7099"/>
                        </w:tblBorders>
                        <w:tblLayout w:type="fixed"/>
                      </w:tblPrEx>
                      <w:trPr>
                        <w:trHeight w:val="576"/>
                      </w:trPr>
                      <w:tc>
                        <w:tcPr>
                          <w:tcW w:w="3120" w:type="dxa"/>
                          <w:tcBorders>
                            <w:left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spacing w:before="201" w:line="219" w:lineRule="auto"/>
                            <w:ind w:left="133"/>
                            <w:rPr>
                              <w:rFonts w:ascii="SimHei" w:eastAsia="SimHei" w:hAnsi="SimHei" w:cs="SimHe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FFFFFF"/>
                              <w:spacing w:val="-2"/>
                              <w:sz w:val="28"/>
                              <w:szCs w:val="28"/>
                            </w:rPr>
                            <w:t>行业研究</w:t>
                          </w:r>
                        </w:p>
                      </w:tc>
                    </w:tr>
                    <w:tr>
                      <w:tblPrEx>
                        <w:tblW w:w="3120" w:type="dxa"/>
                        <w:tblInd w:w="20" w:type="dxa"/>
                        <w:tblLayout w:type="fixed"/>
                      </w:tblPrEx>
                      <w:trPr>
                        <w:trHeight w:val="552"/>
                      </w:trPr>
                      <w:tc>
                        <w:tcPr>
                          <w:tcW w:w="3120" w:type="dxa"/>
                          <w:tcBorders>
                            <w:left w:val="nil"/>
                          </w:tcBorders>
                          <w:vAlign w:val="top"/>
                        </w:tcPr>
                        <w:p>
                          <w:pPr>
                            <w:spacing w:before="209" w:line="219" w:lineRule="auto"/>
                            <w:ind w:left="34"/>
                            <w:rPr>
                              <w:rFonts w:ascii="SimHei" w:eastAsia="SimHei" w:hAnsi="SimHei" w:cs="SimHe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FFFFFF"/>
                              <w:spacing w:val="-2"/>
                              <w:sz w:val="28"/>
                              <w:szCs w:val="28"/>
                            </w:rPr>
                            <w:t>行业深度研究</w:t>
                          </w:r>
                        </w:p>
                      </w:tc>
                    </w:tr>
                    <w:tr>
                      <w:tblPrEx>
                        <w:tblW w:w="3120" w:type="dxa"/>
                        <w:tblInd w:w="20" w:type="dxa"/>
                        <w:tblLayout w:type="fixed"/>
                      </w:tblPrEx>
                      <w:trPr>
                        <w:trHeight w:val="1592"/>
                      </w:trPr>
                      <w:tc>
                        <w:tcPr>
                          <w:tcW w:w="3120" w:type="dxa"/>
                          <w:tcBorders>
                            <w:left w:val="nil"/>
                            <w:bottom w:val="single" w:sz="8" w:space="0" w:color="4B7099"/>
                          </w:tcBorders>
                          <w:vAlign w:val="top"/>
                        </w:tcPr>
                        <w:p>
                          <w:pPr>
                            <w:spacing w:before="117" w:line="500" w:lineRule="exact"/>
                            <w:ind w:left="37"/>
                            <w:rPr>
                              <w:rFonts w:ascii="SimHei" w:eastAsia="SimHei" w:hAnsi="SimHei" w:cs="Sim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FFFFFF"/>
                              <w:spacing w:val="-3"/>
                              <w:position w:val="19"/>
                              <w:sz w:val="24"/>
                              <w:szCs w:val="24"/>
                              <w14:textOutline w14:w="4354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一般零售</w:t>
                          </w:r>
                        </w:p>
                        <w:p>
                          <w:pPr>
                            <w:spacing w:line="219" w:lineRule="auto"/>
                            <w:ind w:left="30"/>
                            <w:rPr>
                              <w:rFonts w:ascii="SimHei" w:eastAsia="SimHei" w:hAnsi="SimHei" w:cs="SimHei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FFFFFF"/>
                              <w:spacing w:val="-1"/>
                              <w:sz w:val="21"/>
                              <w:szCs w:val="21"/>
                              <w14:textOutline w14:w="3831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投资评级</w:t>
                          </w:r>
                        </w:p>
                        <w:p>
                          <w:pPr>
                            <w:spacing w:before="247" w:line="219" w:lineRule="auto"/>
                            <w:ind w:left="35"/>
                            <w:rPr>
                              <w:rFonts w:ascii="SimHei" w:eastAsia="SimHei" w:hAnsi="SimHei" w:cs="SimHei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Hei" w:eastAsia="SimHei" w:hAnsi="SimHei" w:cs="SimHei"/>
                              <w:color w:val="FFFFFF"/>
                              <w:spacing w:val="-2"/>
                              <w:sz w:val="21"/>
                              <w:szCs w:val="21"/>
                              <w14:textOutline w14:w="3831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上次评级</w:t>
                          </w:r>
                        </w:p>
                      </w:tc>
                    </w:tr>
                  </w:tbl>
                  <w:p>
                    <w:pPr>
                      <w:spacing w:before="66" w:line="312" w:lineRule="exact"/>
                      <w:ind w:left="55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position w:val="10"/>
                        <w:sz w:val="18"/>
                        <w:szCs w:val="18"/>
                      </w:rPr>
                      <w:t>刘嘉仁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position w:val="10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position w:val="10"/>
                        <w:sz w:val="18"/>
                        <w:szCs w:val="18"/>
                      </w:rPr>
                      <w:t>社零&amp;美护首席分析师</w:t>
                    </w:r>
                  </w:p>
                  <w:p>
                    <w:pPr>
                      <w:spacing w:line="217" w:lineRule="auto"/>
                      <w:ind w:left="52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8"/>
                        <w:sz w:val="18"/>
                        <w:szCs w:val="18"/>
                      </w:rPr>
                      <w:t>执业编号：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5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8"/>
                        <w:sz w:val="18"/>
                        <w:szCs w:val="18"/>
                      </w:rPr>
                      <w:t>S1500522110002</w:t>
                    </w:r>
                  </w:p>
                  <w:p>
                    <w:pPr>
                      <w:spacing w:before="100" w:line="215" w:lineRule="auto"/>
                      <w:ind w:left="49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9"/>
                        <w:sz w:val="18"/>
                        <w:szCs w:val="18"/>
                      </w:rPr>
                      <w:t>联系电话：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4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9"/>
                        <w:sz w:val="18"/>
                        <w:szCs w:val="18"/>
                      </w:rPr>
                      <w:t>15000310173</w:t>
                    </w:r>
                  </w:p>
                  <w:p>
                    <w:pPr>
                      <w:spacing w:before="103" w:line="214" w:lineRule="auto"/>
                      <w:ind w:left="55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5"/>
                        <w:sz w:val="18"/>
                        <w:szCs w:val="18"/>
                      </w:rPr>
                      <w:t>邮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6"/>
                        <w:sz w:val="18"/>
                        <w:szCs w:val="18"/>
                      </w:rPr>
                      <w:t xml:space="preserve">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5"/>
                        <w:sz w:val="18"/>
                        <w:szCs w:val="18"/>
                      </w:rPr>
                      <w:t>箱：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5"/>
                        <w:sz w:val="18"/>
                        <w:szCs w:val="18"/>
                      </w:rPr>
                      <w:t>liujiaren@cindasc.com</w:t>
                    </w:r>
                  </w:p>
                  <w:p>
                    <w:pPr>
                      <w:pStyle w:val="BodyText"/>
                      <w:spacing w:line="242" w:lineRule="auto"/>
                    </w:pPr>
                  </w:p>
                  <w:p>
                    <w:pPr>
                      <w:pStyle w:val="BodyText"/>
                      <w:spacing w:line="243" w:lineRule="auto"/>
                    </w:pPr>
                  </w:p>
                  <w:p>
                    <w:pPr>
                      <w:spacing w:before="59" w:line="216" w:lineRule="auto"/>
                      <w:ind w:left="50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8"/>
                        <w:szCs w:val="18"/>
                      </w:rPr>
                      <w:t>蔡昕妤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6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8"/>
                        <w:szCs w:val="18"/>
                      </w:rPr>
                      <w:t>商贸零售分析师</w:t>
                    </w:r>
                  </w:p>
                  <w:p>
                    <w:pPr>
                      <w:spacing w:before="101" w:line="312" w:lineRule="exact"/>
                      <w:ind w:left="52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8"/>
                        <w:position w:val="10"/>
                        <w:sz w:val="18"/>
                        <w:szCs w:val="18"/>
                      </w:rPr>
                      <w:t>执业编号：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54"/>
                        <w:position w:val="10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8"/>
                        <w:position w:val="10"/>
                        <w:sz w:val="18"/>
                        <w:szCs w:val="18"/>
                      </w:rPr>
                      <w:t>S1500523060001</w:t>
                    </w:r>
                  </w:p>
                  <w:p>
                    <w:pPr>
                      <w:spacing w:line="215" w:lineRule="auto"/>
                      <w:ind w:left="49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9"/>
                        <w:sz w:val="18"/>
                        <w:szCs w:val="18"/>
                      </w:rPr>
                      <w:t>联系电话：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4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9"/>
                        <w:sz w:val="18"/>
                        <w:szCs w:val="18"/>
                      </w:rPr>
                      <w:t>13921189535</w:t>
                    </w:r>
                  </w:p>
                  <w:p>
                    <w:pPr>
                      <w:spacing w:before="103" w:line="214" w:lineRule="auto"/>
                      <w:ind w:left="55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4"/>
                        <w:sz w:val="18"/>
                        <w:szCs w:val="18"/>
                      </w:rPr>
                      <w:t>邮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5"/>
                        <w:sz w:val="18"/>
                        <w:szCs w:val="18"/>
                      </w:rPr>
                      <w:t xml:space="preserve">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4"/>
                        <w:sz w:val="18"/>
                        <w:szCs w:val="18"/>
                      </w:rPr>
                      <w:t>箱：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2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4"/>
                        <w:sz w:val="18"/>
                        <w:szCs w:val="18"/>
                      </w:rPr>
                      <w:t>caixinyu@cindasc.com</w:t>
                    </w:r>
                  </w:p>
                  <w:p>
                    <w:pPr>
                      <w:pStyle w:val="BodyText"/>
                      <w:spacing w:line="272" w:lineRule="auto"/>
                    </w:pPr>
                  </w:p>
                  <w:p>
                    <w:pPr>
                      <w:pStyle w:val="BodyText"/>
                      <w:spacing w:line="272" w:lineRule="auto"/>
                    </w:pPr>
                  </w:p>
                  <w:p>
                    <w:pPr>
                      <w:pStyle w:val="BodyText"/>
                      <w:spacing w:line="272" w:lineRule="auto"/>
                    </w:pPr>
                  </w:p>
                  <w:p>
                    <w:pPr>
                      <w:pStyle w:val="BodyText"/>
                      <w:spacing w:line="272" w:lineRule="auto"/>
                    </w:pPr>
                  </w:p>
                  <w:p>
                    <w:pPr>
                      <w:pStyle w:val="BodyText"/>
                      <w:spacing w:line="272" w:lineRule="auto"/>
                    </w:pPr>
                  </w:p>
                  <w:p>
                    <w:pPr>
                      <w:pStyle w:val="BodyText"/>
                      <w:spacing w:line="272" w:lineRule="auto"/>
                    </w:pPr>
                  </w:p>
                  <w:p>
                    <w:pPr>
                      <w:pStyle w:val="BodyText"/>
                      <w:spacing w:line="273" w:lineRule="auto"/>
                    </w:pPr>
                  </w:p>
                  <w:p>
                    <w:pPr>
                      <w:spacing w:before="59" w:line="217" w:lineRule="auto"/>
                      <w:ind w:left="147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8"/>
                        <w:szCs w:val="18"/>
                      </w:rPr>
                      <w:t>信达证券股份有限公司</w:t>
                    </w:r>
                  </w:p>
                  <w:p>
                    <w:pPr>
                      <w:spacing w:before="129" w:line="182" w:lineRule="auto"/>
                      <w:ind w:left="148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8"/>
                        <w:szCs w:val="18"/>
                      </w:rPr>
                      <w:t>C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49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8"/>
                        <w:szCs w:val="18"/>
                      </w:rPr>
                      <w:t>INDA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8"/>
                        <w:szCs w:val="18"/>
                      </w:rPr>
                      <w:t>SECURITIES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2"/>
                        <w:sz w:val="18"/>
                        <w:szCs w:val="18"/>
                      </w:rPr>
                      <w:t>CO.,LTD</w:t>
                    </w:r>
                  </w:p>
                  <w:p>
                    <w:pPr>
                      <w:spacing w:before="77" w:line="245" w:lineRule="auto"/>
                      <w:ind w:left="154" w:right="598" w:firstLine="3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22"/>
                        <w:w w:val="96"/>
                        <w:sz w:val="18"/>
                        <w:szCs w:val="18"/>
                      </w:rPr>
                      <w:t>北京市西城区闹市口大街9号院1号楼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4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2"/>
                        <w:sz w:val="18"/>
                        <w:szCs w:val="18"/>
                      </w:rPr>
                      <w:t>邮编：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7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2"/>
                        <w:sz w:val="18"/>
                        <w:szCs w:val="18"/>
                      </w:rPr>
                      <w:t>100031</w:t>
                    </w:r>
                  </w:p>
                </w:txbxContent>
              </v:textbox>
            </v:shape>
          </v:group>
        </w:pict>
      </w:r>
      <w:r>
        <w:rPr>
          <w:position w:val="-11"/>
        </w:rPr>
        <w:drawing>
          <wp:inline distT="0" distB="0" distL="0" distR="0">
            <wp:extent cx="1774189" cy="36575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74189" cy="365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line="43" w:lineRule="exact"/>
        <w:ind w:firstLine="3615"/>
      </w:pPr>
      <w:r>
        <w:pict>
          <v:shape id="_x0000_i1036" style="width:354.45pt;height:2.2pt;mso-position-horizontal-relative:char;mso-position-vertical-relative:line" coordorigin="0,0" coordsize="7089,44" path="m,43l7088,43l7088,l,l,43xe" filled="t" fillcolor="#4b7a99" stroked="f">
            <w10:wrap type="none"/>
          </v:shape>
        </w:pict>
      </w:r>
    </w:p>
    <w:p>
      <w:pPr>
        <w:pStyle w:val="BodyText"/>
        <w:spacing w:line="349" w:lineRule="auto"/>
      </w:pPr>
    </w:p>
    <w:p>
      <w:pPr>
        <w:pStyle w:val="BodyText"/>
        <w:spacing w:line="349" w:lineRule="auto"/>
      </w:pPr>
    </w:p>
    <w:p>
      <w:pPr>
        <w:pStyle w:val="BodyText"/>
        <w:spacing w:before="68" w:line="271" w:lineRule="auto"/>
        <w:ind w:left="4265" w:right="191" w:hanging="404"/>
        <w:rPr>
          <w:rFonts w:ascii="KaiTi" w:eastAsia="KaiTi" w:hAnsi="KaiTi" w:cs="KaiTi"/>
        </w:rPr>
      </w:pPr>
      <w:r>
        <w:rPr>
          <w:rFonts w:ascii="KaiTi" w:eastAsia="KaiTi" w:hAnsi="KaiTi" w:cs="KaiTi"/>
          <w:color w:val="152F58"/>
        </w:rPr>
        <w:drawing>
          <wp:inline distT="0" distB="0" distL="0" distR="0">
            <wp:extent cx="95219" cy="9843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152F58"/>
          <w:spacing w:val="32"/>
        </w:rPr>
        <w:t xml:space="preserve">  </w:t>
      </w:r>
      <w:r>
        <w:rPr>
          <w:rFonts w:ascii="KaiTi" w:eastAsia="KaiTi" w:hAnsi="KaiTi" w:cs="KaiTi"/>
          <w:color w:val="152F58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消费追求性价比、回归商品使用属性，我国折</w:t>
      </w:r>
      <w:r>
        <w:rPr>
          <w:rFonts w:ascii="KaiTi" w:eastAsia="KaiTi" w:hAnsi="KaiTi" w:cs="KaiTi"/>
          <w:color w:val="152F58"/>
          <w:spacing w:val="-1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扣业态</w:t>
      </w:r>
      <w:r>
        <w:rPr>
          <w:rFonts w:ascii="KaiTi" w:eastAsia="KaiTi" w:hAnsi="KaiTi" w:cs="KaiTi"/>
          <w:color w:val="152F58"/>
          <w:spacing w:val="-1"/>
        </w:rPr>
        <w:t xml:space="preserve"> </w:t>
      </w:r>
      <w:r>
        <w:rPr>
          <w:b/>
          <w:bCs/>
          <w:color w:val="152F58"/>
          <w:spacing w:val="-1"/>
        </w:rPr>
        <w:t>2023</w:t>
      </w:r>
      <w:r>
        <w:rPr>
          <w:b/>
          <w:bCs/>
          <w:color w:val="152F58"/>
          <w:spacing w:val="44"/>
          <w:w w:val="101"/>
        </w:rPr>
        <w:t xml:space="preserve"> </w:t>
      </w:r>
      <w:r>
        <w:rPr>
          <w:rFonts w:ascii="KaiTi" w:eastAsia="KaiTi" w:hAnsi="KaiTi" w:cs="KaiTi"/>
          <w:color w:val="152F58"/>
          <w:spacing w:val="-1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年以来快</w:t>
      </w:r>
      <w:r>
        <w:rPr>
          <w:rFonts w:ascii="KaiTi" w:eastAsia="KaiTi" w:hAnsi="KaiTi" w:cs="KaiTi"/>
          <w:color w:val="152F58"/>
        </w:rPr>
        <w:t xml:space="preserve"> </w:t>
      </w:r>
      <w:r>
        <w:rPr>
          <w:rFonts w:ascii="KaiTi" w:eastAsia="KaiTi" w:hAnsi="KaiTi" w:cs="KaiTi"/>
          <w:color w:val="152F58"/>
          <w:spacing w:val="2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速发展。</w:t>
      </w:r>
      <w:r>
        <w:rPr>
          <w:rFonts w:ascii="KaiTi" w:eastAsia="KaiTi" w:hAnsi="KaiTi" w:cs="KaiTi"/>
          <w:spacing w:val="2"/>
        </w:rPr>
        <w:t>折扣业态的兴起契合消费分级大背景下性价</w:t>
      </w:r>
      <w:r>
        <w:rPr>
          <w:rFonts w:ascii="KaiTi" w:eastAsia="KaiTi" w:hAnsi="KaiTi" w:cs="KaiTi"/>
          <w:spacing w:val="1"/>
        </w:rPr>
        <w:t>比消费的崛起趋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势，对标海外，折扣业态通常兴起于宏观经济增速放缓的大背景下。</w:t>
      </w:r>
      <w:r>
        <w:rPr>
          <w:rFonts w:ascii="KaiTi" w:eastAsia="KaiTi" w:hAnsi="KaiTi" w:cs="KaiTi"/>
          <w:spacing w:val="5"/>
        </w:rPr>
        <w:t xml:space="preserve"> </w:t>
      </w:r>
      <w:r>
        <w:rPr>
          <w:rFonts w:ascii="KaiTi" w:eastAsia="KaiTi" w:hAnsi="KaiTi" w:cs="KaiTi"/>
          <w:spacing w:val="2"/>
        </w:rPr>
        <w:t>我们认为在国内传统商超零售发展受阻，实</w:t>
      </w:r>
      <w:r>
        <w:rPr>
          <w:rFonts w:ascii="KaiTi" w:eastAsia="KaiTi" w:hAnsi="KaiTi" w:cs="KaiTi"/>
          <w:spacing w:val="1"/>
        </w:rPr>
        <w:t>物商品消费线上化率进程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2"/>
        </w:rPr>
        <w:t>趋缓、线上线下消费结构已达相对稳定水平</w:t>
      </w:r>
      <w:r>
        <w:rPr>
          <w:rFonts w:ascii="KaiTi" w:eastAsia="KaiTi" w:hAnsi="KaiTi" w:cs="KaiTi"/>
          <w:spacing w:val="1"/>
        </w:rPr>
        <w:t>的背景下，布局折扣业态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2"/>
        </w:rPr>
        <w:t>转型或为新的成长机遇。</w:t>
      </w:r>
    </w:p>
    <w:p>
      <w:pPr>
        <w:pStyle w:val="BodyText"/>
        <w:spacing w:before="227" w:line="277" w:lineRule="auto"/>
        <w:ind w:left="4265" w:right="189" w:hanging="404"/>
        <w:rPr>
          <w:rFonts w:ascii="KaiTi" w:eastAsia="KaiTi" w:hAnsi="KaiTi" w:cs="KaiTi"/>
        </w:rPr>
      </w:pPr>
      <w:r>
        <w:rPr>
          <w:rFonts w:ascii="KaiTi" w:eastAsia="KaiTi" w:hAnsi="KaiTi" w:cs="KaiTi"/>
          <w:color w:val="152F58"/>
        </w:rPr>
        <w:drawing>
          <wp:inline distT="0" distB="0" distL="0" distR="0">
            <wp:extent cx="95219" cy="9843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152F58"/>
          <w:spacing w:val="25"/>
        </w:rPr>
        <w:t xml:space="preserve">  </w:t>
      </w:r>
      <w:r>
        <w:rPr>
          <w:rFonts w:ascii="KaiTi" w:eastAsia="KaiTi" w:hAnsi="KaiTi" w:cs="KaiTi"/>
          <w:color w:val="152F58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硬折扣龙头具备低毛利、低费用率、高周转、高</w:t>
      </w:r>
      <w:r>
        <w:rPr>
          <w:rFonts w:ascii="KaiTi" w:eastAsia="KaiTi" w:hAnsi="KaiTi" w:cs="KaiTi"/>
          <w:color w:val="152F58"/>
        </w:rPr>
        <w:t xml:space="preserve"> </w:t>
      </w:r>
      <w:r>
        <w:rPr>
          <w:b/>
          <w:bCs/>
          <w:color w:val="152F58"/>
        </w:rPr>
        <w:t xml:space="preserve">ROE  </w:t>
      </w:r>
      <w:r>
        <w:rPr>
          <w:rFonts w:ascii="KaiTi" w:eastAsia="KaiTi" w:hAnsi="KaiTi" w:cs="KaiTi"/>
          <w:color w:val="152F58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的特征，业绩</w:t>
      </w:r>
      <w:r>
        <w:rPr>
          <w:rFonts w:ascii="KaiTi" w:eastAsia="KaiTi" w:hAnsi="KaiTi" w:cs="KaiTi"/>
          <w:color w:val="152F58"/>
        </w:rPr>
        <w:t xml:space="preserve"> </w:t>
      </w:r>
      <w:r>
        <w:rPr>
          <w:rFonts w:ascii="KaiTi" w:eastAsia="KaiTi" w:hAnsi="KaiTi" w:cs="KaiTi"/>
          <w:color w:val="152F58"/>
          <w:spacing w:val="-1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韧性强。</w:t>
      </w:r>
      <w:r>
        <w:rPr>
          <w:rFonts w:ascii="KaiTi" w:eastAsia="KaiTi" w:hAnsi="KaiTi" w:cs="KaiTi"/>
          <w:spacing w:val="-1"/>
        </w:rPr>
        <w:t>我们以折扣零售龙头</w:t>
      </w:r>
      <w:r>
        <w:rPr>
          <w:rFonts w:ascii="KaiTi" w:eastAsia="KaiTi" w:hAnsi="KaiTi" w:cs="KaiTi"/>
          <w:spacing w:val="-44"/>
        </w:rPr>
        <w:t xml:space="preserve"> </w:t>
      </w:r>
      <w:r>
        <w:rPr>
          <w:spacing w:val="-1"/>
        </w:rPr>
        <w:t xml:space="preserve">Costco </w:t>
      </w:r>
      <w:r>
        <w:rPr>
          <w:rFonts w:ascii="KaiTi" w:eastAsia="KaiTi" w:hAnsi="KaiTi" w:cs="KaiTi"/>
          <w:spacing w:val="-1"/>
        </w:rPr>
        <w:t>的财务数据为例，其近</w:t>
      </w:r>
      <w:r>
        <w:rPr>
          <w:rFonts w:ascii="KaiTi" w:eastAsia="KaiTi" w:hAnsi="KaiTi" w:cs="KaiTi"/>
          <w:spacing w:val="-29"/>
        </w:rPr>
        <w:t xml:space="preserve"> </w:t>
      </w:r>
      <w:r>
        <w:rPr>
          <w:spacing w:val="-1"/>
        </w:rPr>
        <w:t xml:space="preserve">10 </w:t>
      </w:r>
      <w:r>
        <w:rPr>
          <w:rFonts w:ascii="KaiTi" w:eastAsia="KaiTi" w:hAnsi="KaiTi" w:cs="KaiTi"/>
          <w:spacing w:val="-1"/>
        </w:rPr>
        <w:t>年商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15"/>
        </w:rPr>
        <w:t>品销售毛利率稳定在</w:t>
      </w:r>
      <w:r>
        <w:rPr>
          <w:rFonts w:ascii="KaiTi" w:eastAsia="KaiTi" w:hAnsi="KaiTi" w:cs="KaiTi"/>
          <w:spacing w:val="43"/>
        </w:rPr>
        <w:t xml:space="preserve"> </w:t>
      </w:r>
      <w:r>
        <w:rPr>
          <w:spacing w:val="15"/>
        </w:rPr>
        <w:t>10-12%</w:t>
      </w:r>
      <w:r>
        <w:rPr>
          <w:rFonts w:ascii="KaiTi" w:eastAsia="KaiTi" w:hAnsi="KaiTi" w:cs="KaiTi"/>
          <w:spacing w:val="15"/>
        </w:rPr>
        <w:t>的水平，低</w:t>
      </w:r>
      <w:r>
        <w:rPr>
          <w:rFonts w:ascii="KaiTi" w:eastAsia="KaiTi" w:hAnsi="KaiTi" w:cs="KaiTi"/>
          <w:spacing w:val="14"/>
        </w:rPr>
        <w:t>于国内外传统零售龙头</w:t>
      </w:r>
      <w:r>
        <w:rPr>
          <w:rFonts w:ascii="KaiTi" w:eastAsia="KaiTi" w:hAnsi="KaiTi" w:cs="KaiTi"/>
        </w:rPr>
        <w:t xml:space="preserve"> </w:t>
      </w:r>
      <w:r>
        <w:rPr>
          <w:spacing w:val="-2"/>
        </w:rPr>
        <w:t>20%-25%</w:t>
      </w:r>
      <w:r>
        <w:rPr>
          <w:rFonts w:ascii="KaiTi" w:eastAsia="KaiTi" w:hAnsi="KaiTi" w:cs="KaiTi"/>
          <w:spacing w:val="-2"/>
        </w:rPr>
        <w:t>的毛利率水平，</w:t>
      </w:r>
      <w:r>
        <w:rPr>
          <w:rFonts w:ascii="KaiTi" w:eastAsia="KaiTi" w:hAnsi="KaiTi" w:cs="KaiTi"/>
          <w:spacing w:val="-41"/>
        </w:rPr>
        <w:t xml:space="preserve"> </w:t>
      </w:r>
      <w:r>
        <w:rPr>
          <w:rFonts w:ascii="KaiTi" w:eastAsia="KaiTi" w:hAnsi="KaiTi" w:cs="KaiTi"/>
          <w:spacing w:val="-2"/>
        </w:rPr>
        <w:t>通过一定程</w:t>
      </w:r>
      <w:r>
        <w:rPr>
          <w:rFonts w:ascii="KaiTi" w:eastAsia="KaiTi" w:hAnsi="KaiTi" w:cs="KaiTi"/>
          <w:spacing w:val="-3"/>
        </w:rPr>
        <w:t>度的终端价格让利实现性价比定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3"/>
        </w:rPr>
        <w:t>位。而其</w:t>
      </w:r>
      <w:r>
        <w:rPr>
          <w:rFonts w:ascii="KaiTi" w:eastAsia="KaiTi" w:hAnsi="KaiTi" w:cs="KaiTi"/>
          <w:spacing w:val="-22"/>
        </w:rPr>
        <w:t xml:space="preserve"> </w:t>
      </w:r>
      <w:r>
        <w:rPr>
          <w:spacing w:val="-3"/>
        </w:rPr>
        <w:t>ROE</w:t>
      </w:r>
      <w:r>
        <w:rPr>
          <w:spacing w:val="19"/>
          <w:w w:val="101"/>
        </w:rPr>
        <w:t xml:space="preserve"> </w:t>
      </w:r>
      <w:r>
        <w:rPr>
          <w:rFonts w:ascii="KaiTi" w:eastAsia="KaiTi" w:hAnsi="KaiTi" w:cs="KaiTi"/>
          <w:spacing w:val="-3"/>
        </w:rPr>
        <w:t>却能持续领先传统商超标的，</w:t>
      </w:r>
      <w:r>
        <w:rPr>
          <w:rFonts w:ascii="KaiTi" w:eastAsia="KaiTi" w:hAnsi="KaiTi" w:cs="KaiTi"/>
          <w:spacing w:val="-26"/>
        </w:rPr>
        <w:t xml:space="preserve"> </w:t>
      </w:r>
      <w:r>
        <w:rPr>
          <w:rFonts w:ascii="KaiTi" w:eastAsia="KaiTi" w:hAnsi="KaiTi" w:cs="KaiTi"/>
          <w:spacing w:val="-3"/>
        </w:rPr>
        <w:t>且</w:t>
      </w:r>
      <w:r>
        <w:rPr>
          <w:rFonts w:ascii="KaiTi" w:eastAsia="KaiTi" w:hAnsi="KaiTi" w:cs="KaiTi"/>
          <w:spacing w:val="-4"/>
        </w:rPr>
        <w:t>在</w:t>
      </w:r>
      <w:r>
        <w:rPr>
          <w:rFonts w:ascii="KaiTi" w:eastAsia="KaiTi" w:hAnsi="KaiTi" w:cs="KaiTi"/>
          <w:spacing w:val="-31"/>
        </w:rPr>
        <w:t xml:space="preserve"> </w:t>
      </w:r>
      <w:r>
        <w:rPr>
          <w:spacing w:val="-4"/>
        </w:rPr>
        <w:t>2021-2022</w:t>
      </w:r>
      <w:r>
        <w:rPr>
          <w:spacing w:val="18"/>
        </w:rPr>
        <w:t xml:space="preserve"> </w:t>
      </w:r>
      <w:r>
        <w:rPr>
          <w:rFonts w:ascii="KaiTi" w:eastAsia="KaiTi" w:hAnsi="KaiTi" w:cs="KaiTi"/>
          <w:spacing w:val="-4"/>
        </w:rPr>
        <w:t>年得到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1"/>
        </w:rPr>
        <w:t>进一步提升，</w:t>
      </w:r>
      <w:r>
        <w:rPr>
          <w:spacing w:val="-1"/>
        </w:rPr>
        <w:t xml:space="preserve">FY2022 </w:t>
      </w:r>
      <w:r>
        <w:rPr>
          <w:rFonts w:ascii="KaiTi" w:eastAsia="KaiTi" w:hAnsi="KaiTi" w:cs="KaiTi"/>
          <w:spacing w:val="-1"/>
        </w:rPr>
        <w:t>其</w:t>
      </w:r>
      <w:r>
        <w:rPr>
          <w:rFonts w:ascii="KaiTi" w:eastAsia="KaiTi" w:hAnsi="KaiTi" w:cs="KaiTi"/>
          <w:spacing w:val="-22"/>
        </w:rPr>
        <w:t xml:space="preserve"> </w:t>
      </w:r>
      <w:r>
        <w:rPr>
          <w:spacing w:val="-1"/>
        </w:rPr>
        <w:t>ROE</w:t>
      </w:r>
      <w:r>
        <w:rPr>
          <w:spacing w:val="17"/>
        </w:rPr>
        <w:t xml:space="preserve"> </w:t>
      </w:r>
      <w:r>
        <w:rPr>
          <w:rFonts w:ascii="KaiTi" w:eastAsia="KaiTi" w:hAnsi="KaiTi" w:cs="KaiTi"/>
          <w:spacing w:val="-1"/>
        </w:rPr>
        <w:t>为</w:t>
      </w:r>
      <w:r>
        <w:rPr>
          <w:rFonts w:ascii="KaiTi" w:eastAsia="KaiTi" w:hAnsi="KaiTi" w:cs="KaiTi"/>
          <w:spacing w:val="-36"/>
        </w:rPr>
        <w:t xml:space="preserve"> </w:t>
      </w:r>
      <w:r>
        <w:rPr>
          <w:spacing w:val="-1"/>
        </w:rPr>
        <w:t>28.31%</w:t>
      </w:r>
      <w:r>
        <w:rPr>
          <w:rFonts w:ascii="KaiTi" w:eastAsia="KaiTi" w:hAnsi="KaiTi" w:cs="KaiTi"/>
          <w:spacing w:val="-1"/>
        </w:rPr>
        <w:t>，同期传统商超巨头沃尔玛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6"/>
        </w:rPr>
        <w:t>为</w:t>
      </w:r>
      <w:r>
        <w:rPr>
          <w:rFonts w:ascii="KaiTi" w:eastAsia="KaiTi" w:hAnsi="KaiTi" w:cs="KaiTi"/>
          <w:spacing w:val="-29"/>
        </w:rPr>
        <w:t xml:space="preserve"> </w:t>
      </w:r>
      <w:r>
        <w:rPr>
          <w:spacing w:val="-6"/>
        </w:rPr>
        <w:t>15.23%</w:t>
      </w:r>
      <w:r>
        <w:rPr>
          <w:rFonts w:ascii="KaiTi" w:eastAsia="KaiTi" w:hAnsi="KaiTi" w:cs="KaiTi"/>
          <w:spacing w:val="-6"/>
        </w:rPr>
        <w:t>，家家悦为</w:t>
      </w:r>
      <w:r>
        <w:rPr>
          <w:rFonts w:ascii="KaiTi" w:eastAsia="KaiTi" w:hAnsi="KaiTi" w:cs="KaiTi"/>
          <w:spacing w:val="-46"/>
        </w:rPr>
        <w:t xml:space="preserve"> </w:t>
      </w:r>
      <w:r>
        <w:rPr>
          <w:spacing w:val="-6"/>
        </w:rPr>
        <w:t>2.64%</w:t>
      </w:r>
      <w:r>
        <w:rPr>
          <w:rFonts w:ascii="KaiTi" w:eastAsia="KaiTi" w:hAnsi="KaiTi" w:cs="KaiTi"/>
          <w:spacing w:val="-6"/>
        </w:rPr>
        <w:t>。拆解</w:t>
      </w:r>
      <w:r>
        <w:rPr>
          <w:rFonts w:ascii="KaiTi" w:eastAsia="KaiTi" w:hAnsi="KaiTi" w:cs="KaiTi"/>
          <w:spacing w:val="-7"/>
        </w:rPr>
        <w:t>来看，</w:t>
      </w:r>
      <w:r>
        <w:rPr>
          <w:rFonts w:ascii="KaiTi" w:eastAsia="KaiTi" w:hAnsi="KaiTi" w:cs="KaiTi"/>
          <w:spacing w:val="-30"/>
        </w:rPr>
        <w:t xml:space="preserve"> </w:t>
      </w:r>
      <w:r>
        <w:rPr>
          <w:spacing w:val="-7"/>
        </w:rPr>
        <w:t>Costco</w:t>
      </w:r>
      <w:r>
        <w:rPr>
          <w:spacing w:val="13"/>
        </w:rPr>
        <w:t xml:space="preserve"> </w:t>
      </w:r>
      <w:r>
        <w:rPr>
          <w:rFonts w:ascii="KaiTi" w:eastAsia="KaiTi" w:hAnsi="KaiTi" w:cs="KaiTi"/>
          <w:spacing w:val="-7"/>
        </w:rPr>
        <w:t>的高</w:t>
      </w:r>
      <w:r>
        <w:rPr>
          <w:rFonts w:ascii="KaiTi" w:eastAsia="KaiTi" w:hAnsi="KaiTi" w:cs="KaiTi"/>
          <w:spacing w:val="-36"/>
        </w:rPr>
        <w:t xml:space="preserve"> </w:t>
      </w:r>
      <w:r>
        <w:rPr>
          <w:spacing w:val="-7"/>
        </w:rPr>
        <w:t xml:space="preserve">ROE </w:t>
      </w:r>
      <w:r>
        <w:rPr>
          <w:rFonts w:ascii="KaiTi" w:eastAsia="KaiTi" w:hAnsi="KaiTi" w:cs="KaiTi"/>
          <w:spacing w:val="-7"/>
        </w:rPr>
        <w:t>核心来自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2"/>
        </w:rPr>
        <w:t>显著低于同业的费用率、处于同业平均水平且</w:t>
      </w:r>
      <w:r>
        <w:rPr>
          <w:rFonts w:ascii="KaiTi" w:eastAsia="KaiTi" w:hAnsi="KaiTi" w:cs="KaiTi"/>
          <w:spacing w:val="1"/>
        </w:rPr>
        <w:t>稳中有升的净利率，以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2"/>
        </w:rPr>
        <w:t>及高于同业的周转效率，且在消费者消费理</w:t>
      </w:r>
      <w:r>
        <w:rPr>
          <w:rFonts w:ascii="KaiTi" w:eastAsia="KaiTi" w:hAnsi="KaiTi" w:cs="KaiTi"/>
          <w:spacing w:val="1"/>
        </w:rPr>
        <w:t>念变化及宏观经济环境波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4"/>
        </w:rPr>
        <w:t>动下，</w:t>
      </w:r>
      <w:r>
        <w:rPr>
          <w:rFonts w:ascii="KaiTi" w:eastAsia="KaiTi" w:hAnsi="KaiTi" w:cs="KaiTi"/>
          <w:spacing w:val="-4"/>
        </w:rPr>
        <w:t xml:space="preserve"> </w:t>
      </w:r>
      <w:r>
        <w:rPr>
          <w:spacing w:val="-4"/>
        </w:rPr>
        <w:t>Costco</w:t>
      </w:r>
      <w:r>
        <w:rPr>
          <w:spacing w:val="32"/>
        </w:rPr>
        <w:t xml:space="preserve"> </w:t>
      </w:r>
      <w:r>
        <w:rPr>
          <w:rFonts w:ascii="KaiTi" w:eastAsia="KaiTi" w:hAnsi="KaiTi" w:cs="KaiTi"/>
          <w:spacing w:val="-4"/>
        </w:rPr>
        <w:t>商业模式更具韧性。</w:t>
      </w:r>
      <w:r>
        <w:rPr>
          <w:spacing w:val="-4"/>
        </w:rPr>
        <w:t>Costco</w:t>
      </w:r>
      <w:r>
        <w:rPr>
          <w:spacing w:val="-33"/>
        </w:rPr>
        <w:t xml:space="preserve"> </w:t>
      </w:r>
      <w:r>
        <w:rPr>
          <w:rFonts w:ascii="KaiTi" w:eastAsia="KaiTi" w:hAnsi="KaiTi" w:cs="KaiTi"/>
          <w:spacing w:val="-4"/>
        </w:rPr>
        <w:t>、</w:t>
      </w:r>
      <w:r>
        <w:rPr>
          <w:spacing w:val="-4"/>
        </w:rPr>
        <w:t>S</w:t>
      </w:r>
      <w:r>
        <w:rPr>
          <w:spacing w:val="-5"/>
        </w:rPr>
        <w:t>am’s  Club</w:t>
      </w:r>
      <w:r>
        <w:rPr>
          <w:spacing w:val="39"/>
          <w:w w:val="101"/>
        </w:rPr>
        <w:t xml:space="preserve"> </w:t>
      </w:r>
      <w:r>
        <w:rPr>
          <w:rFonts w:ascii="KaiTi" w:eastAsia="KaiTi" w:hAnsi="KaiTi" w:cs="KaiTi"/>
          <w:spacing w:val="-5"/>
        </w:rPr>
        <w:t>营收成长性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3"/>
        </w:rPr>
        <w:t>好于传统商超标的，</w:t>
      </w:r>
      <w:r>
        <w:rPr>
          <w:rFonts w:ascii="KaiTi" w:eastAsia="KaiTi" w:hAnsi="KaiTi" w:cs="KaiTi"/>
          <w:spacing w:val="-25"/>
        </w:rPr>
        <w:t xml:space="preserve"> </w:t>
      </w:r>
      <w:r>
        <w:rPr>
          <w:rFonts w:ascii="KaiTi" w:eastAsia="KaiTi" w:hAnsi="KaiTi" w:cs="KaiTi"/>
          <w:spacing w:val="-3"/>
        </w:rPr>
        <w:t>且均在</w:t>
      </w:r>
      <w:r>
        <w:rPr>
          <w:rFonts w:ascii="KaiTi" w:eastAsia="KaiTi" w:hAnsi="KaiTi" w:cs="KaiTi"/>
          <w:spacing w:val="-3"/>
        </w:rPr>
        <w:t xml:space="preserve"> </w:t>
      </w:r>
      <w:r>
        <w:rPr>
          <w:spacing w:val="-3"/>
        </w:rPr>
        <w:t>FY2020</w:t>
      </w:r>
      <w:r>
        <w:rPr>
          <w:spacing w:val="25"/>
        </w:rPr>
        <w:t xml:space="preserve"> </w:t>
      </w:r>
      <w:r>
        <w:rPr>
          <w:rFonts w:ascii="KaiTi" w:eastAsia="KaiTi" w:hAnsi="KaiTi" w:cs="KaiTi"/>
          <w:spacing w:val="-3"/>
        </w:rPr>
        <w:t>之后经历</w:t>
      </w:r>
      <w:r>
        <w:rPr>
          <w:rFonts w:ascii="KaiTi" w:eastAsia="KaiTi" w:hAnsi="KaiTi" w:cs="KaiTi"/>
          <w:spacing w:val="-4"/>
        </w:rPr>
        <w:t>了增长提速，而其他可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比公司均不同程度增速放缓</w:t>
      </w:r>
      <w:r>
        <w:t>/</w:t>
      </w:r>
      <w:r>
        <w:rPr>
          <w:rFonts w:ascii="KaiTi" w:eastAsia="KaiTi" w:hAnsi="KaiTi" w:cs="KaiTi"/>
        </w:rPr>
        <w:t>下滑。</w:t>
      </w:r>
    </w:p>
    <w:p>
      <w:pPr>
        <w:pStyle w:val="BodyText"/>
        <w:spacing w:before="214" w:line="274" w:lineRule="auto"/>
        <w:ind w:left="4264" w:right="189" w:hanging="403"/>
        <w:rPr>
          <w:rFonts w:ascii="KaiTi" w:eastAsia="KaiTi" w:hAnsi="KaiTi" w:cs="KaiTi"/>
        </w:rPr>
      </w:pPr>
      <w:r>
        <w:rPr>
          <w:rFonts w:ascii="KaiTi" w:eastAsia="KaiTi" w:hAnsi="KaiTi" w:cs="KaiTi"/>
          <w:color w:val="152F58"/>
        </w:rPr>
        <w:drawing>
          <wp:inline distT="0" distB="0" distL="0" distR="0">
            <wp:extent cx="95219" cy="9843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152F58"/>
          <w:spacing w:val="36"/>
        </w:rPr>
        <w:t xml:space="preserve">  </w:t>
      </w:r>
      <w:r>
        <w:rPr>
          <w:rFonts w:ascii="KaiTi" w:eastAsia="KaiTi" w:hAnsi="KaiTi" w:cs="KaiTi"/>
          <w:color w:val="152F58"/>
          <w:spacing w:val="-2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高坪效为支撑业绩增长和拓店的核心驱动力之一。</w:t>
      </w:r>
      <w:r>
        <w:rPr>
          <w:spacing w:val="-2"/>
        </w:rPr>
        <w:t>Costco</w:t>
      </w:r>
      <w:r>
        <w:rPr>
          <w:spacing w:val="16"/>
        </w:rPr>
        <w:t xml:space="preserve"> </w:t>
      </w:r>
      <w:r>
        <w:rPr>
          <w:rFonts w:ascii="KaiTi" w:eastAsia="KaiTi" w:hAnsi="KaiTi" w:cs="KaiTi"/>
          <w:spacing w:val="-2"/>
        </w:rPr>
        <w:t>营</w:t>
      </w:r>
      <w:r>
        <w:rPr>
          <w:rFonts w:ascii="KaiTi" w:eastAsia="KaiTi" w:hAnsi="KaiTi" w:cs="KaiTi"/>
          <w:spacing w:val="-3"/>
        </w:rPr>
        <w:t>收增长由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1"/>
        </w:rPr>
        <w:t>坪效、拓店、会员费收入共同贡献，</w:t>
      </w:r>
      <w:r>
        <w:rPr>
          <w:spacing w:val="-1"/>
        </w:rPr>
        <w:t>Sam’s C</w:t>
      </w:r>
      <w:r>
        <w:rPr>
          <w:spacing w:val="-2"/>
        </w:rPr>
        <w:t xml:space="preserve">lub </w:t>
      </w:r>
      <w:r>
        <w:rPr>
          <w:rFonts w:ascii="KaiTi" w:eastAsia="KaiTi" w:hAnsi="KaiTi" w:cs="KaiTi"/>
          <w:spacing w:val="-2"/>
        </w:rPr>
        <w:t>近</w:t>
      </w:r>
      <w:r>
        <w:rPr>
          <w:rFonts w:ascii="KaiTi" w:eastAsia="KaiTi" w:hAnsi="KaiTi" w:cs="KaiTi"/>
          <w:spacing w:val="-46"/>
        </w:rPr>
        <w:t xml:space="preserve"> </w:t>
      </w:r>
      <w:r>
        <w:rPr>
          <w:spacing w:val="-2"/>
        </w:rPr>
        <w:t xml:space="preserve">5 </w:t>
      </w:r>
      <w:r>
        <w:rPr>
          <w:rFonts w:ascii="KaiTi" w:eastAsia="KaiTi" w:hAnsi="KaiTi" w:cs="KaiTi"/>
          <w:spacing w:val="-2"/>
        </w:rPr>
        <w:t>年门店体量基本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稳定，营收增长主要由坪效提升贡献。在毛利率较低的折扣业态下，</w:t>
      </w:r>
      <w:r>
        <w:rPr>
          <w:rFonts w:ascii="KaiTi" w:eastAsia="KaiTi" w:hAnsi="KaiTi" w:cs="KaiTi"/>
          <w:spacing w:val="3"/>
        </w:rPr>
        <w:t xml:space="preserve"> </w:t>
      </w:r>
      <w:r>
        <w:rPr>
          <w:rFonts w:ascii="KaiTi" w:eastAsia="KaiTi" w:hAnsi="KaiTi" w:cs="KaiTi"/>
          <w:spacing w:val="-4"/>
        </w:rPr>
        <w:t>门店盈利主要依靠高周转高坪效来实现。</w:t>
      </w:r>
      <w:r>
        <w:rPr>
          <w:rFonts w:ascii="KaiTi" w:eastAsia="KaiTi" w:hAnsi="KaiTi" w:cs="KaiTi"/>
          <w:spacing w:val="-4"/>
        </w:rPr>
        <w:t xml:space="preserve"> </w:t>
      </w:r>
      <w:r>
        <w:rPr>
          <w:spacing w:val="-4"/>
        </w:rPr>
        <w:t>FY2023</w:t>
      </w:r>
      <w:r>
        <w:rPr>
          <w:spacing w:val="43"/>
          <w:w w:val="101"/>
        </w:rPr>
        <w:t xml:space="preserve"> </w:t>
      </w:r>
      <w:r>
        <w:rPr>
          <w:spacing w:val="-4"/>
        </w:rPr>
        <w:t>Costco</w:t>
      </w:r>
      <w:r>
        <w:rPr>
          <w:spacing w:val="15"/>
          <w:w w:val="101"/>
        </w:rPr>
        <w:t xml:space="preserve"> </w:t>
      </w:r>
      <w:r>
        <w:rPr>
          <w:rFonts w:ascii="KaiTi" w:eastAsia="KaiTi" w:hAnsi="KaiTi" w:cs="KaiTi"/>
          <w:spacing w:val="-4"/>
        </w:rPr>
        <w:t>的坪效达到</w:t>
      </w:r>
      <w:r>
        <w:rPr>
          <w:rFonts w:ascii="KaiTi" w:eastAsia="KaiTi" w:hAnsi="KaiTi" w:cs="KaiTi"/>
        </w:rPr>
        <w:t xml:space="preserve"> </w:t>
      </w:r>
      <w:r>
        <w:rPr>
          <w:spacing w:val="-6"/>
        </w:rPr>
        <w:t xml:space="preserve">2 </w:t>
      </w:r>
      <w:r>
        <w:rPr>
          <w:rFonts w:ascii="KaiTi" w:eastAsia="KaiTi" w:hAnsi="KaiTi" w:cs="KaiTi"/>
          <w:spacing w:val="-6"/>
        </w:rPr>
        <w:t>万美元以上，</w:t>
      </w:r>
      <w:r>
        <w:rPr>
          <w:rFonts w:ascii="KaiTi" w:eastAsia="KaiTi" w:hAnsi="KaiTi" w:cs="KaiTi"/>
          <w:spacing w:val="-6"/>
        </w:rPr>
        <w:t xml:space="preserve"> </w:t>
      </w:r>
      <w:r>
        <w:rPr>
          <w:spacing w:val="-6"/>
        </w:rPr>
        <w:t>Sam’s</w:t>
      </w:r>
      <w:r>
        <w:rPr>
          <w:spacing w:val="43"/>
        </w:rPr>
        <w:t xml:space="preserve"> </w:t>
      </w:r>
      <w:r>
        <w:rPr>
          <w:spacing w:val="-6"/>
        </w:rPr>
        <w:t xml:space="preserve">Club </w:t>
      </w:r>
      <w:r>
        <w:rPr>
          <w:rFonts w:ascii="KaiTi" w:eastAsia="KaiTi" w:hAnsi="KaiTi" w:cs="KaiTi"/>
          <w:spacing w:val="-6"/>
        </w:rPr>
        <w:t>为约</w:t>
      </w:r>
      <w:r>
        <w:rPr>
          <w:rFonts w:ascii="KaiTi" w:eastAsia="KaiTi" w:hAnsi="KaiTi" w:cs="KaiTi"/>
          <w:spacing w:val="-29"/>
        </w:rPr>
        <w:t xml:space="preserve"> </w:t>
      </w:r>
      <w:r>
        <w:rPr>
          <w:spacing w:val="-6"/>
        </w:rPr>
        <w:t xml:space="preserve">1.3 </w:t>
      </w:r>
      <w:r>
        <w:rPr>
          <w:rFonts w:ascii="KaiTi" w:eastAsia="KaiTi" w:hAnsi="KaiTi" w:cs="KaiTi"/>
          <w:spacing w:val="-6"/>
        </w:rPr>
        <w:t>万美元，</w:t>
      </w:r>
      <w:r>
        <w:rPr>
          <w:rFonts w:ascii="KaiTi" w:eastAsia="KaiTi" w:hAnsi="KaiTi" w:cs="KaiTi"/>
          <w:spacing w:val="-26"/>
        </w:rPr>
        <w:t xml:space="preserve"> </w:t>
      </w:r>
      <w:r>
        <w:rPr>
          <w:rFonts w:ascii="KaiTi" w:eastAsia="KaiTi" w:hAnsi="KaiTi" w:cs="KaiTi"/>
          <w:spacing w:val="-6"/>
        </w:rPr>
        <w:t>且</w:t>
      </w:r>
      <w:r>
        <w:rPr>
          <w:rFonts w:ascii="KaiTi" w:eastAsia="KaiTi" w:hAnsi="KaiTi" w:cs="KaiTi"/>
          <w:spacing w:val="-7"/>
        </w:rPr>
        <w:t>近</w:t>
      </w:r>
      <w:r>
        <w:rPr>
          <w:rFonts w:ascii="KaiTi" w:eastAsia="KaiTi" w:hAnsi="KaiTi" w:cs="KaiTi"/>
          <w:spacing w:val="-45"/>
        </w:rPr>
        <w:t xml:space="preserve"> </w:t>
      </w:r>
      <w:r>
        <w:rPr>
          <w:spacing w:val="-7"/>
        </w:rPr>
        <w:t xml:space="preserve">5 </w:t>
      </w:r>
      <w:r>
        <w:rPr>
          <w:rFonts w:ascii="KaiTi" w:eastAsia="KaiTi" w:hAnsi="KaiTi" w:cs="KaiTi"/>
          <w:spacing w:val="-7"/>
        </w:rPr>
        <w:t>年总体均呈持续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1"/>
        </w:rPr>
        <w:t>提升趋势。门店扩张的核心动力来自单店模型跑通，</w:t>
      </w:r>
      <w:r>
        <w:rPr>
          <w:spacing w:val="-1"/>
        </w:rPr>
        <w:t xml:space="preserve">Costco </w:t>
      </w:r>
      <w:r>
        <w:rPr>
          <w:rFonts w:ascii="KaiTi" w:eastAsia="KaiTi" w:hAnsi="KaiTi" w:cs="KaiTi"/>
          <w:spacing w:val="-1"/>
        </w:rPr>
        <w:t>凭借并不</w:t>
      </w:r>
      <w:r>
        <w:rPr>
          <w:rFonts w:ascii="KaiTi" w:eastAsia="KaiTi" w:hAnsi="KaiTi" w:cs="KaiTi"/>
          <w:spacing w:val="8"/>
        </w:rPr>
        <w:t xml:space="preserve"> </w:t>
      </w:r>
      <w:r>
        <w:rPr>
          <w:rFonts w:ascii="KaiTi" w:eastAsia="KaiTi" w:hAnsi="KaiTi" w:cs="KaiTi"/>
          <w:spacing w:val="2"/>
        </w:rPr>
        <w:t>低于同业的净利率（由高坪效、低费用率、会</w:t>
      </w:r>
      <w:r>
        <w:rPr>
          <w:rFonts w:ascii="KaiTi" w:eastAsia="KaiTi" w:hAnsi="KaiTi" w:cs="KaiTi"/>
          <w:spacing w:val="1"/>
        </w:rPr>
        <w:t>员费收入共同贡献）和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2"/>
        </w:rPr>
        <w:t>显著更优的周转效率，实现了高于同业的</w:t>
      </w:r>
      <w:r>
        <w:rPr>
          <w:rFonts w:ascii="KaiTi" w:eastAsia="KaiTi" w:hAnsi="KaiTi" w:cs="KaiTi"/>
          <w:spacing w:val="-22"/>
        </w:rPr>
        <w:t xml:space="preserve"> </w:t>
      </w:r>
      <w:r>
        <w:rPr>
          <w:spacing w:val="-2"/>
        </w:rPr>
        <w:t>ROE</w:t>
      </w:r>
      <w:r>
        <w:rPr>
          <w:rFonts w:ascii="KaiTi" w:eastAsia="KaiTi" w:hAnsi="KaiTi" w:cs="KaiTi"/>
          <w:spacing w:val="-2"/>
        </w:rPr>
        <w:t>，支撑全球门店扩张。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5"/>
        </w:rPr>
        <w:t>且随着规模效应显现，我们预计净利率、</w:t>
      </w:r>
      <w:r>
        <w:rPr>
          <w:rFonts w:ascii="KaiTi" w:eastAsia="KaiTi" w:hAnsi="KaiTi" w:cs="KaiTi"/>
          <w:spacing w:val="-5"/>
        </w:rPr>
        <w:t xml:space="preserve"> </w:t>
      </w:r>
      <w:r>
        <w:rPr>
          <w:spacing w:val="-5"/>
        </w:rPr>
        <w:t xml:space="preserve">ROE </w:t>
      </w:r>
      <w:r>
        <w:rPr>
          <w:rFonts w:ascii="KaiTi" w:eastAsia="KaiTi" w:hAnsi="KaiTi" w:cs="KaiTi"/>
          <w:spacing w:val="-5"/>
        </w:rPr>
        <w:t>仍有进一步优化趋势。</w:t>
      </w:r>
    </w:p>
    <w:p>
      <w:pPr>
        <w:pStyle w:val="BodyText"/>
        <w:spacing w:before="231" w:line="274" w:lineRule="auto"/>
        <w:ind w:left="4265" w:right="106" w:hanging="404"/>
        <w:rPr>
          <w:rFonts w:ascii="KaiTi" w:eastAsia="KaiTi" w:hAnsi="KaiTi" w:cs="KaiTi"/>
        </w:rPr>
        <w:sectPr>
          <w:headerReference w:type="default" r:id="rId12"/>
          <w:pgSz w:w="11907" w:h="16839"/>
          <w:pgMar w:top="280" w:right="480" w:bottom="0" w:left="613" w:header="0" w:footer="0" w:gutter="0"/>
          <w:pgNumType w:start="2"/>
          <w:cols w:space="708"/>
        </w:sectPr>
      </w:pPr>
      <w:r>
        <w:rPr>
          <w:rFonts w:ascii="KaiTi" w:eastAsia="KaiTi" w:hAnsi="KaiTi" w:cs="KaiTi"/>
          <w:color w:val="152F58"/>
        </w:rPr>
        <w:drawing>
          <wp:inline distT="0" distB="0" distL="0" distR="0">
            <wp:extent cx="95219" cy="9843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152F58"/>
          <w:spacing w:val="31"/>
        </w:rPr>
        <w:t xml:space="preserve">  </w:t>
      </w:r>
      <w:r>
        <w:rPr>
          <w:rFonts w:ascii="KaiTi" w:eastAsia="KaiTi" w:hAnsi="KaiTi" w:cs="KaiTi"/>
          <w:color w:val="152F58"/>
          <w:spacing w:val="-10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本土企业布局硬折扣有哪些值得借鉴的地方？</w:t>
      </w:r>
      <w:r>
        <w:rPr>
          <w:rFonts w:ascii="KaiTi" w:eastAsia="KaiTi" w:hAnsi="KaiTi" w:cs="KaiTi"/>
          <w:color w:val="152F58"/>
          <w:spacing w:val="24"/>
        </w:rPr>
        <w:t xml:space="preserve"> </w:t>
      </w:r>
      <w:r>
        <w:rPr>
          <w:rFonts w:ascii="KaiTi" w:eastAsia="KaiTi" w:hAnsi="KaiTi" w:cs="KaiTi"/>
          <w:color w:val="152F58"/>
          <w:spacing w:val="-10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我们总结以下四点：</w:t>
      </w:r>
      <w:r>
        <w:rPr>
          <w:rFonts w:ascii="KaiTi" w:eastAsia="KaiTi" w:hAnsi="KaiTi" w:cs="KaiTi"/>
          <w:color w:val="152F58"/>
          <w:spacing w:val="80"/>
        </w:rPr>
        <w:t xml:space="preserve"> </w:t>
      </w:r>
      <w:r>
        <w:rPr>
          <w:spacing w:val="-10"/>
        </w:rPr>
        <w:t>1</w:t>
      </w:r>
      <w:r>
        <w:rPr>
          <w:rFonts w:ascii="KaiTi" w:eastAsia="KaiTi" w:hAnsi="KaiTi" w:cs="KaiTi"/>
          <w:spacing w:val="-10"/>
        </w:rPr>
        <w:t>）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1"/>
        </w:rPr>
        <w:t>精简</w:t>
      </w:r>
      <w:r>
        <w:rPr>
          <w:rFonts w:ascii="KaiTi" w:eastAsia="KaiTi" w:hAnsi="KaiTi" w:cs="KaiTi"/>
          <w:spacing w:val="-38"/>
        </w:rPr>
        <w:t xml:space="preserve"> </w:t>
      </w:r>
      <w:r>
        <w:rPr>
          <w:spacing w:val="-1"/>
        </w:rPr>
        <w:t>SKU</w:t>
      </w:r>
      <w:r>
        <w:rPr>
          <w:spacing w:val="26"/>
        </w:rPr>
        <w:t xml:space="preserve"> </w:t>
      </w:r>
      <w:r>
        <w:rPr>
          <w:rFonts w:ascii="KaiTi" w:eastAsia="KaiTi" w:hAnsi="KaiTi" w:cs="KaiTi"/>
          <w:spacing w:val="-1"/>
        </w:rPr>
        <w:t>以提升单品运营效率和采购议价能力，社区硬折扣</w:t>
      </w:r>
      <w:r>
        <w:rPr>
          <w:rFonts w:ascii="KaiTi" w:eastAsia="KaiTi" w:hAnsi="KaiTi" w:cs="KaiTi"/>
          <w:spacing w:val="-38"/>
        </w:rPr>
        <w:t xml:space="preserve"> </w:t>
      </w:r>
      <w:r>
        <w:rPr>
          <w:spacing w:val="-1"/>
        </w:rPr>
        <w:t>SK</w:t>
      </w:r>
      <w:r>
        <w:rPr>
          <w:spacing w:val="-2"/>
        </w:rPr>
        <w:t xml:space="preserve">U </w:t>
      </w:r>
      <w:r>
        <w:rPr>
          <w:rFonts w:ascii="KaiTi" w:eastAsia="KaiTi" w:hAnsi="KaiTi" w:cs="KaiTi"/>
          <w:spacing w:val="-2"/>
        </w:rPr>
        <w:t>数</w:t>
      </w:r>
      <w:r>
        <w:rPr>
          <w:rFonts w:ascii="KaiTi" w:eastAsia="KaiTi" w:hAnsi="KaiTi" w:cs="KaiTi"/>
          <w:spacing w:val="-2"/>
        </w:rPr>
        <w:t xml:space="preserve"> </w:t>
      </w:r>
      <w:r>
        <w:rPr>
          <w:rFonts w:ascii="KaiTi" w:eastAsia="KaiTi" w:hAnsi="KaiTi" w:cs="KaiTi"/>
          <w:spacing w:val="-2"/>
        </w:rPr>
        <w:t>量最为精简，如比宜德约</w:t>
      </w:r>
      <w:r>
        <w:rPr>
          <w:rFonts w:ascii="KaiTi" w:eastAsia="KaiTi" w:hAnsi="KaiTi" w:cs="KaiTi"/>
          <w:spacing w:val="-31"/>
        </w:rPr>
        <w:t xml:space="preserve"> </w:t>
      </w:r>
      <w:r>
        <w:rPr>
          <w:spacing w:val="-2"/>
        </w:rPr>
        <w:t>600</w:t>
      </w:r>
      <w:r>
        <w:rPr>
          <w:spacing w:val="15"/>
        </w:rPr>
        <w:t xml:space="preserve"> </w:t>
      </w:r>
      <w:r>
        <w:rPr>
          <w:rFonts w:ascii="KaiTi" w:eastAsia="KaiTi" w:hAnsi="KaiTi" w:cs="KaiTi"/>
          <w:spacing w:val="-2"/>
        </w:rPr>
        <w:t>个</w:t>
      </w:r>
      <w:r>
        <w:rPr>
          <w:rFonts w:ascii="KaiTi" w:eastAsia="KaiTi" w:hAnsi="KaiTi" w:cs="KaiTi"/>
          <w:spacing w:val="-33"/>
        </w:rPr>
        <w:t xml:space="preserve"> </w:t>
      </w:r>
      <w:r>
        <w:rPr>
          <w:spacing w:val="-2"/>
        </w:rPr>
        <w:t>SKU</w:t>
      </w:r>
      <w:r>
        <w:rPr>
          <w:spacing w:val="-29"/>
        </w:rPr>
        <w:t xml:space="preserve"> </w:t>
      </w:r>
      <w:r>
        <w:rPr>
          <w:rFonts w:ascii="KaiTi" w:eastAsia="KaiTi" w:hAnsi="KaiTi" w:cs="KaiTi"/>
          <w:spacing w:val="-2"/>
        </w:rPr>
        <w:t>，条马约</w:t>
      </w:r>
      <w:r>
        <w:rPr>
          <w:rFonts w:ascii="KaiTi" w:eastAsia="KaiTi" w:hAnsi="KaiTi" w:cs="KaiTi"/>
          <w:spacing w:val="-35"/>
        </w:rPr>
        <w:t xml:space="preserve"> </w:t>
      </w:r>
      <w:r>
        <w:rPr>
          <w:spacing w:val="-2"/>
        </w:rPr>
        <w:t xml:space="preserve">800 </w:t>
      </w:r>
      <w:r>
        <w:rPr>
          <w:rFonts w:ascii="KaiTi" w:eastAsia="KaiTi" w:hAnsi="KaiTi" w:cs="KaiTi"/>
          <w:spacing w:val="-2"/>
        </w:rPr>
        <w:t>个</w:t>
      </w:r>
      <w:r>
        <w:rPr>
          <w:rFonts w:ascii="KaiTi" w:eastAsia="KaiTi" w:hAnsi="KaiTi" w:cs="KaiTi"/>
          <w:spacing w:val="-33"/>
        </w:rPr>
        <w:t xml:space="preserve"> </w:t>
      </w:r>
      <w:r>
        <w:rPr>
          <w:spacing w:val="-2"/>
        </w:rPr>
        <w:t>SKU</w:t>
      </w:r>
      <w:r>
        <w:rPr>
          <w:rFonts w:ascii="KaiTi" w:eastAsia="KaiTi" w:hAnsi="KaiTi" w:cs="KaiTi"/>
          <w:spacing w:val="-2"/>
        </w:rPr>
        <w:t>，小百零</w:t>
      </w:r>
      <w:r>
        <w:rPr>
          <w:rFonts w:ascii="KaiTi" w:eastAsia="KaiTi" w:hAnsi="KaiTi" w:cs="KaiTi"/>
          <w:spacing w:val="-2"/>
        </w:rPr>
        <w:t xml:space="preserve"> </w:t>
      </w:r>
      <w:r>
        <w:rPr>
          <w:rFonts w:ascii="KaiTi" w:eastAsia="KaiTi" w:hAnsi="KaiTi" w:cs="KaiTi"/>
          <w:spacing w:val="-5"/>
        </w:rPr>
        <w:t>食折扣铺约</w:t>
      </w:r>
      <w:r>
        <w:rPr>
          <w:rFonts w:ascii="KaiTi" w:eastAsia="KaiTi" w:hAnsi="KaiTi" w:cs="KaiTi"/>
          <w:spacing w:val="-5"/>
        </w:rPr>
        <w:t xml:space="preserve"> </w:t>
      </w:r>
      <w:r>
        <w:rPr>
          <w:spacing w:val="-5"/>
        </w:rPr>
        <w:t>1100</w:t>
      </w:r>
      <w:r>
        <w:rPr>
          <w:spacing w:val="27"/>
        </w:rPr>
        <w:t xml:space="preserve"> </w:t>
      </w:r>
      <w:r>
        <w:rPr>
          <w:rFonts w:ascii="KaiTi" w:eastAsia="KaiTi" w:hAnsi="KaiTi" w:cs="KaiTi"/>
          <w:spacing w:val="-5"/>
        </w:rPr>
        <w:t>个</w:t>
      </w:r>
      <w:r>
        <w:rPr>
          <w:rFonts w:ascii="KaiTi" w:eastAsia="KaiTi" w:hAnsi="KaiTi" w:cs="KaiTi"/>
          <w:spacing w:val="-35"/>
        </w:rPr>
        <w:t xml:space="preserve"> </w:t>
      </w:r>
      <w:r>
        <w:rPr>
          <w:spacing w:val="-5"/>
        </w:rPr>
        <w:t>SKU</w:t>
      </w:r>
      <w:r>
        <w:rPr>
          <w:spacing w:val="-30"/>
        </w:rPr>
        <w:t xml:space="preserve"> </w:t>
      </w:r>
      <w:r>
        <w:rPr>
          <w:rFonts w:ascii="KaiTi" w:eastAsia="KaiTi" w:hAnsi="KaiTi" w:cs="KaiTi"/>
          <w:spacing w:val="-5"/>
        </w:rPr>
        <w:t>，</w:t>
      </w:r>
      <w:r>
        <w:rPr>
          <w:spacing w:val="-5"/>
        </w:rPr>
        <w:t>Aldi</w:t>
      </w:r>
      <w:r>
        <w:rPr>
          <w:spacing w:val="19"/>
          <w:w w:val="101"/>
        </w:rPr>
        <w:t xml:space="preserve"> </w:t>
      </w:r>
      <w:r>
        <w:rPr>
          <w:rFonts w:ascii="KaiTi" w:eastAsia="KaiTi" w:hAnsi="KaiTi" w:cs="KaiTi"/>
          <w:spacing w:val="-5"/>
        </w:rPr>
        <w:t>约</w:t>
      </w:r>
      <w:r>
        <w:rPr>
          <w:rFonts w:ascii="KaiTi" w:eastAsia="KaiTi" w:hAnsi="KaiTi" w:cs="KaiTi"/>
          <w:spacing w:val="-5"/>
        </w:rPr>
        <w:t xml:space="preserve"> </w:t>
      </w:r>
      <w:r>
        <w:rPr>
          <w:spacing w:val="-5"/>
        </w:rPr>
        <w:t>1800</w:t>
      </w:r>
      <w:r>
        <w:rPr>
          <w:spacing w:val="15"/>
        </w:rPr>
        <w:t xml:space="preserve"> </w:t>
      </w:r>
      <w:r>
        <w:rPr>
          <w:rFonts w:ascii="KaiTi" w:eastAsia="KaiTi" w:hAnsi="KaiTi" w:cs="KaiTi"/>
          <w:spacing w:val="-5"/>
        </w:rPr>
        <w:t>个</w:t>
      </w:r>
      <w:r>
        <w:rPr>
          <w:rFonts w:ascii="KaiTi" w:eastAsia="KaiTi" w:hAnsi="KaiTi" w:cs="KaiTi"/>
          <w:spacing w:val="-33"/>
        </w:rPr>
        <w:t xml:space="preserve"> </w:t>
      </w:r>
      <w:r>
        <w:rPr>
          <w:spacing w:val="-5"/>
        </w:rPr>
        <w:t>SKU</w:t>
      </w:r>
      <w:r>
        <w:rPr>
          <w:rFonts w:ascii="KaiTi" w:eastAsia="KaiTi" w:hAnsi="KaiTi" w:cs="KaiTi"/>
          <w:spacing w:val="-5"/>
        </w:rPr>
        <w:t>，而沃尔玛综合超市</w:t>
      </w:r>
      <w:r>
        <w:rPr>
          <w:rFonts w:ascii="KaiTi" w:eastAsia="KaiTi" w:hAnsi="KaiTi" w:cs="KaiTi"/>
        </w:rPr>
        <w:t xml:space="preserve"> </w:t>
      </w:r>
      <w:r>
        <w:rPr>
          <w:spacing w:val="-1"/>
        </w:rPr>
        <w:t>SKU</w:t>
      </w:r>
      <w:r>
        <w:rPr>
          <w:spacing w:val="28"/>
          <w:w w:val="101"/>
        </w:rPr>
        <w:t xml:space="preserve"> </w:t>
      </w:r>
      <w:r>
        <w:rPr>
          <w:rFonts w:ascii="KaiTi" w:eastAsia="KaiTi" w:hAnsi="KaiTi" w:cs="KaiTi"/>
          <w:spacing w:val="-1"/>
        </w:rPr>
        <w:t>可达</w:t>
      </w:r>
      <w:r>
        <w:rPr>
          <w:rFonts w:ascii="KaiTi" w:eastAsia="KaiTi" w:hAnsi="KaiTi" w:cs="KaiTi"/>
          <w:spacing w:val="-23"/>
        </w:rPr>
        <w:t xml:space="preserve"> </w:t>
      </w:r>
      <w:r>
        <w:rPr>
          <w:spacing w:val="-1"/>
        </w:rPr>
        <w:t>2</w:t>
      </w:r>
      <w:r>
        <w:rPr>
          <w:spacing w:val="32"/>
          <w:w w:val="101"/>
        </w:rPr>
        <w:t xml:space="preserve"> </w:t>
      </w:r>
      <w:r>
        <w:rPr>
          <w:rFonts w:ascii="KaiTi" w:eastAsia="KaiTi" w:hAnsi="KaiTi" w:cs="KaiTi"/>
          <w:spacing w:val="-1"/>
        </w:rPr>
        <w:t>万个。</w:t>
      </w:r>
      <w:r>
        <w:rPr>
          <w:spacing w:val="-1"/>
        </w:rPr>
        <w:t>2</w:t>
      </w:r>
      <w:r>
        <w:rPr>
          <w:rFonts w:ascii="KaiTi" w:eastAsia="KaiTi" w:hAnsi="KaiTi" w:cs="KaiTi"/>
          <w:spacing w:val="-1"/>
        </w:rPr>
        <w:t>）聚焦高频刚需品类、发展自有品牌、强化源头</w:t>
      </w:r>
      <w:r>
        <w:rPr>
          <w:rFonts w:ascii="KaiTi" w:eastAsia="KaiTi" w:hAnsi="KaiTi" w:cs="KaiTi"/>
          <w:spacing w:val="-1"/>
        </w:rPr>
        <w:t xml:space="preserve"> </w:t>
      </w:r>
      <w:r>
        <w:rPr>
          <w:rFonts w:ascii="KaiTi" w:eastAsia="KaiTi" w:hAnsi="KaiTi" w:cs="KaiTi"/>
        </w:rPr>
        <w:t>直采。</w:t>
      </w:r>
      <w:r>
        <w:t>3</w:t>
      </w:r>
      <w:r>
        <w:rPr>
          <w:rFonts w:ascii="KaiTi" w:eastAsia="KaiTi" w:hAnsi="KaiTi" w:cs="KaiTi"/>
        </w:rPr>
        <w:t>）领先的成本管控能力，最大化人效。</w:t>
      </w:r>
      <w:r>
        <w:t>Costco</w:t>
      </w:r>
      <w:r>
        <w:rPr>
          <w:spacing w:val="64"/>
          <w:w w:val="101"/>
        </w:rPr>
        <w:t xml:space="preserve"> </w:t>
      </w:r>
      <w:r>
        <w:rPr>
          <w:rFonts w:ascii="KaiTi" w:eastAsia="KaiTi" w:hAnsi="KaiTi" w:cs="KaiTi"/>
        </w:rPr>
        <w:t>人效显著优于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6"/>
        </w:rPr>
        <w:t>沃尔玛、</w:t>
      </w:r>
      <w:r>
        <w:rPr>
          <w:spacing w:val="-6"/>
        </w:rPr>
        <w:t>Target</w:t>
      </w:r>
      <w:r>
        <w:rPr>
          <w:rFonts w:ascii="KaiTi" w:eastAsia="KaiTi" w:hAnsi="KaiTi" w:cs="KaiTi"/>
          <w:spacing w:val="-6"/>
        </w:rPr>
        <w:t>，且规模化效应下有较为明</w:t>
      </w:r>
      <w:r>
        <w:rPr>
          <w:rFonts w:ascii="KaiTi" w:eastAsia="KaiTi" w:hAnsi="KaiTi" w:cs="KaiTi"/>
          <w:spacing w:val="-7"/>
        </w:rPr>
        <w:t>显的逐年提升趋势。</w:t>
      </w:r>
      <w:r>
        <w:rPr>
          <w:spacing w:val="-7"/>
        </w:rPr>
        <w:t xml:space="preserve">FY2022  </w:t>
      </w:r>
      <w:r>
        <w:rPr>
          <w:spacing w:val="-4"/>
        </w:rPr>
        <w:t>Costco</w:t>
      </w:r>
      <w:r>
        <w:rPr>
          <w:spacing w:val="38"/>
        </w:rPr>
        <w:t xml:space="preserve"> </w:t>
      </w:r>
      <w:r>
        <w:rPr>
          <w:rFonts w:ascii="KaiTi" w:eastAsia="KaiTi" w:hAnsi="KaiTi" w:cs="KaiTi"/>
          <w:spacing w:val="-4"/>
        </w:rPr>
        <w:t>的人均创收和人均创利分别为</w:t>
      </w:r>
      <w:r>
        <w:rPr>
          <w:rFonts w:ascii="KaiTi" w:eastAsia="KaiTi" w:hAnsi="KaiTi" w:cs="KaiTi"/>
          <w:spacing w:val="-21"/>
        </w:rPr>
        <w:t xml:space="preserve"> </w:t>
      </w:r>
      <w:r>
        <w:rPr>
          <w:spacing w:val="-4"/>
        </w:rPr>
        <w:t>75</w:t>
      </w:r>
      <w:r>
        <w:rPr>
          <w:spacing w:val="34"/>
          <w:w w:val="101"/>
        </w:rPr>
        <w:t xml:space="preserve"> </w:t>
      </w:r>
      <w:r>
        <w:rPr>
          <w:rFonts w:ascii="KaiTi" w:eastAsia="KaiTi" w:hAnsi="KaiTi" w:cs="KaiTi"/>
          <w:spacing w:val="-4"/>
        </w:rPr>
        <w:t>万美元、</w:t>
      </w:r>
      <w:r>
        <w:rPr>
          <w:spacing w:val="-4"/>
        </w:rPr>
        <w:t>2</w:t>
      </w:r>
      <w:r>
        <w:rPr>
          <w:spacing w:val="34"/>
          <w:w w:val="101"/>
        </w:rPr>
        <w:t xml:space="preserve"> </w:t>
      </w:r>
      <w:r>
        <w:rPr>
          <w:rFonts w:ascii="KaiTi" w:eastAsia="KaiTi" w:hAnsi="KaiTi" w:cs="KaiTi"/>
          <w:spacing w:val="-4"/>
        </w:rPr>
        <w:t>万美元，</w:t>
      </w:r>
      <w:r>
        <w:rPr>
          <w:rFonts w:ascii="KaiTi" w:eastAsia="KaiTi" w:hAnsi="KaiTi" w:cs="KaiTi"/>
          <w:spacing w:val="-28"/>
        </w:rPr>
        <w:t xml:space="preserve"> </w:t>
      </w:r>
      <w:r>
        <w:rPr>
          <w:rFonts w:ascii="KaiTi" w:eastAsia="KaiTi" w:hAnsi="KaiTi" w:cs="KaiTi"/>
          <w:spacing w:val="-4"/>
        </w:rPr>
        <w:t>人均创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  <w:spacing w:val="-4"/>
        </w:rPr>
        <w:t>收为沃尔玛和</w:t>
      </w:r>
      <w:r>
        <w:rPr>
          <w:rFonts w:ascii="KaiTi" w:eastAsia="KaiTi" w:hAnsi="KaiTi" w:cs="KaiTi"/>
          <w:spacing w:val="-47"/>
        </w:rPr>
        <w:t xml:space="preserve"> </w:t>
      </w:r>
      <w:r>
        <w:rPr>
          <w:spacing w:val="-4"/>
        </w:rPr>
        <w:t xml:space="preserve">Target </w:t>
      </w:r>
      <w:r>
        <w:rPr>
          <w:rFonts w:ascii="KaiTi" w:eastAsia="KaiTi" w:hAnsi="KaiTi" w:cs="KaiTi"/>
          <w:spacing w:val="-4"/>
        </w:rPr>
        <w:t>的</w:t>
      </w:r>
      <w:r>
        <w:rPr>
          <w:rFonts w:ascii="KaiTi" w:eastAsia="KaiTi" w:hAnsi="KaiTi" w:cs="KaiTi"/>
          <w:spacing w:val="-47"/>
        </w:rPr>
        <w:t xml:space="preserve"> </w:t>
      </w:r>
      <w:r>
        <w:rPr>
          <w:spacing w:val="-4"/>
        </w:rPr>
        <w:t xml:space="preserve">2-3 </w:t>
      </w:r>
      <w:r>
        <w:rPr>
          <w:rFonts w:ascii="KaiTi" w:eastAsia="KaiTi" w:hAnsi="KaiTi" w:cs="KaiTi"/>
          <w:spacing w:val="-4"/>
        </w:rPr>
        <w:t>倍，人均创利均为沃尔玛和</w:t>
      </w:r>
      <w:r>
        <w:rPr>
          <w:rFonts w:ascii="KaiTi" w:eastAsia="KaiTi" w:hAnsi="KaiTi" w:cs="KaiTi"/>
          <w:spacing w:val="-46"/>
        </w:rPr>
        <w:t xml:space="preserve"> </w:t>
      </w:r>
      <w:r>
        <w:rPr>
          <w:spacing w:val="-4"/>
        </w:rPr>
        <w:t>Ta</w:t>
      </w:r>
      <w:r>
        <w:rPr>
          <w:spacing w:val="-5"/>
        </w:rPr>
        <w:t>rget</w:t>
      </w:r>
      <w:r>
        <w:rPr>
          <w:spacing w:val="13"/>
        </w:rPr>
        <w:t xml:space="preserve"> </w:t>
      </w:r>
      <w:r>
        <w:rPr>
          <w:rFonts w:ascii="KaiTi" w:eastAsia="KaiTi" w:hAnsi="KaiTi" w:cs="KaiTi"/>
          <w:spacing w:val="-5"/>
        </w:rPr>
        <w:t>的</w:t>
      </w:r>
      <w:r>
        <w:rPr>
          <w:rFonts w:ascii="KaiTi" w:eastAsia="KaiTi" w:hAnsi="KaiTi" w:cs="KaiTi"/>
          <w:spacing w:val="-46"/>
        </w:rPr>
        <w:t xml:space="preserve"> </w:t>
      </w:r>
      <w:r>
        <w:rPr>
          <w:spacing w:val="-5"/>
        </w:rPr>
        <w:t xml:space="preserve">3 </w:t>
      </w:r>
      <w:r>
        <w:rPr>
          <w:rFonts w:ascii="KaiTi" w:eastAsia="KaiTi" w:hAnsi="KaiTi" w:cs="KaiTi"/>
          <w:spacing w:val="-5"/>
        </w:rPr>
        <w:t>倍</w:t>
      </w:r>
    </w:p>
    <w:p>
      <w:pPr>
        <w:pStyle w:val="BodyText"/>
        <w:spacing w:before="80" w:line="213" w:lineRule="auto"/>
        <w:ind w:left="4285"/>
        <w:rPr>
          <w:rFonts w:ascii="KaiTi" w:eastAsia="KaiTi" w:hAnsi="KaiTi" w:cs="KaiTi"/>
        </w:rPr>
      </w:pPr>
      <w:r>
        <w:rPr>
          <w:rFonts w:ascii="KaiTi" w:eastAsia="KaiTi" w:hAnsi="KaiTi" w:cs="KaiTi"/>
          <w:spacing w:val="-5"/>
        </w:rPr>
        <w:t>以上。</w:t>
      </w:r>
      <w:r>
        <w:rPr>
          <w:rFonts w:ascii="KaiTi" w:eastAsia="KaiTi" w:hAnsi="KaiTi" w:cs="KaiTi"/>
          <w:spacing w:val="-31"/>
        </w:rPr>
        <w:t xml:space="preserve"> </w:t>
      </w:r>
      <w:r>
        <w:rPr>
          <w:spacing w:val="-5"/>
        </w:rPr>
        <w:t>4</w:t>
      </w:r>
      <w:r>
        <w:rPr>
          <w:rFonts w:ascii="KaiTi" w:eastAsia="KaiTi" w:hAnsi="KaiTi" w:cs="KaiTi"/>
          <w:spacing w:val="-5"/>
        </w:rPr>
        <w:t>）随中国家庭小型化趋势，社区型小店或更具备高周转和快速</w:t>
      </w:r>
    </w:p>
    <w:p>
      <w:pPr>
        <w:spacing w:before="34" w:line="213" w:lineRule="auto"/>
        <w:ind w:left="5352"/>
        <w:rPr>
          <w:rFonts w:ascii="DengXian" w:eastAsia="DengXian" w:hAnsi="DengXian" w:cs="DengXian"/>
          <w:sz w:val="18"/>
          <w:szCs w:val="18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5249671</wp:posOffset>
            </wp:positionH>
            <wp:positionV relativeFrom="paragraph">
              <wp:posOffset>2473</wp:posOffset>
            </wp:positionV>
            <wp:extent cx="1234440" cy="159562"/>
            <wp:effectExtent l="0" t="0" r="0" b="0"/>
            <wp:wrapNone/>
            <wp:docPr id="24" name="IM 24">
              <a:hlinkClick xmlns:a="http://schemas.openxmlformats.org/drawingml/2006/main" xmlns:r="http://schemas.openxmlformats.org/officeDocument/2006/relationships" r:id="rId13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159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z w:val="18"/>
          <w:szCs w:val="18"/>
        </w:rPr>
        <w:t>请阅读最后一页免责声明及信息披露</w:t>
      </w:r>
      <w:r>
        <w:rPr>
          <w:rFonts w:ascii="KaiTi" w:eastAsia="KaiTi" w:hAnsi="KaiTi" w:cs="KaiTi"/>
          <w:sz w:val="18"/>
          <w:szCs w:val="18"/>
        </w:rPr>
        <w:t xml:space="preserve"> </w:t>
      </w:r>
      <w:hyperlink r:id="rId15" w:history="1">
        <w:r>
          <w:rPr>
            <w:rFonts w:ascii="DengXian" w:eastAsia="DengXian" w:hAnsi="DengXian" w:cs="DengXian"/>
            <w:color w:val="0563C1"/>
            <w:sz w:val="18"/>
            <w:szCs w:val="18"/>
            <w:u w:val="single" w:color="auto"/>
          </w:rPr>
          <w:t>http://www.ci</w:t>
        </w:r>
        <w:r>
          <w:rPr>
            <w:rFonts w:ascii="DengXian" w:eastAsia="DengXian" w:hAnsi="DengXian" w:cs="DengXian"/>
            <w:color w:val="0563C1"/>
            <w:spacing w:val="-1"/>
            <w:sz w:val="18"/>
            <w:szCs w:val="18"/>
            <w:u w:val="single" w:color="auto"/>
          </w:rPr>
          <w:t>ndasc.com</w:t>
        </w:r>
      </w:hyperlink>
      <w:r>
        <w:rPr>
          <w:rFonts w:ascii="DengXian" w:eastAsia="DengXian" w:hAnsi="DengXian" w:cs="DengXian"/>
          <w:color w:val="0563C1"/>
          <w:spacing w:val="-1"/>
          <w:sz w:val="18"/>
          <w:szCs w:val="18"/>
        </w:rPr>
        <w:t xml:space="preserve">    </w:t>
      </w:r>
      <w:r>
        <w:rPr>
          <w:rFonts w:ascii="DengXian" w:eastAsia="DengXian" w:hAnsi="DengXian" w:cs="DengXian"/>
          <w:spacing w:val="-1"/>
          <w:sz w:val="18"/>
          <w:szCs w:val="18"/>
        </w:rPr>
        <w:t>2</w:t>
      </w:r>
    </w:p>
    <w:p>
      <w:pPr>
        <w:spacing w:line="213" w:lineRule="auto"/>
        <w:rPr>
          <w:rFonts w:ascii="DengXian" w:eastAsia="DengXian" w:hAnsi="DengXian" w:cs="DengXian"/>
          <w:sz w:val="18"/>
          <w:szCs w:val="18"/>
        </w:rPr>
        <w:sectPr>
          <w:headerReference w:type="default" r:id="rId16"/>
          <w:type w:val="nextPage"/>
          <w:pgSz w:w="11907" w:h="16839"/>
          <w:pgMar w:top="280" w:right="480" w:bottom="0" w:left="613" w:header="0" w:footer="0" w:gutter="0"/>
          <w:pgNumType w:start="3"/>
          <w:cols w:space="708"/>
          <w:titlePg w:val="0"/>
        </w:sectPr>
      </w:pPr>
    </w:p>
    <w:p>
      <w:pPr>
        <w:spacing w:line="575" w:lineRule="exact"/>
        <w:ind w:firstLine="8018"/>
      </w:pPr>
      <w:r>
        <w:pict>
          <v:rect id="_x0000_s1037" style="width:389.85pt;height:28.05pt;margin-top:13.93pt;margin-left:30.7pt;mso-position-horizontal-relative:page;mso-position-vertical-relative:page;position:absolute;z-index:251672576" o:allowincell="f" filled="t" fillcolor="#4b709a" stroked="f"/>
        </w:pict>
      </w:r>
      <w:r>
        <w:rPr>
          <w:position w:val="-11"/>
        </w:rPr>
        <w:drawing>
          <wp:inline distT="0" distB="0" distL="0" distR="0">
            <wp:extent cx="1774189" cy="365759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74189" cy="365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3" w:lineRule="auto"/>
      </w:pPr>
    </w:p>
    <w:p>
      <w:pPr>
        <w:spacing w:before="68" w:line="223" w:lineRule="auto"/>
        <w:ind w:left="4277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5"/>
          <w:sz w:val="21"/>
          <w:szCs w:val="21"/>
        </w:rPr>
        <w:t>复制的可能性。</w:t>
      </w:r>
    </w:p>
    <w:p>
      <w:pPr>
        <w:pStyle w:val="BodyText"/>
        <w:spacing w:before="224" w:line="268" w:lineRule="auto"/>
        <w:ind w:left="4273" w:right="188" w:hanging="412"/>
        <w:rPr>
          <w:rFonts w:ascii="KaiTi" w:eastAsia="KaiTi" w:hAnsi="KaiTi" w:cs="KaiTi"/>
        </w:rPr>
      </w:pPr>
      <w:r>
        <w:rPr>
          <w:rFonts w:ascii="KaiTi" w:eastAsia="KaiTi" w:hAnsi="KaiTi" w:cs="KaiTi"/>
          <w:color w:val="152F58"/>
        </w:rPr>
        <w:drawing>
          <wp:inline distT="0" distB="0" distL="0" distR="0">
            <wp:extent cx="95219" cy="98438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152F58"/>
          <w:spacing w:val="29"/>
        </w:rPr>
        <w:t xml:space="preserve">  </w:t>
      </w:r>
      <w:r>
        <w:rPr>
          <w:rFonts w:ascii="KaiTi" w:eastAsia="KaiTi" w:hAnsi="KaiTi" w:cs="KaiTi"/>
          <w:color w:val="152F58"/>
          <w:spacing w:val="-2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总结与投资建议：</w:t>
      </w:r>
      <w:r>
        <w:rPr>
          <w:rFonts w:ascii="KaiTi" w:eastAsia="KaiTi" w:hAnsi="KaiTi" w:cs="KaiTi"/>
          <w:color w:val="152F58"/>
          <w:spacing w:val="-2"/>
        </w:rPr>
        <w:t xml:space="preserve"> </w:t>
      </w:r>
      <w:r>
        <w:rPr>
          <w:rFonts w:ascii="KaiTi" w:eastAsia="KaiTi" w:hAnsi="KaiTi" w:cs="KaiTi"/>
          <w:spacing w:val="-2"/>
        </w:rPr>
        <w:t>我们认为折扣业态的核心竞争力在于零售</w:t>
      </w:r>
      <w:r>
        <w:rPr>
          <w:rFonts w:ascii="KaiTi" w:eastAsia="KaiTi" w:hAnsi="KaiTi" w:cs="KaiTi"/>
          <w:spacing w:val="-3"/>
        </w:rPr>
        <w:t>企业本身</w:t>
      </w:r>
      <w:r>
        <w:rPr>
          <w:rFonts w:ascii="KaiTi" w:eastAsia="KaiTi" w:hAnsi="KaiTi" w:cs="KaiTi"/>
          <w:spacing w:val="1"/>
        </w:rPr>
        <w:t xml:space="preserve"> </w:t>
      </w:r>
      <w:r>
        <w:rPr>
          <w:rFonts w:ascii="KaiTi" w:eastAsia="KaiTi" w:hAnsi="KaiTi" w:cs="KaiTi"/>
          <w:spacing w:val="8"/>
        </w:rPr>
        <w:t>的运营能力、品牌效应、上游供应链的布局和整合能力，龙头例如</w:t>
      </w:r>
      <w:r>
        <w:rPr>
          <w:rFonts w:ascii="KaiTi" w:eastAsia="KaiTi" w:hAnsi="KaiTi" w:cs="KaiTi"/>
          <w:spacing w:val="16"/>
        </w:rPr>
        <w:t xml:space="preserve"> </w:t>
      </w:r>
      <w:r>
        <w:rPr>
          <w:spacing w:val="-1"/>
        </w:rPr>
        <w:t xml:space="preserve">Costco </w:t>
      </w:r>
      <w:r>
        <w:rPr>
          <w:rFonts w:ascii="KaiTi" w:eastAsia="KaiTi" w:hAnsi="KaiTi" w:cs="KaiTi"/>
          <w:spacing w:val="-1"/>
        </w:rPr>
        <w:t>具备较深护城河且规模效应持续放大，本土龙头企业</w:t>
      </w:r>
      <w:r>
        <w:rPr>
          <w:rFonts w:ascii="KaiTi" w:eastAsia="KaiTi" w:hAnsi="KaiTi" w:cs="KaiTi"/>
          <w:spacing w:val="-2"/>
        </w:rPr>
        <w:t>转型折扣</w:t>
      </w:r>
      <w:r>
        <w:rPr>
          <w:rFonts w:ascii="KaiTi" w:eastAsia="KaiTi" w:hAnsi="KaiTi" w:cs="KaiTi"/>
        </w:rPr>
        <w:t xml:space="preserve"> </w:t>
      </w:r>
      <w:r>
        <w:rPr>
          <w:rFonts w:ascii="KaiTi" w:eastAsia="KaiTi" w:hAnsi="KaiTi" w:cs="KaiTi"/>
        </w:rPr>
        <w:t>业态或具备一定先发优势，建议关注具备布局</w:t>
      </w:r>
      <w:r>
        <w:rPr>
          <w:rFonts w:ascii="KaiTi" w:eastAsia="KaiTi" w:hAnsi="KaiTi" w:cs="KaiTi"/>
          <w:spacing w:val="-1"/>
        </w:rPr>
        <w:t>折扣业态核心竞争要素</w:t>
      </w:r>
      <w:r>
        <w:rPr>
          <w:spacing w:val="-1"/>
        </w:rPr>
        <w:t>/</w:t>
      </w:r>
      <w:r>
        <w:t xml:space="preserve"> </w:t>
      </w:r>
      <w:r>
        <w:rPr>
          <w:rFonts w:ascii="KaiTi" w:eastAsia="KaiTi" w:hAnsi="KaiTi" w:cs="KaiTi"/>
        </w:rPr>
        <w:t>已开始试水折扣业态的商超便利龙头重庆百货、家家悦、</w:t>
      </w:r>
      <w:r>
        <w:rPr>
          <w:rFonts w:ascii="KaiTi" w:eastAsia="KaiTi" w:hAnsi="KaiTi" w:cs="KaiTi"/>
          <w:spacing w:val="-1"/>
        </w:rPr>
        <w:t>红旗连锁。</w:t>
      </w:r>
    </w:p>
    <w:p>
      <w:pPr>
        <w:spacing w:before="230" w:line="252" w:lineRule="auto"/>
        <w:ind w:left="4275" w:right="194" w:hanging="414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color w:val="152F58"/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eastAsia="KaiTi" w:hAnsi="KaiTi" w:cs="KaiTi"/>
          <w:color w:val="152F58"/>
          <w:spacing w:val="32"/>
          <w:sz w:val="21"/>
          <w:szCs w:val="21"/>
        </w:rPr>
        <w:t xml:space="preserve">  </w:t>
      </w:r>
      <w:r>
        <w:rPr>
          <w:rFonts w:ascii="KaiTi" w:eastAsia="KaiTi" w:hAnsi="KaiTi" w:cs="KaiTi"/>
          <w:color w:val="152F58"/>
          <w:spacing w:val="1"/>
          <w:sz w:val="21"/>
          <w:szCs w:val="21"/>
          <w14:textOutline w14:w="3831">
            <w14:solidFill>
              <w14:srgbClr w14:val="152F58"/>
            </w14:solidFill>
            <w14:prstDash w14:val="solid"/>
            <w14:miter w14:lim="10"/>
          </w14:textOutline>
        </w:rPr>
        <w:t>风险因素：</w:t>
      </w:r>
      <w:r>
        <w:rPr>
          <w:rFonts w:ascii="KaiTi" w:eastAsia="KaiTi" w:hAnsi="KaiTi" w:cs="KaiTi"/>
          <w:spacing w:val="1"/>
          <w:sz w:val="21"/>
          <w:szCs w:val="21"/>
        </w:rPr>
        <w:t>宏观经济增速不及预期风险；行业竞争加剧风险；终端需</w:t>
      </w:r>
      <w:r>
        <w:rPr>
          <w:rFonts w:ascii="KaiTi" w:eastAsia="KaiTi" w:hAnsi="KaiTi" w:cs="KaiTi"/>
          <w:spacing w:val="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求疲软风险。</w:t>
      </w:r>
    </w:p>
    <w:p>
      <w:pPr>
        <w:spacing w:line="252" w:lineRule="auto"/>
        <w:rPr>
          <w:rFonts w:ascii="KaiTi" w:eastAsia="KaiTi" w:hAnsi="KaiTi" w:cs="KaiTi"/>
          <w:sz w:val="21"/>
          <w:szCs w:val="21"/>
        </w:rPr>
        <w:sectPr>
          <w:headerReference w:type="default" r:id="rId17"/>
          <w:footerReference w:type="default" r:id="rId18"/>
          <w:pgSz w:w="11907" w:h="16839"/>
          <w:pgMar w:top="280" w:right="480" w:bottom="1213" w:left="613" w:header="0" w:footer="988" w:gutter="0"/>
          <w:pgNumType w:start="4"/>
          <w:cols w:space="708"/>
        </w:sectPr>
      </w:pPr>
    </w:p>
    <w:p>
      <w:pPr>
        <w:spacing w:line="575" w:lineRule="exact"/>
        <w:ind w:firstLine="8018"/>
      </w:pPr>
      <w:r>
        <w:pict>
          <v:rect id="_x0000_s1038" style="width:389.85pt;height:28.05pt;margin-top:13.93pt;margin-left:30.7pt;mso-position-horizontal-relative:page;mso-position-vertical-relative:page;position:absolute;z-index:251673600" o:allowincell="f" filled="t" fillcolor="#4b709a" stroked="f"/>
        </w:pict>
      </w:r>
      <w:r>
        <w:rPr>
          <w:position w:val="-11"/>
        </w:rPr>
        <w:drawing>
          <wp:inline distT="0" distB="0" distL="0" distR="0">
            <wp:extent cx="1774189" cy="365759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74189" cy="365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KaiTi" w:eastAsia="KaiTi" w:hAnsi="KaiTi" w:cs="KaiTi"/>
          <w:sz w:val="24"/>
          <w:szCs w:val="24"/>
        </w:rPr>
        <w:id w:val="9151339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8"/>
          <w:szCs w:val="18"/>
        </w:rPr>
      </w:sdtEndPr>
      <w:sdtContent>
        <w:p>
          <w:pPr>
            <w:spacing w:before="206" w:line="219" w:lineRule="auto"/>
            <w:ind w:left="10044"/>
            <w:rPr>
              <w:rFonts w:ascii="KaiTi" w:eastAsia="KaiTi" w:hAnsi="KaiTi" w:cs="KaiTi"/>
              <w:sz w:val="24"/>
              <w:szCs w:val="24"/>
            </w:rPr>
          </w:pPr>
          <w:r>
            <w:rPr>
              <w:rFonts w:ascii="KaiTi" w:eastAsia="KaiTi" w:hAnsi="KaiTi" w:cs="KaiTi"/>
              <w:color w:val="152F58"/>
              <w:spacing w:val="-27"/>
              <w:sz w:val="24"/>
              <w:szCs w:val="24"/>
            </w:rPr>
            <w:t>目</w:t>
          </w:r>
          <w:r>
            <w:rPr>
              <w:rFonts w:ascii="KaiTi" w:eastAsia="KaiTi" w:hAnsi="KaiTi" w:cs="KaiTi"/>
              <w:color w:val="152F58"/>
              <w:spacing w:val="18"/>
              <w:sz w:val="24"/>
              <w:szCs w:val="24"/>
            </w:rPr>
            <w:t xml:space="preserve"> </w:t>
          </w:r>
          <w:r>
            <w:rPr>
              <w:rFonts w:ascii="KaiTi" w:eastAsia="KaiTi" w:hAnsi="KaiTi" w:cs="KaiTi"/>
              <w:color w:val="152F58"/>
              <w:spacing w:val="-27"/>
              <w:sz w:val="24"/>
              <w:szCs w:val="24"/>
            </w:rPr>
            <w:t>录</w:t>
          </w:r>
        </w:p>
        <w:p>
          <w:pPr>
            <w:tabs>
              <w:tab w:val="right" w:leader="dot" w:pos="10590"/>
            </w:tabs>
            <w:spacing w:before="17" w:line="212" w:lineRule="auto"/>
            <w:ind w:left="3255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KaiTi" w:eastAsia="KaiTi" w:hAnsi="KaiTi" w:cs="KaiTi"/>
              <w:spacing w:val="-3"/>
              <w:sz w:val="18"/>
              <w:szCs w:val="18"/>
              <w14:textOutline w14:w="326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写在前面：</w:t>
          </w:r>
          <w:r>
            <w:rPr>
              <w:rFonts w:ascii="KaiTi" w:eastAsia="KaiTi" w:hAnsi="KaiTi" w:cs="KaiTi"/>
              <w:spacing w:val="2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  <w14:textOutline w14:w="326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消费追求性价比、回归商品使用属性，我国折扣业态</w:t>
          </w:r>
          <w:r>
            <w:rPr>
              <w:rFonts w:ascii="KaiTi" w:eastAsia="KaiTi" w:hAnsi="KaiTi" w:cs="KaiTi"/>
              <w:spacing w:val="-35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3"/>
              <w:sz w:val="18"/>
              <w:szCs w:val="18"/>
            </w:rPr>
            <w:t>20</w:t>
          </w:r>
          <w:r>
            <w:rPr>
              <w:rFonts w:ascii="Times New Roman" w:eastAsia="Times New Roman" w:hAnsi="Times New Roman" w:cs="Times New Roman"/>
              <w:b/>
              <w:bCs/>
              <w:spacing w:val="-4"/>
              <w:sz w:val="18"/>
              <w:szCs w:val="18"/>
            </w:rPr>
            <w:t>23</w:t>
          </w:r>
          <w:r>
            <w:rPr>
              <w:rFonts w:ascii="Times New Roman" w:eastAsia="Times New Roman" w:hAnsi="Times New Roman" w:cs="Times New Roman"/>
              <w:b/>
              <w:bCs/>
              <w:spacing w:val="1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4"/>
              <w:sz w:val="18"/>
              <w:szCs w:val="18"/>
              <w14:textOutline w14:w="326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年以来快速发展</w:t>
          </w:r>
          <w:r>
            <w:rPr>
              <w:rFonts w:ascii="KaiTi" w:eastAsia="KaiTi" w:hAnsi="KaiTi" w:cs="KaiTi"/>
              <w:spacing w:val="-3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51"/>
              <w:sz w:val="18"/>
              <w:szCs w:val="18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hyperlink>
        </w:p>
        <w:p>
          <w:pPr>
            <w:tabs>
              <w:tab w:val="right" w:leader="dot" w:pos="10590"/>
            </w:tabs>
            <w:spacing w:before="26" w:line="212" w:lineRule="auto"/>
            <w:ind w:left="3250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18"/>
              <w:szCs w:val="18"/>
            </w:rPr>
            <w:t>1</w:t>
          </w:r>
          <w:r>
            <w:rPr>
              <w:rFonts w:ascii="KaiTi" w:eastAsia="KaiTi" w:hAnsi="KaiTi" w:cs="KaiTi"/>
              <w:spacing w:val="-1"/>
              <w:sz w:val="18"/>
              <w:szCs w:val="18"/>
              <w14:textOutline w14:w="326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、硬折扣龙头具备低毛利、低费用率、高周转、高</w:t>
          </w:r>
          <w:r>
            <w:rPr>
              <w:rFonts w:ascii="KaiTi" w:eastAsia="KaiTi" w:hAnsi="KaiTi" w:cs="KaiTi"/>
              <w:spacing w:val="-18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bCs/>
              <w:spacing w:val="-1"/>
              <w:sz w:val="18"/>
              <w:szCs w:val="18"/>
            </w:rPr>
            <w:t>ROE</w:t>
          </w:r>
          <w:r>
            <w:rPr>
              <w:rFonts w:ascii="Times New Roman" w:eastAsia="Times New Roman" w:hAnsi="Times New Roman" w:cs="Times New Roman"/>
              <w:b/>
              <w:bCs/>
              <w:spacing w:val="15"/>
              <w:w w:val="10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1"/>
              <w:sz w:val="18"/>
              <w:szCs w:val="18"/>
              <w14:textOutline w14:w="326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的特征，业绩韧性强</w:t>
          </w:r>
          <w:r>
            <w:rPr>
              <w:rFonts w:ascii="KaiTi" w:eastAsia="KaiTi" w:hAnsi="KaiTi" w:cs="KaiTi"/>
              <w:spacing w:val="-6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51"/>
              <w:sz w:val="18"/>
              <w:szCs w:val="18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hyperlink>
        </w:p>
        <w:p>
          <w:pPr>
            <w:tabs>
              <w:tab w:val="right" w:leader="dot" w:pos="10591"/>
            </w:tabs>
            <w:spacing w:before="26" w:line="218" w:lineRule="auto"/>
            <w:ind w:left="3242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bCs/>
              <w:sz w:val="18"/>
              <w:szCs w:val="18"/>
            </w:rPr>
            <w:t>2</w:t>
          </w:r>
          <w:r>
            <w:rPr>
              <w:rFonts w:ascii="KaiTi" w:eastAsia="KaiTi" w:hAnsi="KaiTi" w:cs="KaiTi"/>
              <w:sz w:val="18"/>
              <w:szCs w:val="18"/>
              <w14:textOutline w14:w="326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、高坪效为支撑业绩增长和拓店的核心驱动力之一</w:t>
          </w:r>
          <w:r>
            <w:rPr>
              <w:rFonts w:ascii="KaiTi" w:eastAsia="KaiTi" w:hAnsi="KaiTi" w:cs="KaiTi"/>
              <w:spacing w:val="-5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27"/>
              <w:sz w:val="18"/>
              <w:szCs w:val="18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11</w:t>
            </w:r>
          </w:hyperlink>
        </w:p>
        <w:p>
          <w:pPr>
            <w:tabs>
              <w:tab w:val="right" w:leader="dot" w:pos="10591"/>
            </w:tabs>
            <w:spacing w:before="22" w:line="212" w:lineRule="auto"/>
            <w:ind w:left="3241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3"/>
              <w:sz w:val="18"/>
              <w:szCs w:val="18"/>
            </w:rPr>
            <w:t>3</w:t>
          </w:r>
          <w:r>
            <w:rPr>
              <w:rFonts w:ascii="KaiTi" w:eastAsia="KaiTi" w:hAnsi="KaiTi" w:cs="KaiTi"/>
              <w:spacing w:val="-3"/>
              <w:sz w:val="18"/>
              <w:szCs w:val="18"/>
              <w14:textOutline w14:w="326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、本土企业布局硬折扣有哪些值得借鉴的地方？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34"/>
              <w:sz w:val="18"/>
              <w:szCs w:val="18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13</w:t>
            </w:r>
          </w:hyperlink>
        </w:p>
        <w:p>
          <w:pPr>
            <w:tabs>
              <w:tab w:val="right" w:leader="dot" w:pos="10591"/>
            </w:tabs>
            <w:spacing w:before="26" w:line="216" w:lineRule="auto"/>
            <w:ind w:left="3245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3"/>
              <w:sz w:val="18"/>
              <w:szCs w:val="18"/>
            </w:rPr>
            <w:t>3.1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、精简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18"/>
              <w:szCs w:val="18"/>
            </w:rPr>
            <w:t>SKU</w:t>
          </w:r>
          <w:r>
            <w:rPr>
              <w:rFonts w:ascii="Times New Roman" w:eastAsia="Times New Roman" w:hAnsi="Times New Roman" w:cs="Times New Roman"/>
              <w:spacing w:val="30"/>
              <w:w w:val="10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以提升经营效率、提高单</w:t>
          </w:r>
          <w:r>
            <w:rPr>
              <w:rFonts w:ascii="KaiTi" w:eastAsia="KaiTi" w:hAnsi="KaiTi" w:cs="KaiTi"/>
              <w:spacing w:val="-33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  <w:sz w:val="18"/>
              <w:szCs w:val="18"/>
            </w:rPr>
            <w:t xml:space="preserve">SKU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采购议价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能力</w:t>
          </w:r>
          <w:r>
            <w:rPr>
              <w:rFonts w:ascii="KaiTi" w:eastAsia="KaiTi" w:hAnsi="KaiTi" w:cs="KaiTi"/>
              <w:spacing w:val="-36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34"/>
              <w:sz w:val="18"/>
              <w:szCs w:val="18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13</w:t>
            </w:r>
          </w:hyperlink>
        </w:p>
        <w:p>
          <w:pPr>
            <w:tabs>
              <w:tab w:val="right" w:leader="dot" w:pos="10591"/>
            </w:tabs>
            <w:spacing w:before="23" w:line="214" w:lineRule="auto"/>
            <w:ind w:left="3245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1"/>
              <w:sz w:val="18"/>
              <w:szCs w:val="18"/>
            </w:rPr>
            <w:t>3.2</w:t>
          </w:r>
          <w:r>
            <w:rPr>
              <w:rFonts w:ascii="KaiTi" w:eastAsia="KaiTi" w:hAnsi="KaiTi" w:cs="KaiTi"/>
              <w:spacing w:val="-1"/>
              <w:sz w:val="18"/>
              <w:szCs w:val="18"/>
            </w:rPr>
            <w:t>、聚焦高频刚需品类、发展自有品牌、强化源头直采</w:t>
          </w:r>
          <w:r>
            <w:rPr>
              <w:rFonts w:ascii="KaiTi" w:eastAsia="KaiTi" w:hAnsi="KaiTi" w:cs="KaiTi"/>
              <w:spacing w:val="-2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34"/>
              <w:sz w:val="18"/>
              <w:szCs w:val="18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14</w:t>
            </w:r>
          </w:hyperlink>
        </w:p>
        <w:p>
          <w:pPr>
            <w:tabs>
              <w:tab w:val="right" w:leader="dot" w:pos="10591"/>
            </w:tabs>
            <w:spacing w:before="24" w:line="215" w:lineRule="auto"/>
            <w:ind w:left="3245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1"/>
              <w:sz w:val="18"/>
              <w:szCs w:val="18"/>
            </w:rPr>
            <w:t>3.3</w:t>
          </w:r>
          <w:r>
            <w:rPr>
              <w:rFonts w:ascii="KaiTi" w:eastAsia="KaiTi" w:hAnsi="KaiTi" w:cs="KaiTi"/>
              <w:spacing w:val="-1"/>
              <w:sz w:val="18"/>
              <w:szCs w:val="18"/>
            </w:rPr>
            <w:t>、多维度降本增效、领先的费用管控能力</w:t>
          </w:r>
          <w:r>
            <w:rPr>
              <w:rFonts w:ascii="KaiTi" w:eastAsia="KaiTi" w:hAnsi="KaiTi" w:cs="KaiTi"/>
              <w:spacing w:val="-4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34"/>
              <w:sz w:val="18"/>
              <w:szCs w:val="18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19</w:t>
            </w:r>
          </w:hyperlink>
        </w:p>
        <w:p>
          <w:pPr>
            <w:tabs>
              <w:tab w:val="right" w:leader="dot" w:pos="10591"/>
            </w:tabs>
            <w:spacing w:before="25" w:line="219" w:lineRule="auto"/>
            <w:ind w:left="3245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</w:rPr>
            <w:t>3.4</w:t>
          </w:r>
          <w:r>
            <w:rPr>
              <w:rFonts w:ascii="KaiTi" w:eastAsia="KaiTi" w:hAnsi="KaiTi" w:cs="KaiTi"/>
              <w:sz w:val="18"/>
              <w:szCs w:val="18"/>
            </w:rPr>
            <w:t>、租金与选址：社区小店或更具备高周转和</w:t>
          </w:r>
          <w:r>
            <w:rPr>
              <w:rFonts w:ascii="KaiTi" w:eastAsia="KaiTi" w:hAnsi="KaiTi" w:cs="KaiTi"/>
              <w:spacing w:val="-1"/>
              <w:sz w:val="18"/>
              <w:szCs w:val="18"/>
            </w:rPr>
            <w:t>较快复制的可能性</w:t>
          </w:r>
          <w:r>
            <w:rPr>
              <w:rFonts w:ascii="KaiTi" w:eastAsia="KaiTi" w:hAnsi="KaiTi" w:cs="KaiTi"/>
              <w:spacing w:val="-7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52"/>
              <w:sz w:val="18"/>
              <w:szCs w:val="18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22</w:t>
            </w:r>
          </w:hyperlink>
        </w:p>
        <w:p>
          <w:pPr>
            <w:tabs>
              <w:tab w:val="right" w:leader="dot" w:pos="10591"/>
            </w:tabs>
            <w:spacing w:before="20" w:line="218" w:lineRule="auto"/>
            <w:ind w:left="3242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bCs/>
              <w:sz w:val="18"/>
              <w:szCs w:val="18"/>
            </w:rPr>
            <w:t>4</w:t>
          </w:r>
          <w:r>
            <w:rPr>
              <w:rFonts w:ascii="KaiTi" w:eastAsia="KaiTi" w:hAnsi="KaiTi" w:cs="KaiTi"/>
              <w:sz w:val="18"/>
              <w:szCs w:val="18"/>
              <w14:textOutline w14:w="326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、总结与投资建议</w:t>
          </w:r>
          <w:r>
            <w:rPr>
              <w:rFonts w:ascii="KaiTi" w:eastAsia="KaiTi" w:hAnsi="KaiTi" w:cs="KaiTi"/>
              <w:spacing w:val="-38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52"/>
              <w:sz w:val="18"/>
              <w:szCs w:val="18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23</w:t>
            </w:r>
          </w:hyperlink>
        </w:p>
        <w:p>
          <w:pPr>
            <w:tabs>
              <w:tab w:val="right" w:leader="dot" w:pos="10591"/>
            </w:tabs>
            <w:spacing w:before="20" w:line="217" w:lineRule="auto"/>
            <w:ind w:left="3244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18"/>
              <w:szCs w:val="18"/>
            </w:rPr>
            <w:t>5</w:t>
          </w:r>
          <w:r>
            <w:rPr>
              <w:rFonts w:ascii="KaiTi" w:eastAsia="KaiTi" w:hAnsi="KaiTi" w:cs="KaiTi"/>
              <w:spacing w:val="-1"/>
              <w:sz w:val="18"/>
              <w:szCs w:val="18"/>
              <w14:textOutline w14:w="3265">
                <w14:solidFill>
                  <w14:srgbClr w14:val="000000"/>
                </w14:solidFill>
                <w14:prstDash w14:val="solid"/>
                <w14:miter w14:lim="10"/>
              </w14:textOutline>
            </w:rPr>
            <w:t>、风险因素</w:t>
          </w:r>
          <w:r>
            <w:rPr>
              <w:rFonts w:ascii="KaiTi" w:eastAsia="KaiTi" w:hAnsi="KaiTi" w:cs="KaiTi"/>
              <w:spacing w:val="-4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53"/>
              <w:sz w:val="18"/>
              <w:szCs w:val="18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23</w:t>
            </w:r>
          </w:hyperlink>
        </w:p>
      </w:sdtContent>
    </w:sdt>
    <w:p>
      <w:pPr>
        <w:pStyle w:val="BodyText"/>
        <w:spacing w:line="294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sdt>
      <w:sdtPr>
        <w:rPr>
          <w:rFonts w:ascii="KaiTi" w:eastAsia="KaiTi" w:hAnsi="KaiTi" w:cs="KaiTi"/>
          <w:sz w:val="24"/>
          <w:szCs w:val="24"/>
        </w:rPr>
        <w:id w:val="214810203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8"/>
          <w:szCs w:val="18"/>
        </w:rPr>
      </w:sdtEndPr>
      <w:sdtContent>
        <w:p>
          <w:pPr>
            <w:spacing w:before="78" w:line="219" w:lineRule="auto"/>
            <w:ind w:left="9635"/>
            <w:rPr>
              <w:rFonts w:ascii="KaiTi" w:eastAsia="KaiTi" w:hAnsi="KaiTi" w:cs="KaiTi"/>
              <w:sz w:val="24"/>
              <w:szCs w:val="24"/>
            </w:rPr>
          </w:pPr>
          <w:r>
            <w:rPr>
              <w:rFonts w:ascii="KaiTi" w:eastAsia="KaiTi" w:hAnsi="KaiTi" w:cs="KaiTi"/>
              <w:color w:val="152F58"/>
              <w:spacing w:val="-20"/>
              <w:sz w:val="24"/>
              <w:szCs w:val="24"/>
            </w:rPr>
            <w:t>表</w:t>
          </w:r>
          <w:r>
            <w:rPr>
              <w:rFonts w:ascii="KaiTi" w:eastAsia="KaiTi" w:hAnsi="KaiTi" w:cs="KaiTi"/>
              <w:color w:val="152F58"/>
              <w:spacing w:val="55"/>
              <w:sz w:val="24"/>
              <w:szCs w:val="24"/>
            </w:rPr>
            <w:t xml:space="preserve"> </w:t>
          </w:r>
          <w:r>
            <w:rPr>
              <w:rFonts w:ascii="KaiTi" w:eastAsia="KaiTi" w:hAnsi="KaiTi" w:cs="KaiTi"/>
              <w:color w:val="152F58"/>
              <w:spacing w:val="-20"/>
              <w:sz w:val="24"/>
              <w:szCs w:val="24"/>
            </w:rPr>
            <w:t>目</w:t>
          </w:r>
          <w:r>
            <w:rPr>
              <w:rFonts w:ascii="KaiTi" w:eastAsia="KaiTi" w:hAnsi="KaiTi" w:cs="KaiTi"/>
              <w:color w:val="152F58"/>
              <w:spacing w:val="18"/>
              <w:sz w:val="24"/>
              <w:szCs w:val="24"/>
            </w:rPr>
            <w:t xml:space="preserve"> </w:t>
          </w:r>
          <w:r>
            <w:rPr>
              <w:rFonts w:ascii="KaiTi" w:eastAsia="KaiTi" w:hAnsi="KaiTi" w:cs="KaiTi"/>
              <w:color w:val="152F58"/>
              <w:spacing w:val="-20"/>
              <w:sz w:val="24"/>
              <w:szCs w:val="24"/>
            </w:rPr>
            <w:t>录</w:t>
          </w:r>
        </w:p>
        <w:p>
          <w:pPr>
            <w:tabs>
              <w:tab w:val="right" w:leader="dot" w:pos="10590"/>
            </w:tabs>
            <w:spacing w:before="50" w:line="218" w:lineRule="auto"/>
            <w:ind w:left="3243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spacing w:val="-1"/>
              <w:sz w:val="18"/>
              <w:szCs w:val="18"/>
            </w:rPr>
            <w:t>表</w:t>
          </w:r>
          <w:r>
            <w:rPr>
              <w:rFonts w:ascii="KaiTi" w:eastAsia="KaiTi" w:hAnsi="KaiTi" w:cs="KaiTi"/>
              <w:spacing w:val="-31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1"/>
              <w:sz w:val="18"/>
              <w:szCs w:val="18"/>
            </w:rPr>
            <w:t>1</w:t>
          </w:r>
          <w:r>
            <w:rPr>
              <w:rFonts w:ascii="KaiTi" w:eastAsia="KaiTi" w:hAnsi="KaiTi" w:cs="KaiTi"/>
              <w:spacing w:val="-1"/>
              <w:sz w:val="18"/>
              <w:szCs w:val="18"/>
            </w:rPr>
            <w:t>：消费社会的四个阶段以及消费特征</w:t>
          </w:r>
          <w:r>
            <w:rPr>
              <w:rFonts w:ascii="KaiTi" w:eastAsia="KaiTi" w:hAnsi="KaiTi" w:cs="KaiTi"/>
              <w:spacing w:val="-65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hyperlink w:anchor="bookmark1" w:history="1">
            <w:r>
              <w:rPr>
                <w:rFonts w:ascii="DengXian" w:eastAsia="DengXian" w:hAnsi="DengXian" w:cs="DengXian"/>
                <w:spacing w:val="9"/>
                <w:sz w:val="18"/>
                <w:szCs w:val="18"/>
              </w:rPr>
              <w:t>6</w:t>
            </w:r>
          </w:hyperlink>
        </w:p>
        <w:p>
          <w:pPr>
            <w:tabs>
              <w:tab w:val="right" w:leader="dot" w:pos="10590"/>
            </w:tabs>
            <w:spacing w:before="83" w:line="232" w:lineRule="auto"/>
            <w:ind w:left="3243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spacing w:val="-1"/>
              <w:sz w:val="18"/>
              <w:szCs w:val="18"/>
            </w:rPr>
            <w:t>表</w:t>
          </w:r>
          <w:r>
            <w:rPr>
              <w:rFonts w:ascii="KaiTi" w:eastAsia="KaiTi" w:hAnsi="KaiTi" w:cs="KaiTi"/>
              <w:spacing w:val="-29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1"/>
              <w:sz w:val="18"/>
              <w:szCs w:val="18"/>
            </w:rPr>
            <w:t>2</w:t>
          </w:r>
          <w:r>
            <w:rPr>
              <w:rFonts w:ascii="KaiTi" w:eastAsia="KaiTi" w:hAnsi="KaiTi" w:cs="KaiTi"/>
              <w:spacing w:val="-1"/>
              <w:sz w:val="18"/>
              <w:szCs w:val="18"/>
            </w:rPr>
            <w:t>：目前布局折扣业态的国内公司</w:t>
          </w:r>
          <w:r>
            <w:rPr>
              <w:rFonts w:ascii="DengXian" w:eastAsia="DengXian" w:hAnsi="DengXian" w:cs="DengXian"/>
              <w:spacing w:val="-1"/>
              <w:sz w:val="18"/>
              <w:szCs w:val="18"/>
            </w:rPr>
            <w:t>/</w:t>
          </w:r>
          <w:r>
            <w:rPr>
              <w:rFonts w:ascii="KaiTi" w:eastAsia="KaiTi" w:hAnsi="KaiTi" w:cs="KaiTi"/>
              <w:spacing w:val="-1"/>
              <w:sz w:val="18"/>
              <w:szCs w:val="18"/>
            </w:rPr>
            <w:t>品牌梳理</w:t>
          </w:r>
          <w:r>
            <w:rPr>
              <w:rFonts w:ascii="KaiTi" w:eastAsia="KaiTi" w:hAnsi="KaiTi" w:cs="KaiTi"/>
              <w:spacing w:val="-69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hyperlink w:anchor="bookmark11" w:history="1">
            <w:r>
              <w:rPr>
                <w:rFonts w:ascii="DengXian" w:eastAsia="DengXian" w:hAnsi="DengXian" w:cs="DengXian"/>
                <w:spacing w:val="9"/>
                <w:sz w:val="18"/>
                <w:szCs w:val="18"/>
              </w:rPr>
              <w:t>8</w:t>
            </w:r>
          </w:hyperlink>
        </w:p>
      </w:sdtContent>
    </w:sdt>
    <w:p>
      <w:pPr>
        <w:spacing w:before="69" w:line="232" w:lineRule="auto"/>
        <w:ind w:left="2422"/>
        <w:rPr>
          <w:rFonts w:ascii="DengXian" w:eastAsia="DengXian" w:hAnsi="DengXian" w:cs="DengXian"/>
          <w:sz w:val="18"/>
          <w:szCs w:val="18"/>
        </w:rPr>
      </w:pPr>
      <w:r>
        <w:rPr>
          <w:rFonts w:ascii="KaiTi" w:eastAsia="KaiTi" w:hAnsi="KaiTi" w:cs="KaiTi"/>
          <w:spacing w:val="-2"/>
          <w:sz w:val="18"/>
          <w:szCs w:val="18"/>
        </w:rPr>
        <w:t>表</w:t>
      </w:r>
      <w:r>
        <w:rPr>
          <w:rFonts w:ascii="KaiTi" w:eastAsia="KaiTi" w:hAnsi="KaiTi" w:cs="KaiTi"/>
          <w:spacing w:val="-36"/>
          <w:sz w:val="18"/>
          <w:szCs w:val="18"/>
        </w:rPr>
        <w:t xml:space="preserve"> </w:t>
      </w:r>
      <w:r>
        <w:rPr>
          <w:rFonts w:ascii="DengXian" w:eastAsia="DengXian" w:hAnsi="DengXian" w:cs="DengXian"/>
          <w:spacing w:val="-2"/>
          <w:sz w:val="18"/>
          <w:szCs w:val="18"/>
        </w:rPr>
        <w:t>3</w:t>
      </w:r>
      <w:r>
        <w:rPr>
          <w:rFonts w:ascii="KaiTi" w:eastAsia="KaiTi" w:hAnsi="KaiTi" w:cs="KaiTi"/>
          <w:spacing w:val="-2"/>
          <w:sz w:val="18"/>
          <w:szCs w:val="18"/>
        </w:rPr>
        <w:t>：奥乐齐、盒马、百联的自有品牌</w:t>
      </w:r>
      <w:r>
        <w:rPr>
          <w:rFonts w:ascii="DengXian" w:eastAsia="DengXian" w:hAnsi="DengXian" w:cs="DengXian"/>
          <w:spacing w:val="-2"/>
          <w:sz w:val="18"/>
          <w:szCs w:val="18"/>
        </w:rPr>
        <w:t>/</w:t>
      </w:r>
      <w:r>
        <w:rPr>
          <w:rFonts w:ascii="KaiTi" w:eastAsia="KaiTi" w:hAnsi="KaiTi" w:cs="KaiTi"/>
          <w:spacing w:val="-2"/>
          <w:sz w:val="18"/>
          <w:szCs w:val="18"/>
        </w:rPr>
        <w:t>源头直采商品价格低于第三方</w:t>
      </w:r>
      <w:r>
        <w:rPr>
          <w:rFonts w:ascii="KaiTi" w:eastAsia="KaiTi" w:hAnsi="KaiTi" w:cs="KaiTi"/>
          <w:spacing w:val="-3"/>
          <w:sz w:val="18"/>
          <w:szCs w:val="18"/>
        </w:rPr>
        <w:t>品牌（以鲜牛奶、鲜鸡蛋为例）</w:t>
      </w:r>
      <w:r>
        <w:rPr>
          <w:rFonts w:ascii="KaiTi" w:eastAsia="KaiTi" w:hAnsi="KaiTi" w:cs="KaiTi"/>
          <w:spacing w:val="48"/>
          <w:sz w:val="18"/>
          <w:szCs w:val="18"/>
        </w:rPr>
        <w:t xml:space="preserve"> </w:t>
      </w:r>
      <w:r>
        <w:rPr>
          <w:rFonts w:ascii="DengXian" w:eastAsia="DengXian" w:hAnsi="DengXian" w:cs="DengXian"/>
          <w:spacing w:val="-3"/>
          <w:sz w:val="18"/>
          <w:szCs w:val="18"/>
        </w:rPr>
        <w:t>19</w:t>
      </w:r>
    </w:p>
    <w:sdt>
      <w:sdtPr>
        <w:rPr>
          <w:rFonts w:ascii="KaiTi" w:eastAsia="KaiTi" w:hAnsi="KaiTi" w:cs="KaiTi"/>
          <w:sz w:val="18"/>
          <w:szCs w:val="18"/>
        </w:rPr>
        <w:id w:val="122092984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8"/>
          <w:szCs w:val="18"/>
        </w:rPr>
      </w:sdtEndPr>
      <w:sdtContent>
        <w:p>
          <w:pPr>
            <w:tabs>
              <w:tab w:val="right" w:leader="dot" w:pos="10591"/>
            </w:tabs>
            <w:spacing w:before="69" w:line="218" w:lineRule="auto"/>
            <w:ind w:left="3243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sz w:val="18"/>
              <w:szCs w:val="18"/>
            </w:rPr>
            <w:t>表</w:t>
          </w:r>
          <w:r>
            <w:rPr>
              <w:rFonts w:ascii="KaiTi" w:eastAsia="KaiTi" w:hAnsi="KaiTi" w:cs="KaiTi"/>
              <w:spacing w:val="-29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z w:val="18"/>
              <w:szCs w:val="18"/>
            </w:rPr>
            <w:t>4</w:t>
          </w:r>
          <w:r>
            <w:rPr>
              <w:rFonts w:ascii="KaiTi" w:eastAsia="KaiTi" w:hAnsi="KaiTi" w:cs="KaiTi"/>
              <w:sz w:val="18"/>
              <w:szCs w:val="18"/>
            </w:rPr>
            <w:t>：美国奥乐齐成本结构（</w:t>
          </w:r>
          <w:r>
            <w:rPr>
              <w:rFonts w:ascii="DengXian" w:eastAsia="DengXian" w:hAnsi="DengXian" w:cs="DengXian"/>
              <w:sz w:val="18"/>
              <w:szCs w:val="18"/>
            </w:rPr>
            <w:t>1995</w:t>
          </w:r>
          <w:r>
            <w:rPr>
              <w:rFonts w:ascii="KaiTi" w:eastAsia="KaiTi" w:hAnsi="KaiTi" w:cs="KaiTi"/>
              <w:sz w:val="18"/>
              <w:szCs w:val="18"/>
            </w:rPr>
            <w:t>）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12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19</w:t>
            </w:r>
          </w:hyperlink>
        </w:p>
        <w:p>
          <w:pPr>
            <w:tabs>
              <w:tab w:val="right" w:leader="dot" w:pos="10591"/>
            </w:tabs>
            <w:spacing w:before="83" w:line="217" w:lineRule="auto"/>
            <w:ind w:left="3243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spacing w:val="-1"/>
              <w:sz w:val="18"/>
              <w:szCs w:val="18"/>
            </w:rPr>
            <w:t>表</w:t>
          </w:r>
          <w:r>
            <w:rPr>
              <w:rFonts w:ascii="KaiTi" w:eastAsia="KaiTi" w:hAnsi="KaiTi" w:cs="KaiTi"/>
              <w:spacing w:val="-31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1"/>
              <w:sz w:val="18"/>
              <w:szCs w:val="18"/>
            </w:rPr>
            <w:t>5</w:t>
          </w:r>
          <w:r>
            <w:rPr>
              <w:rFonts w:ascii="KaiTi" w:eastAsia="KaiTi" w:hAnsi="KaiTi" w:cs="KaiTi"/>
              <w:spacing w:val="-1"/>
              <w:sz w:val="18"/>
              <w:szCs w:val="18"/>
            </w:rPr>
            <w:t>：商超零售相关标的盈利预测与估值</w:t>
          </w:r>
          <w:r>
            <w:rPr>
              <w:rFonts w:ascii="KaiTi" w:eastAsia="KaiTi" w:hAnsi="KaiTi" w:cs="KaiTi"/>
              <w:spacing w:val="-65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13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23</w:t>
            </w:r>
          </w:hyperlink>
        </w:p>
      </w:sdtContent>
    </w:sdt>
    <w:p>
      <w:pPr>
        <w:pStyle w:val="BodyText"/>
        <w:spacing w:line="293" w:lineRule="auto"/>
      </w:pPr>
    </w:p>
    <w:p>
      <w:pPr>
        <w:spacing w:before="78" w:line="219" w:lineRule="auto"/>
        <w:ind w:left="9665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color w:val="152F58"/>
          <w:spacing w:val="-30"/>
          <w:sz w:val="24"/>
          <w:szCs w:val="24"/>
        </w:rPr>
        <w:t>图</w:t>
      </w:r>
      <w:r>
        <w:rPr>
          <w:rFonts w:ascii="KaiTi" w:eastAsia="KaiTi" w:hAnsi="KaiTi" w:cs="KaiTi"/>
          <w:color w:val="152F58"/>
          <w:spacing w:val="55"/>
          <w:sz w:val="24"/>
          <w:szCs w:val="24"/>
        </w:rPr>
        <w:t xml:space="preserve"> </w:t>
      </w:r>
      <w:r>
        <w:rPr>
          <w:rFonts w:ascii="KaiTi" w:eastAsia="KaiTi" w:hAnsi="KaiTi" w:cs="KaiTi"/>
          <w:color w:val="152F58"/>
          <w:spacing w:val="-30"/>
          <w:sz w:val="24"/>
          <w:szCs w:val="24"/>
        </w:rPr>
        <w:t>目</w:t>
      </w:r>
      <w:r>
        <w:rPr>
          <w:rFonts w:ascii="KaiTi" w:eastAsia="KaiTi" w:hAnsi="KaiTi" w:cs="KaiTi"/>
          <w:color w:val="152F58"/>
          <w:spacing w:val="18"/>
          <w:sz w:val="24"/>
          <w:szCs w:val="24"/>
        </w:rPr>
        <w:t xml:space="preserve"> </w:t>
      </w:r>
      <w:r>
        <w:rPr>
          <w:rFonts w:ascii="KaiTi" w:eastAsia="KaiTi" w:hAnsi="KaiTi" w:cs="KaiTi"/>
          <w:color w:val="152F58"/>
          <w:spacing w:val="-30"/>
          <w:sz w:val="24"/>
          <w:szCs w:val="24"/>
        </w:rPr>
        <w:t>录</w:t>
      </w:r>
    </w:p>
    <w:sdt>
      <w:sdtPr>
        <w:rPr>
          <w:rFonts w:ascii="KaiTi" w:eastAsia="KaiTi" w:hAnsi="KaiTi" w:cs="KaiTi"/>
          <w:sz w:val="18"/>
          <w:szCs w:val="18"/>
        </w:rPr>
        <w:id w:val="1200677367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8"/>
          <w:szCs w:val="18"/>
        </w:rPr>
      </w:sdtEndPr>
      <w:sdtContent>
        <w:p>
          <w:pPr>
            <w:tabs>
              <w:tab w:val="right" w:leader="dot" w:pos="10590"/>
            </w:tabs>
            <w:spacing w:before="50" w:line="216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7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10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7"/>
              <w:sz w:val="18"/>
              <w:szCs w:val="18"/>
            </w:rPr>
            <w:t>1</w:t>
          </w:r>
          <w:r>
            <w:rPr>
              <w:rFonts w:ascii="KaiTi" w:eastAsia="KaiTi" w:hAnsi="KaiTi" w:cs="KaiTi"/>
              <w:color w:val="404040"/>
              <w:spacing w:val="-7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46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7"/>
              <w:sz w:val="18"/>
              <w:szCs w:val="18"/>
            </w:rPr>
            <w:t>日本、德国、美国</w:t>
          </w:r>
          <w:r>
            <w:rPr>
              <w:rFonts w:ascii="KaiTi" w:eastAsia="KaiTi" w:hAnsi="KaiTi" w:cs="KaiTi"/>
              <w:spacing w:val="-37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7"/>
              <w:sz w:val="18"/>
              <w:szCs w:val="18"/>
            </w:rPr>
            <w:t>GDP</w:t>
          </w:r>
          <w:r>
            <w:rPr>
              <w:rFonts w:ascii="DengXian" w:eastAsia="DengXian" w:hAnsi="DengXian" w:cs="DengXian"/>
              <w:spacing w:val="1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7"/>
              <w:sz w:val="18"/>
              <w:szCs w:val="18"/>
            </w:rPr>
            <w:t>不变价同比</w:t>
          </w:r>
          <w:r>
            <w:rPr>
              <w:rFonts w:ascii="KaiTi" w:eastAsia="KaiTi" w:hAnsi="KaiTi" w:cs="KaiTi"/>
              <w:spacing w:val="-7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hyperlink w:anchor="bookmark14" w:history="1">
            <w:r>
              <w:rPr>
                <w:rFonts w:ascii="DengXian" w:eastAsia="DengXian" w:hAnsi="DengXian" w:cs="DengXian"/>
                <w:spacing w:val="9"/>
                <w:sz w:val="18"/>
                <w:szCs w:val="18"/>
              </w:rPr>
              <w:t>7</w:t>
            </w:r>
          </w:hyperlink>
        </w:p>
        <w:p>
          <w:pPr>
            <w:tabs>
              <w:tab w:val="right" w:leader="dot" w:pos="10590"/>
            </w:tabs>
            <w:spacing w:before="85" w:line="216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41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4"/>
              <w:sz w:val="18"/>
              <w:szCs w:val="18"/>
            </w:rPr>
            <w:t>2</w:t>
          </w: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4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日本、德国、美国国民可支配收入同比</w:t>
          </w:r>
          <w:r>
            <w:rPr>
              <w:rFonts w:ascii="KaiTi" w:eastAsia="KaiTi" w:hAnsi="KaiTi" w:cs="KaiTi"/>
              <w:spacing w:val="-5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hyperlink w:anchor="bookmark15" w:history="1">
            <w:r>
              <w:rPr>
                <w:rFonts w:ascii="DengXian" w:eastAsia="DengXian" w:hAnsi="DengXian" w:cs="DengXian"/>
                <w:spacing w:val="9"/>
                <w:sz w:val="18"/>
                <w:szCs w:val="18"/>
              </w:rPr>
              <w:t>7</w:t>
            </w:r>
          </w:hyperlink>
        </w:p>
        <w:p>
          <w:pPr>
            <w:tabs>
              <w:tab w:val="right" w:leader="dot" w:pos="10590"/>
            </w:tabs>
            <w:spacing w:before="85" w:line="213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0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3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追求性价比，回归商品使用属性</w:t>
          </w:r>
          <w:r>
            <w:rPr>
              <w:rFonts w:ascii="KaiTi" w:eastAsia="KaiTi" w:hAnsi="KaiTi" w:cs="KaiTi"/>
              <w:spacing w:val="-48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hyperlink w:anchor="bookmark16" w:history="1">
            <w:r>
              <w:rPr>
                <w:rFonts w:ascii="DengXian" w:eastAsia="DengXian" w:hAnsi="DengXian" w:cs="DengXian"/>
                <w:spacing w:val="9"/>
                <w:sz w:val="18"/>
                <w:szCs w:val="18"/>
              </w:rPr>
              <w:t>7</w:t>
            </w:r>
          </w:hyperlink>
        </w:p>
        <w:p>
          <w:pPr>
            <w:tabs>
              <w:tab w:val="right" w:leader="dot" w:pos="10590"/>
            </w:tabs>
            <w:spacing w:before="87" w:line="217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4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4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传统线下零售业态</w:t>
          </w:r>
          <w:r>
            <w:rPr>
              <w:rFonts w:ascii="KaiTi" w:eastAsia="KaiTi" w:hAnsi="KaiTi" w:cs="KaiTi"/>
              <w:spacing w:val="-37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2"/>
              <w:sz w:val="18"/>
              <w:szCs w:val="18"/>
            </w:rPr>
            <w:t xml:space="preserve">2020-2022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年零售额表现平稳</w:t>
          </w:r>
          <w:r>
            <w:rPr>
              <w:rFonts w:ascii="KaiTi" w:eastAsia="KaiTi" w:hAnsi="KaiTi" w:cs="KaiTi"/>
              <w:spacing w:val="-4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hyperlink w:anchor="bookmark17" w:history="1">
            <w:r>
              <w:rPr>
                <w:rFonts w:ascii="DengXian" w:eastAsia="DengXian" w:hAnsi="DengXian" w:cs="DengXian"/>
                <w:spacing w:val="9"/>
                <w:sz w:val="18"/>
                <w:szCs w:val="18"/>
              </w:rPr>
              <w:t>8</w:t>
            </w:r>
          </w:hyperlink>
        </w:p>
        <w:p>
          <w:pPr>
            <w:tabs>
              <w:tab w:val="right" w:leader="dot" w:pos="10590"/>
            </w:tabs>
            <w:spacing w:before="84" w:line="217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8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5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实物商品消费线上化率已达到相对稳定水平</w:t>
          </w:r>
          <w:r>
            <w:rPr>
              <w:rFonts w:ascii="KaiTi" w:eastAsia="KaiTi" w:hAnsi="KaiTi" w:cs="KaiTi"/>
              <w:spacing w:val="-6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hyperlink w:anchor="bookmark18" w:history="1">
            <w:r>
              <w:rPr>
                <w:rFonts w:ascii="DengXian" w:eastAsia="DengXian" w:hAnsi="DengXian" w:cs="DengXian"/>
                <w:spacing w:val="9"/>
                <w:sz w:val="18"/>
                <w:szCs w:val="18"/>
              </w:rPr>
              <w:t>8</w:t>
            </w:r>
          </w:hyperlink>
        </w:p>
        <w:p>
          <w:pPr>
            <w:tabs>
              <w:tab w:val="right" w:leader="dot" w:pos="10590"/>
            </w:tabs>
            <w:spacing w:before="85" w:line="215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2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6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折扣零售</w:t>
          </w:r>
          <w:r>
            <w:rPr>
              <w:rFonts w:ascii="KaiTi" w:eastAsia="KaiTi" w:hAnsi="KaiTi" w:cs="KaiTi"/>
              <w:spacing w:val="-36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2"/>
              <w:sz w:val="18"/>
              <w:szCs w:val="18"/>
            </w:rPr>
            <w:t xml:space="preserve">Costco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毛利率显著低于传统商超标的</w:t>
          </w:r>
          <w:r>
            <w:rPr>
              <w:rFonts w:ascii="KaiTi" w:eastAsia="KaiTi" w:hAnsi="KaiTi" w:cs="KaiTi"/>
              <w:spacing w:val="-55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hyperlink w:anchor="bookmark19" w:history="1">
            <w:r>
              <w:rPr>
                <w:rFonts w:ascii="DengXian" w:eastAsia="DengXian" w:hAnsi="DengXian" w:cs="DengXian"/>
                <w:spacing w:val="9"/>
                <w:sz w:val="18"/>
                <w:szCs w:val="18"/>
              </w:rPr>
              <w:t>9</w:t>
            </w:r>
          </w:hyperlink>
        </w:p>
        <w:p>
          <w:pPr>
            <w:tabs>
              <w:tab w:val="right" w:leader="dot" w:pos="10590"/>
            </w:tabs>
            <w:spacing w:before="85" w:line="218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3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7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>Costco</w:t>
          </w:r>
          <w:r>
            <w:rPr>
              <w:rFonts w:ascii="DengXian" w:eastAsia="DengXian" w:hAnsi="DengXian" w:cs="DengXian"/>
              <w:spacing w:val="22"/>
              <w:w w:val="10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费用率显著低于传统商超标的</w:t>
          </w:r>
          <w:r>
            <w:rPr>
              <w:rFonts w:ascii="KaiTi" w:eastAsia="KaiTi" w:hAnsi="KaiTi" w:cs="KaiTi"/>
              <w:spacing w:val="-5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hyperlink w:anchor="bookmark20" w:history="1">
            <w:r>
              <w:rPr>
                <w:rFonts w:ascii="DengXian" w:eastAsia="DengXian" w:hAnsi="DengXian" w:cs="DengXian"/>
                <w:spacing w:val="9"/>
                <w:sz w:val="18"/>
                <w:szCs w:val="18"/>
              </w:rPr>
              <w:t>9</w:t>
            </w:r>
          </w:hyperlink>
        </w:p>
        <w:p>
          <w:pPr>
            <w:tabs>
              <w:tab w:val="right" w:leader="dot" w:pos="10591"/>
            </w:tabs>
            <w:spacing w:before="83" w:line="217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3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8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2"/>
              <w:sz w:val="18"/>
              <w:szCs w:val="18"/>
            </w:rPr>
            <w:t>Costco</w:t>
          </w:r>
          <w:r>
            <w:rPr>
              <w:rFonts w:ascii="DengXian" w:eastAsia="DengXian" w:hAnsi="DengXian" w:cs="DengXian"/>
              <w:spacing w:val="-2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、</w:t>
          </w:r>
          <w:r>
            <w:rPr>
              <w:rFonts w:ascii="DengXian" w:eastAsia="DengXian" w:hAnsi="DengXian" w:cs="DengXian"/>
              <w:spacing w:val="-2"/>
              <w:sz w:val="18"/>
              <w:szCs w:val="18"/>
            </w:rPr>
            <w:t>Sam’s Club</w:t>
          </w:r>
          <w:r>
            <w:rPr>
              <w:rFonts w:ascii="DengXian" w:eastAsia="DengXian" w:hAnsi="DengXian" w:cs="DengXian"/>
              <w:spacing w:val="13"/>
              <w:w w:val="10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的销售净利率在疫情期间展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现较强韧性</w:t>
          </w:r>
          <w:r>
            <w:rPr>
              <w:rFonts w:ascii="KaiTi" w:eastAsia="KaiTi" w:hAnsi="KaiTi" w:cs="KaiTi"/>
              <w:spacing w:val="-4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21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10</w:t>
            </w:r>
          </w:hyperlink>
        </w:p>
        <w:p>
          <w:pPr>
            <w:tabs>
              <w:tab w:val="right" w:leader="dot" w:pos="10591"/>
            </w:tabs>
            <w:spacing w:before="83" w:line="218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6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9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2"/>
              <w:sz w:val="18"/>
              <w:szCs w:val="18"/>
            </w:rPr>
            <w:t xml:space="preserve">Costco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存货周转天数明显低于传统商超标的</w:t>
          </w:r>
          <w:r>
            <w:rPr>
              <w:rFonts w:ascii="KaiTi" w:eastAsia="KaiTi" w:hAnsi="KaiTi" w:cs="KaiTi"/>
              <w:spacing w:val="-59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22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10</w:t>
            </w:r>
          </w:hyperlink>
        </w:p>
        <w:p>
          <w:pPr>
            <w:tabs>
              <w:tab w:val="right" w:leader="dot" w:pos="10591"/>
            </w:tabs>
            <w:spacing w:before="84" w:line="216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10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>Costco</w:t>
          </w:r>
          <w:r>
            <w:rPr>
              <w:rFonts w:ascii="DengXian" w:eastAsia="DengXian" w:hAnsi="DengXian" w:cs="DengXian"/>
              <w:spacing w:val="1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的总资产周转效率持续领先传统商超标的</w:t>
          </w:r>
          <w:r>
            <w:rPr>
              <w:rFonts w:ascii="KaiTi" w:eastAsia="KaiTi" w:hAnsi="KaiTi" w:cs="KaiTi"/>
              <w:spacing w:val="-5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23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10</w:t>
            </w:r>
          </w:hyperlink>
        </w:p>
        <w:p>
          <w:pPr>
            <w:tabs>
              <w:tab w:val="right" w:leader="dot" w:pos="10591"/>
            </w:tabs>
            <w:spacing w:before="84" w:line="217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4"/>
              <w:sz w:val="18"/>
              <w:szCs w:val="18"/>
            </w:rPr>
            <w:t>11</w:t>
          </w: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4"/>
              <w:sz w:val="18"/>
              <w:szCs w:val="18"/>
            </w:rPr>
            <w:t>Costco</w:t>
          </w:r>
          <w:r>
            <w:rPr>
              <w:rFonts w:ascii="DengXian" w:eastAsia="DengXian" w:hAnsi="DengXian" w:cs="DengXian"/>
              <w:spacing w:val="1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的</w:t>
          </w:r>
          <w:r>
            <w:rPr>
              <w:rFonts w:ascii="KaiTi" w:eastAsia="KaiTi" w:hAnsi="KaiTi" w:cs="KaiTi"/>
              <w:spacing w:val="-29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4"/>
              <w:sz w:val="18"/>
              <w:szCs w:val="18"/>
            </w:rPr>
            <w:t xml:space="preserve">ROE 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水平较传统商超标领先且稳定</w:t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24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10</w:t>
            </w:r>
          </w:hyperlink>
        </w:p>
        <w:p>
          <w:pPr>
            <w:tabs>
              <w:tab w:val="right" w:leader="dot" w:pos="10591"/>
            </w:tabs>
            <w:spacing w:before="85" w:line="215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11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12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折扣业态</w:t>
          </w:r>
          <w:r>
            <w:rPr>
              <w:rFonts w:ascii="KaiTi" w:eastAsia="KaiTi" w:hAnsi="KaiTi" w:cs="KaiTi"/>
              <w:spacing w:val="-33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>Costco</w:t>
          </w:r>
          <w:r>
            <w:rPr>
              <w:rFonts w:ascii="DengXian" w:eastAsia="DengXian" w:hAnsi="DengXian" w:cs="DengXian"/>
              <w:spacing w:val="-2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、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>Sam’s Club</w:t>
          </w:r>
          <w:r>
            <w:rPr>
              <w:rFonts w:ascii="DengXian" w:eastAsia="DengXian" w:hAnsi="DengXian" w:cs="DengXian"/>
              <w:spacing w:val="15"/>
              <w:w w:val="10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营收成长性好于传统商超标的</w:t>
          </w:r>
          <w:r>
            <w:rPr>
              <w:rFonts w:ascii="KaiTi" w:eastAsia="KaiTi" w:hAnsi="KaiTi" w:cs="KaiTi"/>
              <w:spacing w:val="-6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25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11</w:t>
            </w:r>
          </w:hyperlink>
        </w:p>
        <w:p>
          <w:pPr>
            <w:tabs>
              <w:tab w:val="right" w:leader="dot" w:pos="10591"/>
            </w:tabs>
            <w:spacing w:before="85" w:line="220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15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13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 xml:space="preserve">Costco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全球门店数稳步增长</w:t>
          </w:r>
          <w:r>
            <w:rPr>
              <w:rFonts w:ascii="KaiTi" w:eastAsia="KaiTi" w:hAnsi="KaiTi" w:cs="KaiTi"/>
              <w:spacing w:val="-4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26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11</w:t>
            </w:r>
          </w:hyperlink>
        </w:p>
        <w:p>
          <w:pPr>
            <w:tabs>
              <w:tab w:val="right" w:leader="dot" w:pos="10591"/>
            </w:tabs>
            <w:spacing w:before="81" w:line="216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2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14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2"/>
              <w:sz w:val="18"/>
              <w:szCs w:val="18"/>
            </w:rPr>
            <w:t>Costco</w:t>
          </w:r>
          <w:r>
            <w:rPr>
              <w:rFonts w:ascii="DengXian" w:eastAsia="DengXian" w:hAnsi="DengXian" w:cs="DengXian"/>
              <w:spacing w:val="16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营收增长由坪效、拓店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、会员费收入共同贡献</w:t>
          </w:r>
          <w:r>
            <w:rPr>
              <w:rFonts w:ascii="KaiTi" w:eastAsia="KaiTi" w:hAnsi="KaiTi" w:cs="KaiTi"/>
              <w:spacing w:val="-65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27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11</w:t>
            </w:r>
          </w:hyperlink>
        </w:p>
        <w:p>
          <w:pPr>
            <w:tabs>
              <w:tab w:val="right" w:leader="dot" w:pos="10591"/>
            </w:tabs>
            <w:spacing w:before="85" w:line="216" w:lineRule="auto"/>
            <w:ind w:left="3269"/>
            <w:rPr>
              <w:rFonts w:ascii="DengXian" w:eastAsia="DengXian" w:hAnsi="DengXian" w:cs="DengXian"/>
              <w:sz w:val="18"/>
              <w:szCs w:val="18"/>
            </w:rPr>
            <w:sectPr>
              <w:headerReference w:type="default" r:id="rId19"/>
              <w:footerReference w:type="default" r:id="rId20"/>
              <w:pgSz w:w="11907" w:h="16839"/>
              <w:pgMar w:top="280" w:right="480" w:bottom="1213" w:left="613" w:header="0" w:footer="988" w:gutter="0"/>
              <w:pgNumType w:start="5"/>
              <w:cols w:space="708"/>
            </w:sectPr>
          </w:pPr>
          <w:r>
            <w:rPr>
              <w:rFonts w:ascii="KaiTi" w:eastAsia="KaiTi" w:hAnsi="KaiTi" w:cs="KaiTi"/>
              <w:color w:val="404040"/>
              <w:spacing w:val="-6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12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6"/>
              <w:sz w:val="18"/>
              <w:szCs w:val="18"/>
            </w:rPr>
            <w:t>15</w:t>
          </w:r>
          <w:r>
            <w:rPr>
              <w:rFonts w:ascii="KaiTi" w:eastAsia="KaiTi" w:hAnsi="KaiTi" w:cs="KaiTi"/>
              <w:color w:val="404040"/>
              <w:spacing w:val="-6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6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6"/>
              <w:sz w:val="18"/>
              <w:szCs w:val="18"/>
            </w:rPr>
            <w:t xml:space="preserve">Costco </w:t>
          </w:r>
          <w:r>
            <w:rPr>
              <w:rFonts w:ascii="KaiTi" w:eastAsia="KaiTi" w:hAnsi="KaiTi" w:cs="KaiTi"/>
              <w:spacing w:val="-6"/>
              <w:sz w:val="18"/>
              <w:szCs w:val="18"/>
            </w:rPr>
            <w:t>会员费收入及同比（百万美元）</w:t>
          </w:r>
          <w:r>
            <w:rPr>
              <w:rFonts w:ascii="KaiTi" w:eastAsia="KaiTi" w:hAnsi="KaiTi" w:cs="KaiTi"/>
              <w:spacing w:val="3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28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12</w:t>
            </w:r>
          </w:hyperlink>
        </w:p>
      </w:sdtContent>
    </w:sdt>
    <w:sdt>
      <w:sdtPr>
        <w:rPr>
          <w:rFonts w:ascii="KaiTi" w:eastAsia="KaiTi" w:hAnsi="KaiTi" w:cs="KaiTi"/>
          <w:sz w:val="18"/>
          <w:szCs w:val="18"/>
        </w:rPr>
        <w:id w:val="737333632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8"/>
          <w:szCs w:val="18"/>
        </w:rPr>
      </w:sdtEndPr>
      <w:sdtContent>
        <w:p>
          <w:pPr>
            <w:tabs>
              <w:tab w:val="right" w:leader="dot" w:pos="10591"/>
            </w:tabs>
            <w:spacing w:before="85" w:line="218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2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16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2"/>
              <w:sz w:val="18"/>
              <w:szCs w:val="18"/>
            </w:rPr>
            <w:t xml:space="preserve">Costco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会员费占营业利润比重</w:t>
          </w:r>
          <w:r>
            <w:rPr>
              <w:rFonts w:ascii="KaiTi" w:eastAsia="KaiTi" w:hAnsi="KaiTi" w:cs="KaiTi"/>
              <w:spacing w:val="-36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FY2022-FY2023</w:t>
          </w:r>
          <w:r>
            <w:rPr>
              <w:rFonts w:ascii="KaiTi" w:eastAsia="KaiTi" w:hAnsi="KaiTi" w:cs="KaiTi"/>
              <w:spacing w:val="-2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降至</w:t>
          </w:r>
          <w:r>
            <w:rPr>
              <w:rFonts w:ascii="KaiTi" w:eastAsia="KaiTi" w:hAnsi="KaiTi" w:cs="KaiTi"/>
              <w:spacing w:val="-4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55%左右</w:t>
          </w:r>
          <w:r>
            <w:rPr>
              <w:rFonts w:ascii="KaiTi" w:eastAsia="KaiTi" w:hAnsi="KaiTi" w:cs="KaiTi"/>
              <w:spacing w:val="-6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29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12</w:t>
            </w:r>
          </w:hyperlink>
        </w:p>
        <w:p>
          <w:pPr>
            <w:tabs>
              <w:tab w:val="right" w:leader="dot" w:pos="10591"/>
            </w:tabs>
            <w:spacing w:before="82" w:line="218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17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5"/>
              <w:sz w:val="18"/>
              <w:szCs w:val="18"/>
            </w:rPr>
            <w:t>17</w:t>
          </w: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5"/>
              <w:sz w:val="18"/>
              <w:szCs w:val="18"/>
            </w:rPr>
            <w:t>Sam’s</w:t>
          </w:r>
          <w:r>
            <w:rPr>
              <w:rFonts w:ascii="DengXian" w:eastAsia="DengXian" w:hAnsi="DengXian" w:cs="DengXian"/>
              <w:spacing w:val="11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5"/>
              <w:sz w:val="18"/>
              <w:szCs w:val="18"/>
            </w:rPr>
            <w:t>Club</w:t>
          </w:r>
          <w:r>
            <w:rPr>
              <w:rFonts w:ascii="DengXian" w:eastAsia="DengXian" w:hAnsi="DengXian" w:cs="DengXian"/>
              <w:spacing w:val="27"/>
              <w:w w:val="10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门店数</w:t>
          </w:r>
          <w:r>
            <w:rPr>
              <w:rFonts w:ascii="KaiTi" w:eastAsia="KaiTi" w:hAnsi="KaiTi" w:cs="KaiTi"/>
              <w:spacing w:val="-29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5"/>
              <w:sz w:val="18"/>
              <w:szCs w:val="18"/>
            </w:rPr>
            <w:t>FY2018</w:t>
          </w:r>
          <w:r>
            <w:rPr>
              <w:rFonts w:ascii="DengXian" w:eastAsia="DengXian" w:hAnsi="DengXian" w:cs="DengXian"/>
              <w:spacing w:val="17"/>
              <w:w w:val="10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以来维持在</w:t>
          </w:r>
          <w:r>
            <w:rPr>
              <w:rFonts w:ascii="KaiTi" w:eastAsia="KaiTi" w:hAnsi="KaiTi" w:cs="KaiTi"/>
              <w:spacing w:val="-34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5"/>
              <w:sz w:val="18"/>
              <w:szCs w:val="18"/>
            </w:rPr>
            <w:t>600</w:t>
          </w:r>
          <w:r>
            <w:rPr>
              <w:rFonts w:ascii="DengXian" w:eastAsia="DengXian" w:hAnsi="DengXian" w:cs="DengXian"/>
              <w:spacing w:val="2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家左右</w:t>
          </w:r>
          <w:r>
            <w:rPr>
              <w:rFonts w:ascii="KaiTi" w:eastAsia="KaiTi" w:hAnsi="KaiTi" w:cs="KaiTi"/>
              <w:spacing w:val="-65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0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12</w:t>
            </w:r>
          </w:hyperlink>
        </w:p>
        <w:p>
          <w:pPr>
            <w:tabs>
              <w:tab w:val="right" w:leader="dot" w:pos="10591"/>
            </w:tabs>
            <w:spacing w:before="83" w:line="219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15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18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>Sam’s Club</w:t>
          </w:r>
          <w:r>
            <w:rPr>
              <w:rFonts w:ascii="DengXian" w:eastAsia="DengXian" w:hAnsi="DengXian" w:cs="DengXian"/>
              <w:spacing w:val="15"/>
              <w:w w:val="10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营收增长主要由坪效贡献</w:t>
          </w:r>
          <w:r>
            <w:rPr>
              <w:rFonts w:ascii="KaiTi" w:eastAsia="KaiTi" w:hAnsi="KaiTi" w:cs="KaiTi"/>
              <w:spacing w:val="-7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1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12</w:t>
            </w:r>
          </w:hyperlink>
        </w:p>
        <w:p>
          <w:pPr>
            <w:tabs>
              <w:tab w:val="right" w:leader="dot" w:pos="10591"/>
            </w:tabs>
            <w:spacing w:before="82" w:line="233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3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4"/>
              <w:sz w:val="18"/>
              <w:szCs w:val="18"/>
            </w:rPr>
            <w:t>19</w:t>
          </w: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4"/>
              <w:sz w:val="18"/>
              <w:szCs w:val="18"/>
            </w:rPr>
            <w:t>Costco</w:t>
          </w:r>
          <w:r>
            <w:rPr>
              <w:rFonts w:ascii="DengXian" w:eastAsia="DengXian" w:hAnsi="DengXian" w:cs="DengXian"/>
              <w:spacing w:val="-2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、</w:t>
          </w:r>
          <w:r>
            <w:rPr>
              <w:rFonts w:ascii="DengXian" w:eastAsia="DengXian" w:hAnsi="DengXian" w:cs="DengXian"/>
              <w:spacing w:val="-4"/>
              <w:sz w:val="18"/>
              <w:szCs w:val="18"/>
            </w:rPr>
            <w:t>Sam’s</w:t>
          </w:r>
          <w:r>
            <w:rPr>
              <w:rFonts w:ascii="DengXian" w:eastAsia="DengXian" w:hAnsi="DengXian" w:cs="DengXian"/>
              <w:spacing w:val="11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4"/>
              <w:sz w:val="18"/>
              <w:szCs w:val="18"/>
            </w:rPr>
            <w:t xml:space="preserve">Club 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坪效对比（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美元</w:t>
          </w:r>
          <w:r>
            <w:rPr>
              <w:rFonts w:ascii="DengXian" w:eastAsia="DengXian" w:hAnsi="DengXian" w:cs="DengXian"/>
              <w:spacing w:val="-5"/>
              <w:sz w:val="18"/>
              <w:szCs w:val="18"/>
            </w:rPr>
            <w:t>/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平米）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2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13</w:t>
            </w:r>
          </w:hyperlink>
        </w:p>
        <w:p>
          <w:pPr>
            <w:tabs>
              <w:tab w:val="right" w:leader="dot" w:pos="10591"/>
            </w:tabs>
            <w:spacing w:before="68" w:line="233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40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4"/>
              <w:sz w:val="18"/>
              <w:szCs w:val="18"/>
            </w:rPr>
            <w:t>20</w:t>
          </w: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2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国内主要商超标的坪效对比（万元</w:t>
          </w:r>
          <w:r>
            <w:rPr>
              <w:rFonts w:ascii="DengXian" w:eastAsia="DengXian" w:hAnsi="DengXian" w:cs="DengXian"/>
              <w:spacing w:val="-4"/>
              <w:sz w:val="18"/>
              <w:szCs w:val="18"/>
            </w:rPr>
            <w:t>/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平米）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3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13</w:t>
            </w:r>
          </w:hyperlink>
        </w:p>
        <w:p>
          <w:pPr>
            <w:tabs>
              <w:tab w:val="right" w:leader="dot" w:pos="10591"/>
            </w:tabs>
            <w:spacing w:before="68" w:line="216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9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21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不同门店类型</w:t>
          </w:r>
          <w:r>
            <w:rPr>
              <w:rFonts w:ascii="KaiTi" w:eastAsia="KaiTi" w:hAnsi="KaiTi" w:cs="KaiTi"/>
              <w:spacing w:val="-38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 xml:space="preserve">SKU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数量对比</w:t>
          </w:r>
          <w:r>
            <w:rPr>
              <w:rFonts w:ascii="KaiTi" w:eastAsia="KaiTi" w:hAnsi="KaiTi" w:cs="KaiTi"/>
              <w:spacing w:val="-5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4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14</w:t>
            </w:r>
          </w:hyperlink>
        </w:p>
        <w:p>
          <w:pPr>
            <w:tabs>
              <w:tab w:val="right" w:leader="dot" w:pos="10591"/>
            </w:tabs>
            <w:spacing w:before="84" w:line="217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3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22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奥乐齐门店品类中生活必需品占比高</w:t>
          </w:r>
          <w:r>
            <w:rPr>
              <w:rFonts w:ascii="KaiTi" w:eastAsia="KaiTi" w:hAnsi="KaiTi" w:cs="KaiTi"/>
              <w:spacing w:val="-7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5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15</w:t>
            </w:r>
          </w:hyperlink>
        </w:p>
        <w:p>
          <w:pPr>
            <w:tabs>
              <w:tab w:val="right" w:leader="dot" w:pos="10591"/>
            </w:tabs>
            <w:spacing w:before="85" w:line="215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7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23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奥乐齐拥有多个自有品牌</w:t>
          </w:r>
          <w:r>
            <w:rPr>
              <w:rFonts w:ascii="KaiTi" w:eastAsia="KaiTi" w:hAnsi="KaiTi" w:cs="KaiTi"/>
              <w:spacing w:val="-58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6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15</w:t>
            </w:r>
          </w:hyperlink>
        </w:p>
        <w:p>
          <w:pPr>
            <w:tabs>
              <w:tab w:val="right" w:leader="dot" w:pos="10591"/>
            </w:tabs>
            <w:spacing w:before="85" w:line="215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40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24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 xml:space="preserve">Costco 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自有品牌</w:t>
          </w:r>
          <w:r>
            <w:rPr>
              <w:rFonts w:ascii="KaiTi" w:eastAsia="KaiTi" w:hAnsi="KaiTi" w:cs="KaiTi"/>
              <w:spacing w:val="-30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 xml:space="preserve">KIRKLAND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布局多个品类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商品</w:t>
          </w:r>
          <w:r>
            <w:rPr>
              <w:rFonts w:ascii="KaiTi" w:eastAsia="KaiTi" w:hAnsi="KaiTi" w:cs="KaiTi"/>
              <w:spacing w:val="-55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7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16</w:t>
            </w:r>
          </w:hyperlink>
        </w:p>
        <w:p>
          <w:pPr>
            <w:tabs>
              <w:tab w:val="right" w:leader="dot" w:pos="10591"/>
            </w:tabs>
            <w:spacing w:before="86" w:line="215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40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25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2"/>
              <w:sz w:val="18"/>
              <w:szCs w:val="18"/>
            </w:rPr>
            <w:t xml:space="preserve">Sam’s Club 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自有品牌</w:t>
          </w:r>
          <w:r>
            <w:rPr>
              <w:rFonts w:ascii="KaiTi" w:eastAsia="KaiTi" w:hAnsi="KaiTi" w:cs="KaiTi"/>
              <w:spacing w:val="-31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>Member’s</w:t>
          </w:r>
          <w:r>
            <w:rPr>
              <w:rFonts w:ascii="DengXian" w:eastAsia="DengXian" w:hAnsi="DengXian" w:cs="DengXian"/>
              <w:spacing w:val="16"/>
              <w:w w:val="101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3"/>
              <w:sz w:val="18"/>
              <w:szCs w:val="18"/>
            </w:rPr>
            <w:t xml:space="preserve">Mark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定位高质量且具有竞争力的价格</w:t>
          </w:r>
          <w:r>
            <w:rPr>
              <w:rFonts w:ascii="KaiTi" w:eastAsia="KaiTi" w:hAnsi="KaiTi" w:cs="KaiTi"/>
              <w:spacing w:val="-5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8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16</w:t>
            </w:r>
          </w:hyperlink>
        </w:p>
        <w:p>
          <w:pPr>
            <w:tabs>
              <w:tab w:val="right" w:leader="dot" w:pos="10591"/>
            </w:tabs>
            <w:spacing w:before="86" w:line="215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8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3"/>
              <w:sz w:val="18"/>
              <w:szCs w:val="18"/>
            </w:rPr>
            <w:t>26</w:t>
          </w:r>
          <w:r>
            <w:rPr>
              <w:rFonts w:ascii="KaiTi" w:eastAsia="KaiTi" w:hAnsi="KaiTi" w:cs="KaiTi"/>
              <w:color w:val="404040"/>
              <w:spacing w:val="-3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2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家家悦、永辉超市自有品牌销售占比</w:t>
          </w:r>
          <w:r>
            <w:rPr>
              <w:rFonts w:ascii="KaiTi" w:eastAsia="KaiTi" w:hAnsi="KaiTi" w:cs="KaiTi"/>
              <w:spacing w:val="-74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39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17</w:t>
            </w:r>
          </w:hyperlink>
        </w:p>
        <w:p>
          <w:pPr>
            <w:tabs>
              <w:tab w:val="right" w:leader="dot" w:pos="10591"/>
            </w:tabs>
            <w:spacing w:before="85" w:line="217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0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4"/>
              <w:sz w:val="18"/>
              <w:szCs w:val="18"/>
            </w:rPr>
            <w:t>27</w:t>
          </w: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2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家家悦直采比例维持较高水平</w:t>
          </w:r>
          <w:r>
            <w:rPr>
              <w:rFonts w:ascii="KaiTi" w:eastAsia="KaiTi" w:hAnsi="KaiTi" w:cs="KaiTi"/>
              <w:spacing w:val="-7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40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17</w:t>
            </w:r>
          </w:hyperlink>
        </w:p>
      </w:sdtContent>
    </w:sdt>
    <w:p>
      <w:pPr>
        <w:spacing w:line="217" w:lineRule="auto"/>
        <w:rPr>
          <w:rFonts w:ascii="DengXian" w:eastAsia="DengXian" w:hAnsi="DengXian" w:cs="DengXian"/>
          <w:sz w:val="18"/>
          <w:szCs w:val="18"/>
        </w:rPr>
        <w:sectPr>
          <w:headerReference w:type="default" r:id="rId21"/>
          <w:footerReference w:type="default" r:id="rId22"/>
          <w:type w:val="nextPage"/>
          <w:pgSz w:w="11907" w:h="16839"/>
          <w:pgMar w:top="280" w:right="480" w:bottom="1213" w:left="613" w:header="0" w:footer="988" w:gutter="0"/>
          <w:pgNumType w:start="6"/>
          <w:cols w:space="708"/>
          <w:titlePg w:val="0"/>
        </w:sectPr>
      </w:pPr>
    </w:p>
    <w:p>
      <w:pPr>
        <w:spacing w:line="575" w:lineRule="exact"/>
        <w:ind w:firstLine="8018"/>
      </w:pPr>
      <w:r>
        <w:pict>
          <v:rect id="_x0000_s1039" style="width:389.85pt;height:28.05pt;margin-top:13.93pt;margin-left:30.7pt;mso-position-horizontal-relative:page;mso-position-vertical-relative:page;position:absolute;z-index:251674624" o:allowincell="f" filled="t" fillcolor="#4b709a" stroked="f"/>
        </w:pict>
      </w:r>
      <w:r>
        <w:rPr>
          <w:position w:val="-11"/>
        </w:rPr>
        <w:drawing>
          <wp:inline distT="0" distB="0" distL="0" distR="0">
            <wp:extent cx="1774189" cy="365759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74189" cy="365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Arial" w:eastAsia="Arial" w:hAnsi="Arial" w:cs="Arial"/>
          <w:sz w:val="21"/>
          <w:szCs w:val="21"/>
        </w:rPr>
        <w:id w:val="1052958388"/>
        <w:docPartObj>
          <w:docPartGallery w:val="Table of Contents"/>
          <w:docPartUnique/>
        </w:docPartObj>
      </w:sdtPr>
      <w:sdtEndPr>
        <w:rPr>
          <w:rFonts w:ascii="DengXian" w:eastAsia="DengXian" w:hAnsi="DengXian" w:cs="DengXian"/>
          <w:sz w:val="18"/>
          <w:szCs w:val="18"/>
        </w:rPr>
      </w:sdtEndPr>
      <w:sdtContent>
        <w:p>
          <w:pPr>
            <w:tabs>
              <w:tab w:val="right" w:leader="dot" w:pos="10591"/>
            </w:tabs>
            <w:spacing w:before="297" w:line="215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40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28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2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家家悦旗下好惠星好货硬折扣店布局丰富的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自有品牌</w:t>
          </w:r>
          <w:r>
            <w:rPr>
              <w:rFonts w:ascii="KaiTi" w:eastAsia="KaiTi" w:hAnsi="KaiTi" w:cs="KaiTi"/>
              <w:spacing w:val="-6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41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17</w:t>
            </w:r>
          </w:hyperlink>
        </w:p>
        <w:p>
          <w:pPr>
            <w:tabs>
              <w:tab w:val="right" w:leader="dot" w:pos="10591"/>
            </w:tabs>
            <w:spacing w:before="85" w:line="216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9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29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奥特乐布局多款联名产品、独家授权产品</w:t>
          </w:r>
          <w:r>
            <w:rPr>
              <w:rFonts w:ascii="KaiTi" w:eastAsia="KaiTi" w:hAnsi="KaiTi" w:cs="KaiTi"/>
              <w:spacing w:val="-5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5"/>
              <w:sz w:val="18"/>
              <w:szCs w:val="18"/>
            </w:rPr>
            <w:t xml:space="preserve"> </w:t>
          </w:r>
          <w:hyperlink w:anchor="bookmark42" w:history="1">
            <w:r>
              <w:rPr>
                <w:rFonts w:ascii="DengXian" w:eastAsia="DengXian" w:hAnsi="DengXian" w:cs="DengXian"/>
                <w:spacing w:val="-4"/>
                <w:sz w:val="18"/>
                <w:szCs w:val="18"/>
              </w:rPr>
              <w:t>18</w:t>
            </w:r>
          </w:hyperlink>
        </w:p>
        <w:p>
          <w:pPr>
            <w:tabs>
              <w:tab w:val="right" w:leader="dot" w:pos="10591"/>
            </w:tabs>
            <w:spacing w:before="85" w:line="213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5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5"/>
              <w:sz w:val="18"/>
              <w:szCs w:val="18"/>
            </w:rPr>
            <w:t>30</w:t>
          </w: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5"/>
              <w:sz w:val="18"/>
              <w:szCs w:val="18"/>
            </w:rPr>
            <w:t xml:space="preserve">Costco 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人均创收显著高于沃尔玛、</w:t>
          </w:r>
          <w:r>
            <w:rPr>
              <w:rFonts w:ascii="KaiTi" w:eastAsia="KaiTi" w:hAnsi="KaiTi" w:cs="KaiTi"/>
              <w:spacing w:val="35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5"/>
              <w:sz w:val="18"/>
              <w:szCs w:val="18"/>
            </w:rPr>
            <w:t>Target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（万美元）</w:t>
          </w:r>
          <w:r>
            <w:rPr>
              <w:rFonts w:ascii="KaiTi" w:eastAsia="KaiTi" w:hAnsi="KaiTi" w:cs="KaiTi"/>
              <w:spacing w:val="-5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43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20</w:t>
            </w:r>
          </w:hyperlink>
        </w:p>
        <w:p>
          <w:pPr>
            <w:tabs>
              <w:tab w:val="right" w:leader="dot" w:pos="10591"/>
            </w:tabs>
            <w:spacing w:before="87" w:line="218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6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2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6"/>
              <w:sz w:val="18"/>
              <w:szCs w:val="18"/>
            </w:rPr>
            <w:t>31</w:t>
          </w:r>
          <w:r>
            <w:rPr>
              <w:rFonts w:ascii="KaiTi" w:eastAsia="KaiTi" w:hAnsi="KaiTi" w:cs="KaiTi"/>
              <w:color w:val="404040"/>
              <w:spacing w:val="-6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24"/>
              <w:w w:val="10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6"/>
              <w:sz w:val="18"/>
              <w:szCs w:val="18"/>
            </w:rPr>
            <w:t>国内主要商超标的人均创收（万元人民币）</w:t>
          </w:r>
          <w:r>
            <w:rPr>
              <w:rFonts w:ascii="KaiTi" w:eastAsia="KaiTi" w:hAnsi="KaiTi" w:cs="KaiTi"/>
              <w:spacing w:val="-6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44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20</w:t>
            </w:r>
          </w:hyperlink>
        </w:p>
        <w:p>
          <w:pPr>
            <w:tabs>
              <w:tab w:val="right" w:leader="dot" w:pos="10591"/>
            </w:tabs>
            <w:spacing w:before="83" w:line="213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5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5"/>
              <w:sz w:val="18"/>
              <w:szCs w:val="18"/>
            </w:rPr>
            <w:t>32</w:t>
          </w: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5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5"/>
              <w:sz w:val="18"/>
              <w:szCs w:val="18"/>
            </w:rPr>
            <w:t xml:space="preserve">Costco 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人均创利显著高于沃尔玛、</w:t>
          </w:r>
          <w:r>
            <w:rPr>
              <w:rFonts w:ascii="KaiTi" w:eastAsia="KaiTi" w:hAnsi="KaiTi" w:cs="KaiTi"/>
              <w:spacing w:val="35"/>
              <w:sz w:val="18"/>
              <w:szCs w:val="18"/>
            </w:rPr>
            <w:t xml:space="preserve"> </w:t>
          </w:r>
          <w:r>
            <w:rPr>
              <w:rFonts w:ascii="DengXian" w:eastAsia="DengXian" w:hAnsi="DengXian" w:cs="DengXian"/>
              <w:spacing w:val="-5"/>
              <w:sz w:val="18"/>
              <w:szCs w:val="18"/>
            </w:rPr>
            <w:t>Target</w:t>
          </w:r>
          <w:r>
            <w:rPr>
              <w:rFonts w:ascii="KaiTi" w:eastAsia="KaiTi" w:hAnsi="KaiTi" w:cs="KaiTi"/>
              <w:spacing w:val="-5"/>
              <w:sz w:val="18"/>
              <w:szCs w:val="18"/>
            </w:rPr>
            <w:t>（万美元）</w:t>
          </w:r>
          <w:r>
            <w:rPr>
              <w:rFonts w:ascii="KaiTi" w:eastAsia="KaiTi" w:hAnsi="KaiTi" w:cs="KaiTi"/>
              <w:spacing w:val="-5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45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20</w:t>
            </w:r>
          </w:hyperlink>
        </w:p>
        <w:p>
          <w:pPr>
            <w:tabs>
              <w:tab w:val="right" w:leader="dot" w:pos="10591"/>
            </w:tabs>
            <w:spacing w:before="88" w:line="218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6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2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6"/>
              <w:sz w:val="18"/>
              <w:szCs w:val="18"/>
            </w:rPr>
            <w:t>33</w:t>
          </w:r>
          <w:r>
            <w:rPr>
              <w:rFonts w:ascii="KaiTi" w:eastAsia="KaiTi" w:hAnsi="KaiTi" w:cs="KaiTi"/>
              <w:color w:val="404040"/>
              <w:spacing w:val="-6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24"/>
              <w:w w:val="10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6"/>
              <w:sz w:val="18"/>
              <w:szCs w:val="18"/>
            </w:rPr>
            <w:t>国内主要商超标的人均创利（万元人民币）</w:t>
          </w:r>
          <w:r>
            <w:rPr>
              <w:rFonts w:ascii="KaiTi" w:eastAsia="KaiTi" w:hAnsi="KaiTi" w:cs="KaiTi"/>
              <w:spacing w:val="-6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46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20</w:t>
            </w:r>
          </w:hyperlink>
        </w:p>
        <w:p>
          <w:pPr>
            <w:tabs>
              <w:tab w:val="right" w:leader="dot" w:pos="10591"/>
            </w:tabs>
            <w:spacing w:before="83" w:line="213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19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34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奥乐齐将商品整箱陈列，大幅节省货架摆放整理成本</w:t>
          </w:r>
          <w:r>
            <w:rPr>
              <w:rFonts w:ascii="KaiTi" w:eastAsia="KaiTi" w:hAnsi="KaiTi" w:cs="KaiTi"/>
              <w:spacing w:val="-67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47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20</w:t>
            </w:r>
          </w:hyperlink>
        </w:p>
        <w:p>
          <w:pPr>
            <w:tabs>
              <w:tab w:val="right" w:leader="dot" w:pos="10591"/>
            </w:tabs>
            <w:spacing w:before="88" w:line="215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7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35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2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家家悦旗下会员仓储超市、好惠星好货硬折扣店内</w:t>
          </w:r>
          <w:r>
            <w:rPr>
              <w:rFonts w:ascii="KaiTi" w:eastAsia="KaiTi" w:hAnsi="KaiTi" w:cs="KaiTi"/>
              <w:spacing w:val="-3"/>
              <w:sz w:val="18"/>
              <w:szCs w:val="18"/>
            </w:rPr>
            <w:t>部陈列</w:t>
          </w:r>
          <w:r>
            <w:rPr>
              <w:rFonts w:ascii="KaiTi" w:eastAsia="KaiTi" w:hAnsi="KaiTi" w:cs="KaiTi"/>
              <w:spacing w:val="-43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48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21</w:t>
            </w:r>
          </w:hyperlink>
        </w:p>
        <w:p>
          <w:pPr>
            <w:spacing w:before="86" w:line="213" w:lineRule="auto"/>
            <w:ind w:left="3094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1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9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1"/>
              <w:sz w:val="18"/>
              <w:szCs w:val="18"/>
            </w:rPr>
            <w:t>36</w:t>
          </w:r>
          <w:r>
            <w:rPr>
              <w:rFonts w:ascii="KaiTi" w:eastAsia="KaiTi" w:hAnsi="KaiTi" w:cs="KaiTi"/>
              <w:color w:val="404040"/>
              <w:spacing w:val="-1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1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1"/>
              <w:sz w:val="18"/>
              <w:szCs w:val="18"/>
            </w:rPr>
            <w:t>奥乐齐鼓励顾客自带购物袋、自助收银打包，也提供可重复使用的购物袋在门店销售</w:t>
          </w:r>
          <w:r>
            <w:rPr>
              <w:rFonts w:ascii="DengXian" w:eastAsia="DengXian" w:hAnsi="DengXian" w:cs="DengXian"/>
              <w:spacing w:val="-1"/>
              <w:sz w:val="18"/>
              <w:szCs w:val="18"/>
            </w:rPr>
            <w:t>21</w:t>
          </w:r>
        </w:p>
        <w:p>
          <w:pPr>
            <w:tabs>
              <w:tab w:val="right" w:leader="dot" w:pos="10591"/>
            </w:tabs>
            <w:spacing w:before="87" w:line="217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9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37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奥乐齐上海联洋大拇指门店自助收银柜台</w:t>
          </w:r>
          <w:r>
            <w:rPr>
              <w:rFonts w:ascii="KaiTi" w:eastAsia="KaiTi" w:hAnsi="KaiTi" w:cs="KaiTi"/>
              <w:spacing w:val="-5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49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21</w:t>
            </w:r>
          </w:hyperlink>
        </w:p>
        <w:p>
          <w:pPr>
            <w:tabs>
              <w:tab w:val="right" w:leader="dot" w:pos="10591"/>
            </w:tabs>
            <w:spacing w:before="84" w:line="217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29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4"/>
              <w:sz w:val="18"/>
              <w:szCs w:val="18"/>
            </w:rPr>
            <w:t>38</w:t>
          </w:r>
          <w:r>
            <w:rPr>
              <w:rFonts w:ascii="KaiTi" w:eastAsia="KaiTi" w:hAnsi="KaiTi" w:cs="KaiTi"/>
              <w:color w:val="404040"/>
              <w:spacing w:val="-4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26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4"/>
              <w:sz w:val="18"/>
              <w:szCs w:val="18"/>
            </w:rPr>
            <w:t>中国平均家庭户规模呈下行趋势</w:t>
          </w:r>
          <w:r>
            <w:rPr>
              <w:rFonts w:ascii="KaiTi" w:eastAsia="KaiTi" w:hAnsi="KaiTi" w:cs="KaiTi"/>
              <w:spacing w:val="-60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50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22</w:t>
            </w:r>
          </w:hyperlink>
        </w:p>
        <w:p>
          <w:pPr>
            <w:tabs>
              <w:tab w:val="right" w:leader="dot" w:pos="10591"/>
            </w:tabs>
            <w:spacing w:before="84" w:line="218" w:lineRule="auto"/>
            <w:ind w:left="3269"/>
            <w:rPr>
              <w:rFonts w:ascii="DengXian" w:eastAsia="DengXian" w:hAnsi="DengXian" w:cs="DengXian"/>
              <w:sz w:val="18"/>
              <w:szCs w:val="18"/>
            </w:rPr>
          </w:pP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图</w:t>
          </w:r>
          <w:r>
            <w:rPr>
              <w:rFonts w:ascii="KaiTi" w:eastAsia="KaiTi" w:hAnsi="KaiTi" w:cs="KaiTi"/>
              <w:color w:val="404040"/>
              <w:spacing w:val="-31"/>
              <w:sz w:val="18"/>
              <w:szCs w:val="18"/>
            </w:rPr>
            <w:t xml:space="preserve"> </w:t>
          </w:r>
          <w:r>
            <w:rPr>
              <w:rFonts w:ascii="Times New Roman" w:eastAsia="Times New Roman" w:hAnsi="Times New Roman" w:cs="Times New Roman"/>
              <w:color w:val="404040"/>
              <w:spacing w:val="-2"/>
              <w:sz w:val="18"/>
              <w:szCs w:val="18"/>
            </w:rPr>
            <w:t>39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>：</w:t>
          </w:r>
          <w:r>
            <w:rPr>
              <w:rFonts w:ascii="KaiTi" w:eastAsia="KaiTi" w:hAnsi="KaiTi" w:cs="KaiTi"/>
              <w:color w:val="404040"/>
              <w:spacing w:val="-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pacing w:val="-2"/>
              <w:sz w:val="18"/>
              <w:szCs w:val="18"/>
            </w:rPr>
            <w:t>奥乐齐上海门店选址普遍位于核心商圈</w:t>
          </w:r>
          <w:r>
            <w:rPr>
              <w:rFonts w:ascii="KaiTi" w:eastAsia="KaiTi" w:hAnsi="KaiTi" w:cs="KaiTi"/>
              <w:spacing w:val="-62"/>
              <w:sz w:val="18"/>
              <w:szCs w:val="18"/>
            </w:rPr>
            <w:t xml:space="preserve"> </w:t>
          </w:r>
          <w:r>
            <w:rPr>
              <w:rFonts w:ascii="KaiTi" w:eastAsia="KaiTi" w:hAnsi="KaiTi" w:cs="KaiTi"/>
              <w:sz w:val="18"/>
              <w:szCs w:val="18"/>
            </w:rPr>
            <w:tab/>
          </w:r>
          <w:r>
            <w:rPr>
              <w:rFonts w:ascii="KaiTi" w:eastAsia="KaiTi" w:hAnsi="KaiTi" w:cs="KaiTi"/>
              <w:spacing w:val="-49"/>
              <w:sz w:val="18"/>
              <w:szCs w:val="18"/>
            </w:rPr>
            <w:t xml:space="preserve"> </w:t>
          </w:r>
          <w:hyperlink w:anchor="bookmark51" w:history="1">
            <w:r>
              <w:rPr>
                <w:rFonts w:ascii="DengXian" w:eastAsia="DengXian" w:hAnsi="DengXian" w:cs="DengXian"/>
                <w:spacing w:val="-3"/>
                <w:sz w:val="18"/>
                <w:szCs w:val="18"/>
              </w:rPr>
              <w:t>22</w:t>
            </w:r>
          </w:hyperlink>
        </w:p>
      </w:sdtContent>
    </w:sdt>
    <w:p>
      <w:pPr>
        <w:spacing w:line="218" w:lineRule="auto"/>
        <w:rPr>
          <w:rFonts w:ascii="DengXian" w:eastAsia="DengXian" w:hAnsi="DengXian" w:cs="DengXian"/>
          <w:sz w:val="18"/>
          <w:szCs w:val="18"/>
        </w:rPr>
      </w:pPr>
      <w:r>
        <w:rPr>
          <w:rFonts w:ascii="DengXian" w:eastAsia="DengXian" w:hAnsi="DengXian" w:cs="DengXian"/>
          <w:sz w:val="18"/>
          <w:szCs w:val="18"/>
        </w:rPr>
        <w:br/>
      </w:r>
      <w:r>
        <w:rPr>
          <w:rFonts w:ascii="DengXian" w:eastAsia="DengXian" w:hAnsi="DengXian" w:cs="DengXian"/>
          <w:sz w:val="18"/>
          <w:szCs w:val="1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https://d.book118.com/658143134016006031</w:t>
        </w:r>
      </w:hyperlink>
    </w:p>
    <w:p>
      <w:pPr>
        <w:spacing w:line="218" w:lineRule="auto"/>
        <w:rPr>
          <w:rFonts w:ascii="DengXian" w:eastAsia="DengXian" w:hAnsi="DengXian" w:cs="DengXian"/>
          <w:sz w:val="18"/>
          <w:szCs w:val="18"/>
        </w:rPr>
      </w:pPr>
    </w:p>
    <w:sectPr>
      <w:headerReference w:type="default" r:id="rId24"/>
      <w:footerReference w:type="default" r:id="rId25"/>
      <w:pgSz w:w="11907" w:h="16839"/>
      <w:pgMar w:top="280" w:right="480" w:bottom="1213" w:left="613" w:header="0" w:footer="988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3" w:lineRule="auto"/>
      <w:ind w:left="5352"/>
      <w:rPr>
        <w:rFonts w:ascii="DengXian" w:eastAsia="DengXian" w:hAnsi="DengXian" w:cs="DengXian"/>
        <w:sz w:val="18"/>
        <w:szCs w:val="18"/>
      </w:rPr>
    </w:pPr>
    <w:r>
      <w:rPr>
        <w:rFonts w:ascii="KaiTi" w:eastAsia="KaiTi" w:hAnsi="KaiTi" w:cs="KaiTi"/>
        <w:sz w:val="18"/>
        <w:szCs w:val="18"/>
      </w:rPr>
      <w:t>请阅读最后一页免责声明及信息披露</w:t>
    </w:r>
    <w:r>
      <w:rPr>
        <w:rFonts w:ascii="KaiTi" w:eastAsia="KaiTi" w:hAnsi="KaiTi" w:cs="KaiTi"/>
        <w:sz w:val="18"/>
        <w:szCs w:val="18"/>
      </w:rPr>
      <w:t xml:space="preserve"> </w:t>
    </w:r>
    <w:hyperlink r:id="rId1" w:history="1">
      <w:r>
        <w:rPr>
          <w:rFonts w:ascii="DengXian" w:eastAsia="DengXian" w:hAnsi="DengXian" w:cs="DengXian"/>
          <w:color w:val="0563C1"/>
          <w:sz w:val="18"/>
          <w:szCs w:val="18"/>
          <w:u w:val="single" w:color="auto"/>
        </w:rPr>
        <w:t>http://www.</w:t>
      </w:r>
      <w:r>
        <w:rPr>
          <w:rFonts w:ascii="DengXian" w:eastAsia="DengXian" w:hAnsi="DengXian" w:cs="DengXian"/>
          <w:color w:val="0563C1"/>
          <w:spacing w:val="-1"/>
          <w:sz w:val="18"/>
          <w:szCs w:val="18"/>
          <w:u w:val="single" w:color="auto"/>
        </w:rPr>
        <w:t>cindasc.com</w:t>
      </w:r>
    </w:hyperlink>
    <w:r>
      <w:rPr>
        <w:rFonts w:ascii="DengXian" w:eastAsia="DengXian" w:hAnsi="DengXian" w:cs="DengXian"/>
        <w:color w:val="0563C1"/>
        <w:spacing w:val="-1"/>
        <w:sz w:val="18"/>
        <w:szCs w:val="18"/>
      </w:rPr>
      <w:t xml:space="preserve">    </w:t>
    </w:r>
    <w:r>
      <w:rPr>
        <w:rFonts w:ascii="DengXian" w:eastAsia="DengXian" w:hAnsi="DengXian" w:cs="DengXian"/>
        <w:spacing w:val="-1"/>
        <w:sz w:val="18"/>
        <w:szCs w:val="18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3" w:lineRule="auto"/>
      <w:ind w:left="5352"/>
      <w:rPr>
        <w:rFonts w:ascii="DengXian" w:eastAsia="DengXian" w:hAnsi="DengXian" w:cs="DengXian"/>
        <w:sz w:val="18"/>
        <w:szCs w:val="18"/>
      </w:rPr>
    </w:pPr>
    <w:r>
      <w:rPr>
        <w:rFonts w:ascii="KaiTi" w:eastAsia="KaiTi" w:hAnsi="KaiTi" w:cs="KaiTi"/>
        <w:sz w:val="18"/>
        <w:szCs w:val="18"/>
      </w:rPr>
      <w:t>请阅读最后一页免责声明及信息披露</w:t>
    </w:r>
    <w:r>
      <w:rPr>
        <w:rFonts w:ascii="KaiTi" w:eastAsia="KaiTi" w:hAnsi="KaiTi" w:cs="KaiTi"/>
        <w:sz w:val="18"/>
        <w:szCs w:val="18"/>
      </w:rPr>
      <w:t xml:space="preserve"> </w:t>
    </w:r>
    <w:hyperlink r:id="rId1" w:history="1">
      <w:r>
        <w:rPr>
          <w:rFonts w:ascii="DengXian" w:eastAsia="DengXian" w:hAnsi="DengXian" w:cs="DengXian"/>
          <w:color w:val="0563C1"/>
          <w:sz w:val="18"/>
          <w:szCs w:val="18"/>
          <w:u w:val="single" w:color="auto"/>
        </w:rPr>
        <w:t>http://</w:t>
      </w:r>
      <w:r>
        <w:rPr>
          <w:rFonts w:ascii="DengXian" w:eastAsia="DengXian" w:hAnsi="DengXian" w:cs="DengXian"/>
          <w:color w:val="0563C1"/>
          <w:spacing w:val="-1"/>
          <w:sz w:val="18"/>
          <w:szCs w:val="18"/>
          <w:u w:val="single" w:color="auto"/>
        </w:rPr>
        <w:t>www.cindasc.com</w:t>
      </w:r>
    </w:hyperlink>
    <w:r>
      <w:rPr>
        <w:rFonts w:ascii="DengXian" w:eastAsia="DengXian" w:hAnsi="DengXian" w:cs="DengXian"/>
        <w:color w:val="0563C1"/>
        <w:spacing w:val="-1"/>
        <w:sz w:val="18"/>
        <w:szCs w:val="18"/>
      </w:rPr>
      <w:t xml:space="preserve">    </w:t>
    </w:r>
    <w:r>
      <w:rPr>
        <w:rFonts w:ascii="DengXian" w:eastAsia="DengXian" w:hAnsi="DengXian" w:cs="DengXian"/>
        <w:spacing w:val="-1"/>
        <w:sz w:val="18"/>
        <w:szCs w:val="18"/>
      </w:rPr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3" w:lineRule="auto"/>
      <w:ind w:left="5352"/>
      <w:rPr>
        <w:rFonts w:ascii="DengXian" w:eastAsia="DengXian" w:hAnsi="DengXian" w:cs="DengXian"/>
        <w:sz w:val="18"/>
        <w:szCs w:val="18"/>
      </w:rPr>
    </w:pPr>
    <w:r>
      <w:rPr>
        <w:rFonts w:ascii="KaiTi" w:eastAsia="KaiTi" w:hAnsi="KaiTi" w:cs="KaiTi"/>
        <w:sz w:val="18"/>
        <w:szCs w:val="18"/>
      </w:rPr>
      <w:t>请阅读最后一页免责声明及信息披露</w:t>
    </w:r>
    <w:r>
      <w:rPr>
        <w:rFonts w:ascii="KaiTi" w:eastAsia="KaiTi" w:hAnsi="KaiTi" w:cs="KaiTi"/>
        <w:sz w:val="18"/>
        <w:szCs w:val="18"/>
      </w:rPr>
      <w:t xml:space="preserve"> </w:t>
    </w:r>
    <w:hyperlink r:id="rId1" w:history="1">
      <w:r>
        <w:rPr>
          <w:rFonts w:ascii="DengXian" w:eastAsia="DengXian" w:hAnsi="DengXian" w:cs="DengXian"/>
          <w:color w:val="0563C1"/>
          <w:sz w:val="18"/>
          <w:szCs w:val="18"/>
          <w:u w:val="single" w:color="auto"/>
        </w:rPr>
        <w:t>http://</w:t>
      </w:r>
      <w:r>
        <w:rPr>
          <w:rFonts w:ascii="DengXian" w:eastAsia="DengXian" w:hAnsi="DengXian" w:cs="DengXian"/>
          <w:color w:val="0563C1"/>
          <w:spacing w:val="-1"/>
          <w:sz w:val="18"/>
          <w:szCs w:val="18"/>
          <w:u w:val="single" w:color="auto"/>
        </w:rPr>
        <w:t>www.cindasc.com</w:t>
      </w:r>
    </w:hyperlink>
    <w:r>
      <w:rPr>
        <w:rFonts w:ascii="DengXian" w:eastAsia="DengXian" w:hAnsi="DengXian" w:cs="DengXian"/>
        <w:color w:val="0563C1"/>
        <w:spacing w:val="-1"/>
        <w:sz w:val="18"/>
        <w:szCs w:val="18"/>
      </w:rPr>
      <w:t xml:space="preserve">    </w:t>
    </w:r>
    <w:r>
      <w:rPr>
        <w:rFonts w:ascii="DengXian" w:eastAsia="DengXian" w:hAnsi="DengXian" w:cs="DengXian"/>
        <w:spacing w:val="-1"/>
        <w:sz w:val="18"/>
        <w:szCs w:val="18"/>
      </w:rPr>
      <w:t>4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3" w:lineRule="auto"/>
      <w:ind w:left="5352"/>
      <w:rPr>
        <w:rFonts w:ascii="DengXian" w:eastAsia="DengXian" w:hAnsi="DengXian" w:cs="DengXian"/>
        <w:sz w:val="18"/>
        <w:szCs w:val="18"/>
      </w:rPr>
    </w:pPr>
    <w:r>
      <w:rPr>
        <w:rFonts w:ascii="KaiTi" w:eastAsia="KaiTi" w:hAnsi="KaiTi" w:cs="KaiTi"/>
        <w:sz w:val="18"/>
        <w:szCs w:val="18"/>
      </w:rPr>
      <w:t>请阅读最后一页免责声明及信息披露</w:t>
    </w:r>
    <w:r>
      <w:rPr>
        <w:rFonts w:ascii="KaiTi" w:eastAsia="KaiTi" w:hAnsi="KaiTi" w:cs="KaiTi"/>
        <w:sz w:val="18"/>
        <w:szCs w:val="18"/>
      </w:rPr>
      <w:t xml:space="preserve"> </w:t>
    </w:r>
    <w:hyperlink r:id="rId1" w:history="1">
      <w:r>
        <w:rPr>
          <w:rFonts w:ascii="DengXian" w:eastAsia="DengXian" w:hAnsi="DengXian" w:cs="DengXian"/>
          <w:color w:val="0563C1"/>
          <w:sz w:val="18"/>
          <w:szCs w:val="18"/>
          <w:u w:val="single" w:color="auto"/>
        </w:rPr>
        <w:t>http://www.ci</w:t>
      </w:r>
      <w:r>
        <w:rPr>
          <w:rFonts w:ascii="DengXian" w:eastAsia="DengXian" w:hAnsi="DengXian" w:cs="DengXian"/>
          <w:color w:val="0563C1"/>
          <w:spacing w:val="-1"/>
          <w:sz w:val="18"/>
          <w:szCs w:val="18"/>
          <w:u w:val="single" w:color="auto"/>
        </w:rPr>
        <w:t>ndasc.com</w:t>
      </w:r>
    </w:hyperlink>
    <w:r>
      <w:rPr>
        <w:rFonts w:ascii="DengXian" w:eastAsia="DengXian" w:hAnsi="DengXian" w:cs="DengXian"/>
        <w:color w:val="0563C1"/>
        <w:spacing w:val="-1"/>
        <w:sz w:val="18"/>
        <w:szCs w:val="18"/>
      </w:rPr>
      <w:t xml:space="preserve">    </w:t>
    </w:r>
    <w:r>
      <w:rPr>
        <w:rFonts w:ascii="DengXian" w:eastAsia="DengXian" w:hAnsi="DengXian" w:cs="DengXian"/>
        <w:spacing w:val="-1"/>
        <w:sz w:val="18"/>
        <w:szCs w:val="18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636</wp:posOffset>
              </wp:positionH>
              <wp:positionV relativeFrom="page">
                <wp:posOffset>82427</wp:posOffset>
              </wp:positionV>
              <wp:extent cx="7560309" cy="10610215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636" y="82427"/>
                        <a:ext cx="7560309" cy="10610215"/>
                      </a:xfrm>
                      <a:prstGeom prst="rect">
                        <a:avLst/>
                      </a:prstGeom>
                      <a:solidFill>
                        <a:srgbClr val="6E8EB5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595.3pt;height:835.45pt;margin-top:6.49pt;margin-left:0.05pt;mso-position-horizontal-relative:page;mso-position-vertical-relative:page;mso-wrap-distance-bottom:0;mso-wrap-distance-left:0;mso-wrap-distance-right:0;mso-wrap-distance-top:0;position:absolute;v-text-anchor:top;z-index:-251658240" o:allowincell="f" fillcolor="#6e8eb5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5639561</wp:posOffset>
          </wp:positionH>
          <wp:positionV relativeFrom="page">
            <wp:posOffset>9902647</wp:posOffset>
          </wp:positionV>
          <wp:extent cx="1234440" cy="159562"/>
          <wp:effectExtent l="0" t="0" r="0" b="0"/>
          <wp:wrapNone/>
          <wp:docPr id="32" name="IM 32">
            <a:hlinkClick xmlns:a="http://schemas.openxmlformats.org/drawingml/2006/main" xmlns:r="http://schemas.openxmlformats.org/officeDocument/2006/relationships" r:id="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34440" cy="159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5639561</wp:posOffset>
          </wp:positionH>
          <wp:positionV relativeFrom="page">
            <wp:posOffset>9902647</wp:posOffset>
          </wp:positionV>
          <wp:extent cx="1234440" cy="159562"/>
          <wp:effectExtent l="0" t="0" r="0" b="0"/>
          <wp:wrapNone/>
          <wp:docPr id="952899564" name="IM 32">
            <a:hlinkClick xmlns:a="http://schemas.openxmlformats.org/drawingml/2006/main" xmlns:r="http://schemas.openxmlformats.org/officeDocument/2006/relationships" r:id=""/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899564" name="IM 3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34440" cy="1595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2.xml" /><Relationship Id="rId13" Type="http://schemas.openxmlformats.org/officeDocument/2006/relationships/hyperlink" Target="http://www.cindasc.com/" TargetMode="External" /><Relationship Id="rId14" Type="http://schemas.openxmlformats.org/officeDocument/2006/relationships/image" Target="media/image8.png" /><Relationship Id="rId15" Type="http://schemas.openxmlformats.org/officeDocument/2006/relationships/hyperlink" Target="http://www.cindasc.com" TargetMode="External" /><Relationship Id="rId16" Type="http://schemas.openxmlformats.org/officeDocument/2006/relationships/header" Target="header3.xml" /><Relationship Id="rId17" Type="http://schemas.openxmlformats.org/officeDocument/2006/relationships/header" Target="header4.xml" /><Relationship Id="rId18" Type="http://schemas.openxmlformats.org/officeDocument/2006/relationships/footer" Target="footer1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header" Target="header6.xml" /><Relationship Id="rId22" Type="http://schemas.openxmlformats.org/officeDocument/2006/relationships/footer" Target="footer3.xml" /><Relationship Id="rId23" Type="http://schemas.openxmlformats.org/officeDocument/2006/relationships/hyperlink" Target="https://d.book118.com/658143134016006031" TargetMode="External" /><Relationship Id="rId24" Type="http://schemas.openxmlformats.org/officeDocument/2006/relationships/header" Target="header7.xml" /><Relationship Id="rId25" Type="http://schemas.openxmlformats.org/officeDocument/2006/relationships/footer" Target="footer4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cindasc.com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hyperlink" Target="http://www.cindasc.com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hyperlink" Target="http://www.cindasc.com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hyperlink" Target="http://www.cindasc.com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revision>0</cp:revision>
  <dcterms:created xsi:type="dcterms:W3CDTF">2024-01-25T09:20:01Z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2024-01-25T09:29:14Z</vt:filetime>
  </property>
  <property fmtid="{D5CDD505-2E9C-101B-9397-08002B2CF9AE}" pid="3" name="CRO">
    <vt:lpwstr>wqlLaW5nc29mdCBQREYgdG8gV1BTIDkw</vt:lpwstr>
  </property>
</Properties>
</file>