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饲料级磷酸盐项目规划设计纲要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27" w:history="1">
        <w:r>
          <w:rPr>
            <w:rFonts w:ascii="仿宋" w:eastAsia="仿宋" w:hAnsi="仿宋" w:cs="仿宋" w:hint="eastAsia"/>
            <w:lang w:eastAsia="zh-CN"/>
          </w:rPr>
          <w:t>序言</w:t>
        </w:r>
        <w:r>
          <w:tab/>
        </w:r>
        <w:r>
          <w:fldChar w:fldCharType="begin"/>
        </w:r>
        <w:r>
          <w:instrText xml:space="preserve"> PAGEREF _Toc9027 \h </w:instrText>
        </w:r>
        <w:r>
          <w:fldChar w:fldCharType="separate"/>
        </w:r>
        <w:r>
          <w:t>3</w:t>
        </w:r>
        <w:r>
          <w:fldChar w:fldCharType="end"/>
        </w:r>
      </w:hyperlink>
    </w:p>
    <w:p>
      <w:pPr>
        <w:pStyle w:val="TOC1"/>
        <w:tabs>
          <w:tab w:val="right" w:leader="dot" w:pos="8306"/>
        </w:tabs>
      </w:pPr>
      <w:hyperlink w:anchor="_Toc12310" w:history="1">
        <w:r>
          <w:rPr>
            <w:rFonts w:ascii="仿宋" w:eastAsia="仿宋" w:hAnsi="仿宋" w:cs="仿宋" w:hint="eastAsia"/>
            <w:lang w:eastAsia="zh-CN"/>
          </w:rPr>
          <w:t>一、饲料级磷酸盐项目土建工程</w:t>
        </w:r>
        <w:r>
          <w:tab/>
        </w:r>
        <w:r>
          <w:fldChar w:fldCharType="begin"/>
        </w:r>
        <w:r>
          <w:instrText xml:space="preserve"> PAGEREF _Toc12310 \h </w:instrText>
        </w:r>
        <w:r>
          <w:fldChar w:fldCharType="separate"/>
        </w:r>
        <w:r>
          <w:t>3</w:t>
        </w:r>
        <w:r>
          <w:fldChar w:fldCharType="end"/>
        </w:r>
      </w:hyperlink>
    </w:p>
    <w:p>
      <w:pPr>
        <w:pStyle w:val="TOC2"/>
        <w:tabs>
          <w:tab w:val="right" w:leader="dot" w:pos="8306"/>
        </w:tabs>
      </w:pPr>
      <w:hyperlink w:anchor="_Toc32616" w:history="1">
        <w:r>
          <w:rPr>
            <w:rFonts w:ascii="仿宋" w:eastAsia="仿宋" w:hAnsi="仿宋" w:cs="仿宋" w:hint="eastAsia"/>
            <w:lang w:eastAsia="zh-CN"/>
          </w:rPr>
          <w:t>(一)、建筑工程设计原则</w:t>
        </w:r>
        <w:r>
          <w:tab/>
        </w:r>
        <w:r>
          <w:fldChar w:fldCharType="begin"/>
        </w:r>
        <w:r>
          <w:instrText xml:space="preserve"> PAGEREF _Toc32616 \h </w:instrText>
        </w:r>
        <w:r>
          <w:fldChar w:fldCharType="separate"/>
        </w:r>
        <w:r>
          <w:t>3</w:t>
        </w:r>
        <w:r>
          <w:fldChar w:fldCharType="end"/>
        </w:r>
      </w:hyperlink>
    </w:p>
    <w:p>
      <w:pPr>
        <w:pStyle w:val="TOC2"/>
        <w:tabs>
          <w:tab w:val="right" w:leader="dot" w:pos="8306"/>
        </w:tabs>
      </w:pPr>
      <w:hyperlink w:anchor="_Toc8515" w:history="1">
        <w:r>
          <w:rPr>
            <w:rFonts w:ascii="仿宋" w:eastAsia="仿宋" w:hAnsi="仿宋" w:cs="仿宋" w:hint="eastAsia"/>
            <w:lang w:eastAsia="zh-CN"/>
          </w:rPr>
          <w:t>(二)、土建工程设计年限及安全等级</w:t>
        </w:r>
        <w:r>
          <w:tab/>
        </w:r>
        <w:r>
          <w:fldChar w:fldCharType="begin"/>
        </w:r>
        <w:r>
          <w:instrText xml:space="preserve"> PAGEREF _Toc8515 \h </w:instrText>
        </w:r>
        <w:r>
          <w:fldChar w:fldCharType="separate"/>
        </w:r>
        <w:r>
          <w:t>4</w:t>
        </w:r>
        <w:r>
          <w:fldChar w:fldCharType="end"/>
        </w:r>
      </w:hyperlink>
    </w:p>
    <w:p>
      <w:pPr>
        <w:pStyle w:val="TOC2"/>
        <w:tabs>
          <w:tab w:val="right" w:leader="dot" w:pos="8306"/>
        </w:tabs>
      </w:pPr>
      <w:hyperlink w:anchor="_Toc30896" w:history="1">
        <w:r>
          <w:rPr>
            <w:rFonts w:ascii="仿宋" w:eastAsia="仿宋" w:hAnsi="仿宋" w:cs="仿宋" w:hint="eastAsia"/>
            <w:lang w:eastAsia="zh-CN"/>
          </w:rPr>
          <w:t>(三)、建筑工程设计总体要求</w:t>
        </w:r>
        <w:r>
          <w:tab/>
        </w:r>
        <w:r>
          <w:fldChar w:fldCharType="begin"/>
        </w:r>
        <w:r>
          <w:instrText xml:space="preserve"> PAGEREF _Toc30896 \h </w:instrText>
        </w:r>
        <w:r>
          <w:fldChar w:fldCharType="separate"/>
        </w:r>
        <w:r>
          <w:t>5</w:t>
        </w:r>
        <w:r>
          <w:fldChar w:fldCharType="end"/>
        </w:r>
      </w:hyperlink>
    </w:p>
    <w:p>
      <w:pPr>
        <w:pStyle w:val="TOC2"/>
        <w:tabs>
          <w:tab w:val="right" w:leader="dot" w:pos="8306"/>
        </w:tabs>
      </w:pPr>
      <w:hyperlink w:anchor="_Toc13853" w:history="1">
        <w:r>
          <w:rPr>
            <w:rFonts w:ascii="仿宋" w:eastAsia="仿宋" w:hAnsi="仿宋" w:cs="仿宋" w:hint="eastAsia"/>
            <w:lang w:eastAsia="zh-CN"/>
          </w:rPr>
          <w:t>(四)、土建工程建设指标</w:t>
        </w:r>
        <w:r>
          <w:tab/>
        </w:r>
        <w:r>
          <w:fldChar w:fldCharType="begin"/>
        </w:r>
        <w:r>
          <w:instrText xml:space="preserve"> PAGEREF _Toc13853 \h </w:instrText>
        </w:r>
        <w:r>
          <w:fldChar w:fldCharType="separate"/>
        </w:r>
        <w:r>
          <w:t>6</w:t>
        </w:r>
        <w:r>
          <w:fldChar w:fldCharType="end"/>
        </w:r>
      </w:hyperlink>
    </w:p>
    <w:p>
      <w:pPr>
        <w:pStyle w:val="TOC1"/>
        <w:tabs>
          <w:tab w:val="right" w:leader="dot" w:pos="8306"/>
        </w:tabs>
      </w:pPr>
      <w:hyperlink w:anchor="_Toc682" w:history="1">
        <w:r>
          <w:rPr>
            <w:rFonts w:ascii="仿宋" w:eastAsia="仿宋" w:hAnsi="仿宋" w:cs="仿宋" w:hint="eastAsia"/>
            <w:lang w:eastAsia="zh-CN"/>
          </w:rPr>
          <w:t>二、产品规划分析</w:t>
        </w:r>
        <w:r>
          <w:tab/>
        </w:r>
        <w:r>
          <w:fldChar w:fldCharType="begin"/>
        </w:r>
        <w:r>
          <w:instrText xml:space="preserve"> PAGEREF _Toc682 \h </w:instrText>
        </w:r>
        <w:r>
          <w:fldChar w:fldCharType="separate"/>
        </w:r>
        <w:r>
          <w:t>6</w:t>
        </w:r>
        <w:r>
          <w:fldChar w:fldCharType="end"/>
        </w:r>
      </w:hyperlink>
    </w:p>
    <w:p>
      <w:pPr>
        <w:pStyle w:val="TOC2"/>
        <w:tabs>
          <w:tab w:val="right" w:leader="dot" w:pos="8306"/>
        </w:tabs>
      </w:pPr>
      <w:hyperlink w:anchor="_Toc24241" w:history="1">
        <w:r>
          <w:rPr>
            <w:rFonts w:ascii="仿宋" w:eastAsia="仿宋" w:hAnsi="仿宋" w:cs="仿宋" w:hint="eastAsia"/>
            <w:lang w:eastAsia="zh-CN"/>
          </w:rPr>
          <w:t>(一)、产品规划</w:t>
        </w:r>
        <w:r>
          <w:tab/>
        </w:r>
        <w:r>
          <w:fldChar w:fldCharType="begin"/>
        </w:r>
        <w:r>
          <w:instrText xml:space="preserve"> PAGEREF _Toc24241 \h </w:instrText>
        </w:r>
        <w:r>
          <w:fldChar w:fldCharType="separate"/>
        </w:r>
        <w:r>
          <w:t>6</w:t>
        </w:r>
        <w:r>
          <w:fldChar w:fldCharType="end"/>
        </w:r>
      </w:hyperlink>
    </w:p>
    <w:p>
      <w:pPr>
        <w:pStyle w:val="TOC2"/>
        <w:tabs>
          <w:tab w:val="right" w:leader="dot" w:pos="8306"/>
        </w:tabs>
      </w:pPr>
      <w:hyperlink w:anchor="_Toc21766" w:history="1">
        <w:r>
          <w:rPr>
            <w:rFonts w:ascii="仿宋" w:eastAsia="仿宋" w:hAnsi="仿宋" w:cs="仿宋" w:hint="eastAsia"/>
            <w:lang w:eastAsia="zh-CN"/>
          </w:rPr>
          <w:t>(二)、建设规模</w:t>
        </w:r>
        <w:r>
          <w:tab/>
        </w:r>
        <w:r>
          <w:fldChar w:fldCharType="begin"/>
        </w:r>
        <w:r>
          <w:instrText xml:space="preserve"> PAGEREF _Toc21766 \h </w:instrText>
        </w:r>
        <w:r>
          <w:fldChar w:fldCharType="separate"/>
        </w:r>
        <w:r>
          <w:t>7</w:t>
        </w:r>
        <w:r>
          <w:fldChar w:fldCharType="end"/>
        </w:r>
      </w:hyperlink>
    </w:p>
    <w:p>
      <w:pPr>
        <w:pStyle w:val="TOC1"/>
        <w:tabs>
          <w:tab w:val="right" w:leader="dot" w:pos="8306"/>
        </w:tabs>
      </w:pPr>
      <w:hyperlink w:anchor="_Toc9339" w:history="1">
        <w:r>
          <w:rPr>
            <w:rFonts w:ascii="仿宋" w:eastAsia="仿宋" w:hAnsi="仿宋" w:cs="仿宋" w:hint="eastAsia"/>
            <w:lang w:eastAsia="zh-CN"/>
          </w:rPr>
          <w:t>三、饲料级磷酸盐项目选址可行性分析</w:t>
        </w:r>
        <w:r>
          <w:tab/>
        </w:r>
        <w:r>
          <w:fldChar w:fldCharType="begin"/>
        </w:r>
        <w:r>
          <w:instrText xml:space="preserve"> PAGEREF _Toc9339 \h </w:instrText>
        </w:r>
        <w:r>
          <w:fldChar w:fldCharType="separate"/>
        </w:r>
        <w:r>
          <w:t>8</w:t>
        </w:r>
        <w:r>
          <w:fldChar w:fldCharType="end"/>
        </w:r>
      </w:hyperlink>
    </w:p>
    <w:p>
      <w:pPr>
        <w:pStyle w:val="TOC2"/>
        <w:tabs>
          <w:tab w:val="right" w:leader="dot" w:pos="8306"/>
        </w:tabs>
      </w:pPr>
      <w:hyperlink w:anchor="_Toc27051" w:history="1">
        <w:r>
          <w:rPr>
            <w:rFonts w:ascii="仿宋" w:eastAsia="仿宋" w:hAnsi="仿宋" w:cs="仿宋" w:hint="eastAsia"/>
            <w:lang w:eastAsia="zh-CN"/>
          </w:rPr>
          <w:t>(一)、饲料级磷酸盐项目选址</w:t>
        </w:r>
        <w:r>
          <w:tab/>
        </w:r>
        <w:r>
          <w:fldChar w:fldCharType="begin"/>
        </w:r>
        <w:r>
          <w:instrText xml:space="preserve"> PAGEREF _Toc27051 \h </w:instrText>
        </w:r>
        <w:r>
          <w:fldChar w:fldCharType="separate"/>
        </w:r>
        <w:r>
          <w:t>8</w:t>
        </w:r>
        <w:r>
          <w:fldChar w:fldCharType="end"/>
        </w:r>
      </w:hyperlink>
    </w:p>
    <w:p>
      <w:pPr>
        <w:pStyle w:val="TOC2"/>
        <w:tabs>
          <w:tab w:val="right" w:leader="dot" w:pos="8306"/>
        </w:tabs>
      </w:pPr>
      <w:hyperlink w:anchor="_Toc24224" w:history="1">
        <w:r>
          <w:rPr>
            <w:rFonts w:ascii="仿宋" w:eastAsia="仿宋" w:hAnsi="仿宋" w:cs="仿宋" w:hint="eastAsia"/>
            <w:lang w:eastAsia="zh-CN"/>
          </w:rPr>
          <w:t>(二)、用地控制指标</w:t>
        </w:r>
        <w:r>
          <w:tab/>
        </w:r>
        <w:r>
          <w:fldChar w:fldCharType="begin"/>
        </w:r>
        <w:r>
          <w:instrText xml:space="preserve"> PAGEREF _Toc24224 \h </w:instrText>
        </w:r>
        <w:r>
          <w:fldChar w:fldCharType="separate"/>
        </w:r>
        <w:r>
          <w:t>8</w:t>
        </w:r>
        <w:r>
          <w:fldChar w:fldCharType="end"/>
        </w:r>
      </w:hyperlink>
    </w:p>
    <w:p>
      <w:pPr>
        <w:pStyle w:val="TOC2"/>
        <w:tabs>
          <w:tab w:val="right" w:leader="dot" w:pos="8306"/>
        </w:tabs>
      </w:pPr>
      <w:hyperlink w:anchor="_Toc21664" w:history="1">
        <w:r>
          <w:rPr>
            <w:rFonts w:ascii="仿宋" w:eastAsia="仿宋" w:hAnsi="仿宋" w:cs="仿宋" w:hint="eastAsia"/>
            <w:lang w:eastAsia="zh-CN"/>
          </w:rPr>
          <w:t>(三)、节约用地措施</w:t>
        </w:r>
        <w:r>
          <w:tab/>
        </w:r>
        <w:r>
          <w:fldChar w:fldCharType="begin"/>
        </w:r>
        <w:r>
          <w:instrText xml:space="preserve"> PAGEREF _Toc21664 \h </w:instrText>
        </w:r>
        <w:r>
          <w:fldChar w:fldCharType="separate"/>
        </w:r>
        <w:r>
          <w:t>10</w:t>
        </w:r>
        <w:r>
          <w:fldChar w:fldCharType="end"/>
        </w:r>
      </w:hyperlink>
    </w:p>
    <w:p>
      <w:pPr>
        <w:pStyle w:val="TOC2"/>
        <w:tabs>
          <w:tab w:val="right" w:leader="dot" w:pos="8306"/>
        </w:tabs>
      </w:pPr>
      <w:hyperlink w:anchor="_Toc19638" w:history="1">
        <w:r>
          <w:rPr>
            <w:rFonts w:ascii="仿宋" w:eastAsia="仿宋" w:hAnsi="仿宋" w:cs="仿宋" w:hint="eastAsia"/>
            <w:lang w:eastAsia="zh-CN"/>
          </w:rPr>
          <w:t>(四)、总图布置方案</w:t>
        </w:r>
        <w:r>
          <w:tab/>
        </w:r>
        <w:r>
          <w:fldChar w:fldCharType="begin"/>
        </w:r>
        <w:r>
          <w:instrText xml:space="preserve"> PAGEREF _Toc19638 \h </w:instrText>
        </w:r>
        <w:r>
          <w:fldChar w:fldCharType="separate"/>
        </w:r>
        <w:r>
          <w:t>11</w:t>
        </w:r>
        <w:r>
          <w:fldChar w:fldCharType="end"/>
        </w:r>
      </w:hyperlink>
    </w:p>
    <w:p>
      <w:pPr>
        <w:pStyle w:val="TOC2"/>
        <w:tabs>
          <w:tab w:val="right" w:leader="dot" w:pos="8306"/>
        </w:tabs>
      </w:pPr>
      <w:hyperlink w:anchor="_Toc3110" w:history="1">
        <w:r>
          <w:rPr>
            <w:rFonts w:ascii="仿宋" w:eastAsia="仿宋" w:hAnsi="仿宋" w:cs="仿宋" w:hint="eastAsia"/>
            <w:lang w:eastAsia="zh-CN"/>
          </w:rPr>
          <w:t>(五)、选址综合评价</w:t>
        </w:r>
        <w:r>
          <w:tab/>
        </w:r>
        <w:r>
          <w:fldChar w:fldCharType="begin"/>
        </w:r>
        <w:r>
          <w:instrText xml:space="preserve"> PAGEREF _Toc3110 \h </w:instrText>
        </w:r>
        <w:r>
          <w:fldChar w:fldCharType="separate"/>
        </w:r>
        <w:r>
          <w:t>12</w:t>
        </w:r>
        <w:r>
          <w:fldChar w:fldCharType="end"/>
        </w:r>
      </w:hyperlink>
    </w:p>
    <w:p>
      <w:pPr>
        <w:pStyle w:val="TOC1"/>
        <w:tabs>
          <w:tab w:val="right" w:leader="dot" w:pos="8306"/>
        </w:tabs>
      </w:pPr>
      <w:hyperlink w:anchor="_Toc29935" w:history="1">
        <w:r>
          <w:rPr>
            <w:rFonts w:ascii="仿宋" w:eastAsia="仿宋" w:hAnsi="仿宋" w:cs="仿宋" w:hint="eastAsia"/>
            <w:lang w:eastAsia="zh-CN"/>
          </w:rPr>
          <w:t>四、饲料级磷酸盐项目概论</w:t>
        </w:r>
        <w:r>
          <w:tab/>
        </w:r>
        <w:r>
          <w:fldChar w:fldCharType="begin"/>
        </w:r>
        <w:r>
          <w:instrText xml:space="preserve"> PAGEREF _Toc29935 \h </w:instrText>
        </w:r>
        <w:r>
          <w:fldChar w:fldCharType="separate"/>
        </w:r>
        <w:r>
          <w:t>13</w:t>
        </w:r>
        <w:r>
          <w:fldChar w:fldCharType="end"/>
        </w:r>
      </w:hyperlink>
    </w:p>
    <w:p>
      <w:pPr>
        <w:pStyle w:val="TOC2"/>
        <w:tabs>
          <w:tab w:val="right" w:leader="dot" w:pos="8306"/>
        </w:tabs>
      </w:pPr>
      <w:hyperlink w:anchor="_Toc10932" w:history="1">
        <w:r>
          <w:rPr>
            <w:rFonts w:ascii="仿宋" w:eastAsia="仿宋" w:hAnsi="仿宋" w:cs="仿宋" w:hint="eastAsia"/>
            <w:lang w:eastAsia="zh-CN"/>
          </w:rPr>
          <w:t>(一)、饲料级磷酸盐项目概况</w:t>
        </w:r>
        <w:r>
          <w:tab/>
        </w:r>
        <w:r>
          <w:fldChar w:fldCharType="begin"/>
        </w:r>
        <w:r>
          <w:instrText xml:space="preserve"> PAGEREF _Toc10932 \h </w:instrText>
        </w:r>
        <w:r>
          <w:fldChar w:fldCharType="separate"/>
        </w:r>
        <w:r>
          <w:t>13</w:t>
        </w:r>
        <w:r>
          <w:fldChar w:fldCharType="end"/>
        </w:r>
      </w:hyperlink>
    </w:p>
    <w:p>
      <w:pPr>
        <w:pStyle w:val="TOC2"/>
        <w:tabs>
          <w:tab w:val="right" w:leader="dot" w:pos="8306"/>
        </w:tabs>
      </w:pPr>
      <w:hyperlink w:anchor="_Toc18614" w:history="1">
        <w:r>
          <w:rPr>
            <w:rFonts w:ascii="仿宋" w:eastAsia="仿宋" w:hAnsi="仿宋" w:cs="仿宋" w:hint="eastAsia"/>
            <w:lang w:eastAsia="zh-CN"/>
          </w:rPr>
          <w:t>(二)、饲料级磷酸盐项目目标</w:t>
        </w:r>
        <w:r>
          <w:tab/>
        </w:r>
        <w:r>
          <w:fldChar w:fldCharType="begin"/>
        </w:r>
        <w:r>
          <w:instrText xml:space="preserve"> PAGEREF _Toc18614 \h </w:instrText>
        </w:r>
        <w:r>
          <w:fldChar w:fldCharType="separate"/>
        </w:r>
        <w:r>
          <w:t>16</w:t>
        </w:r>
        <w:r>
          <w:fldChar w:fldCharType="end"/>
        </w:r>
      </w:hyperlink>
    </w:p>
    <w:p>
      <w:pPr>
        <w:pStyle w:val="TOC2"/>
        <w:tabs>
          <w:tab w:val="right" w:leader="dot" w:pos="8306"/>
        </w:tabs>
      </w:pPr>
      <w:hyperlink w:anchor="_Toc16815" w:history="1">
        <w:r>
          <w:rPr>
            <w:rFonts w:ascii="仿宋" w:eastAsia="仿宋" w:hAnsi="仿宋" w:cs="仿宋" w:hint="eastAsia"/>
            <w:lang w:eastAsia="zh-CN"/>
          </w:rPr>
          <w:t>(三)、饲料级磷酸盐项目提出的理由</w:t>
        </w:r>
        <w:r>
          <w:tab/>
        </w:r>
        <w:r>
          <w:fldChar w:fldCharType="begin"/>
        </w:r>
        <w:r>
          <w:instrText xml:space="preserve"> PAGEREF _Toc16815 \h </w:instrText>
        </w:r>
        <w:r>
          <w:fldChar w:fldCharType="separate"/>
        </w:r>
        <w:r>
          <w:t>17</w:t>
        </w:r>
        <w:r>
          <w:fldChar w:fldCharType="end"/>
        </w:r>
      </w:hyperlink>
    </w:p>
    <w:p>
      <w:pPr>
        <w:pStyle w:val="TOC2"/>
        <w:tabs>
          <w:tab w:val="right" w:leader="dot" w:pos="8306"/>
        </w:tabs>
      </w:pPr>
      <w:hyperlink w:anchor="_Toc27376" w:history="1">
        <w:r>
          <w:rPr>
            <w:rFonts w:ascii="仿宋" w:eastAsia="仿宋" w:hAnsi="仿宋" w:cs="仿宋" w:hint="eastAsia"/>
            <w:lang w:eastAsia="zh-CN"/>
          </w:rPr>
          <w:t>(四)、饲料级磷酸盐项目意义</w:t>
        </w:r>
        <w:r>
          <w:tab/>
        </w:r>
        <w:r>
          <w:fldChar w:fldCharType="begin"/>
        </w:r>
        <w:r>
          <w:instrText xml:space="preserve"> PAGEREF _Toc27376 \h </w:instrText>
        </w:r>
        <w:r>
          <w:fldChar w:fldCharType="separate"/>
        </w:r>
        <w:r>
          <w:t>18</w:t>
        </w:r>
        <w:r>
          <w:fldChar w:fldCharType="end"/>
        </w:r>
      </w:hyperlink>
    </w:p>
    <w:p>
      <w:pPr>
        <w:pStyle w:val="TOC2"/>
        <w:tabs>
          <w:tab w:val="right" w:leader="dot" w:pos="8306"/>
        </w:tabs>
      </w:pPr>
      <w:hyperlink w:anchor="_Toc19229" w:history="1">
        <w:r>
          <w:rPr>
            <w:rFonts w:ascii="仿宋" w:eastAsia="仿宋" w:hAnsi="仿宋" w:cs="仿宋" w:hint="eastAsia"/>
            <w:lang w:eastAsia="zh-CN"/>
          </w:rPr>
          <w:t>(五)、饲料级磷酸盐项目背景</w:t>
        </w:r>
        <w:r>
          <w:tab/>
        </w:r>
        <w:r>
          <w:fldChar w:fldCharType="begin"/>
        </w:r>
        <w:r>
          <w:instrText xml:space="preserve"> PAGEREF _Toc19229 \h </w:instrText>
        </w:r>
        <w:r>
          <w:fldChar w:fldCharType="separate"/>
        </w:r>
        <w:r>
          <w:t>19</w:t>
        </w:r>
        <w:r>
          <w:fldChar w:fldCharType="end"/>
        </w:r>
      </w:hyperlink>
    </w:p>
    <w:p>
      <w:pPr>
        <w:pStyle w:val="TOC1"/>
        <w:tabs>
          <w:tab w:val="right" w:leader="dot" w:pos="8306"/>
        </w:tabs>
      </w:pPr>
      <w:hyperlink w:anchor="_Toc3453" w:history="1">
        <w:r>
          <w:rPr>
            <w:rFonts w:ascii="仿宋" w:eastAsia="仿宋" w:hAnsi="仿宋" w:cs="仿宋" w:hint="eastAsia"/>
            <w:lang w:eastAsia="zh-CN"/>
          </w:rPr>
          <w:t>五、饲料级磷酸盐项目绩效评估</w:t>
        </w:r>
        <w:r>
          <w:tab/>
        </w:r>
        <w:r>
          <w:fldChar w:fldCharType="begin"/>
        </w:r>
        <w:r>
          <w:instrText xml:space="preserve"> PAGEREF _Toc3453 \h </w:instrText>
        </w:r>
        <w:r>
          <w:fldChar w:fldCharType="separate"/>
        </w:r>
        <w:r>
          <w:t>20</w:t>
        </w:r>
        <w:r>
          <w:fldChar w:fldCharType="end"/>
        </w:r>
      </w:hyperlink>
    </w:p>
    <w:p>
      <w:pPr>
        <w:pStyle w:val="TOC2"/>
        <w:tabs>
          <w:tab w:val="right" w:leader="dot" w:pos="8306"/>
        </w:tabs>
      </w:pPr>
      <w:hyperlink w:anchor="_Toc31129" w:history="1">
        <w:r>
          <w:rPr>
            <w:rFonts w:ascii="仿宋" w:eastAsia="仿宋" w:hAnsi="仿宋" w:cs="仿宋" w:hint="eastAsia"/>
            <w:lang w:eastAsia="zh-CN"/>
          </w:rPr>
          <w:t>(一)、绩效评估指标</w:t>
        </w:r>
        <w:r>
          <w:tab/>
        </w:r>
        <w:r>
          <w:fldChar w:fldCharType="begin"/>
        </w:r>
        <w:r>
          <w:instrText xml:space="preserve"> PAGEREF _Toc31129 \h </w:instrText>
        </w:r>
        <w:r>
          <w:fldChar w:fldCharType="separate"/>
        </w:r>
        <w:r>
          <w:t>20</w:t>
        </w:r>
        <w:r>
          <w:fldChar w:fldCharType="end"/>
        </w:r>
      </w:hyperlink>
    </w:p>
    <w:p>
      <w:pPr>
        <w:pStyle w:val="TOC2"/>
        <w:tabs>
          <w:tab w:val="right" w:leader="dot" w:pos="8306"/>
        </w:tabs>
      </w:pPr>
      <w:hyperlink w:anchor="_Toc18364" w:history="1">
        <w:r>
          <w:rPr>
            <w:rFonts w:ascii="仿宋" w:eastAsia="仿宋" w:hAnsi="仿宋" w:cs="仿宋" w:hint="eastAsia"/>
            <w:lang w:eastAsia="zh-CN"/>
          </w:rPr>
          <w:t>(二)、绩效评估方法</w:t>
        </w:r>
        <w:r>
          <w:tab/>
        </w:r>
        <w:r>
          <w:fldChar w:fldCharType="begin"/>
        </w:r>
        <w:r>
          <w:instrText xml:space="preserve"> PAGEREF _Toc18364 \h </w:instrText>
        </w:r>
        <w:r>
          <w:fldChar w:fldCharType="separate"/>
        </w:r>
        <w:r>
          <w:t>21</w:t>
        </w:r>
        <w:r>
          <w:fldChar w:fldCharType="end"/>
        </w:r>
      </w:hyperlink>
    </w:p>
    <w:p>
      <w:pPr>
        <w:pStyle w:val="TOC2"/>
        <w:tabs>
          <w:tab w:val="right" w:leader="dot" w:pos="8306"/>
        </w:tabs>
      </w:pPr>
      <w:hyperlink w:anchor="_Toc24925" w:history="1">
        <w:r>
          <w:rPr>
            <w:rFonts w:ascii="仿宋" w:eastAsia="仿宋" w:hAnsi="仿宋" w:cs="仿宋" w:hint="eastAsia"/>
            <w:lang w:eastAsia="zh-CN"/>
          </w:rPr>
          <w:t>(三)、绩效评估周期</w:t>
        </w:r>
        <w:r>
          <w:tab/>
        </w:r>
        <w:r>
          <w:fldChar w:fldCharType="begin"/>
        </w:r>
        <w:r>
          <w:instrText xml:space="preserve"> PAGEREF _Toc24925 \h </w:instrText>
        </w:r>
        <w:r>
          <w:fldChar w:fldCharType="separate"/>
        </w:r>
        <w:r>
          <w:t>22</w:t>
        </w:r>
        <w:r>
          <w:fldChar w:fldCharType="end"/>
        </w:r>
      </w:hyperlink>
    </w:p>
    <w:p>
      <w:pPr>
        <w:pStyle w:val="TOC1"/>
        <w:tabs>
          <w:tab w:val="right" w:leader="dot" w:pos="8306"/>
        </w:tabs>
      </w:pPr>
      <w:hyperlink w:anchor="_Toc5650" w:history="1">
        <w:r>
          <w:rPr>
            <w:rFonts w:ascii="仿宋" w:eastAsia="仿宋" w:hAnsi="仿宋" w:cs="仿宋" w:hint="eastAsia"/>
            <w:lang w:eastAsia="zh-CN"/>
          </w:rPr>
          <w:t>六、饲料级磷酸盐项目危机管理</w:t>
        </w:r>
        <w:r>
          <w:tab/>
        </w:r>
        <w:r>
          <w:fldChar w:fldCharType="begin"/>
        </w:r>
        <w:r>
          <w:instrText xml:space="preserve"> PAGEREF _Toc5650 \h </w:instrText>
        </w:r>
        <w:r>
          <w:fldChar w:fldCharType="separate"/>
        </w:r>
        <w:r>
          <w:t>23</w:t>
        </w:r>
        <w:r>
          <w:fldChar w:fldCharType="end"/>
        </w:r>
      </w:hyperlink>
    </w:p>
    <w:p>
      <w:pPr>
        <w:pStyle w:val="TOC2"/>
        <w:tabs>
          <w:tab w:val="right" w:leader="dot" w:pos="8306"/>
        </w:tabs>
      </w:pPr>
      <w:hyperlink w:anchor="_Toc2583" w:history="1">
        <w:r>
          <w:rPr>
            <w:rFonts w:ascii="仿宋" w:eastAsia="仿宋" w:hAnsi="仿宋" w:cs="仿宋" w:hint="eastAsia"/>
            <w:lang w:eastAsia="zh-CN"/>
          </w:rPr>
          <w:t>(一)、危机预警与识别</w:t>
        </w:r>
        <w:r>
          <w:tab/>
        </w:r>
        <w:r>
          <w:fldChar w:fldCharType="begin"/>
        </w:r>
        <w:r>
          <w:instrText xml:space="preserve"> PAGEREF _Toc2583 \h </w:instrText>
        </w:r>
        <w:r>
          <w:fldChar w:fldCharType="separate"/>
        </w:r>
        <w:r>
          <w:t>23</w:t>
        </w:r>
        <w:r>
          <w:fldChar w:fldCharType="end"/>
        </w:r>
      </w:hyperlink>
    </w:p>
    <w:p>
      <w:pPr>
        <w:pStyle w:val="TOC2"/>
        <w:tabs>
          <w:tab w:val="right" w:leader="dot" w:pos="8306"/>
        </w:tabs>
      </w:pPr>
      <w:hyperlink w:anchor="_Toc29385" w:history="1">
        <w:r>
          <w:rPr>
            <w:rFonts w:ascii="仿宋" w:eastAsia="仿宋" w:hAnsi="仿宋" w:cs="仿宋" w:hint="eastAsia"/>
            <w:lang w:eastAsia="zh-CN"/>
          </w:rPr>
          <w:t>(二)、危机应对与恢复</w:t>
        </w:r>
        <w:r>
          <w:tab/>
        </w:r>
        <w:r>
          <w:fldChar w:fldCharType="begin"/>
        </w:r>
        <w:r>
          <w:instrText xml:space="preserve"> PAGEREF _Toc29385 \h </w:instrText>
        </w:r>
        <w:r>
          <w:fldChar w:fldCharType="separate"/>
        </w:r>
        <w:r>
          <w:t>24</w:t>
        </w:r>
        <w:r>
          <w:fldChar w:fldCharType="end"/>
        </w:r>
      </w:hyperlink>
    </w:p>
    <w:p>
      <w:pPr>
        <w:pStyle w:val="TOC1"/>
        <w:tabs>
          <w:tab w:val="right" w:leader="dot" w:pos="8306"/>
        </w:tabs>
      </w:pPr>
      <w:hyperlink w:anchor="_Toc14562" w:history="1">
        <w:r>
          <w:rPr>
            <w:rFonts w:ascii="仿宋" w:eastAsia="仿宋" w:hAnsi="仿宋" w:cs="仿宋" w:hint="eastAsia"/>
            <w:lang w:eastAsia="zh-CN"/>
          </w:rPr>
          <w:t>七、饲料级磷酸盐项目风险管理</w:t>
        </w:r>
        <w:r>
          <w:tab/>
        </w:r>
        <w:r>
          <w:fldChar w:fldCharType="begin"/>
        </w:r>
        <w:r>
          <w:instrText xml:space="preserve"> PAGEREF _Toc14562 \h </w:instrText>
        </w:r>
        <w:r>
          <w:fldChar w:fldCharType="separate"/>
        </w:r>
        <w:r>
          <w:t>26</w:t>
        </w:r>
        <w:r>
          <w:fldChar w:fldCharType="end"/>
        </w:r>
      </w:hyperlink>
    </w:p>
    <w:p>
      <w:pPr>
        <w:pStyle w:val="TOC2"/>
        <w:tabs>
          <w:tab w:val="right" w:leader="dot" w:pos="8306"/>
        </w:tabs>
      </w:pPr>
      <w:hyperlink w:anchor="_Toc15038" w:history="1">
        <w:r>
          <w:rPr>
            <w:rFonts w:ascii="仿宋" w:eastAsia="仿宋" w:hAnsi="仿宋" w:cs="仿宋" w:hint="eastAsia"/>
            <w:lang w:eastAsia="zh-CN"/>
          </w:rPr>
          <w:t>(一)、风险识别与评估</w:t>
        </w:r>
        <w:r>
          <w:tab/>
        </w:r>
        <w:r>
          <w:fldChar w:fldCharType="begin"/>
        </w:r>
        <w:r>
          <w:instrText xml:space="preserve"> PAGEREF _Toc15038 \h </w:instrText>
        </w:r>
        <w:r>
          <w:fldChar w:fldCharType="separate"/>
        </w:r>
        <w:r>
          <w:t>26</w:t>
        </w:r>
        <w:r>
          <w:fldChar w:fldCharType="end"/>
        </w:r>
      </w:hyperlink>
    </w:p>
    <w:p>
      <w:pPr>
        <w:pStyle w:val="TOC2"/>
        <w:tabs>
          <w:tab w:val="right" w:leader="dot" w:pos="8306"/>
        </w:tabs>
      </w:pPr>
      <w:hyperlink w:anchor="_Toc31393" w:history="1">
        <w:r>
          <w:rPr>
            <w:rFonts w:ascii="仿宋" w:eastAsia="仿宋" w:hAnsi="仿宋" w:cs="仿宋" w:hint="eastAsia"/>
            <w:lang w:eastAsia="zh-CN"/>
          </w:rPr>
          <w:t>(二)、风险应对策略</w:t>
        </w:r>
        <w:r>
          <w:tab/>
        </w:r>
        <w:r>
          <w:fldChar w:fldCharType="begin"/>
        </w:r>
        <w:r>
          <w:instrText xml:space="preserve"> PAGEREF _Toc31393 \h </w:instrText>
        </w:r>
        <w:r>
          <w:fldChar w:fldCharType="separate"/>
        </w:r>
        <w:r>
          <w:t>27</w:t>
        </w:r>
        <w:r>
          <w:fldChar w:fldCharType="end"/>
        </w:r>
      </w:hyperlink>
    </w:p>
    <w:p>
      <w:pPr>
        <w:pStyle w:val="TOC2"/>
        <w:tabs>
          <w:tab w:val="right" w:leader="dot" w:pos="8306"/>
        </w:tabs>
      </w:pPr>
      <w:hyperlink w:anchor="_Toc25790" w:history="1">
        <w:r>
          <w:rPr>
            <w:rFonts w:ascii="仿宋" w:eastAsia="仿宋" w:hAnsi="仿宋" w:cs="仿宋" w:hint="eastAsia"/>
            <w:lang w:eastAsia="zh-CN"/>
          </w:rPr>
          <w:t>(三)、风险监控与控制</w:t>
        </w:r>
        <w:r>
          <w:tab/>
        </w:r>
        <w:r>
          <w:fldChar w:fldCharType="begin"/>
        </w:r>
        <w:r>
          <w:instrText xml:space="preserve"> PAGEREF _Toc25790 \h </w:instrText>
        </w:r>
        <w:r>
          <w:fldChar w:fldCharType="separate"/>
        </w:r>
        <w:r>
          <w:t>29</w:t>
        </w:r>
        <w:r>
          <w:fldChar w:fldCharType="end"/>
        </w:r>
      </w:hyperlink>
    </w:p>
    <w:p>
      <w:pPr>
        <w:pStyle w:val="TOC1"/>
        <w:tabs>
          <w:tab w:val="right" w:leader="dot" w:pos="8306"/>
        </w:tabs>
      </w:pPr>
      <w:hyperlink w:anchor="_Toc31368" w:history="1">
        <w:r>
          <w:rPr>
            <w:rFonts w:ascii="仿宋" w:eastAsia="仿宋" w:hAnsi="仿宋" w:cs="仿宋" w:hint="eastAsia"/>
            <w:lang w:eastAsia="zh-CN"/>
          </w:rPr>
          <w:t>八、生产安全保护</w:t>
        </w:r>
        <w:r>
          <w:tab/>
        </w:r>
        <w:r>
          <w:fldChar w:fldCharType="begin"/>
        </w:r>
        <w:r>
          <w:instrText xml:space="preserve"> PAGEREF _Toc31368 \h </w:instrText>
        </w:r>
        <w:r>
          <w:fldChar w:fldCharType="separate"/>
        </w:r>
        <w:r>
          <w:t>30</w:t>
        </w:r>
        <w:r>
          <w:fldChar w:fldCharType="end"/>
        </w:r>
      </w:hyperlink>
    </w:p>
    <w:p>
      <w:pPr>
        <w:pStyle w:val="TOC2"/>
        <w:tabs>
          <w:tab w:val="right" w:leader="dot" w:pos="8306"/>
        </w:tabs>
      </w:pPr>
      <w:hyperlink w:anchor="_Toc2171" w:history="1">
        <w:r>
          <w:rPr>
            <w:rFonts w:ascii="仿宋" w:eastAsia="仿宋" w:hAnsi="仿宋" w:cs="仿宋" w:hint="eastAsia"/>
            <w:lang w:eastAsia="zh-CN"/>
          </w:rPr>
          <w:t>(一)、消防安全</w:t>
        </w:r>
        <w:r>
          <w:tab/>
        </w:r>
        <w:r>
          <w:fldChar w:fldCharType="begin"/>
        </w:r>
        <w:r>
          <w:instrText xml:space="preserve"> PAGEREF _Toc2171 \h </w:instrText>
        </w:r>
        <w:r>
          <w:fldChar w:fldCharType="separate"/>
        </w:r>
        <w:r>
          <w:t>30</w:t>
        </w:r>
        <w:r>
          <w:fldChar w:fldCharType="end"/>
        </w:r>
      </w:hyperlink>
    </w:p>
    <w:p>
      <w:pPr>
        <w:pStyle w:val="TOC2"/>
        <w:tabs>
          <w:tab w:val="right" w:leader="dot" w:pos="8306"/>
        </w:tabs>
      </w:pPr>
      <w:hyperlink w:anchor="_Toc19866" w:history="1">
        <w:r>
          <w:rPr>
            <w:rFonts w:ascii="仿宋" w:eastAsia="仿宋" w:hAnsi="仿宋" w:cs="仿宋" w:hint="eastAsia"/>
            <w:lang w:eastAsia="zh-CN"/>
          </w:rPr>
          <w:t>(二)、防火防爆总图布置措施</w:t>
        </w:r>
        <w:r>
          <w:tab/>
        </w:r>
        <w:r>
          <w:fldChar w:fldCharType="begin"/>
        </w:r>
        <w:r>
          <w:instrText xml:space="preserve"> PAGEREF _Toc19866 \h </w:instrText>
        </w:r>
        <w:r>
          <w:fldChar w:fldCharType="separate"/>
        </w:r>
        <w:r>
          <w:t>31</w:t>
        </w:r>
        <w:r>
          <w:fldChar w:fldCharType="end"/>
        </w:r>
      </w:hyperlink>
    </w:p>
    <w:p>
      <w:pPr>
        <w:pStyle w:val="TOC2"/>
        <w:tabs>
          <w:tab w:val="right" w:leader="dot" w:pos="8306"/>
        </w:tabs>
      </w:pPr>
      <w:hyperlink w:anchor="_Toc23173" w:history="1">
        <w:r>
          <w:rPr>
            <w:rFonts w:ascii="仿宋" w:eastAsia="仿宋" w:hAnsi="仿宋" w:cs="仿宋" w:hint="eastAsia"/>
            <w:lang w:eastAsia="zh-CN"/>
          </w:rPr>
          <w:t>(三)、自然灾害防范措施</w:t>
        </w:r>
        <w:r>
          <w:tab/>
        </w:r>
        <w:r>
          <w:fldChar w:fldCharType="begin"/>
        </w:r>
        <w:r>
          <w:instrText xml:space="preserve"> PAGEREF _Toc23173 \h </w:instrText>
        </w:r>
        <w:r>
          <w:fldChar w:fldCharType="separate"/>
        </w:r>
        <w:r>
          <w:t>32</w:t>
        </w:r>
        <w:r>
          <w:fldChar w:fldCharType="end"/>
        </w:r>
      </w:hyperlink>
    </w:p>
    <w:p>
      <w:pPr>
        <w:pStyle w:val="TOC2"/>
        <w:tabs>
          <w:tab w:val="right" w:leader="dot" w:pos="8306"/>
        </w:tabs>
      </w:pPr>
      <w:hyperlink w:anchor="_Toc25440" w:history="1">
        <w:r>
          <w:rPr>
            <w:rFonts w:ascii="仿宋" w:eastAsia="仿宋" w:hAnsi="仿宋" w:cs="仿宋" w:hint="eastAsia"/>
            <w:lang w:eastAsia="zh-CN"/>
          </w:rPr>
          <w:t>(四)、安全色及安全标志使用要求</w:t>
        </w:r>
        <w:r>
          <w:tab/>
        </w:r>
        <w:r>
          <w:fldChar w:fldCharType="begin"/>
        </w:r>
        <w:r>
          <w:instrText xml:space="preserve"> PAGEREF _Toc25440 \h </w:instrText>
        </w:r>
        <w:r>
          <w:fldChar w:fldCharType="separate"/>
        </w:r>
        <w:r>
          <w:t>33</w:t>
        </w:r>
        <w:r>
          <w:fldChar w:fldCharType="end"/>
        </w:r>
      </w:hyperlink>
    </w:p>
    <w:p>
      <w:pPr>
        <w:pStyle w:val="TOC2"/>
        <w:tabs>
          <w:tab w:val="right" w:leader="dot" w:pos="8306"/>
        </w:tabs>
      </w:pPr>
      <w:hyperlink w:anchor="_Toc11434" w:history="1">
        <w:r>
          <w:rPr>
            <w:rFonts w:ascii="仿宋" w:eastAsia="仿宋" w:hAnsi="仿宋" w:cs="仿宋" w:hint="eastAsia"/>
            <w:lang w:eastAsia="zh-CN"/>
          </w:rPr>
          <w:t>(五)、防尘防毒措施</w:t>
        </w:r>
        <w:r>
          <w:tab/>
        </w:r>
        <w:r>
          <w:fldChar w:fldCharType="begin"/>
        </w:r>
        <w:r>
          <w:instrText xml:space="preserve"> PAGEREF _Toc11434 \h </w:instrText>
        </w:r>
        <w:r>
          <w:fldChar w:fldCharType="separate"/>
        </w:r>
        <w:r>
          <w:t>34</w:t>
        </w:r>
        <w:r>
          <w:fldChar w:fldCharType="end"/>
        </w:r>
      </w:hyperlink>
    </w:p>
    <w:p>
      <w:pPr>
        <w:pStyle w:val="TOC2"/>
        <w:tabs>
          <w:tab w:val="right" w:leader="dot" w:pos="8306"/>
        </w:tabs>
      </w:pPr>
      <w:hyperlink w:anchor="_Toc3375" w:history="1">
        <w:r>
          <w:rPr>
            <w:rFonts w:ascii="仿宋" w:eastAsia="仿宋" w:hAnsi="仿宋" w:cs="仿宋" w:hint="eastAsia"/>
            <w:lang w:eastAsia="zh-CN"/>
          </w:rPr>
          <w:t>(六)、防静电、触电防护及防雷措施</w:t>
        </w:r>
        <w:r>
          <w:tab/>
        </w:r>
        <w:r>
          <w:fldChar w:fldCharType="begin"/>
        </w:r>
        <w:r>
          <w:instrText xml:space="preserve"> PAGEREF _Toc3375 \h </w:instrText>
        </w:r>
        <w:r>
          <w:fldChar w:fldCharType="separate"/>
        </w:r>
        <w:r>
          <w:t>35</w:t>
        </w:r>
        <w:r>
          <w:fldChar w:fldCharType="end"/>
        </w:r>
      </w:hyperlink>
    </w:p>
    <w:p>
      <w:pPr>
        <w:pStyle w:val="TOC2"/>
        <w:tabs>
          <w:tab w:val="right" w:leader="dot" w:pos="8306"/>
        </w:tabs>
      </w:pPr>
      <w:hyperlink w:anchor="_Toc16034" w:history="1">
        <w:r>
          <w:rPr>
            <w:rFonts w:ascii="仿宋" w:eastAsia="仿宋" w:hAnsi="仿宋" w:cs="仿宋" w:hint="eastAsia"/>
            <w:lang w:eastAsia="zh-CN"/>
          </w:rPr>
          <w:t>(七)、机械设备安全保障措施</w:t>
        </w:r>
        <w:r>
          <w:tab/>
        </w:r>
        <w:r>
          <w:fldChar w:fldCharType="begin"/>
        </w:r>
        <w:r>
          <w:instrText xml:space="preserve"> PAGEREF _Toc16034 \h </w:instrText>
        </w:r>
        <w:r>
          <w:fldChar w:fldCharType="separate"/>
        </w:r>
        <w:r>
          <w:t>36</w:t>
        </w:r>
        <w:r>
          <w:fldChar w:fldCharType="end"/>
        </w:r>
      </w:hyperlink>
    </w:p>
    <w:p>
      <w:pPr>
        <w:pStyle w:val="TOC1"/>
        <w:tabs>
          <w:tab w:val="right" w:leader="dot" w:pos="8306"/>
        </w:tabs>
      </w:pPr>
      <w:hyperlink w:anchor="_Toc22704" w:history="1">
        <w:r>
          <w:rPr>
            <w:rFonts w:ascii="仿宋" w:eastAsia="仿宋" w:hAnsi="仿宋" w:cs="仿宋" w:hint="eastAsia"/>
            <w:lang w:eastAsia="zh-CN"/>
          </w:rPr>
          <w:t>九、饲料级磷酸盐项目人力资源管理</w:t>
        </w:r>
        <w:r>
          <w:tab/>
        </w:r>
        <w:r>
          <w:fldChar w:fldCharType="begin"/>
        </w:r>
        <w:r>
          <w:instrText xml:space="preserve"> PAGEREF _Toc22704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92" w:history="1">
        <w:r>
          <w:rPr>
            <w:rFonts w:ascii="仿宋" w:eastAsia="仿宋" w:hAnsi="仿宋" w:cs="仿宋" w:hint="eastAsia"/>
            <w:lang w:eastAsia="zh-CN"/>
          </w:rPr>
          <w:t>(一)、建立健全的预算管理制度</w:t>
        </w:r>
        <w:r>
          <w:tab/>
        </w:r>
        <w:r>
          <w:fldChar w:fldCharType="begin"/>
        </w:r>
        <w:r>
          <w:instrText xml:space="preserve"> PAGEREF _Toc18692 \h </w:instrText>
        </w:r>
        <w:r>
          <w:fldChar w:fldCharType="separate"/>
        </w:r>
        <w:r>
          <w:t>38</w:t>
        </w:r>
        <w:r>
          <w:fldChar w:fldCharType="end"/>
        </w:r>
      </w:hyperlink>
    </w:p>
    <w:p>
      <w:pPr>
        <w:pStyle w:val="TOC2"/>
        <w:tabs>
          <w:tab w:val="right" w:leader="dot" w:pos="8306"/>
        </w:tabs>
      </w:pPr>
      <w:hyperlink w:anchor="_Toc8066" w:history="1">
        <w:r>
          <w:rPr>
            <w:rFonts w:ascii="仿宋" w:eastAsia="仿宋" w:hAnsi="仿宋" w:cs="仿宋" w:hint="eastAsia"/>
            <w:lang w:eastAsia="zh-CN"/>
          </w:rPr>
          <w:t>(二)、加强资金流动监控</w:t>
        </w:r>
        <w:r>
          <w:tab/>
        </w:r>
        <w:r>
          <w:fldChar w:fldCharType="begin"/>
        </w:r>
        <w:r>
          <w:instrText xml:space="preserve"> PAGEREF _Toc8066 \h </w:instrText>
        </w:r>
        <w:r>
          <w:fldChar w:fldCharType="separate"/>
        </w:r>
        <w:r>
          <w:t>39</w:t>
        </w:r>
        <w:r>
          <w:fldChar w:fldCharType="end"/>
        </w:r>
      </w:hyperlink>
    </w:p>
    <w:p>
      <w:pPr>
        <w:pStyle w:val="TOC2"/>
        <w:tabs>
          <w:tab w:val="right" w:leader="dot" w:pos="8306"/>
        </w:tabs>
      </w:pPr>
      <w:hyperlink w:anchor="_Toc15556" w:history="1">
        <w:r>
          <w:rPr>
            <w:rFonts w:ascii="仿宋" w:eastAsia="仿宋" w:hAnsi="仿宋" w:cs="仿宋" w:hint="eastAsia"/>
            <w:lang w:eastAsia="zh-CN"/>
          </w:rPr>
          <w:t>(三)、制定完善的风险控制机制</w:t>
        </w:r>
        <w:r>
          <w:tab/>
        </w:r>
        <w:r>
          <w:fldChar w:fldCharType="begin"/>
        </w:r>
        <w:r>
          <w:instrText xml:space="preserve"> PAGEREF _Toc15556 \h </w:instrText>
        </w:r>
        <w:r>
          <w:fldChar w:fldCharType="separate"/>
        </w:r>
        <w:r>
          <w:t>41</w:t>
        </w:r>
        <w:r>
          <w:fldChar w:fldCharType="end"/>
        </w:r>
      </w:hyperlink>
    </w:p>
    <w:p>
      <w:pPr>
        <w:pStyle w:val="TOC2"/>
        <w:tabs>
          <w:tab w:val="right" w:leader="dot" w:pos="8306"/>
        </w:tabs>
      </w:pPr>
      <w:hyperlink w:anchor="_Toc32058" w:history="1">
        <w:r>
          <w:rPr>
            <w:rFonts w:ascii="仿宋" w:eastAsia="仿宋" w:hAnsi="仿宋" w:cs="仿宋" w:hint="eastAsia"/>
            <w:lang w:eastAsia="zh-CN"/>
          </w:rPr>
          <w:t>(四)、优化成本管理</w:t>
        </w:r>
        <w:r>
          <w:tab/>
        </w:r>
        <w:r>
          <w:fldChar w:fldCharType="begin"/>
        </w:r>
        <w:r>
          <w:instrText xml:space="preserve"> PAGEREF _Toc32058 \h </w:instrText>
        </w:r>
        <w:r>
          <w:fldChar w:fldCharType="separate"/>
        </w:r>
        <w:r>
          <w:t>42</w:t>
        </w:r>
        <w:r>
          <w:fldChar w:fldCharType="end"/>
        </w:r>
      </w:hyperlink>
    </w:p>
    <w:p>
      <w:pPr>
        <w:pStyle w:val="TOC1"/>
        <w:tabs>
          <w:tab w:val="right" w:leader="dot" w:pos="8306"/>
        </w:tabs>
      </w:pPr>
      <w:hyperlink w:anchor="_Toc17363" w:history="1">
        <w:r>
          <w:rPr>
            <w:rFonts w:ascii="仿宋" w:eastAsia="仿宋" w:hAnsi="仿宋" w:cs="仿宋" w:hint="eastAsia"/>
            <w:lang w:eastAsia="zh-CN"/>
          </w:rPr>
          <w:t>十、饲料级磷酸盐项目技术管理</w:t>
        </w:r>
        <w:r>
          <w:tab/>
        </w:r>
        <w:r>
          <w:fldChar w:fldCharType="begin"/>
        </w:r>
        <w:r>
          <w:instrText xml:space="preserve"> PAGEREF _Toc17363 \h </w:instrText>
        </w:r>
        <w:r>
          <w:fldChar w:fldCharType="separate"/>
        </w:r>
        <w:r>
          <w:t>43</w:t>
        </w:r>
        <w:r>
          <w:fldChar w:fldCharType="end"/>
        </w:r>
      </w:hyperlink>
    </w:p>
    <w:p>
      <w:pPr>
        <w:pStyle w:val="TOC2"/>
        <w:tabs>
          <w:tab w:val="right" w:leader="dot" w:pos="8306"/>
        </w:tabs>
      </w:pPr>
      <w:hyperlink w:anchor="_Toc9736" w:history="1">
        <w:r>
          <w:rPr>
            <w:rFonts w:ascii="仿宋" w:eastAsia="仿宋" w:hAnsi="仿宋" w:cs="仿宋" w:hint="eastAsia"/>
            <w:lang w:eastAsia="zh-CN"/>
          </w:rPr>
          <w:t>(一)、技术方案选用方向</w:t>
        </w:r>
        <w:r>
          <w:tab/>
        </w:r>
        <w:r>
          <w:fldChar w:fldCharType="begin"/>
        </w:r>
        <w:r>
          <w:instrText xml:space="preserve"> PAGEREF _Toc9736 \h </w:instrText>
        </w:r>
        <w:r>
          <w:fldChar w:fldCharType="separate"/>
        </w:r>
        <w:r>
          <w:t>43</w:t>
        </w:r>
        <w:r>
          <w:fldChar w:fldCharType="end"/>
        </w:r>
      </w:hyperlink>
    </w:p>
    <w:p>
      <w:pPr>
        <w:pStyle w:val="TOC2"/>
        <w:tabs>
          <w:tab w:val="right" w:leader="dot" w:pos="8306"/>
        </w:tabs>
      </w:pPr>
      <w:hyperlink w:anchor="_Toc13210" w:history="1">
        <w:r>
          <w:rPr>
            <w:rFonts w:ascii="仿宋" w:eastAsia="仿宋" w:hAnsi="仿宋" w:cs="仿宋" w:hint="eastAsia"/>
            <w:lang w:eastAsia="zh-CN"/>
          </w:rPr>
          <w:t>(二)、工艺技术方案选用原则</w:t>
        </w:r>
        <w:r>
          <w:tab/>
        </w:r>
        <w:r>
          <w:fldChar w:fldCharType="begin"/>
        </w:r>
        <w:r>
          <w:instrText xml:space="preserve"> PAGEREF _Toc13210 \h </w:instrText>
        </w:r>
        <w:r>
          <w:fldChar w:fldCharType="separate"/>
        </w:r>
        <w:r>
          <w:t>45</w:t>
        </w:r>
        <w:r>
          <w:fldChar w:fldCharType="end"/>
        </w:r>
      </w:hyperlink>
    </w:p>
    <w:p>
      <w:pPr>
        <w:pStyle w:val="TOC2"/>
        <w:tabs>
          <w:tab w:val="right" w:leader="dot" w:pos="8306"/>
        </w:tabs>
      </w:pPr>
      <w:hyperlink w:anchor="_Toc11201" w:history="1">
        <w:r>
          <w:rPr>
            <w:rFonts w:ascii="仿宋" w:eastAsia="仿宋" w:hAnsi="仿宋" w:cs="仿宋" w:hint="eastAsia"/>
            <w:lang w:eastAsia="zh-CN"/>
          </w:rPr>
          <w:t>(三)、工艺技术方案要求</w:t>
        </w:r>
        <w:r>
          <w:tab/>
        </w:r>
        <w:r>
          <w:fldChar w:fldCharType="begin"/>
        </w:r>
        <w:r>
          <w:instrText xml:space="preserve"> PAGEREF _Toc11201 \h </w:instrText>
        </w:r>
        <w:r>
          <w:fldChar w:fldCharType="separate"/>
        </w:r>
        <w:r>
          <w:t>47</w:t>
        </w:r>
        <w:r>
          <w:fldChar w:fldCharType="end"/>
        </w:r>
      </w:hyperlink>
    </w:p>
    <w:p>
      <w:pPr>
        <w:pStyle w:val="TOC1"/>
        <w:tabs>
          <w:tab w:val="right" w:leader="dot" w:pos="8306"/>
        </w:tabs>
      </w:pPr>
      <w:hyperlink w:anchor="_Toc26722" w:history="1">
        <w:r>
          <w:rPr>
            <w:rFonts w:ascii="仿宋" w:eastAsia="仿宋" w:hAnsi="仿宋" w:cs="仿宋" w:hint="eastAsia"/>
            <w:lang w:eastAsia="zh-CN"/>
          </w:rPr>
          <w:t>十一、饲料级磷酸盐项目投资规划</w:t>
        </w:r>
        <w:r>
          <w:tab/>
        </w:r>
        <w:r>
          <w:fldChar w:fldCharType="begin"/>
        </w:r>
        <w:r>
          <w:instrText xml:space="preserve"> PAGEREF _Toc26722 \h </w:instrText>
        </w:r>
        <w:r>
          <w:fldChar w:fldCharType="separate"/>
        </w:r>
        <w:r>
          <w:t>50</w:t>
        </w:r>
        <w:r>
          <w:fldChar w:fldCharType="end"/>
        </w:r>
      </w:hyperlink>
    </w:p>
    <w:p>
      <w:pPr>
        <w:pStyle w:val="TOC2"/>
        <w:tabs>
          <w:tab w:val="right" w:leader="dot" w:pos="8306"/>
        </w:tabs>
      </w:pPr>
      <w:hyperlink w:anchor="_Toc27695" w:history="1">
        <w:r>
          <w:rPr>
            <w:rFonts w:ascii="仿宋" w:eastAsia="仿宋" w:hAnsi="仿宋" w:cs="仿宋" w:hint="eastAsia"/>
            <w:lang w:eastAsia="zh-CN"/>
          </w:rPr>
          <w:t>(一)、饲料级磷酸盐项目总投资估算</w:t>
        </w:r>
        <w:r>
          <w:tab/>
        </w:r>
        <w:r>
          <w:fldChar w:fldCharType="begin"/>
        </w:r>
        <w:r>
          <w:instrText xml:space="preserve"> PAGEREF _Toc27695 \h </w:instrText>
        </w:r>
        <w:r>
          <w:fldChar w:fldCharType="separate"/>
        </w:r>
        <w:r>
          <w:t>50</w:t>
        </w:r>
        <w:r>
          <w:fldChar w:fldCharType="end"/>
        </w:r>
      </w:hyperlink>
    </w:p>
    <w:p>
      <w:pPr>
        <w:pStyle w:val="TOC2"/>
        <w:tabs>
          <w:tab w:val="right" w:leader="dot" w:pos="8306"/>
        </w:tabs>
      </w:pPr>
      <w:hyperlink w:anchor="_Toc30952" w:history="1">
        <w:r>
          <w:rPr>
            <w:rFonts w:ascii="仿宋" w:eastAsia="仿宋" w:hAnsi="仿宋" w:cs="仿宋" w:hint="eastAsia"/>
            <w:lang w:eastAsia="zh-CN"/>
          </w:rPr>
          <w:t>(二)、资金筹措</w:t>
        </w:r>
        <w:r>
          <w:tab/>
        </w:r>
        <w:r>
          <w:fldChar w:fldCharType="begin"/>
        </w:r>
        <w:r>
          <w:instrText xml:space="preserve"> PAGEREF _Toc30952 \h </w:instrText>
        </w:r>
        <w:r>
          <w:fldChar w:fldCharType="separate"/>
        </w:r>
        <w:r>
          <w:t>51</w:t>
        </w:r>
        <w:r>
          <w:fldChar w:fldCharType="end"/>
        </w:r>
      </w:hyperlink>
    </w:p>
    <w:p>
      <w:pPr>
        <w:pStyle w:val="TOC1"/>
        <w:tabs>
          <w:tab w:val="right" w:leader="dot" w:pos="8306"/>
        </w:tabs>
      </w:pPr>
      <w:hyperlink w:anchor="_Toc31434" w:history="1">
        <w:r>
          <w:rPr>
            <w:rFonts w:ascii="仿宋" w:eastAsia="仿宋" w:hAnsi="仿宋" w:cs="仿宋" w:hint="eastAsia"/>
            <w:lang w:eastAsia="zh-CN"/>
          </w:rPr>
          <w:t>十二、饲料级磷酸盐项目创新与研发</w:t>
        </w:r>
        <w:r>
          <w:tab/>
        </w:r>
        <w:r>
          <w:fldChar w:fldCharType="begin"/>
        </w:r>
        <w:r>
          <w:instrText xml:space="preserve"> PAGEREF _Toc31434 \h </w:instrText>
        </w:r>
        <w:r>
          <w:fldChar w:fldCharType="separate"/>
        </w:r>
        <w:r>
          <w:t>52</w:t>
        </w:r>
        <w:r>
          <w:fldChar w:fldCharType="end"/>
        </w:r>
      </w:hyperlink>
    </w:p>
    <w:p>
      <w:pPr>
        <w:pStyle w:val="TOC2"/>
        <w:tabs>
          <w:tab w:val="right" w:leader="dot" w:pos="8306"/>
        </w:tabs>
      </w:pPr>
      <w:hyperlink w:anchor="_Toc27570" w:history="1">
        <w:r>
          <w:rPr>
            <w:rFonts w:ascii="仿宋" w:eastAsia="仿宋" w:hAnsi="仿宋" w:cs="仿宋" w:hint="eastAsia"/>
            <w:lang w:eastAsia="zh-CN"/>
          </w:rPr>
          <w:t>(一)、创新策略与方向</w:t>
        </w:r>
        <w:r>
          <w:tab/>
        </w:r>
        <w:r>
          <w:fldChar w:fldCharType="begin"/>
        </w:r>
        <w:r>
          <w:instrText xml:space="preserve"> PAGEREF _Toc27570 \h </w:instrText>
        </w:r>
        <w:r>
          <w:fldChar w:fldCharType="separate"/>
        </w:r>
        <w:r>
          <w:t>52</w:t>
        </w:r>
        <w:r>
          <w:fldChar w:fldCharType="end"/>
        </w:r>
      </w:hyperlink>
    </w:p>
    <w:p>
      <w:pPr>
        <w:pStyle w:val="TOC2"/>
        <w:tabs>
          <w:tab w:val="right" w:leader="dot" w:pos="8306"/>
        </w:tabs>
      </w:pPr>
      <w:hyperlink w:anchor="_Toc10565" w:history="1">
        <w:r>
          <w:rPr>
            <w:rFonts w:ascii="仿宋" w:eastAsia="仿宋" w:hAnsi="仿宋" w:cs="仿宋" w:hint="eastAsia"/>
            <w:lang w:eastAsia="zh-CN"/>
          </w:rPr>
          <w:t>(二)、研发规划与投入</w:t>
        </w:r>
        <w:r>
          <w:tab/>
        </w:r>
        <w:r>
          <w:fldChar w:fldCharType="begin"/>
        </w:r>
        <w:r>
          <w:instrText xml:space="preserve"> PAGEREF _Toc10565 \h </w:instrText>
        </w:r>
        <w:r>
          <w:fldChar w:fldCharType="separate"/>
        </w:r>
        <w:r>
          <w:t>53</w:t>
        </w:r>
        <w:r>
          <w:fldChar w:fldCharType="end"/>
        </w:r>
      </w:hyperlink>
    </w:p>
    <w:p>
      <w:pPr>
        <w:pStyle w:val="TOC1"/>
        <w:tabs>
          <w:tab w:val="right" w:leader="dot" w:pos="8306"/>
        </w:tabs>
      </w:pPr>
      <w:hyperlink w:anchor="_Toc9178" w:history="1">
        <w:r>
          <w:rPr>
            <w:rFonts w:ascii="仿宋" w:eastAsia="仿宋" w:hAnsi="仿宋" w:cs="仿宋" w:hint="eastAsia"/>
            <w:lang w:eastAsia="zh-CN"/>
          </w:rPr>
          <w:t>十三、饲料级磷酸盐项目工程方案分析</w:t>
        </w:r>
        <w:r>
          <w:tab/>
        </w:r>
        <w:r>
          <w:fldChar w:fldCharType="begin"/>
        </w:r>
        <w:r>
          <w:instrText xml:space="preserve"> PAGEREF _Toc9178 \h </w:instrText>
        </w:r>
        <w:r>
          <w:fldChar w:fldCharType="separate"/>
        </w:r>
        <w:r>
          <w:t>55</w:t>
        </w:r>
        <w:r>
          <w:fldChar w:fldCharType="end"/>
        </w:r>
      </w:hyperlink>
    </w:p>
    <w:p>
      <w:pPr>
        <w:pStyle w:val="TOC2"/>
        <w:tabs>
          <w:tab w:val="right" w:leader="dot" w:pos="8306"/>
        </w:tabs>
      </w:pPr>
      <w:hyperlink w:anchor="_Toc11680" w:history="1">
        <w:r>
          <w:rPr>
            <w:rFonts w:ascii="仿宋" w:eastAsia="仿宋" w:hAnsi="仿宋" w:cs="仿宋" w:hint="eastAsia"/>
            <w:lang w:eastAsia="zh-CN"/>
          </w:rPr>
          <w:t>(一)、建筑工程设计原则</w:t>
        </w:r>
        <w:r>
          <w:tab/>
        </w:r>
        <w:r>
          <w:fldChar w:fldCharType="begin"/>
        </w:r>
        <w:r>
          <w:instrText xml:space="preserve"> PAGEREF _Toc11680 \h </w:instrText>
        </w:r>
        <w:r>
          <w:fldChar w:fldCharType="separate"/>
        </w:r>
        <w:r>
          <w:t>55</w:t>
        </w:r>
        <w:r>
          <w:fldChar w:fldCharType="end"/>
        </w:r>
      </w:hyperlink>
    </w:p>
    <w:p>
      <w:pPr>
        <w:pStyle w:val="TOC2"/>
        <w:tabs>
          <w:tab w:val="right" w:leader="dot" w:pos="8306"/>
        </w:tabs>
      </w:pPr>
      <w:hyperlink w:anchor="_Toc10606" w:history="1">
        <w:r>
          <w:rPr>
            <w:rFonts w:ascii="仿宋" w:eastAsia="仿宋" w:hAnsi="仿宋" w:cs="仿宋" w:hint="eastAsia"/>
            <w:lang w:eastAsia="zh-CN"/>
          </w:rPr>
          <w:t>(二)、土建工程建设指标</w:t>
        </w:r>
        <w:r>
          <w:tab/>
        </w:r>
        <w:r>
          <w:fldChar w:fldCharType="begin"/>
        </w:r>
        <w:r>
          <w:instrText xml:space="preserve"> PAGEREF _Toc10606 \h </w:instrText>
        </w:r>
        <w:r>
          <w:fldChar w:fldCharType="separate"/>
        </w:r>
        <w:r>
          <w:t>58</w:t>
        </w:r>
        <w:r>
          <w:fldChar w:fldCharType="end"/>
        </w:r>
      </w:hyperlink>
    </w:p>
    <w:p>
      <w:pPr>
        <w:pStyle w:val="TOC1"/>
        <w:tabs>
          <w:tab w:val="right" w:leader="dot" w:pos="8306"/>
        </w:tabs>
      </w:pPr>
      <w:hyperlink w:anchor="_Toc6549" w:history="1">
        <w:r>
          <w:rPr>
            <w:rFonts w:ascii="仿宋" w:eastAsia="仿宋" w:hAnsi="仿宋" w:cs="仿宋" w:hint="eastAsia"/>
            <w:lang w:eastAsia="zh-CN"/>
          </w:rPr>
          <w:t>十四、饲料级磷酸盐项目变更管理</w:t>
        </w:r>
        <w:r>
          <w:tab/>
        </w:r>
        <w:r>
          <w:fldChar w:fldCharType="begin"/>
        </w:r>
        <w:r>
          <w:instrText xml:space="preserve"> PAGEREF _Toc6549 \h </w:instrText>
        </w:r>
        <w:r>
          <w:fldChar w:fldCharType="separate"/>
        </w:r>
        <w:r>
          <w:t>60</w:t>
        </w:r>
        <w:r>
          <w:fldChar w:fldCharType="end"/>
        </w:r>
      </w:hyperlink>
    </w:p>
    <w:p>
      <w:pPr>
        <w:pStyle w:val="TOC2"/>
        <w:tabs>
          <w:tab w:val="right" w:leader="dot" w:pos="8306"/>
        </w:tabs>
      </w:pPr>
      <w:hyperlink w:anchor="_Toc20888" w:history="1">
        <w:r>
          <w:rPr>
            <w:rFonts w:ascii="仿宋" w:eastAsia="仿宋" w:hAnsi="仿宋" w:cs="仿宋" w:hint="eastAsia"/>
            <w:lang w:eastAsia="zh-CN"/>
          </w:rPr>
          <w:t>(一)、变更申请与评估</w:t>
        </w:r>
        <w:r>
          <w:tab/>
        </w:r>
        <w:r>
          <w:fldChar w:fldCharType="begin"/>
        </w:r>
        <w:r>
          <w:instrText xml:space="preserve"> PAGEREF _Toc20888 \h </w:instrText>
        </w:r>
        <w:r>
          <w:fldChar w:fldCharType="separate"/>
        </w:r>
        <w:r>
          <w:t>60</w:t>
        </w:r>
        <w:r>
          <w:fldChar w:fldCharType="end"/>
        </w:r>
      </w:hyperlink>
    </w:p>
    <w:p>
      <w:pPr>
        <w:pStyle w:val="TOC2"/>
        <w:tabs>
          <w:tab w:val="right" w:leader="dot" w:pos="8306"/>
        </w:tabs>
      </w:pPr>
      <w:hyperlink w:anchor="_Toc13978" w:history="1">
        <w:r>
          <w:rPr>
            <w:rFonts w:ascii="仿宋" w:eastAsia="仿宋" w:hAnsi="仿宋" w:cs="仿宋" w:hint="eastAsia"/>
            <w:lang w:eastAsia="zh-CN"/>
          </w:rPr>
          <w:t>(二)、变更实施与控制</w:t>
        </w:r>
        <w:r>
          <w:tab/>
        </w:r>
        <w:r>
          <w:fldChar w:fldCharType="begin"/>
        </w:r>
        <w:r>
          <w:instrText xml:space="preserve"> PAGEREF _Toc13978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10"/>
      <w:r>
        <w:rPr>
          <w:rFonts w:ascii="仿宋" w:eastAsia="仿宋" w:hAnsi="仿宋" w:cs="仿宋" w:hint="eastAsia"/>
          <w:sz w:val="28"/>
          <w:lang w:eastAsia="zh-CN"/>
        </w:rPr>
        <w:t>一、饲料级磷酸盐项目土建工程</w:t>
      </w:r>
      <w:bookmarkEnd w:id="2"/>
    </w:p>
    <w:p>
      <w:pPr>
        <w:pStyle w:val="Heading2"/>
        <w:rPr>
          <w:rFonts w:ascii="仿宋" w:eastAsia="仿宋" w:hAnsi="仿宋" w:cs="仿宋" w:hint="eastAsia"/>
          <w:lang w:eastAsia="zh-CN"/>
        </w:rPr>
      </w:pPr>
      <w:bookmarkStart w:id="3" w:name="_Toc326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在饲料级磷酸盐项目的建筑工程设计中，我们将秉承一系列重要的设计原则，以确保饲料级磷酸盐项目建筑在功能、美观、可持续性等方面达到最佳效果。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首要原则是确保建筑的功能性得到最大化的发挥。我们将充分理解饲料级磷酸盐项目的实际需求，合理布局各个功能区域，保证建筑在满足业务需求的同时，提供高效的工作环境。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在建筑设计中，我们将综合考虑建设和运营成本。通过精细的经济效益分析，确保设计方案在高效利用资源的同时，对饲料级磷酸盐项目的长期盈利能力有积极的贡献。</w:t>
      </w:r>
    </w:p>
    <w:p>
      <w:pPr>
        <w:pStyle w:val="Heading2"/>
        <w:ind w:firstLine="560" w:firstLineChars="200"/>
        <w:rPr>
          <w:rFonts w:ascii="仿宋" w:eastAsia="仿宋" w:hAnsi="仿宋" w:cs="仿宋" w:hint="eastAsia"/>
          <w:sz w:val="28"/>
          <w:lang w:eastAsia="zh-CN"/>
        </w:rPr>
      </w:pPr>
      <w:bookmarkStart w:id="4" w:name="_Toc85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盐项目的土建工程设计中，我们将精准设定设计年限，结合饲料级磷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料级磷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8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饲料级磷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料级磷酸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料级磷酸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8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本期工程饲料级磷酸盐项目预计总建筑面积XXX平方米，其中：计容建筑面积XXX平方米，计划建筑工程投资XX万元，占饲料级磷酸盐项目总投资的XX%。</w:t>
      </w:r>
    </w:p>
    <w:p>
      <w:pPr>
        <w:pStyle w:val="Heading1"/>
        <w:ind w:firstLine="560" w:firstLineChars="200"/>
        <w:rPr>
          <w:rFonts w:ascii="仿宋" w:eastAsia="仿宋" w:hAnsi="仿宋" w:cs="仿宋" w:hint="eastAsia"/>
          <w:sz w:val="28"/>
          <w:lang w:eastAsia="zh-CN"/>
        </w:rPr>
      </w:pPr>
      <w:bookmarkStart w:id="7" w:name="_Toc68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424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饲料级磷酸盐项目的主要产品是XXXX，预计年产值为XXX万元。这一产品在市场中占据着重要的地位，其广泛的应用范围使得该饲料级磷酸盐项目的市场前景非常广阔。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料级磷酸盐项目的xxx产品作为重要的原材料之一，将在多个领域发挥关键作用。其在建筑、交通、能源等方面的广泛应用将为整个产业链提供强大的支持，形成产业协同效应。饲料级磷酸盐项目的年产值XXX万XXX万XXX万万元不仅反映了其在市场上的巨大潜力，更预示着它对国民经济的积极贡献。这种关联度高、涉及面广的产业关系，使得该饲料级磷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176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总征地面积为XXXX平方米，相当于约XX.XX亩，其中净用地面积为XXXX平方米，红线范围内相当于约XX.XX亩。这一用地规模充分考虑了饲料级磷酸盐项目的建设需求，保障了饲料级磷酸盐项目在合适的空间内得以充分发展。饲料级磷酸盐项目规划的总建筑面积为XXXX平方米，其中主体工程建设占XXXX平方米，计容建筑面积达XXXX平方米。预计建筑工程的投资将达到XXXX万元，为饲料级磷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计划购置的设备共计XXXX台（套），设备购置费用为XXXX万元。这一设备购置计划充分考虑到饲料级磷酸盐项目的生产需求和技术要求，确保了饲料级磷酸盐项目在生产运营中具备先进的技术装备和高效的生产能力。设备的合理配置将为饲料级磷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计划总投资为XXXX万元，预计年实现营业收入为XXXX万元。这一产能规模的设定旨在确保饲料级磷酸盐项目能够在投资与回报之间取得平衡，实现长期可持续的发展。饲料级磷酸盐项目的总投资充分考虑到各个方面的需求，包括用地建设、设备购置等多个环节，以确保饲料级磷酸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9339"/>
      <w:r>
        <w:rPr>
          <w:rFonts w:ascii="仿宋" w:eastAsia="仿宋" w:hAnsi="仿宋" w:cs="仿宋" w:hint="eastAsia"/>
          <w:sz w:val="28"/>
          <w:lang w:eastAsia="zh-CN"/>
        </w:rPr>
        <w:t>三、饲料级磷酸盐项目选址可行性分析</w:t>
      </w:r>
      <w:bookmarkEnd w:id="10"/>
    </w:p>
    <w:p>
      <w:pPr>
        <w:pStyle w:val="Heading2"/>
        <w:rPr>
          <w:rFonts w:ascii="仿宋" w:eastAsia="仿宋" w:hAnsi="仿宋" w:cs="仿宋" w:hint="eastAsia"/>
          <w:lang w:eastAsia="zh-CN"/>
        </w:rPr>
      </w:pPr>
      <w:bookmarkStart w:id="11" w:name="_Toc27051"/>
      <w:r>
        <w:rPr>
          <w:rFonts w:ascii="仿宋" w:eastAsia="仿宋" w:hAnsi="仿宋" w:cs="仿宋" w:hint="eastAsia"/>
          <w:lang w:eastAsia="zh-CN"/>
        </w:rPr>
        <w:t>(一)、饲料级磷酸盐项目选址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该饲料级磷酸盐项目选址位于XX省XX市XX区XXX街道</w:t>
      </w:r>
    </w:p>
    <w:p>
      <w:pPr>
        <w:pStyle w:val="Heading2"/>
        <w:ind w:firstLine="560" w:firstLineChars="200"/>
        <w:rPr>
          <w:rFonts w:ascii="仿宋" w:eastAsia="仿宋" w:hAnsi="仿宋" w:cs="仿宋" w:hint="eastAsia"/>
          <w:sz w:val="28"/>
          <w:lang w:eastAsia="zh-CN"/>
        </w:rPr>
      </w:pPr>
      <w:bookmarkStart w:id="12" w:name="_Toc2422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饲料级磷酸盐项目的征地面积将根据饲料级磷酸盐项目的实际规模和需求进行精确规划。具体面积XXX平方米，旨在确保饲料级磷酸盐项目不仅能够满足当前的发展需求，还能够预留空间以适应未来的扩展。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净用地面积是在征地面积基础上去除不可利用面积后的实际可开发用地。具体面积XXX平方米，考虑到环保、交通、安全等多方面因素，以确保饲料级磷酸盐项目在整体利用效率上达到最优。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饲料级磷酸盐项目计划建设的建筑总规模具体面积XXX平方米。这一规模的确定综合考虑了饲料级磷酸盐项目的性质、规模，以及城市规划的相关要求，确保建筑布局与周边环境协调一致。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绿地率是饲料级磷酸盐项目用地中被规划为绿地的比例。具体面积XXX平方米，旨在通过合理规划绿地，改善饲料级磷酸盐项目周边环境，提升居民生活质量，并符合城市整体绿化规划。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容积率是用地上可以建设的建筑总体积与用地面积之比。具体面积XXX，通过合理的容积率规划，确保饲料级磷酸盐项目建筑规模与周边环境和谐共生。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料级磷酸盐项目选址与当地城市规划相一致，具体面积XXX平方米。通过与城市规划部门深入沟通，确保饲料级磷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料级磷酸盐项目选址符合当地产业政策，具体面积XXX平方米。这包括饲料级磷酸盐项目对当地经济的促进作用，以及对相关产业的带动效应，确保饲料级磷酸盐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用地总体要求必须符合环保和可持续发展的原则，具体面积XXX平方米。通过采用绿色建筑设计、节能减排等措施，确保饲料级磷酸盐项目在建设和运营过程中对环境的影响最小化，达到可持续发展的要求。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确保饲料级磷酸盐项目选址具备必要的公共设施配套，具体面积XXX平方米。这包括交通便利性、教育、医疗等基础设施，以提高居民生活品质，使得饲料级磷酸盐项目选址更具吸引力。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考虑用地总体要求对当地社会稳定性的影响，具体面积XXX平方米。通过深入了解当地社区反馈，确保饲料级磷酸盐项目的选址和建设过程对当地社会和谐稳定产生积极作用。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料级磷酸盐项目选址不仅符合法规和规划，还在实际操作中具有可行性。这一全面规划将为饲料级磷酸盐项目的成功实施提供坚实的基础，确保饲料级磷酸盐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66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料级磷酸盐项目的设备规划和空间设计中，我们将采取灵活设备布局的措施。设备布局将根据实际需求进行灵活设计，避免不必要的浪费。通过合理规划设备摆放位置，我们将提高设备的利用率，减少设备间距，以确保饲料级磷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料级磷酸盐项目内部引入共享设施的概念，例如共享会议室、办公区等。通过这种方式，我们可以减少对资源的重复建设，提高资源共享效率，从而减小饲料级磷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963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饲料级磷酸盐项目的总图布置中，我们将不同功能区域进行明确的规划，以最大程度满足饲料级磷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11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饲料级磷酸盐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饲料级磷酸盐项目对环境的影响是综合评价的重要因素之一。我们将详细考虑选址周边的自然环境、生态保护区、水源地等情况，确保饲料级磷酸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对选址的评价还需充分考虑当地政府的产业政策和法规。我们将详细了解饲料级磷酸盐项目所在地的相关政策，确保饲料级磷酸盐项目的规划和运营与当地法规相符，降低不必要的法律风险。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考虑到社会稳定性对企业运营的重要性，我们将评估选址地区的社会安全情况、劳工关系、社区反馈等方面，以确保饲料级磷酸盐项目的建设和运营不会受到社会稳定性的负面影响。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最后，我们将综合考虑用地成本，包括土地购置费用、土地开发成本等。通过对用地成本的详细评估，我们能够做出更为精确的经济效益分析，为饲料级磷酸盐项目的投资决策提供有力支持。</w:t>
      </w:r>
    </w:p>
    <w:p>
      <w:pPr>
        <w:pStyle w:val="Heading1"/>
        <w:ind w:firstLine="560" w:firstLineChars="200"/>
        <w:rPr>
          <w:rFonts w:ascii="仿宋" w:eastAsia="仿宋" w:hAnsi="仿宋" w:cs="仿宋" w:hint="eastAsia"/>
          <w:sz w:val="28"/>
          <w:lang w:eastAsia="zh-CN"/>
        </w:rPr>
      </w:pPr>
      <w:bookmarkStart w:id="16" w:name="_Toc29935"/>
      <w:r>
        <w:rPr>
          <w:rFonts w:ascii="仿宋" w:eastAsia="仿宋" w:hAnsi="仿宋" w:cs="仿宋" w:hint="eastAsia"/>
          <w:sz w:val="28"/>
          <w:lang w:eastAsia="zh-CN"/>
        </w:rPr>
        <w:t>四、饲料级磷酸盐项目概论</w:t>
      </w:r>
      <w:bookmarkEnd w:id="16"/>
    </w:p>
    <w:p>
      <w:pPr>
        <w:pStyle w:val="Heading2"/>
        <w:rPr>
          <w:rFonts w:ascii="仿宋" w:eastAsia="仿宋" w:hAnsi="仿宋" w:cs="仿宋" w:hint="eastAsia"/>
          <w:lang w:eastAsia="zh-CN"/>
        </w:rPr>
      </w:pPr>
      <w:bookmarkStart w:id="17" w:name="_Toc10932"/>
      <w:r>
        <w:rPr>
          <w:rFonts w:ascii="仿宋" w:eastAsia="仿宋" w:hAnsi="仿宋" w:cs="仿宋" w:hint="eastAsia"/>
          <w:lang w:eastAsia="zh-CN"/>
        </w:rPr>
        <w:t>(一)、饲料级磷酸盐项目概况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的起源追溯至对市场的深入洞察。市场的不断演变与变革为饲料级磷酸盐项目提供了难得的机遇。当前市场存在的需求缺口和变革的大环境共同构成了饲料级磷酸盐项目的背景。这个饲料级磷酸盐项目旨在充分利用市场机遇，填补行业中尚未满足的需求，为客户提供全新的解决方案。市场的变革和需求的增长使得这个饲料级磷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饲料级磷酸盐项目名称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正式命名为饲料级磷酸盐。这个名称不仅仅是一个标识，更代表了饲料级磷酸盐项目的核心理念和愿景。它蕴含着饲料级磷酸盐项目所要解决问题的关键字，具有强烈的表达和辨识度，为饲料级磷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饲料级磷酸盐项目目标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的核心目标是提供一种全新、高效的解决方案，满足客户日益增长的需求。饲料级磷酸盐项目追求的不仅仅是满足市场需求，更是在市场中获得卓越的竞争优势。通过不断提升产品或服务的质量和创新水平，饲料级磷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饲料级磷酸盐项目范围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全面涵盖了产品研发、制造、市场推广和售后服务，确保从产品设计到最终用户体验的全方位关注。这一全面的饲料级磷酸盐项目范围是为了确保饲料级磷酸盐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饲料级磷酸盐项目时间表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饲料级磷酸盐项目计划在未来18个月内完成，包括研发、测试、市场试点和正式推出等不同阶段。这个时间表的合理设计是为了确保饲料级磷酸盐项目各个阶段的顺利推进，以便按时交付高质量的成果。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饲料级磷酸盐项目预算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总预算估算为XX百万美元，主要分配在研发、市场推广、人员培训和运营等方面。这一充足的预算为饲料级磷酸盐项目提供了充足的资源，确保饲料级磷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饲料级磷酸盐项目风险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可能面临的风险包括市场接受度低、技术难题、竞争激烈等。饲料级磷酸盐项目团队已经制定了相应的风险应对计划，通过前瞻性的风险管理，确保饲料级磷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饲料级磷酸盐项目团队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饲料级磷酸盐项目汇聚了一支经验丰富、多领域专业素养的核心团队，确保饲料级磷酸盐项目在各个方面都能拥有高水平的执行力。团队的协同作战是饲料级磷酸盐项目成功的关键因素之一。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饲料级磷酸盐项目背景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饲料级磷酸盐项目的背景根植于市场对更高效、创新产品的渴望，同时也受到科技发展对行业格局的深刻改变的影响。这为饲料级磷酸盐项目提供了广阔的发展空间和市场需求。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饲料级磷酸盐项目现状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截至目前，饲料级磷酸盐项目已完成市场调研和技术验证，取得了初步的成功。这为饲料级磷酸盐项目在未来的发展奠定了坚实的基础，为更远大的目标打下了坚实的基石。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8614"/>
      <w:r>
        <w:rPr>
          <w:rFonts w:ascii="仿宋" w:eastAsia="仿宋" w:hAnsi="仿宋" w:cs="仿宋" w:hint="eastAsia"/>
          <w:sz w:val="28"/>
          <w:lang w:eastAsia="zh-CN"/>
        </w:rPr>
        <w:t>(二)、饲料级磷酸盐项目目标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keyword》饲料级磷酸盐项目首要业务目标是在市场中占据有利地位，实现产品/服务的成功推广和销售。通过不断提升产品质量、创新性，饲料级磷酸盐项目追求成为行业中的领导者，赢得更多客户的青睐。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在科技迅速发展的时代，饲料级磷酸盐项目着眼于技术创新。通过持续的研发和技术升级，饲料级磷酸盐项目旨在推出更具创新性的产品或服务，以满足市场对新鲜、先进解决方案的需求。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为了建立可持续的客户关系，饲料级磷酸盐项目设定了客户满意度目标。通过提供卓越的产品质量和优质的客户服务，饲料级磷酸盐项目追求赢得客户的信任和忠诚度，确保他们的满意度达到行业领先水平。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饲料级磷酸盐项目注重社会责任和可持续发展。通过实施环保、社会责任饲料级磷酸盐项目，饲料级磷酸盐项目致力于在经济发展的同时保护环境，促进社会公平，实现可持续经营。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饲料级磷酸盐项目的团队是实现目标的核心驱动力。因此，饲料级磷酸盐项目设定了团队发展目标，包括提升团队成员的专业技能、培养领导力，以及搭建协同高效的团队工作氛围。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https://d.book118.com/665012321134011113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5B76D8"/>
    <w:rsid w:val="725B76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1232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2024-02-25T09:46:00Z</dcterms:created>
  <dcterms:modified xsi:type="dcterms:W3CDTF">2024-02-25T09:46:47Z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E02ACFBF417D4738AA6E44D01B0E2CE8_11</vt:lpwstr>
  </property>
  <property fmtid="{D5CDD505-2E9C-101B-9397-08002B2CF9AE}" pid="3" name="KSOProductBuildVer">
    <vt:lpwstr>2052-12.1.0.16388</vt:lpwstr>
  </property>
</Properties>
</file>