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Heading1"/>
        <w:spacing w:before="40"/>
        <w:ind w:left="0" w:right="78"/>
      </w:pPr>
      <w:r>
        <w:pict>
          <v:shapetype id="_x0000_t202" coordsize="21600,21600" o:spt="202" path="m,l,21600r21600,l21600,xe">
            <v:stroke joinstyle="miter"/>
            <v:path gradientshapeok="t" o:connecttype="rect"/>
          </v:shapetype>
          <v:shape id="_x0000_s1166" o:spid="_x0000_s1025" type="#_x0000_t202" style="width:455.5pt;height:678.7pt;margin-top:89.05pt;margin-left:70.4pt;mso-height-relative:page;mso-position-horizontal-relative:page;mso-position-vertical-relative:page;mso-width-relative:page;position:absolute;z-index:251660288" coordsize="21600,21600" filled="f" stroked="f">
            <v:stroke joinstyle="miter"/>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963"/>
                    <w:gridCol w:w="233"/>
                    <w:gridCol w:w="780"/>
                    <w:gridCol w:w="274"/>
                    <w:gridCol w:w="2551"/>
                    <w:gridCol w:w="1494"/>
                    <w:gridCol w:w="240"/>
                    <w:gridCol w:w="1545"/>
                  </w:tblGrid>
                  <w:tr>
                    <w:tblPrEx>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78"/>
                    </w:trPr>
                    <w:tc>
                      <w:tcPr>
                        <w:tcW w:w="1963" w:type="dxa"/>
                        <w:tcBorders>
                          <w:bottom w:val="single" w:sz="4" w:space="0" w:color="000000"/>
                          <w:right w:val="single" w:sz="4" w:space="0" w:color="000000"/>
                        </w:tcBorders>
                      </w:tcPr>
                      <w:p>
                        <w:pPr>
                          <w:pStyle w:val="TableParagraph"/>
                          <w:spacing w:before="43"/>
                          <w:ind w:left="261"/>
                          <w:rPr>
                            <w:sz w:val="24"/>
                          </w:rPr>
                        </w:pPr>
                        <w:r>
                          <w:rPr>
                            <w:sz w:val="24"/>
                          </w:rPr>
                          <w:t>建设项目名称</w:t>
                        </w:r>
                      </w:p>
                    </w:tc>
                    <w:tc>
                      <w:tcPr>
                        <w:tcW w:w="7117" w:type="dxa"/>
                        <w:gridSpan w:val="7"/>
                        <w:tcBorders>
                          <w:left w:val="single" w:sz="4" w:space="0" w:color="000000"/>
                          <w:bottom w:val="single" w:sz="4" w:space="0" w:color="000000"/>
                        </w:tcBorders>
                      </w:tcPr>
                      <w:p>
                        <w:pPr>
                          <w:pStyle w:val="TableParagraph"/>
                          <w:spacing w:before="43"/>
                          <w:ind w:left="1503" w:right="1484"/>
                          <w:jc w:val="center"/>
                          <w:rPr>
                            <w:sz w:val="24"/>
                          </w:rPr>
                        </w:pPr>
                        <w:r>
                          <w:rPr>
                            <w:rFonts w:ascii="Times New Roman" w:eastAsia="Times New Roman"/>
                            <w:sz w:val="24"/>
                          </w:rPr>
                          <w:t xml:space="preserve">220kV </w:t>
                        </w:r>
                        <w:r>
                          <w:rPr>
                            <w:sz w:val="24"/>
                          </w:rPr>
                          <w:t>加琴甲乙线电缆化迁改工程项目</w:t>
                        </w:r>
                      </w:p>
                    </w:tc>
                  </w:tr>
                  <w:tr>
                    <w:tblPrEx>
                      <w:tblW w:w="0" w:type="auto"/>
                      <w:tblInd w:w="10" w:type="dxa"/>
                      <w:tblLayout w:type="fixed"/>
                      <w:tblCellMar>
                        <w:top w:w="0" w:type="dxa"/>
                        <w:left w:w="0" w:type="dxa"/>
                        <w:bottom w:w="0" w:type="dxa"/>
                        <w:right w:w="0" w:type="dxa"/>
                      </w:tblCellMar>
                    </w:tblPrEx>
                    <w:trPr>
                      <w:trHeight w:val="370"/>
                    </w:trPr>
                    <w:tc>
                      <w:tcPr>
                        <w:tcW w:w="1963" w:type="dxa"/>
                        <w:tcBorders>
                          <w:top w:val="single" w:sz="4" w:space="0" w:color="000000"/>
                          <w:bottom w:val="single" w:sz="4" w:space="0" w:color="000000"/>
                          <w:right w:val="single" w:sz="4" w:space="0" w:color="000000"/>
                        </w:tcBorders>
                      </w:tcPr>
                      <w:p>
                        <w:pPr>
                          <w:pStyle w:val="TableParagraph"/>
                          <w:spacing w:before="39"/>
                          <w:ind w:left="501"/>
                          <w:rPr>
                            <w:sz w:val="24"/>
                          </w:rPr>
                        </w:pPr>
                        <w:r>
                          <w:rPr>
                            <w:sz w:val="24"/>
                          </w:rPr>
                          <w:t>项目代码</w:t>
                        </w:r>
                      </w:p>
                    </w:tc>
                    <w:tc>
                      <w:tcPr>
                        <w:tcW w:w="7117" w:type="dxa"/>
                        <w:gridSpan w:val="7"/>
                        <w:tcBorders>
                          <w:top w:val="single" w:sz="4" w:space="0" w:color="000000"/>
                          <w:left w:val="single" w:sz="4" w:space="0" w:color="000000"/>
                          <w:bottom w:val="single" w:sz="4" w:space="0" w:color="000000"/>
                        </w:tcBorders>
                      </w:tcPr>
                      <w:p>
                        <w:pPr>
                          <w:pStyle w:val="TableParagraph"/>
                          <w:spacing w:before="55"/>
                          <w:ind w:left="1501" w:right="1484"/>
                          <w:jc w:val="center"/>
                          <w:rPr>
                            <w:rFonts w:ascii="Times New Roman"/>
                            <w:sz w:val="24"/>
                          </w:rPr>
                        </w:pPr>
                        <w:r>
                          <w:rPr>
                            <w:rFonts w:ascii="Times New Roman"/>
                            <w:sz w:val="24"/>
                          </w:rPr>
                          <w:t>2208-440400-04-01-275066</w:t>
                        </w:r>
                      </w:p>
                    </w:tc>
                  </w:tr>
                  <w:tr>
                    <w:tblPrEx>
                      <w:tblW w:w="0" w:type="auto"/>
                      <w:tblInd w:w="10" w:type="dxa"/>
                      <w:tblLayout w:type="fixed"/>
                      <w:tblCellMar>
                        <w:top w:w="0" w:type="dxa"/>
                        <w:left w:w="0" w:type="dxa"/>
                        <w:bottom w:w="0" w:type="dxa"/>
                        <w:right w:w="0" w:type="dxa"/>
                      </w:tblCellMar>
                    </w:tblPrEx>
                    <w:trPr>
                      <w:trHeight w:val="377"/>
                    </w:trPr>
                    <w:tc>
                      <w:tcPr>
                        <w:tcW w:w="1963" w:type="dxa"/>
                        <w:tcBorders>
                          <w:top w:val="single" w:sz="4" w:space="0" w:color="000000"/>
                          <w:bottom w:val="single" w:sz="4" w:space="0" w:color="000000"/>
                          <w:right w:val="single" w:sz="4" w:space="0" w:color="000000"/>
                        </w:tcBorders>
                      </w:tcPr>
                      <w:p>
                        <w:pPr>
                          <w:pStyle w:val="TableParagraph"/>
                          <w:spacing w:before="42"/>
                          <w:ind w:left="141"/>
                          <w:rPr>
                            <w:sz w:val="24"/>
                          </w:rPr>
                        </w:pPr>
                        <w:r>
                          <w:rPr>
                            <w:sz w:val="24"/>
                          </w:rPr>
                          <w:t>建设单位联系人</w:t>
                        </w:r>
                      </w:p>
                    </w:tc>
                    <w:tc>
                      <w:tcPr>
                        <w:tcW w:w="1287" w:type="dxa"/>
                        <w:gridSpan w:val="3"/>
                        <w:tcBorders>
                          <w:top w:val="single" w:sz="4" w:space="0" w:color="000000"/>
                          <w:left w:val="single" w:sz="4" w:space="0" w:color="000000"/>
                          <w:bottom w:val="single" w:sz="4" w:space="0" w:color="000000"/>
                          <w:right w:val="single" w:sz="4" w:space="0" w:color="000000"/>
                        </w:tcBorders>
                      </w:tcPr>
                      <w:p>
                        <w:pPr>
                          <w:pStyle w:val="TableParagraph"/>
                          <w:tabs>
                            <w:tab w:val="left" w:pos="768"/>
                          </w:tabs>
                          <w:spacing w:before="42"/>
                          <w:ind w:left="288"/>
                          <w:rPr>
                            <w:sz w:val="24"/>
                          </w:rPr>
                        </w:pPr>
                        <w:r>
                          <w:rPr>
                            <w:sz w:val="24"/>
                          </w:rPr>
                          <w:t>刘</w:t>
                        </w:r>
                        <w:r>
                          <w:rPr>
                            <w:sz w:val="24"/>
                          </w:rPr>
                          <w:tab/>
                        </w:r>
                        <w:r>
                          <w:rPr>
                            <w:sz w:val="24"/>
                          </w:rPr>
                          <w:t>浩</w:t>
                        </w:r>
                      </w:p>
                    </w:tc>
                    <w:tc>
                      <w:tcPr>
                        <w:tcW w:w="2551" w:type="dxa"/>
                        <w:tcBorders>
                          <w:top w:val="single" w:sz="4" w:space="0" w:color="000000"/>
                          <w:left w:val="single" w:sz="4" w:space="0" w:color="000000"/>
                          <w:bottom w:val="single" w:sz="4" w:space="0" w:color="000000"/>
                          <w:right w:val="single" w:sz="4" w:space="0" w:color="000000"/>
                        </w:tcBorders>
                      </w:tcPr>
                      <w:p>
                        <w:pPr>
                          <w:pStyle w:val="TableParagraph"/>
                          <w:spacing w:before="42"/>
                          <w:ind w:left="296" w:right="275"/>
                          <w:jc w:val="center"/>
                          <w:rPr>
                            <w:sz w:val="24"/>
                          </w:rPr>
                        </w:pPr>
                        <w:r>
                          <w:rPr>
                            <w:sz w:val="24"/>
                          </w:rPr>
                          <w:t>联系方式</w:t>
                        </w:r>
                      </w:p>
                    </w:tc>
                    <w:tc>
                      <w:tcPr>
                        <w:tcW w:w="3279" w:type="dxa"/>
                        <w:gridSpan w:val="3"/>
                        <w:tcBorders>
                          <w:top w:val="single" w:sz="4" w:space="0" w:color="000000"/>
                          <w:left w:val="single" w:sz="4" w:space="0" w:color="000000"/>
                          <w:bottom w:val="single" w:sz="4" w:space="0" w:color="000000"/>
                        </w:tcBorders>
                      </w:tcPr>
                      <w:p>
                        <w:pPr>
                          <w:pStyle w:val="TableParagraph"/>
                          <w:rPr>
                            <w:rFonts w:ascii="Times New Roman"/>
                            <w:sz w:val="24"/>
                          </w:rPr>
                        </w:pPr>
                      </w:p>
                    </w:tc>
                  </w:tr>
                  <w:tr>
                    <w:tblPrEx>
                      <w:tblW w:w="0" w:type="auto"/>
                      <w:tblInd w:w="10" w:type="dxa"/>
                      <w:tblLayout w:type="fixed"/>
                      <w:tblCellMar>
                        <w:top w:w="0" w:type="dxa"/>
                        <w:left w:w="0" w:type="dxa"/>
                        <w:bottom w:w="0" w:type="dxa"/>
                        <w:right w:w="0" w:type="dxa"/>
                      </w:tblCellMar>
                    </w:tblPrEx>
                    <w:trPr>
                      <w:trHeight w:val="377"/>
                    </w:trPr>
                    <w:tc>
                      <w:tcPr>
                        <w:tcW w:w="1963" w:type="dxa"/>
                        <w:tcBorders>
                          <w:top w:val="single" w:sz="4" w:space="0" w:color="000000"/>
                          <w:bottom w:val="single" w:sz="4" w:space="0" w:color="000000"/>
                          <w:right w:val="single" w:sz="4" w:space="0" w:color="000000"/>
                        </w:tcBorders>
                      </w:tcPr>
                      <w:p>
                        <w:pPr>
                          <w:pStyle w:val="TableParagraph"/>
                          <w:spacing w:before="43"/>
                          <w:ind w:left="501"/>
                          <w:rPr>
                            <w:sz w:val="24"/>
                          </w:rPr>
                        </w:pPr>
                        <w:r>
                          <w:rPr>
                            <w:sz w:val="24"/>
                          </w:rPr>
                          <w:t>建设地点</w:t>
                        </w:r>
                      </w:p>
                    </w:tc>
                    <w:tc>
                      <w:tcPr>
                        <w:tcW w:w="7117" w:type="dxa"/>
                        <w:gridSpan w:val="7"/>
                        <w:tcBorders>
                          <w:top w:val="single" w:sz="4" w:space="0" w:color="000000"/>
                          <w:left w:val="single" w:sz="4" w:space="0" w:color="000000"/>
                          <w:bottom w:val="single" w:sz="4" w:space="0" w:color="000000"/>
                        </w:tcBorders>
                      </w:tcPr>
                      <w:p>
                        <w:pPr>
                          <w:pStyle w:val="TableParagraph"/>
                          <w:spacing w:before="43"/>
                          <w:ind w:left="10"/>
                          <w:rPr>
                            <w:sz w:val="24"/>
                          </w:rPr>
                        </w:pPr>
                        <w:r>
                          <w:rPr>
                            <w:sz w:val="24"/>
                          </w:rPr>
                          <w:t>横琴粤澳深度合作区和珠海市香洲区洪湾、保税一体化区域</w:t>
                        </w:r>
                      </w:p>
                    </w:tc>
                  </w:tr>
                  <w:tr>
                    <w:tblPrEx>
                      <w:tblW w:w="0" w:type="auto"/>
                      <w:tblInd w:w="10" w:type="dxa"/>
                      <w:tblLayout w:type="fixed"/>
                      <w:tblCellMar>
                        <w:top w:w="0" w:type="dxa"/>
                        <w:left w:w="0" w:type="dxa"/>
                        <w:bottom w:w="0" w:type="dxa"/>
                        <w:right w:w="0" w:type="dxa"/>
                      </w:tblCellMar>
                    </w:tblPrEx>
                    <w:trPr>
                      <w:trHeight w:val="639"/>
                    </w:trPr>
                    <w:tc>
                      <w:tcPr>
                        <w:tcW w:w="1963" w:type="dxa"/>
                        <w:tcBorders>
                          <w:top w:val="single" w:sz="4" w:space="0" w:color="000000"/>
                          <w:bottom w:val="single" w:sz="4" w:space="0" w:color="000000"/>
                          <w:right w:val="single" w:sz="4" w:space="0" w:color="000000"/>
                        </w:tcBorders>
                      </w:tcPr>
                      <w:p>
                        <w:pPr>
                          <w:pStyle w:val="TableParagraph"/>
                          <w:spacing w:before="173"/>
                          <w:ind w:left="501"/>
                          <w:rPr>
                            <w:sz w:val="24"/>
                          </w:rPr>
                        </w:pPr>
                        <w:r>
                          <w:rPr>
                            <w:sz w:val="24"/>
                          </w:rPr>
                          <w:t>地理坐标</w:t>
                        </w:r>
                      </w:p>
                    </w:tc>
                    <w:tc>
                      <w:tcPr>
                        <w:tcW w:w="7117" w:type="dxa"/>
                        <w:gridSpan w:val="7"/>
                        <w:tcBorders>
                          <w:top w:val="single" w:sz="4" w:space="0" w:color="000000"/>
                          <w:left w:val="single" w:sz="4" w:space="0" w:color="000000"/>
                          <w:bottom w:val="single" w:sz="4" w:space="0" w:color="000000"/>
                        </w:tcBorders>
                      </w:tcPr>
                      <w:p>
                        <w:pPr>
                          <w:pStyle w:val="TableParagraph"/>
                          <w:spacing w:before="17"/>
                          <w:ind w:left="10" w:right="-15"/>
                          <w:rPr>
                            <w:sz w:val="24"/>
                          </w:rPr>
                        </w:pPr>
                        <w:r>
                          <w:rPr>
                            <w:spacing w:val="22"/>
                            <w:sz w:val="24"/>
                          </w:rPr>
                          <w:t>线路： 起点</w:t>
                        </w:r>
                        <w:r>
                          <w:rPr>
                            <w:sz w:val="24"/>
                          </w:rPr>
                          <w:t>（</w:t>
                        </w:r>
                        <w:r>
                          <w:rPr>
                            <w:spacing w:val="-70"/>
                            <w:sz w:val="24"/>
                          </w:rPr>
                          <w:t xml:space="preserve"> </w:t>
                        </w:r>
                        <w:r>
                          <w:rPr>
                            <w:rFonts w:ascii="Times New Roman" w:eastAsia="Times New Roman" w:hAnsi="Times New Roman"/>
                            <w:spacing w:val="-3"/>
                            <w:sz w:val="24"/>
                          </w:rPr>
                          <w:t>113</w:t>
                        </w:r>
                        <w:r>
                          <w:rPr>
                            <w:rFonts w:ascii="Times New Roman" w:eastAsia="Times New Roman" w:hAnsi="Times New Roman"/>
                            <w:spacing w:val="-9"/>
                            <w:sz w:val="24"/>
                          </w:rPr>
                          <w:t xml:space="preserve"> </w:t>
                        </w:r>
                        <w:r>
                          <w:rPr>
                            <w:spacing w:val="-34"/>
                            <w:sz w:val="24"/>
                          </w:rPr>
                          <w:t xml:space="preserve">° </w:t>
                        </w:r>
                        <w:r>
                          <w:rPr>
                            <w:rFonts w:ascii="Times New Roman" w:eastAsia="Times New Roman" w:hAnsi="Times New Roman"/>
                            <w:sz w:val="24"/>
                          </w:rPr>
                          <w:t>30'1.446",22</w:t>
                        </w:r>
                        <w:r>
                          <w:rPr>
                            <w:rFonts w:ascii="Times New Roman" w:eastAsia="Times New Roman" w:hAnsi="Times New Roman"/>
                            <w:spacing w:val="-5"/>
                            <w:sz w:val="24"/>
                          </w:rPr>
                          <w:t xml:space="preserve"> </w:t>
                        </w:r>
                        <w:r>
                          <w:rPr>
                            <w:spacing w:val="-35"/>
                            <w:sz w:val="24"/>
                          </w:rPr>
                          <w:t xml:space="preserve">° </w:t>
                        </w:r>
                        <w:r>
                          <w:rPr>
                            <w:rFonts w:ascii="Times New Roman" w:eastAsia="Times New Roman" w:hAnsi="Times New Roman"/>
                            <w:sz w:val="24"/>
                          </w:rPr>
                          <w:t>8'55.421"</w:t>
                        </w:r>
                        <w:r>
                          <w:rPr>
                            <w:rFonts w:ascii="Times New Roman" w:eastAsia="Times New Roman" w:hAnsi="Times New Roman"/>
                            <w:spacing w:val="-5"/>
                            <w:sz w:val="24"/>
                          </w:rPr>
                          <w:t xml:space="preserve"> </w:t>
                        </w:r>
                        <w:r>
                          <w:rPr>
                            <w:sz w:val="24"/>
                          </w:rPr>
                          <w:t>）</w:t>
                        </w:r>
                        <w:r>
                          <w:rPr>
                            <w:spacing w:val="-8"/>
                            <w:sz w:val="24"/>
                          </w:rPr>
                          <w:t xml:space="preserve"> ， 终点</w:t>
                        </w:r>
                        <w:r>
                          <w:rPr>
                            <w:sz w:val="24"/>
                          </w:rPr>
                          <w:t>（</w:t>
                        </w:r>
                        <w:r>
                          <w:rPr>
                            <w:spacing w:val="-68"/>
                            <w:sz w:val="24"/>
                          </w:rPr>
                          <w:t xml:space="preserve"> </w:t>
                        </w:r>
                        <w:r>
                          <w:rPr>
                            <w:rFonts w:ascii="Times New Roman" w:eastAsia="Times New Roman" w:hAnsi="Times New Roman"/>
                            <w:spacing w:val="-4"/>
                            <w:sz w:val="24"/>
                          </w:rPr>
                          <w:t>113</w:t>
                        </w:r>
                        <w:r>
                          <w:rPr>
                            <w:rFonts w:ascii="Times New Roman" w:eastAsia="Times New Roman" w:hAnsi="Times New Roman"/>
                            <w:spacing w:val="-8"/>
                            <w:sz w:val="24"/>
                          </w:rPr>
                          <w:t xml:space="preserve"> </w:t>
                        </w:r>
                        <w:r>
                          <w:rPr>
                            <w:sz w:val="24"/>
                          </w:rPr>
                          <w:t>°</w:t>
                        </w:r>
                      </w:p>
                      <w:p>
                        <w:pPr>
                          <w:pStyle w:val="TableParagraph"/>
                          <w:spacing w:before="5" w:line="289" w:lineRule="exact"/>
                          <w:ind w:left="10"/>
                          <w:rPr>
                            <w:sz w:val="24"/>
                          </w:rPr>
                        </w:pPr>
                        <w:r>
                          <w:rPr>
                            <w:rFonts w:ascii="Times New Roman" w:eastAsia="Times New Roman" w:hAnsi="Times New Roman"/>
                            <w:sz w:val="24"/>
                          </w:rPr>
                          <w:t>29'22.878",22</w:t>
                        </w:r>
                        <w:r>
                          <w:rPr>
                            <w:sz w:val="24"/>
                          </w:rPr>
                          <w:t>°</w:t>
                        </w:r>
                        <w:r>
                          <w:rPr>
                            <w:rFonts w:ascii="Times New Roman" w:eastAsia="Times New Roman" w:hAnsi="Times New Roman"/>
                            <w:sz w:val="24"/>
                          </w:rPr>
                          <w:t>9'39.090"</w:t>
                        </w:r>
                        <w:r>
                          <w:rPr>
                            <w:sz w:val="24"/>
                          </w:rPr>
                          <w:t>）。</w:t>
                        </w:r>
                      </w:p>
                    </w:tc>
                  </w:tr>
                  <w:tr>
                    <w:tblPrEx>
                      <w:tblW w:w="0" w:type="auto"/>
                      <w:tblInd w:w="10" w:type="dxa"/>
                      <w:tblLayout w:type="fixed"/>
                      <w:tblCellMar>
                        <w:top w:w="0" w:type="dxa"/>
                        <w:left w:w="0" w:type="dxa"/>
                        <w:bottom w:w="0" w:type="dxa"/>
                        <w:right w:w="0" w:type="dxa"/>
                      </w:tblCellMar>
                    </w:tblPrEx>
                    <w:trPr>
                      <w:trHeight w:val="949"/>
                    </w:trPr>
                    <w:tc>
                      <w:tcPr>
                        <w:tcW w:w="1963" w:type="dxa"/>
                        <w:tcBorders>
                          <w:top w:val="single" w:sz="4" w:space="0" w:color="000000"/>
                          <w:bottom w:val="single" w:sz="4" w:space="0" w:color="000000"/>
                          <w:right w:val="single" w:sz="4" w:space="0" w:color="000000"/>
                        </w:tcBorders>
                      </w:tcPr>
                      <w:p>
                        <w:pPr>
                          <w:pStyle w:val="TableParagraph"/>
                          <w:spacing w:before="172" w:line="242" w:lineRule="auto"/>
                          <w:ind w:left="501" w:right="484"/>
                          <w:rPr>
                            <w:sz w:val="24"/>
                          </w:rPr>
                        </w:pPr>
                        <w:r>
                          <w:rPr>
                            <w:sz w:val="24"/>
                          </w:rPr>
                          <w:t>建设项目行业类别</w:t>
                        </w:r>
                      </w:p>
                    </w:tc>
                    <w:tc>
                      <w:tcPr>
                        <w:tcW w:w="128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86"/>
                          <w:ind w:left="28" w:right="9"/>
                          <w:jc w:val="center"/>
                          <w:rPr>
                            <w:rFonts w:ascii="Times New Roman" w:hAnsi="Times New Roman"/>
                            <w:sz w:val="24"/>
                          </w:rPr>
                        </w:pPr>
                        <w:r>
                          <w:rPr>
                            <w:rFonts w:ascii="Times New Roman" w:hAnsi="Times New Roman"/>
                            <w:sz w:val="24"/>
                          </w:rPr>
                          <w:t>55—161</w:t>
                        </w:r>
                      </w:p>
                      <w:p>
                        <w:pPr>
                          <w:pStyle w:val="TableParagraph"/>
                          <w:spacing w:before="1"/>
                          <w:ind w:left="28" w:right="9"/>
                          <w:jc w:val="center"/>
                          <w:rPr>
                            <w:sz w:val="24"/>
                          </w:rPr>
                        </w:pPr>
                        <w:r>
                          <w:rPr>
                            <w:sz w:val="24"/>
                          </w:rPr>
                          <w:t>输变电工程</w:t>
                        </w:r>
                      </w:p>
                    </w:tc>
                    <w:tc>
                      <w:tcPr>
                        <w:tcW w:w="2551" w:type="dxa"/>
                        <w:tcBorders>
                          <w:top w:val="single" w:sz="4" w:space="0" w:color="000000"/>
                          <w:left w:val="single" w:sz="4" w:space="0" w:color="000000"/>
                          <w:bottom w:val="single" w:sz="4" w:space="0" w:color="000000"/>
                          <w:right w:val="single" w:sz="4" w:space="0" w:color="000000"/>
                        </w:tcBorders>
                      </w:tcPr>
                      <w:p>
                        <w:pPr>
                          <w:pStyle w:val="TableParagraph"/>
                          <w:spacing w:before="172"/>
                          <w:ind w:left="9"/>
                          <w:rPr>
                            <w:rFonts w:ascii="Times New Roman" w:eastAsia="Times New Roman"/>
                            <w:sz w:val="15"/>
                          </w:rPr>
                        </w:pPr>
                        <w:r>
                          <w:rPr>
                            <w:sz w:val="24"/>
                          </w:rPr>
                          <w:t>用地（用海）面积（</w:t>
                        </w:r>
                        <w:r>
                          <w:rPr>
                            <w:rFonts w:ascii="Times New Roman" w:eastAsia="Times New Roman"/>
                            <w:sz w:val="24"/>
                          </w:rPr>
                          <w:t>m</w:t>
                        </w:r>
                        <w:r>
                          <w:rPr>
                            <w:rFonts w:ascii="Times New Roman" w:eastAsia="Times New Roman"/>
                            <w:position w:val="8"/>
                            <w:sz w:val="15"/>
                          </w:rPr>
                          <w:t>2</w:t>
                        </w:r>
                      </w:p>
                      <w:p>
                        <w:pPr>
                          <w:pStyle w:val="TableParagraph"/>
                          <w:spacing w:before="2"/>
                          <w:ind w:left="611"/>
                          <w:rPr>
                            <w:sz w:val="24"/>
                          </w:rPr>
                        </w:pPr>
                        <w:r>
                          <w:rPr>
                            <w:rFonts w:ascii="Times New Roman" w:eastAsia="Times New Roman"/>
                            <w:sz w:val="24"/>
                          </w:rPr>
                          <w:t>/</w:t>
                        </w:r>
                        <w:r>
                          <w:rPr>
                            <w:sz w:val="24"/>
                          </w:rPr>
                          <w:t>长度（</w:t>
                        </w:r>
                        <w:r>
                          <w:rPr>
                            <w:rFonts w:ascii="Times New Roman" w:eastAsia="Times New Roman"/>
                            <w:sz w:val="24"/>
                          </w:rPr>
                          <w:t>km</w:t>
                        </w:r>
                        <w:r>
                          <w:rPr>
                            <w:sz w:val="24"/>
                          </w:rPr>
                          <w:t>）</w:t>
                        </w:r>
                      </w:p>
                    </w:tc>
                    <w:tc>
                      <w:tcPr>
                        <w:tcW w:w="3279" w:type="dxa"/>
                        <w:gridSpan w:val="3"/>
                        <w:tcBorders>
                          <w:top w:val="single" w:sz="4" w:space="0" w:color="000000"/>
                          <w:left w:val="single" w:sz="4" w:space="0" w:color="000000"/>
                          <w:bottom w:val="single" w:sz="4" w:space="0" w:color="000000"/>
                        </w:tcBorders>
                      </w:tcPr>
                      <w:p>
                        <w:pPr>
                          <w:pStyle w:val="TableParagraph"/>
                          <w:tabs>
                            <w:tab w:val="left" w:pos="578"/>
                          </w:tabs>
                          <w:spacing w:before="44" w:line="156" w:lineRule="auto"/>
                          <w:ind w:left="-125"/>
                          <w:rPr>
                            <w:sz w:val="24"/>
                          </w:rPr>
                        </w:pPr>
                        <w:r>
                          <w:rPr>
                            <w:position w:val="-15"/>
                            <w:sz w:val="24"/>
                          </w:rPr>
                          <w:t>）</w:t>
                        </w:r>
                        <w:r>
                          <w:rPr>
                            <w:position w:val="-15"/>
                            <w:sz w:val="24"/>
                          </w:rPr>
                          <w:tab/>
                        </w:r>
                        <w:r>
                          <w:rPr>
                            <w:spacing w:val="-10"/>
                            <w:sz w:val="24"/>
                          </w:rPr>
                          <w:t xml:space="preserve">总用地面积 </w:t>
                        </w:r>
                        <w:r>
                          <w:rPr>
                            <w:rFonts w:ascii="Times New Roman" w:eastAsia="Times New Roman"/>
                            <w:sz w:val="24"/>
                          </w:rPr>
                          <w:t>390m</w:t>
                        </w:r>
                        <w:r>
                          <w:rPr>
                            <w:rFonts w:ascii="Times New Roman" w:eastAsia="Times New Roman"/>
                            <w:position w:val="8"/>
                            <w:sz w:val="15"/>
                          </w:rPr>
                          <w:t>2</w:t>
                        </w:r>
                        <w:r>
                          <w:rPr>
                            <w:sz w:val="24"/>
                          </w:rPr>
                          <w:t>。</w:t>
                        </w:r>
                      </w:p>
                      <w:p>
                        <w:pPr>
                          <w:pStyle w:val="TableParagraph"/>
                          <w:spacing w:line="229" w:lineRule="exact"/>
                          <w:ind w:left="4"/>
                          <w:rPr>
                            <w:rFonts w:ascii="Times New Roman" w:eastAsia="Times New Roman"/>
                            <w:sz w:val="15"/>
                          </w:rPr>
                        </w:pPr>
                        <w:r>
                          <w:rPr>
                            <w:sz w:val="24"/>
                          </w:rPr>
                          <w:t xml:space="preserve">电缆终端塔红线内面积 </w:t>
                        </w:r>
                        <w:r>
                          <w:rPr>
                            <w:rFonts w:ascii="Times New Roman" w:eastAsia="Times New Roman"/>
                            <w:sz w:val="24"/>
                          </w:rPr>
                          <w:t>360m</w:t>
                        </w:r>
                        <w:r>
                          <w:rPr>
                            <w:rFonts w:ascii="Times New Roman" w:eastAsia="Times New Roman"/>
                            <w:position w:val="8"/>
                            <w:sz w:val="15"/>
                          </w:rPr>
                          <w:t>2</w:t>
                        </w:r>
                      </w:p>
                      <w:p>
                        <w:pPr>
                          <w:pStyle w:val="TableParagraph"/>
                          <w:spacing w:before="2" w:line="291" w:lineRule="exact"/>
                          <w:ind w:left="825"/>
                          <w:rPr>
                            <w:sz w:val="24"/>
                          </w:rPr>
                        </w:pPr>
                        <w:r>
                          <w:rPr>
                            <w:sz w:val="24"/>
                          </w:rPr>
                          <w:t xml:space="preserve">线路长 </w:t>
                        </w:r>
                        <w:r>
                          <w:rPr>
                            <w:rFonts w:ascii="Times New Roman" w:eastAsia="Times New Roman"/>
                            <w:sz w:val="24"/>
                          </w:rPr>
                          <w:t>2.8km</w:t>
                        </w:r>
                        <w:r>
                          <w:rPr>
                            <w:sz w:val="24"/>
                          </w:rPr>
                          <w:t>。</w:t>
                        </w:r>
                      </w:p>
                    </w:tc>
                  </w:tr>
                  <w:tr>
                    <w:tblPrEx>
                      <w:tblW w:w="0" w:type="auto"/>
                      <w:tblInd w:w="10" w:type="dxa"/>
                      <w:tblLayout w:type="fixed"/>
                      <w:tblCellMar>
                        <w:top w:w="0" w:type="dxa"/>
                        <w:left w:w="0" w:type="dxa"/>
                        <w:bottom w:w="0" w:type="dxa"/>
                        <w:right w:w="0" w:type="dxa"/>
                      </w:tblCellMar>
                    </w:tblPrEx>
                    <w:trPr>
                      <w:trHeight w:val="1572"/>
                    </w:trPr>
                    <w:tc>
                      <w:tcPr>
                        <w:tcW w:w="1963" w:type="dxa"/>
                        <w:tcBorders>
                          <w:top w:val="single" w:sz="4" w:space="0" w:color="000000"/>
                          <w:bottom w:val="single" w:sz="4" w:space="0" w:color="000000"/>
                          <w:right w:val="single" w:sz="4" w:space="0" w:color="000000"/>
                        </w:tcBorders>
                      </w:tcPr>
                      <w:p>
                        <w:pPr>
                          <w:pStyle w:val="TableParagraph"/>
                          <w:rPr>
                            <w:sz w:val="24"/>
                          </w:rPr>
                        </w:pPr>
                      </w:p>
                      <w:p>
                        <w:pPr>
                          <w:pStyle w:val="TableParagraph"/>
                          <w:spacing w:before="11"/>
                          <w:rPr>
                            <w:sz w:val="25"/>
                          </w:rPr>
                        </w:pPr>
                      </w:p>
                      <w:p>
                        <w:pPr>
                          <w:pStyle w:val="TableParagraph"/>
                          <w:ind w:left="501"/>
                          <w:rPr>
                            <w:sz w:val="24"/>
                          </w:rPr>
                        </w:pPr>
                        <w:r>
                          <w:rPr>
                            <w:sz w:val="24"/>
                          </w:rPr>
                          <w:t>建设性质</w:t>
                        </w:r>
                      </w:p>
                    </w:tc>
                    <w:tc>
                      <w:tcPr>
                        <w:tcW w:w="128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7" w:line="242" w:lineRule="auto"/>
                          <w:ind w:left="10" w:right="66"/>
                          <w:rPr>
                            <w:sz w:val="24"/>
                          </w:rPr>
                        </w:pPr>
                        <w:r>
                          <w:rPr>
                            <w:sz w:val="24"/>
                          </w:rPr>
                          <w:t>□新建（迁建）</w:t>
                        </w:r>
                      </w:p>
                      <w:p>
                        <w:pPr>
                          <w:pStyle w:val="TableParagraph"/>
                          <w:spacing w:before="1"/>
                          <w:ind w:left="10"/>
                          <w:rPr>
                            <w:sz w:val="24"/>
                          </w:rPr>
                        </w:pPr>
                        <w:r>
                          <w:rPr>
                            <w:rFonts w:ascii="MS Gothic" w:eastAsia="MS Gothic" w:hAnsi="MS Gothic" w:hint="eastAsia"/>
                            <w:sz w:val="24"/>
                          </w:rPr>
                          <w:t>☑</w:t>
                        </w:r>
                        <w:r>
                          <w:rPr>
                            <w:sz w:val="24"/>
                          </w:rPr>
                          <w:t>改建</w:t>
                        </w:r>
                      </w:p>
                      <w:p>
                        <w:pPr>
                          <w:pStyle w:val="TableParagraph"/>
                          <w:spacing w:before="4"/>
                          <w:ind w:left="10"/>
                          <w:rPr>
                            <w:sz w:val="24"/>
                          </w:rPr>
                        </w:pPr>
                        <w:r>
                          <w:rPr>
                            <w:rFonts w:ascii="Times New Roman" w:eastAsia="Times New Roman" w:hAnsi="Times New Roman"/>
                            <w:sz w:val="24"/>
                          </w:rPr>
                          <w:t>□</w:t>
                        </w:r>
                        <w:r>
                          <w:rPr>
                            <w:sz w:val="24"/>
                          </w:rPr>
                          <w:t>扩建</w:t>
                        </w:r>
                      </w:p>
                      <w:p>
                        <w:pPr>
                          <w:pStyle w:val="TableParagraph"/>
                          <w:spacing w:before="5" w:line="290" w:lineRule="exact"/>
                          <w:ind w:left="10"/>
                          <w:rPr>
                            <w:sz w:val="24"/>
                          </w:rPr>
                        </w:pPr>
                        <w:r>
                          <w:rPr>
                            <w:rFonts w:ascii="Times New Roman" w:eastAsia="Times New Roman" w:hAnsi="Times New Roman"/>
                            <w:sz w:val="24"/>
                          </w:rPr>
                          <w:t>□</w:t>
                        </w:r>
                        <w:r>
                          <w:rPr>
                            <w:sz w:val="24"/>
                          </w:rPr>
                          <w:t>技术改造</w:t>
                        </w:r>
                      </w:p>
                    </w:tc>
                    <w:tc>
                      <w:tcPr>
                        <w:tcW w:w="2551" w:type="dxa"/>
                        <w:tcBorders>
                          <w:top w:val="single" w:sz="4" w:space="0" w:color="000000"/>
                          <w:left w:val="single" w:sz="4" w:space="0" w:color="000000"/>
                          <w:bottom w:val="single" w:sz="4" w:space="0" w:color="000000"/>
                          <w:right w:val="single" w:sz="4" w:space="0" w:color="000000"/>
                        </w:tcBorders>
                      </w:tcPr>
                      <w:p>
                        <w:pPr>
                          <w:pStyle w:val="TableParagraph"/>
                          <w:rPr>
                            <w:sz w:val="24"/>
                          </w:rPr>
                        </w:pPr>
                      </w:p>
                      <w:p>
                        <w:pPr>
                          <w:pStyle w:val="TableParagraph"/>
                          <w:spacing w:before="175" w:line="242" w:lineRule="auto"/>
                          <w:ind w:left="796" w:right="782"/>
                          <w:rPr>
                            <w:sz w:val="24"/>
                          </w:rPr>
                        </w:pPr>
                        <w:r>
                          <w:rPr>
                            <w:sz w:val="24"/>
                          </w:rPr>
                          <w:t>建设项目申报情形</w:t>
                        </w:r>
                      </w:p>
                    </w:tc>
                    <w:tc>
                      <w:tcPr>
                        <w:tcW w:w="3279" w:type="dxa"/>
                        <w:gridSpan w:val="3"/>
                        <w:tcBorders>
                          <w:top w:val="single" w:sz="4" w:space="0" w:color="000000"/>
                          <w:left w:val="single" w:sz="4" w:space="0" w:color="000000"/>
                          <w:bottom w:val="single" w:sz="4" w:space="0" w:color="000000"/>
                        </w:tcBorders>
                      </w:tcPr>
                      <w:p>
                        <w:pPr>
                          <w:pStyle w:val="TableParagraph"/>
                          <w:spacing w:before="173"/>
                          <w:ind w:left="4"/>
                          <w:rPr>
                            <w:sz w:val="24"/>
                          </w:rPr>
                        </w:pPr>
                        <w:r>
                          <w:rPr>
                            <w:rFonts w:ascii="MS Gothic" w:eastAsia="MS Gothic" w:hAnsi="MS Gothic" w:hint="eastAsia"/>
                            <w:sz w:val="24"/>
                          </w:rPr>
                          <w:t>☑</w:t>
                        </w:r>
                        <w:r>
                          <w:rPr>
                            <w:sz w:val="24"/>
                          </w:rPr>
                          <w:t>首次申报项目</w:t>
                        </w:r>
                      </w:p>
                      <w:p>
                        <w:pPr>
                          <w:pStyle w:val="TableParagraph"/>
                          <w:spacing w:before="2"/>
                          <w:ind w:left="4"/>
                          <w:rPr>
                            <w:sz w:val="24"/>
                          </w:rPr>
                        </w:pPr>
                        <w:r>
                          <w:rPr>
                            <w:rFonts w:ascii="Times New Roman" w:eastAsia="Times New Roman" w:hAnsi="Times New Roman"/>
                            <w:sz w:val="24"/>
                          </w:rPr>
                          <w:t>□</w:t>
                        </w:r>
                        <w:r>
                          <w:rPr>
                            <w:sz w:val="24"/>
                          </w:rPr>
                          <w:t>不予批准后再次申报项目</w:t>
                        </w:r>
                      </w:p>
                      <w:p>
                        <w:pPr>
                          <w:pStyle w:val="TableParagraph"/>
                          <w:spacing w:before="5"/>
                          <w:ind w:left="4"/>
                          <w:rPr>
                            <w:sz w:val="24"/>
                          </w:rPr>
                        </w:pPr>
                        <w:r>
                          <w:rPr>
                            <w:rFonts w:ascii="Times New Roman" w:eastAsia="Times New Roman" w:hAnsi="Times New Roman"/>
                            <w:sz w:val="24"/>
                          </w:rPr>
                          <w:t>□</w:t>
                        </w:r>
                        <w:r>
                          <w:rPr>
                            <w:sz w:val="24"/>
                          </w:rPr>
                          <w:t>超五年重新审核项目</w:t>
                        </w:r>
                      </w:p>
                      <w:p>
                        <w:pPr>
                          <w:pStyle w:val="TableParagraph"/>
                          <w:spacing w:before="4"/>
                          <w:ind w:left="4"/>
                          <w:rPr>
                            <w:sz w:val="24"/>
                          </w:rPr>
                        </w:pPr>
                        <w:r>
                          <w:rPr>
                            <w:rFonts w:ascii="Times New Roman" w:eastAsia="Times New Roman" w:hAnsi="Times New Roman"/>
                            <w:sz w:val="24"/>
                          </w:rPr>
                          <w:t>□</w:t>
                        </w:r>
                        <w:r>
                          <w:rPr>
                            <w:sz w:val="24"/>
                          </w:rPr>
                          <w:t>重大变动重新报批项目</w:t>
                        </w:r>
                      </w:p>
                    </w:tc>
                  </w:tr>
                  <w:tr>
                    <w:tblPrEx>
                      <w:tblW w:w="0" w:type="auto"/>
                      <w:tblInd w:w="10" w:type="dxa"/>
                      <w:tblLayout w:type="fixed"/>
                      <w:tblCellMar>
                        <w:top w:w="0" w:type="dxa"/>
                        <w:left w:w="0" w:type="dxa"/>
                        <w:bottom w:w="0" w:type="dxa"/>
                        <w:right w:w="0" w:type="dxa"/>
                      </w:tblCellMar>
                    </w:tblPrEx>
                    <w:trPr>
                      <w:trHeight w:val="777"/>
                    </w:trPr>
                    <w:tc>
                      <w:tcPr>
                        <w:tcW w:w="1963" w:type="dxa"/>
                        <w:tcBorders>
                          <w:top w:val="single" w:sz="4" w:space="0" w:color="000000"/>
                          <w:bottom w:val="single" w:sz="4" w:space="0" w:color="000000"/>
                          <w:right w:val="single" w:sz="4" w:space="0" w:color="000000"/>
                        </w:tcBorders>
                      </w:tcPr>
                      <w:p>
                        <w:pPr>
                          <w:pStyle w:val="TableParagraph"/>
                          <w:spacing w:before="86" w:line="242" w:lineRule="auto"/>
                          <w:ind w:left="14" w:right="91" w:firstLine="93"/>
                          <w:rPr>
                            <w:sz w:val="24"/>
                          </w:rPr>
                        </w:pPr>
                        <w:r>
                          <w:rPr>
                            <w:sz w:val="24"/>
                          </w:rPr>
                          <w:t>项目审批（核准</w:t>
                        </w:r>
                        <w:r>
                          <w:rPr>
                            <w:rFonts w:ascii="Times New Roman" w:eastAsia="Times New Roman"/>
                            <w:spacing w:val="-17"/>
                            <w:sz w:val="24"/>
                          </w:rPr>
                          <w:t xml:space="preserve">/ </w:t>
                        </w:r>
                        <w:r>
                          <w:rPr>
                            <w:sz w:val="24"/>
                          </w:rPr>
                          <w:t>备案</w:t>
                        </w:r>
                        <w:r>
                          <w:rPr>
                            <w:spacing w:val="-53"/>
                            <w:sz w:val="24"/>
                          </w:rPr>
                          <w:t>）</w:t>
                        </w:r>
                        <w:r>
                          <w:rPr>
                            <w:spacing w:val="-28"/>
                            <w:sz w:val="24"/>
                          </w:rPr>
                          <w:t>部门</w:t>
                        </w:r>
                        <w:r>
                          <w:rPr>
                            <w:sz w:val="24"/>
                          </w:rPr>
                          <w:t>（选填</w:t>
                        </w:r>
                      </w:p>
                    </w:tc>
                    <w:tc>
                      <w:tcPr>
                        <w:tcW w:w="1287" w:type="dxa"/>
                        <w:gridSpan w:val="3"/>
                        <w:tcBorders>
                          <w:top w:val="single" w:sz="4" w:space="0" w:color="000000"/>
                          <w:left w:val="single" w:sz="4" w:space="0" w:color="000000"/>
                          <w:bottom w:val="single" w:sz="4" w:space="0" w:color="000000"/>
                          <w:right w:val="single" w:sz="4" w:space="0" w:color="000000"/>
                        </w:tcBorders>
                      </w:tcPr>
                      <w:p>
                        <w:pPr>
                          <w:pStyle w:val="TableParagraph"/>
                          <w:tabs>
                            <w:tab w:val="left" w:pos="614"/>
                          </w:tabs>
                          <w:spacing w:before="257"/>
                          <w:ind w:left="-132"/>
                          <w:rPr>
                            <w:rFonts w:ascii="Times New Roman" w:eastAsia="Times New Roman"/>
                            <w:sz w:val="24"/>
                          </w:rPr>
                        </w:pPr>
                        <w:r>
                          <w:rPr>
                            <w:position w:val="-15"/>
                            <w:sz w:val="24"/>
                          </w:rPr>
                          <w:t>）</w:t>
                        </w:r>
                        <w:r>
                          <w:rPr>
                            <w:position w:val="-15"/>
                            <w:sz w:val="24"/>
                          </w:rPr>
                          <w:tab/>
                        </w:r>
                        <w:r>
                          <w:rPr>
                            <w:rFonts w:ascii="Times New Roman" w:eastAsia="Times New Roman"/>
                            <w:sz w:val="24"/>
                          </w:rPr>
                          <w:t>/</w:t>
                        </w:r>
                      </w:p>
                    </w:tc>
                    <w:tc>
                      <w:tcPr>
                        <w:tcW w:w="2551" w:type="dxa"/>
                        <w:tcBorders>
                          <w:top w:val="single" w:sz="4" w:space="0" w:color="000000"/>
                          <w:left w:val="single" w:sz="4" w:space="0" w:color="000000"/>
                          <w:bottom w:val="single" w:sz="4" w:space="0" w:color="000000"/>
                          <w:right w:val="single" w:sz="4" w:space="0" w:color="000000"/>
                        </w:tcBorders>
                      </w:tcPr>
                      <w:p>
                        <w:pPr>
                          <w:pStyle w:val="TableParagraph"/>
                          <w:spacing w:before="86" w:line="242" w:lineRule="auto"/>
                          <w:ind w:left="196" w:right="182" w:firstLine="208"/>
                          <w:rPr>
                            <w:sz w:val="24"/>
                          </w:rPr>
                        </w:pPr>
                        <w:r>
                          <w:rPr>
                            <w:sz w:val="24"/>
                          </w:rPr>
                          <w:t>项目审批（核准</w:t>
                        </w:r>
                        <w:r>
                          <w:rPr>
                            <w:rFonts w:ascii="Times New Roman" w:eastAsia="Times New Roman"/>
                            <w:sz w:val="24"/>
                          </w:rPr>
                          <w:t xml:space="preserve">/ </w:t>
                        </w:r>
                        <w:r>
                          <w:rPr>
                            <w:sz w:val="24"/>
                          </w:rPr>
                          <w:t>备案）文号（选填）</w:t>
                        </w:r>
                      </w:p>
                    </w:tc>
                    <w:tc>
                      <w:tcPr>
                        <w:tcW w:w="3279" w:type="dxa"/>
                        <w:gridSpan w:val="3"/>
                        <w:tcBorders>
                          <w:top w:val="single" w:sz="4" w:space="0" w:color="000000"/>
                          <w:left w:val="single" w:sz="4" w:space="0" w:color="000000"/>
                          <w:bottom w:val="single" w:sz="4" w:space="0" w:color="000000"/>
                        </w:tcBorders>
                      </w:tcPr>
                      <w:p>
                        <w:pPr>
                          <w:pStyle w:val="TableParagraph"/>
                          <w:spacing w:before="1"/>
                          <w:rPr>
                            <w:sz w:val="20"/>
                          </w:rPr>
                        </w:pPr>
                      </w:p>
                      <w:p>
                        <w:pPr>
                          <w:pStyle w:val="TableParagraph"/>
                          <w:ind w:left="13"/>
                          <w:jc w:val="center"/>
                          <w:rPr>
                            <w:rFonts w:ascii="Times New Roman"/>
                            <w:sz w:val="24"/>
                          </w:rPr>
                        </w:pPr>
                        <w:r>
                          <w:rPr>
                            <w:rFonts w:ascii="Times New Roman"/>
                            <w:sz w:val="24"/>
                          </w:rPr>
                          <w:t>/</w:t>
                        </w:r>
                      </w:p>
                    </w:tc>
                  </w:tr>
                  <w:tr>
                    <w:tblPrEx>
                      <w:tblW w:w="0" w:type="auto"/>
                      <w:tblInd w:w="10" w:type="dxa"/>
                      <w:tblLayout w:type="fixed"/>
                      <w:tblCellMar>
                        <w:top w:w="0" w:type="dxa"/>
                        <w:left w:w="0" w:type="dxa"/>
                        <w:bottom w:w="0" w:type="dxa"/>
                        <w:right w:w="0" w:type="dxa"/>
                      </w:tblCellMar>
                    </w:tblPrEx>
                    <w:trPr>
                      <w:trHeight w:val="371"/>
                    </w:trPr>
                    <w:tc>
                      <w:tcPr>
                        <w:tcW w:w="1963" w:type="dxa"/>
                        <w:tcBorders>
                          <w:top w:val="single" w:sz="4" w:space="0" w:color="000000"/>
                          <w:bottom w:val="single" w:sz="4" w:space="0" w:color="000000"/>
                          <w:right w:val="single" w:sz="4" w:space="0" w:color="000000"/>
                        </w:tcBorders>
                      </w:tcPr>
                      <w:p>
                        <w:pPr>
                          <w:pStyle w:val="TableParagraph"/>
                          <w:spacing w:before="37"/>
                          <w:ind w:left="141"/>
                          <w:rPr>
                            <w:sz w:val="24"/>
                          </w:rPr>
                        </w:pPr>
                        <w:r>
                          <w:rPr>
                            <w:sz w:val="24"/>
                          </w:rPr>
                          <w:t>总投资（万元）</w:t>
                        </w:r>
                      </w:p>
                    </w:tc>
                    <w:tc>
                      <w:tcPr>
                        <w:tcW w:w="233" w:type="dxa"/>
                        <w:tcBorders>
                          <w:top w:val="single" w:sz="4" w:space="0" w:color="000000"/>
                          <w:left w:val="single" w:sz="4" w:space="0" w:color="000000"/>
                          <w:bottom w:val="single" w:sz="4" w:space="0" w:color="000000"/>
                          <w:right w:val="nil"/>
                        </w:tcBorders>
                      </w:tcPr>
                      <w:p>
                        <w:pPr>
                          <w:pStyle w:val="TableParagraph"/>
                          <w:rPr>
                            <w:rFonts w:ascii="Times New Roman"/>
                            <w:sz w:val="24"/>
                          </w:rPr>
                        </w:pPr>
                      </w:p>
                    </w:tc>
                    <w:tc>
                      <w:tcPr>
                        <w:tcW w:w="780" w:type="dxa"/>
                        <w:tcBorders>
                          <w:top w:val="nil"/>
                          <w:left w:val="nil"/>
                          <w:bottom w:val="nil"/>
                          <w:right w:val="nil"/>
                        </w:tcBorders>
                        <w:shd w:val="clear" w:color="auto" w:fill="000000"/>
                      </w:tcPr>
                      <w:p>
                        <w:pPr>
                          <w:pStyle w:val="TableParagraph"/>
                          <w:rPr>
                            <w:rFonts w:ascii="Times New Roman"/>
                            <w:sz w:val="24"/>
                          </w:rPr>
                        </w:pPr>
                      </w:p>
                    </w:tc>
                    <w:tc>
                      <w:tcPr>
                        <w:tcW w:w="274" w:type="dxa"/>
                        <w:tcBorders>
                          <w:top w:val="single" w:sz="4" w:space="0" w:color="000000"/>
                          <w:left w:val="nil"/>
                          <w:bottom w:val="single" w:sz="4" w:space="0" w:color="000000"/>
                          <w:right w:val="single" w:sz="4" w:space="0" w:color="000000"/>
                        </w:tcBorders>
                      </w:tcPr>
                      <w:p>
                        <w:pPr>
                          <w:pStyle w:val="TableParagraph"/>
                          <w:rPr>
                            <w:rFonts w:ascii="Times New Roman"/>
                            <w:sz w:val="24"/>
                          </w:rPr>
                        </w:pPr>
                      </w:p>
                    </w:tc>
                    <w:tc>
                      <w:tcPr>
                        <w:tcW w:w="2551" w:type="dxa"/>
                        <w:tcBorders>
                          <w:top w:val="single" w:sz="4" w:space="0" w:color="000000"/>
                          <w:left w:val="single" w:sz="4" w:space="0" w:color="000000"/>
                          <w:bottom w:val="single" w:sz="4" w:space="0" w:color="000000"/>
                          <w:right w:val="single" w:sz="4" w:space="0" w:color="000000"/>
                        </w:tcBorders>
                      </w:tcPr>
                      <w:p>
                        <w:pPr>
                          <w:pStyle w:val="TableParagraph"/>
                          <w:spacing w:before="37"/>
                          <w:ind w:left="296" w:right="284"/>
                          <w:jc w:val="center"/>
                          <w:rPr>
                            <w:sz w:val="24"/>
                          </w:rPr>
                        </w:pPr>
                        <w:r>
                          <w:rPr>
                            <w:sz w:val="24"/>
                          </w:rPr>
                          <w:t>环保投资（万元）</w:t>
                        </w:r>
                      </w:p>
                    </w:tc>
                    <w:tc>
                      <w:tcPr>
                        <w:tcW w:w="1494" w:type="dxa"/>
                        <w:tcBorders>
                          <w:top w:val="single" w:sz="4" w:space="0" w:color="000000"/>
                          <w:left w:val="single" w:sz="4" w:space="0" w:color="000000"/>
                          <w:bottom w:val="single" w:sz="4" w:space="0" w:color="000000"/>
                          <w:right w:val="nil"/>
                        </w:tcBorders>
                      </w:tcPr>
                      <w:p>
                        <w:pPr>
                          <w:pStyle w:val="TableParagraph"/>
                          <w:rPr>
                            <w:rFonts w:ascii="Times New Roman"/>
                            <w:sz w:val="24"/>
                          </w:rPr>
                        </w:pPr>
                      </w:p>
                    </w:tc>
                    <w:tc>
                      <w:tcPr>
                        <w:tcW w:w="240" w:type="dxa"/>
                        <w:tcBorders>
                          <w:top w:val="nil"/>
                          <w:left w:val="nil"/>
                          <w:bottom w:val="nil"/>
                          <w:right w:val="nil"/>
                        </w:tcBorders>
                        <w:shd w:val="clear" w:color="auto" w:fill="000000"/>
                      </w:tcPr>
                      <w:p>
                        <w:pPr>
                          <w:pStyle w:val="TableParagraph"/>
                          <w:rPr>
                            <w:rFonts w:ascii="Times New Roman"/>
                            <w:sz w:val="24"/>
                          </w:rPr>
                        </w:pPr>
                      </w:p>
                    </w:tc>
                    <w:tc>
                      <w:tcPr>
                        <w:tcW w:w="1545" w:type="dxa"/>
                        <w:tcBorders>
                          <w:top w:val="single" w:sz="4" w:space="0" w:color="000000"/>
                          <w:left w:val="nil"/>
                          <w:bottom w:val="single" w:sz="4" w:space="0" w:color="000000"/>
                        </w:tcBorders>
                      </w:tcPr>
                      <w:p>
                        <w:pPr>
                          <w:pStyle w:val="TableParagraph"/>
                          <w:rPr>
                            <w:rFonts w:ascii="Times New Roman"/>
                            <w:sz w:val="24"/>
                          </w:rPr>
                        </w:pPr>
                      </w:p>
                    </w:tc>
                  </w:tr>
                  <w:tr>
                    <w:tblPrEx>
                      <w:tblW w:w="0" w:type="auto"/>
                      <w:tblInd w:w="10" w:type="dxa"/>
                      <w:tblLayout w:type="fixed"/>
                      <w:tblCellMar>
                        <w:top w:w="0" w:type="dxa"/>
                        <w:left w:w="0" w:type="dxa"/>
                        <w:bottom w:w="0" w:type="dxa"/>
                        <w:right w:w="0" w:type="dxa"/>
                      </w:tblCellMar>
                    </w:tblPrEx>
                    <w:trPr>
                      <w:trHeight w:val="380"/>
                    </w:trPr>
                    <w:tc>
                      <w:tcPr>
                        <w:tcW w:w="1963" w:type="dxa"/>
                        <w:tcBorders>
                          <w:top w:val="single" w:sz="4" w:space="0" w:color="000000"/>
                          <w:bottom w:val="single" w:sz="4" w:space="0" w:color="000000"/>
                          <w:right w:val="single" w:sz="4" w:space="0" w:color="000000"/>
                        </w:tcBorders>
                      </w:tcPr>
                      <w:p>
                        <w:pPr>
                          <w:pStyle w:val="TableParagraph"/>
                          <w:spacing w:before="42"/>
                          <w:ind w:left="14"/>
                          <w:rPr>
                            <w:rFonts w:ascii="Times New Roman" w:eastAsia="Times New Roman"/>
                            <w:sz w:val="24"/>
                          </w:rPr>
                        </w:pPr>
                        <w:r>
                          <w:rPr>
                            <w:sz w:val="24"/>
                          </w:rPr>
                          <w:t>环保投资占比（</w:t>
                        </w:r>
                        <w:r>
                          <w:rPr>
                            <w:rFonts w:ascii="Times New Roman" w:eastAsia="Times New Roman"/>
                            <w:sz w:val="24"/>
                          </w:rPr>
                          <w:t>%</w:t>
                        </w:r>
                      </w:p>
                    </w:tc>
                    <w:tc>
                      <w:tcPr>
                        <w:tcW w:w="1287" w:type="dxa"/>
                        <w:gridSpan w:val="3"/>
                        <w:tcBorders>
                          <w:top w:val="single" w:sz="4" w:space="0" w:color="000000"/>
                          <w:left w:val="single" w:sz="4" w:space="0" w:color="000000"/>
                          <w:bottom w:val="single" w:sz="4" w:space="0" w:color="000000"/>
                          <w:right w:val="single" w:sz="4" w:space="0" w:color="000000"/>
                        </w:tcBorders>
                      </w:tcPr>
                      <w:p>
                        <w:pPr>
                          <w:pStyle w:val="TableParagraph"/>
                          <w:tabs>
                            <w:tab w:val="left" w:pos="437"/>
                          </w:tabs>
                          <w:spacing w:before="42"/>
                          <w:ind w:left="-132"/>
                          <w:rPr>
                            <w:rFonts w:ascii="Times New Roman" w:eastAsia="Times New Roman"/>
                            <w:sz w:val="24"/>
                          </w:rPr>
                        </w:pPr>
                        <w:r>
                          <w:rPr>
                            <w:sz w:val="24"/>
                          </w:rPr>
                          <w:t>）</w:t>
                        </w:r>
                        <w:r>
                          <w:rPr>
                            <w:sz w:val="24"/>
                          </w:rPr>
                          <w:tab/>
                        </w:r>
                        <w:r>
                          <w:rPr>
                            <w:rFonts w:ascii="Times New Roman" w:eastAsia="Times New Roman"/>
                            <w:sz w:val="24"/>
                          </w:rPr>
                          <w:t>0.91</w:t>
                        </w:r>
                      </w:p>
                    </w:tc>
                    <w:tc>
                      <w:tcPr>
                        <w:tcW w:w="2551" w:type="dxa"/>
                        <w:tcBorders>
                          <w:top w:val="single" w:sz="4" w:space="0" w:color="000000"/>
                          <w:left w:val="single" w:sz="4" w:space="0" w:color="000000"/>
                          <w:bottom w:val="single" w:sz="4" w:space="0" w:color="000000"/>
                          <w:right w:val="single" w:sz="4" w:space="0" w:color="000000"/>
                        </w:tcBorders>
                      </w:tcPr>
                      <w:p>
                        <w:pPr>
                          <w:pStyle w:val="TableParagraph"/>
                          <w:spacing w:before="42"/>
                          <w:ind w:left="296" w:right="284"/>
                          <w:jc w:val="center"/>
                          <w:rPr>
                            <w:sz w:val="24"/>
                          </w:rPr>
                        </w:pPr>
                        <w:r>
                          <w:rPr>
                            <w:sz w:val="24"/>
                          </w:rPr>
                          <w:t>施工工期</w:t>
                        </w:r>
                      </w:p>
                    </w:tc>
                    <w:tc>
                      <w:tcPr>
                        <w:tcW w:w="3279" w:type="dxa"/>
                        <w:gridSpan w:val="3"/>
                        <w:tcBorders>
                          <w:top w:val="single" w:sz="4" w:space="0" w:color="000000"/>
                          <w:left w:val="single" w:sz="4" w:space="0" w:color="000000"/>
                          <w:bottom w:val="single" w:sz="4" w:space="0" w:color="000000"/>
                        </w:tcBorders>
                      </w:tcPr>
                      <w:p>
                        <w:pPr>
                          <w:pStyle w:val="TableParagraph"/>
                          <w:spacing w:before="42"/>
                          <w:ind w:left="1290" w:right="1274"/>
                          <w:jc w:val="center"/>
                          <w:rPr>
                            <w:sz w:val="24"/>
                          </w:rPr>
                        </w:pPr>
                        <w:r>
                          <w:rPr>
                            <w:rFonts w:ascii="Times New Roman" w:eastAsia="Times New Roman"/>
                            <w:sz w:val="24"/>
                          </w:rPr>
                          <w:t xml:space="preserve">6 </w:t>
                        </w:r>
                        <w:r>
                          <w:rPr>
                            <w:sz w:val="24"/>
                          </w:rPr>
                          <w:t>个月</w:t>
                        </w:r>
                      </w:p>
                    </w:tc>
                  </w:tr>
                  <w:tr>
                    <w:tblPrEx>
                      <w:tblW w:w="0" w:type="auto"/>
                      <w:tblInd w:w="10" w:type="dxa"/>
                      <w:tblLayout w:type="fixed"/>
                      <w:tblCellMar>
                        <w:top w:w="0" w:type="dxa"/>
                        <w:left w:w="0" w:type="dxa"/>
                        <w:bottom w:w="0" w:type="dxa"/>
                        <w:right w:w="0" w:type="dxa"/>
                      </w:tblCellMar>
                    </w:tblPrEx>
                    <w:trPr>
                      <w:trHeight w:val="927"/>
                    </w:trPr>
                    <w:tc>
                      <w:tcPr>
                        <w:tcW w:w="1963" w:type="dxa"/>
                        <w:tcBorders>
                          <w:top w:val="single" w:sz="4" w:space="0" w:color="000000"/>
                          <w:bottom w:val="single" w:sz="4" w:space="0" w:color="000000"/>
                          <w:right w:val="single" w:sz="4" w:space="0" w:color="000000"/>
                        </w:tcBorders>
                      </w:tcPr>
                      <w:p>
                        <w:pPr>
                          <w:pStyle w:val="TableParagraph"/>
                          <w:spacing w:before="9"/>
                          <w:rPr>
                            <w:sz w:val="24"/>
                          </w:rPr>
                        </w:pPr>
                      </w:p>
                      <w:p>
                        <w:pPr>
                          <w:pStyle w:val="TableParagraph"/>
                          <w:ind w:left="261"/>
                          <w:rPr>
                            <w:sz w:val="24"/>
                          </w:rPr>
                        </w:pPr>
                        <w:r>
                          <w:rPr>
                            <w:sz w:val="24"/>
                          </w:rPr>
                          <w:t>是否开工建设</w:t>
                        </w:r>
                      </w:p>
                    </w:tc>
                    <w:tc>
                      <w:tcPr>
                        <w:tcW w:w="7117" w:type="dxa"/>
                        <w:gridSpan w:val="7"/>
                        <w:tcBorders>
                          <w:top w:val="single" w:sz="4" w:space="0" w:color="000000"/>
                          <w:left w:val="single" w:sz="4" w:space="0" w:color="000000"/>
                          <w:bottom w:val="single" w:sz="4" w:space="0" w:color="000000"/>
                        </w:tcBorders>
                      </w:tcPr>
                      <w:p>
                        <w:pPr>
                          <w:pStyle w:val="TableParagraph"/>
                          <w:spacing w:before="161"/>
                          <w:ind w:left="115"/>
                          <w:rPr>
                            <w:sz w:val="24"/>
                          </w:rPr>
                        </w:pPr>
                        <w:r>
                          <w:rPr>
                            <w:rFonts w:ascii="Wingdings" w:eastAsia="Wingdings" w:hAnsi="Wingdings"/>
                            <w:sz w:val="24"/>
                          </w:rPr>
                          <w:sym w:font="Wingdings" w:char="F052"/>
                        </w:r>
                        <w:r>
                          <w:rPr>
                            <w:sz w:val="24"/>
                          </w:rPr>
                          <w:t>否</w:t>
                        </w:r>
                      </w:p>
                      <w:p>
                        <w:pPr>
                          <w:pStyle w:val="TableParagraph"/>
                          <w:spacing w:before="4"/>
                          <w:ind w:left="101"/>
                          <w:rPr>
                            <w:sz w:val="24"/>
                          </w:rPr>
                        </w:pPr>
                        <w:r>
                          <w:rPr>
                            <w:rFonts w:ascii="Times New Roman" w:eastAsia="Times New Roman" w:hAnsi="Times New Roman"/>
                            <w:sz w:val="24"/>
                          </w:rPr>
                          <w:t>□</w:t>
                        </w:r>
                        <w:r>
                          <w:rPr>
                            <w:sz w:val="24"/>
                          </w:rPr>
                          <w:t>是：</w:t>
                        </w:r>
                      </w:p>
                    </w:tc>
                  </w:tr>
                  <w:tr>
                    <w:tblPrEx>
                      <w:tblW w:w="0" w:type="auto"/>
                      <w:tblInd w:w="10" w:type="dxa"/>
                      <w:tblLayout w:type="fixed"/>
                      <w:tblCellMar>
                        <w:top w:w="0" w:type="dxa"/>
                        <w:left w:w="0" w:type="dxa"/>
                        <w:bottom w:w="0" w:type="dxa"/>
                        <w:right w:w="0" w:type="dxa"/>
                      </w:tblCellMar>
                    </w:tblPrEx>
                    <w:trPr>
                      <w:trHeight w:val="1250"/>
                    </w:trPr>
                    <w:tc>
                      <w:tcPr>
                        <w:tcW w:w="1963" w:type="dxa"/>
                        <w:tcBorders>
                          <w:top w:val="single" w:sz="4" w:space="0" w:color="000000"/>
                          <w:bottom w:val="single" w:sz="4" w:space="0" w:color="000000"/>
                          <w:right w:val="single" w:sz="4" w:space="0" w:color="000000"/>
                        </w:tcBorders>
                      </w:tcPr>
                      <w:p>
                        <w:pPr>
                          <w:pStyle w:val="TableParagraph"/>
                          <w:rPr>
                            <w:sz w:val="24"/>
                          </w:rPr>
                        </w:pPr>
                      </w:p>
                      <w:p>
                        <w:pPr>
                          <w:pStyle w:val="TableParagraph"/>
                          <w:spacing w:before="169"/>
                          <w:ind w:left="21"/>
                          <w:rPr>
                            <w:sz w:val="24"/>
                          </w:rPr>
                        </w:pPr>
                        <w:r>
                          <w:rPr>
                            <w:sz w:val="24"/>
                          </w:rPr>
                          <w:t>专项评价设置情况</w:t>
                        </w:r>
                      </w:p>
                    </w:tc>
                    <w:tc>
                      <w:tcPr>
                        <w:tcW w:w="7117" w:type="dxa"/>
                        <w:gridSpan w:val="7"/>
                        <w:tcBorders>
                          <w:top w:val="single" w:sz="4" w:space="0" w:color="000000"/>
                          <w:left w:val="single" w:sz="4" w:space="0" w:color="000000"/>
                          <w:bottom w:val="single" w:sz="4" w:space="0" w:color="000000"/>
                        </w:tcBorders>
                      </w:tcPr>
                      <w:p>
                        <w:pPr>
                          <w:pStyle w:val="TableParagraph"/>
                          <w:spacing w:before="167"/>
                          <w:ind w:left="19"/>
                          <w:rPr>
                            <w:b/>
                            <w:sz w:val="24"/>
                          </w:rPr>
                        </w:pPr>
                        <w:r>
                          <w:rPr>
                            <w:b/>
                            <w:sz w:val="24"/>
                          </w:rPr>
                          <w:t>专项评价：电磁环境影响专题评价</w:t>
                        </w:r>
                      </w:p>
                      <w:p>
                        <w:pPr>
                          <w:pStyle w:val="TableParagraph"/>
                          <w:spacing w:before="2" w:line="242" w:lineRule="auto"/>
                          <w:ind w:left="19" w:right="-15"/>
                          <w:rPr>
                            <w:sz w:val="24"/>
                          </w:rPr>
                        </w:pPr>
                        <w:r>
                          <w:rPr>
                            <w:sz w:val="24"/>
                          </w:rPr>
                          <w:t>设置理由：本工程为输变电工程，根据《环境影响评价技术导则 输变电》（</w:t>
                        </w:r>
                        <w:r>
                          <w:rPr>
                            <w:rFonts w:ascii="Times New Roman" w:eastAsia="Times New Roman"/>
                            <w:sz w:val="24"/>
                          </w:rPr>
                          <w:t>HJ</w:t>
                        </w:r>
                        <w:r>
                          <w:rPr>
                            <w:rFonts w:ascii="Times New Roman" w:eastAsia="Times New Roman"/>
                            <w:spacing w:val="-1"/>
                            <w:sz w:val="24"/>
                          </w:rPr>
                          <w:t xml:space="preserve"> </w:t>
                        </w:r>
                        <w:r>
                          <w:rPr>
                            <w:rFonts w:ascii="Times New Roman" w:eastAsia="Times New Roman"/>
                            <w:sz w:val="24"/>
                          </w:rPr>
                          <w:t>24-2020</w:t>
                        </w:r>
                        <w:r>
                          <w:rPr>
                            <w:sz w:val="24"/>
                          </w:rPr>
                          <w:t>）附录</w:t>
                        </w:r>
                        <w:r>
                          <w:rPr>
                            <w:rFonts w:ascii="Times New Roman" w:eastAsia="Times New Roman"/>
                            <w:sz w:val="24"/>
                          </w:rPr>
                          <w:t>B</w:t>
                        </w:r>
                        <w:r>
                          <w:rPr>
                            <w:sz w:val="24"/>
                          </w:rPr>
                          <w:t>的要求设置。</w:t>
                        </w:r>
                      </w:p>
                    </w:tc>
                  </w:tr>
                  <w:tr>
                    <w:tblPrEx>
                      <w:tblW w:w="0" w:type="auto"/>
                      <w:tblInd w:w="10" w:type="dxa"/>
                      <w:tblLayout w:type="fixed"/>
                      <w:tblCellMar>
                        <w:top w:w="0" w:type="dxa"/>
                        <w:left w:w="0" w:type="dxa"/>
                        <w:bottom w:w="0" w:type="dxa"/>
                        <w:right w:w="0" w:type="dxa"/>
                      </w:tblCellMar>
                    </w:tblPrEx>
                    <w:trPr>
                      <w:trHeight w:val="736"/>
                    </w:trPr>
                    <w:tc>
                      <w:tcPr>
                        <w:tcW w:w="1963" w:type="dxa"/>
                        <w:tcBorders>
                          <w:top w:val="single" w:sz="4" w:space="0" w:color="000000"/>
                          <w:bottom w:val="single" w:sz="4" w:space="0" w:color="000000"/>
                          <w:right w:val="single" w:sz="4" w:space="0" w:color="000000"/>
                        </w:tcBorders>
                      </w:tcPr>
                      <w:p>
                        <w:pPr>
                          <w:pStyle w:val="TableParagraph"/>
                          <w:spacing w:before="2"/>
                          <w:rPr>
                            <w:sz w:val="17"/>
                          </w:rPr>
                        </w:pPr>
                      </w:p>
                      <w:p>
                        <w:pPr>
                          <w:pStyle w:val="TableParagraph"/>
                          <w:ind w:left="501"/>
                          <w:rPr>
                            <w:sz w:val="24"/>
                          </w:rPr>
                        </w:pPr>
                        <w:r>
                          <w:rPr>
                            <w:sz w:val="24"/>
                          </w:rPr>
                          <w:t>规划情况</w:t>
                        </w:r>
                      </w:p>
                    </w:tc>
                    <w:tc>
                      <w:tcPr>
                        <w:tcW w:w="7117" w:type="dxa"/>
                        <w:gridSpan w:val="7"/>
                        <w:tcBorders>
                          <w:top w:val="single" w:sz="4" w:space="0" w:color="000000"/>
                          <w:left w:val="single" w:sz="4" w:space="0" w:color="000000"/>
                          <w:bottom w:val="single" w:sz="4" w:space="0" w:color="000000"/>
                        </w:tcBorders>
                      </w:tcPr>
                      <w:p>
                        <w:pPr>
                          <w:pStyle w:val="TableParagraph"/>
                          <w:spacing w:before="2"/>
                          <w:rPr>
                            <w:sz w:val="17"/>
                          </w:rPr>
                        </w:pPr>
                      </w:p>
                      <w:p>
                        <w:pPr>
                          <w:pStyle w:val="TableParagraph"/>
                          <w:ind w:left="26"/>
                          <w:jc w:val="center"/>
                          <w:rPr>
                            <w:sz w:val="24"/>
                          </w:rPr>
                        </w:pPr>
                        <w:r>
                          <w:rPr>
                            <w:sz w:val="24"/>
                          </w:rPr>
                          <w:t>无</w:t>
                        </w:r>
                      </w:p>
                    </w:tc>
                  </w:tr>
                  <w:tr>
                    <w:tblPrEx>
                      <w:tblW w:w="0" w:type="auto"/>
                      <w:tblInd w:w="10" w:type="dxa"/>
                      <w:tblLayout w:type="fixed"/>
                      <w:tblCellMar>
                        <w:top w:w="0" w:type="dxa"/>
                        <w:left w:w="0" w:type="dxa"/>
                        <w:bottom w:w="0" w:type="dxa"/>
                        <w:right w:w="0" w:type="dxa"/>
                      </w:tblCellMar>
                    </w:tblPrEx>
                    <w:trPr>
                      <w:trHeight w:val="637"/>
                    </w:trPr>
                    <w:tc>
                      <w:tcPr>
                        <w:tcW w:w="1963" w:type="dxa"/>
                        <w:tcBorders>
                          <w:top w:val="single" w:sz="4" w:space="0" w:color="000000"/>
                          <w:bottom w:val="single" w:sz="4" w:space="0" w:color="000000"/>
                          <w:right w:val="single" w:sz="4" w:space="0" w:color="000000"/>
                        </w:tcBorders>
                      </w:tcPr>
                      <w:p>
                        <w:pPr>
                          <w:pStyle w:val="TableParagraph"/>
                          <w:spacing w:before="14" w:line="310" w:lineRule="atLeast"/>
                          <w:ind w:left="501" w:right="244" w:hanging="240"/>
                          <w:rPr>
                            <w:sz w:val="24"/>
                          </w:rPr>
                        </w:pPr>
                        <w:r>
                          <w:rPr>
                            <w:sz w:val="24"/>
                          </w:rPr>
                          <w:t>规划环境影响评价情况</w:t>
                        </w:r>
                      </w:p>
                    </w:tc>
                    <w:tc>
                      <w:tcPr>
                        <w:tcW w:w="7117" w:type="dxa"/>
                        <w:gridSpan w:val="7"/>
                        <w:tcBorders>
                          <w:top w:val="single" w:sz="4" w:space="0" w:color="000000"/>
                          <w:left w:val="single" w:sz="4" w:space="0" w:color="000000"/>
                          <w:bottom w:val="single" w:sz="4" w:space="0" w:color="000000"/>
                        </w:tcBorders>
                      </w:tcPr>
                      <w:p>
                        <w:pPr>
                          <w:pStyle w:val="TableParagraph"/>
                          <w:spacing w:before="172"/>
                          <w:ind w:left="26"/>
                          <w:jc w:val="center"/>
                          <w:rPr>
                            <w:sz w:val="24"/>
                          </w:rPr>
                        </w:pPr>
                        <w:r>
                          <w:rPr>
                            <w:sz w:val="24"/>
                          </w:rPr>
                          <w:t>无</w:t>
                        </w:r>
                      </w:p>
                    </w:tc>
                  </w:tr>
                  <w:tr>
                    <w:tblPrEx>
                      <w:tblW w:w="0" w:type="auto"/>
                      <w:tblInd w:w="10" w:type="dxa"/>
                      <w:tblLayout w:type="fixed"/>
                      <w:tblCellMar>
                        <w:top w:w="0" w:type="dxa"/>
                        <w:left w:w="0" w:type="dxa"/>
                        <w:bottom w:w="0" w:type="dxa"/>
                        <w:right w:w="0" w:type="dxa"/>
                      </w:tblCellMar>
                    </w:tblPrEx>
                    <w:trPr>
                      <w:trHeight w:val="803"/>
                    </w:trPr>
                    <w:tc>
                      <w:tcPr>
                        <w:tcW w:w="1963" w:type="dxa"/>
                        <w:tcBorders>
                          <w:top w:val="single" w:sz="4" w:space="0" w:color="000000"/>
                          <w:bottom w:val="single" w:sz="4" w:space="0" w:color="000000"/>
                          <w:right w:val="single" w:sz="4" w:space="0" w:color="000000"/>
                        </w:tcBorders>
                      </w:tcPr>
                      <w:p>
                        <w:pPr>
                          <w:pStyle w:val="TableParagraph"/>
                          <w:spacing w:before="100" w:line="242" w:lineRule="auto"/>
                          <w:ind w:left="21" w:right="4"/>
                          <w:rPr>
                            <w:sz w:val="24"/>
                          </w:rPr>
                        </w:pPr>
                        <w:r>
                          <w:rPr>
                            <w:sz w:val="24"/>
                          </w:rPr>
                          <w:t>规划及规划环境影响评价符合性分析</w:t>
                        </w:r>
                      </w:p>
                    </w:tc>
                    <w:tc>
                      <w:tcPr>
                        <w:tcW w:w="7117" w:type="dxa"/>
                        <w:gridSpan w:val="7"/>
                        <w:tcBorders>
                          <w:top w:val="single" w:sz="4" w:space="0" w:color="000000"/>
                          <w:left w:val="single" w:sz="4" w:space="0" w:color="000000"/>
                          <w:bottom w:val="single" w:sz="4" w:space="0" w:color="000000"/>
                        </w:tcBorders>
                      </w:tcPr>
                      <w:p>
                        <w:pPr>
                          <w:pStyle w:val="TableParagraph"/>
                          <w:spacing w:before="177"/>
                          <w:ind w:left="26"/>
                          <w:jc w:val="center"/>
                          <w:rPr>
                            <w:sz w:val="24"/>
                          </w:rPr>
                        </w:pPr>
                        <w:r>
                          <w:rPr>
                            <w:sz w:val="24"/>
                          </w:rPr>
                          <w:t>无</w:t>
                        </w:r>
                      </w:p>
                    </w:tc>
                  </w:tr>
                  <w:tr>
                    <w:tblPrEx>
                      <w:tblW w:w="0" w:type="auto"/>
                      <w:tblInd w:w="10" w:type="dxa"/>
                      <w:tblLayout w:type="fixed"/>
                      <w:tblCellMar>
                        <w:top w:w="0" w:type="dxa"/>
                        <w:left w:w="0" w:type="dxa"/>
                        <w:bottom w:w="0" w:type="dxa"/>
                        <w:right w:w="0" w:type="dxa"/>
                      </w:tblCellMar>
                    </w:tblPrEx>
                    <w:trPr>
                      <w:trHeight w:val="2834"/>
                    </w:trPr>
                    <w:tc>
                      <w:tcPr>
                        <w:tcW w:w="1963" w:type="dxa"/>
                        <w:tcBorders>
                          <w:top w:val="single" w:sz="4" w:space="0" w:color="000000"/>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spacing w:before="7"/>
                          <w:rPr>
                            <w:sz w:val="26"/>
                          </w:rPr>
                        </w:pPr>
                      </w:p>
                      <w:p>
                        <w:pPr>
                          <w:pStyle w:val="TableParagraph"/>
                          <w:ind w:left="141"/>
                          <w:rPr>
                            <w:sz w:val="24"/>
                          </w:rPr>
                        </w:pPr>
                        <w:r>
                          <w:rPr>
                            <w:sz w:val="24"/>
                          </w:rPr>
                          <w:t>其他符合性分析</w:t>
                        </w:r>
                      </w:p>
                    </w:tc>
                    <w:tc>
                      <w:tcPr>
                        <w:tcW w:w="7117" w:type="dxa"/>
                        <w:gridSpan w:val="7"/>
                        <w:tcBorders>
                          <w:top w:val="single" w:sz="4" w:space="0" w:color="000000"/>
                          <w:left w:val="single" w:sz="4" w:space="0" w:color="000000"/>
                        </w:tcBorders>
                      </w:tcPr>
                      <w:p>
                        <w:pPr>
                          <w:pStyle w:val="TableParagraph"/>
                          <w:spacing w:before="17"/>
                          <w:ind w:left="19"/>
                          <w:rPr>
                            <w:b/>
                            <w:sz w:val="24"/>
                          </w:rPr>
                        </w:pPr>
                        <w:r>
                          <w:rPr>
                            <w:rFonts w:ascii="Times New Roman" w:eastAsia="Times New Roman"/>
                            <w:b/>
                            <w:sz w:val="24"/>
                          </w:rPr>
                          <w:t xml:space="preserve">1 </w:t>
                        </w:r>
                        <w:r>
                          <w:rPr>
                            <w:b/>
                            <w:sz w:val="24"/>
                          </w:rPr>
                          <w:t>产业政策相符性分析</w:t>
                        </w:r>
                      </w:p>
                      <w:p>
                        <w:pPr>
                          <w:pStyle w:val="TableParagraph"/>
                          <w:spacing w:before="160"/>
                          <w:ind w:left="499"/>
                          <w:rPr>
                            <w:sz w:val="24"/>
                          </w:rPr>
                        </w:pPr>
                        <w:r>
                          <w:rPr>
                            <w:spacing w:val="-15"/>
                            <w:sz w:val="24"/>
                          </w:rPr>
                          <w:t xml:space="preserve">本项目 </w:t>
                        </w:r>
                        <w:r>
                          <w:rPr>
                            <w:rFonts w:ascii="Times New Roman" w:eastAsia="Times New Roman"/>
                            <w:sz w:val="24"/>
                          </w:rPr>
                          <w:t xml:space="preserve">2025 </w:t>
                        </w:r>
                        <w:r>
                          <w:rPr>
                            <w:spacing w:val="-20"/>
                            <w:sz w:val="24"/>
                          </w:rPr>
                          <w:t>年建成，对照《产业结构调整指导目录</w:t>
                        </w:r>
                        <w:r>
                          <w:rPr>
                            <w:sz w:val="24"/>
                          </w:rPr>
                          <w:t>（</w:t>
                        </w:r>
                        <w:r>
                          <w:rPr>
                            <w:rFonts w:ascii="Times New Roman" w:eastAsia="Times New Roman"/>
                            <w:sz w:val="24"/>
                          </w:rPr>
                          <w:t xml:space="preserve">2024 </w:t>
                        </w:r>
                        <w:r>
                          <w:rPr>
                            <w:sz w:val="24"/>
                          </w:rPr>
                          <w:t>年本</w:t>
                        </w:r>
                        <w:r>
                          <w:rPr>
                            <w:spacing w:val="-120"/>
                            <w:sz w:val="24"/>
                          </w:rPr>
                          <w:t>）</w:t>
                        </w:r>
                      </w:p>
                      <w:p>
                        <w:pPr>
                          <w:pStyle w:val="TableParagraph"/>
                          <w:tabs>
                            <w:tab w:val="left" w:pos="6319"/>
                          </w:tabs>
                          <w:spacing w:before="158"/>
                          <w:ind w:left="19" w:right="-15"/>
                          <w:rPr>
                            <w:sz w:val="24"/>
                          </w:rPr>
                        </w:pPr>
                        <w:r>
                          <w:rPr>
                            <w:sz w:val="24"/>
                          </w:rPr>
                          <w:t>（</w:t>
                        </w:r>
                        <w:r>
                          <w:rPr>
                            <w:rFonts w:ascii="Times New Roman" w:eastAsia="Times New Roman"/>
                            <w:sz w:val="24"/>
                          </w:rPr>
                          <w:t>2023</w:t>
                        </w:r>
                        <w:r>
                          <w:rPr>
                            <w:rFonts w:ascii="Times New Roman" w:eastAsia="Times New Roman"/>
                            <w:spacing w:val="7"/>
                            <w:sz w:val="24"/>
                          </w:rPr>
                          <w:t xml:space="preserve"> </w:t>
                        </w:r>
                        <w:r>
                          <w:rPr>
                            <w:sz w:val="24"/>
                          </w:rPr>
                          <w:t>年</w:t>
                        </w:r>
                        <w:r>
                          <w:rPr>
                            <w:spacing w:val="-56"/>
                            <w:sz w:val="24"/>
                          </w:rPr>
                          <w:t xml:space="preserve"> </w:t>
                        </w:r>
                        <w:r>
                          <w:rPr>
                            <w:rFonts w:ascii="Times New Roman" w:eastAsia="Times New Roman"/>
                            <w:sz w:val="24"/>
                          </w:rPr>
                          <w:t>12</w:t>
                        </w:r>
                        <w:r>
                          <w:rPr>
                            <w:rFonts w:ascii="Times New Roman" w:eastAsia="Times New Roman"/>
                            <w:spacing w:val="5"/>
                            <w:sz w:val="24"/>
                          </w:rPr>
                          <w:t xml:space="preserve"> </w:t>
                        </w:r>
                        <w:r>
                          <w:rPr>
                            <w:sz w:val="24"/>
                          </w:rPr>
                          <w:t>月</w:t>
                        </w:r>
                        <w:r>
                          <w:rPr>
                            <w:spacing w:val="-56"/>
                            <w:sz w:val="24"/>
                          </w:rPr>
                          <w:t xml:space="preserve"> </w:t>
                        </w:r>
                        <w:r>
                          <w:rPr>
                            <w:rFonts w:ascii="Times New Roman" w:eastAsia="Times New Roman"/>
                            <w:sz w:val="24"/>
                          </w:rPr>
                          <w:t>1</w:t>
                        </w:r>
                        <w:r>
                          <w:rPr>
                            <w:rFonts w:ascii="Times New Roman" w:eastAsia="Times New Roman"/>
                            <w:spacing w:val="5"/>
                            <w:sz w:val="24"/>
                          </w:rPr>
                          <w:t xml:space="preserve"> </w:t>
                        </w:r>
                        <w:r>
                          <w:rPr>
                            <w:spacing w:val="4"/>
                            <w:sz w:val="24"/>
                          </w:rPr>
                          <w:t>日经国家发</w:t>
                        </w:r>
                        <w:r>
                          <w:rPr>
                            <w:spacing w:val="7"/>
                            <w:sz w:val="24"/>
                          </w:rPr>
                          <w:t>展</w:t>
                        </w:r>
                        <w:r>
                          <w:rPr>
                            <w:spacing w:val="4"/>
                            <w:sz w:val="24"/>
                          </w:rPr>
                          <w:t>改革委</w:t>
                        </w:r>
                        <w:r>
                          <w:rPr>
                            <w:sz w:val="24"/>
                          </w:rPr>
                          <w:t>第</w:t>
                        </w:r>
                        <w:r>
                          <w:rPr>
                            <w:spacing w:val="-56"/>
                            <w:sz w:val="24"/>
                          </w:rPr>
                          <w:t xml:space="preserve"> </w:t>
                        </w:r>
                        <w:r>
                          <w:rPr>
                            <w:rFonts w:ascii="Times New Roman" w:eastAsia="Times New Roman"/>
                            <w:sz w:val="24"/>
                          </w:rPr>
                          <w:t>6</w:t>
                        </w:r>
                        <w:r>
                          <w:rPr>
                            <w:rFonts w:ascii="Times New Roman" w:eastAsia="Times New Roman"/>
                            <w:spacing w:val="4"/>
                            <w:sz w:val="24"/>
                          </w:rPr>
                          <w:t xml:space="preserve"> </w:t>
                        </w:r>
                        <w:r>
                          <w:rPr>
                            <w:spacing w:val="4"/>
                            <w:sz w:val="24"/>
                          </w:rPr>
                          <w:t>次委务会通</w:t>
                        </w:r>
                        <w:r>
                          <w:rPr>
                            <w:sz w:val="24"/>
                          </w:rPr>
                          <w:t>过</w:t>
                        </w:r>
                        <w:r>
                          <w:rPr>
                            <w:sz w:val="24"/>
                          </w:rPr>
                          <w:tab/>
                        </w:r>
                        <w:r>
                          <w:rPr>
                            <w:rFonts w:ascii="Times New Roman" w:eastAsia="Times New Roman"/>
                            <w:sz w:val="24"/>
                          </w:rPr>
                          <w:t>2023</w:t>
                        </w:r>
                        <w:r>
                          <w:rPr>
                            <w:rFonts w:ascii="Times New Roman" w:eastAsia="Times New Roman"/>
                            <w:spacing w:val="7"/>
                            <w:sz w:val="24"/>
                          </w:rPr>
                          <w:t xml:space="preserve"> </w:t>
                        </w:r>
                        <w:r>
                          <w:rPr>
                            <w:sz w:val="24"/>
                          </w:rPr>
                          <w:t>年</w:t>
                        </w:r>
                      </w:p>
                      <w:p>
                        <w:pPr>
                          <w:pStyle w:val="TableParagraph"/>
                          <w:tabs>
                            <w:tab w:val="left" w:pos="4565"/>
                          </w:tabs>
                          <w:spacing w:before="161" w:line="362" w:lineRule="auto"/>
                          <w:ind w:left="19" w:right="-15"/>
                          <w:rPr>
                            <w:sz w:val="24"/>
                          </w:rPr>
                        </w:pPr>
                        <w:r>
                          <w:rPr>
                            <w:rFonts w:ascii="Times New Roman" w:eastAsia="Times New Roman" w:hAnsi="Times New Roman"/>
                            <w:sz w:val="24"/>
                          </w:rPr>
                          <w:t>12</w:t>
                        </w:r>
                        <w:r>
                          <w:rPr>
                            <w:rFonts w:ascii="Times New Roman" w:eastAsia="Times New Roman" w:hAnsi="Times New Roman"/>
                            <w:spacing w:val="4"/>
                            <w:sz w:val="24"/>
                          </w:rPr>
                          <w:t xml:space="preserve"> </w:t>
                        </w:r>
                        <w:r>
                          <w:rPr>
                            <w:sz w:val="24"/>
                          </w:rPr>
                          <w:t>月</w:t>
                        </w:r>
                        <w:r>
                          <w:rPr>
                            <w:spacing w:val="-55"/>
                            <w:sz w:val="24"/>
                          </w:rPr>
                          <w:t xml:space="preserve"> </w:t>
                        </w:r>
                        <w:r>
                          <w:rPr>
                            <w:rFonts w:ascii="Times New Roman" w:eastAsia="Times New Roman" w:hAnsi="Times New Roman"/>
                            <w:sz w:val="24"/>
                          </w:rPr>
                          <w:t>27</w:t>
                        </w:r>
                        <w:r>
                          <w:rPr>
                            <w:rFonts w:ascii="Times New Roman" w:eastAsia="Times New Roman" w:hAnsi="Times New Roman"/>
                            <w:spacing w:val="4"/>
                            <w:sz w:val="24"/>
                          </w:rPr>
                          <w:t xml:space="preserve"> </w:t>
                        </w:r>
                        <w:r>
                          <w:rPr>
                            <w:sz w:val="24"/>
                          </w:rPr>
                          <w:t>日国家发展改革委</w:t>
                        </w:r>
                        <w:r>
                          <w:rPr>
                            <w:spacing w:val="4"/>
                            <w:sz w:val="24"/>
                          </w:rPr>
                          <w:t>令</w:t>
                        </w:r>
                        <w:r>
                          <w:rPr>
                            <w:sz w:val="24"/>
                          </w:rPr>
                          <w:t>第</w:t>
                        </w:r>
                        <w:r>
                          <w:rPr>
                            <w:spacing w:val="-55"/>
                            <w:sz w:val="24"/>
                          </w:rPr>
                          <w:t xml:space="preserve"> </w:t>
                        </w:r>
                        <w:r>
                          <w:rPr>
                            <w:rFonts w:ascii="Times New Roman" w:eastAsia="Times New Roman" w:hAnsi="Times New Roman"/>
                            <w:sz w:val="24"/>
                          </w:rPr>
                          <w:t>7</w:t>
                        </w:r>
                        <w:r>
                          <w:rPr>
                            <w:rFonts w:ascii="Times New Roman" w:eastAsia="Times New Roman" w:hAnsi="Times New Roman"/>
                            <w:spacing w:val="5"/>
                            <w:sz w:val="24"/>
                          </w:rPr>
                          <w:t xml:space="preserve"> </w:t>
                        </w:r>
                        <w:r>
                          <w:rPr>
                            <w:sz w:val="24"/>
                          </w:rPr>
                          <w:t>号公布</w:t>
                        </w:r>
                        <w:r>
                          <w:rPr>
                            <w:sz w:val="24"/>
                          </w:rPr>
                          <w:tab/>
                        </w:r>
                        <w:r>
                          <w:rPr>
                            <w:sz w:val="24"/>
                          </w:rPr>
                          <w:t>自</w:t>
                        </w:r>
                        <w:r>
                          <w:rPr>
                            <w:spacing w:val="-58"/>
                            <w:sz w:val="24"/>
                          </w:rPr>
                          <w:t xml:space="preserve"> </w:t>
                        </w:r>
                        <w:r>
                          <w:rPr>
                            <w:rFonts w:ascii="Times New Roman" w:eastAsia="Times New Roman" w:hAnsi="Times New Roman"/>
                            <w:sz w:val="24"/>
                          </w:rPr>
                          <w:t>2024</w:t>
                        </w:r>
                        <w:r>
                          <w:rPr>
                            <w:rFonts w:ascii="Times New Roman" w:eastAsia="Times New Roman" w:hAnsi="Times New Roman"/>
                            <w:spacing w:val="3"/>
                            <w:sz w:val="24"/>
                          </w:rPr>
                          <w:t xml:space="preserve"> </w:t>
                        </w:r>
                        <w:r>
                          <w:rPr>
                            <w:sz w:val="24"/>
                          </w:rPr>
                          <w:t>年</w:t>
                        </w:r>
                        <w:r>
                          <w:rPr>
                            <w:spacing w:val="-57"/>
                            <w:sz w:val="24"/>
                          </w:rPr>
                          <w:t xml:space="preserve"> </w:t>
                        </w:r>
                        <w:r>
                          <w:rPr>
                            <w:rFonts w:ascii="Times New Roman" w:eastAsia="Times New Roman" w:hAnsi="Times New Roman"/>
                            <w:sz w:val="24"/>
                          </w:rPr>
                          <w:t>2</w:t>
                        </w:r>
                        <w:r>
                          <w:rPr>
                            <w:rFonts w:ascii="Times New Roman" w:eastAsia="Times New Roman" w:hAnsi="Times New Roman"/>
                            <w:spacing w:val="2"/>
                            <w:sz w:val="24"/>
                          </w:rPr>
                          <w:t xml:space="preserve"> </w:t>
                        </w:r>
                        <w:r>
                          <w:rPr>
                            <w:sz w:val="24"/>
                          </w:rPr>
                          <w:t>月</w:t>
                        </w:r>
                        <w:r>
                          <w:rPr>
                            <w:spacing w:val="-55"/>
                            <w:sz w:val="24"/>
                          </w:rPr>
                          <w:t xml:space="preserve"> </w:t>
                        </w:r>
                        <w:r>
                          <w:rPr>
                            <w:rFonts w:ascii="Times New Roman" w:eastAsia="Times New Roman" w:hAnsi="Times New Roman"/>
                            <w:sz w:val="24"/>
                          </w:rPr>
                          <w:t xml:space="preserve">1 </w:t>
                        </w:r>
                        <w:r>
                          <w:rPr>
                            <w:sz w:val="24"/>
                          </w:rPr>
                          <w:t>日起施行</w:t>
                        </w:r>
                        <w:r>
                          <w:rPr>
                            <w:spacing w:val="-22"/>
                            <w:sz w:val="24"/>
                          </w:rPr>
                          <w:t>），</w:t>
                        </w:r>
                        <w:r>
                          <w:rPr>
                            <w:sz w:val="24"/>
                          </w:rPr>
                          <w:t>本项目属于其中</w:t>
                        </w:r>
                        <w:r>
                          <w:rPr>
                            <w:rFonts w:ascii="Times New Roman" w:eastAsia="Times New Roman" w:hAnsi="Times New Roman"/>
                            <w:sz w:val="24"/>
                          </w:rPr>
                          <w:t>“</w:t>
                        </w:r>
                        <w:r>
                          <w:rPr>
                            <w:sz w:val="24"/>
                          </w:rPr>
                          <w:t>第一类</w:t>
                        </w:r>
                        <w:r>
                          <w:rPr>
                            <w:spacing w:val="2"/>
                            <w:sz w:val="24"/>
                          </w:rPr>
                          <w:t xml:space="preserve"> </w:t>
                        </w:r>
                        <w:r>
                          <w:rPr>
                            <w:sz w:val="24"/>
                          </w:rPr>
                          <w:t>鼓励类</w:t>
                        </w:r>
                        <w:r>
                          <w:rPr>
                            <w:rFonts w:ascii="Times New Roman" w:eastAsia="Times New Roman" w:hAnsi="Times New Roman"/>
                            <w:sz w:val="24"/>
                          </w:rPr>
                          <w:t>”-“</w:t>
                        </w:r>
                        <w:r>
                          <w:rPr>
                            <w:sz w:val="24"/>
                          </w:rPr>
                          <w:t>四</w:t>
                        </w:r>
                        <w:r>
                          <w:rPr>
                            <w:spacing w:val="-22"/>
                            <w:sz w:val="24"/>
                          </w:rPr>
                          <w:t>、</w:t>
                        </w:r>
                        <w:r>
                          <w:rPr>
                            <w:sz w:val="24"/>
                          </w:rPr>
                          <w:t>电力</w:t>
                        </w:r>
                        <w:r>
                          <w:rPr>
                            <w:rFonts w:ascii="Times New Roman" w:eastAsia="Times New Roman" w:hAnsi="Times New Roman"/>
                            <w:spacing w:val="-5"/>
                            <w:sz w:val="24"/>
                          </w:rPr>
                          <w:t>”-“</w:t>
                        </w:r>
                        <w:r>
                          <w:rPr>
                            <w:spacing w:val="-5"/>
                            <w:sz w:val="24"/>
                          </w:rPr>
                          <w:t>2．</w:t>
                        </w:r>
                        <w:r>
                          <w:rPr>
                            <w:sz w:val="24"/>
                          </w:rPr>
                          <w:t>电力基础设</w:t>
                        </w:r>
                      </w:p>
                      <w:p>
                        <w:pPr>
                          <w:pStyle w:val="TableParagraph"/>
                          <w:spacing w:before="5"/>
                          <w:ind w:left="19" w:right="-15"/>
                          <w:rPr>
                            <w:sz w:val="24"/>
                          </w:rPr>
                        </w:pPr>
                        <w:r>
                          <w:rPr>
                            <w:spacing w:val="-11"/>
                            <w:sz w:val="24"/>
                          </w:rPr>
                          <w:t>施建设：大中型水力发电及抽水蓄能电站、大型电站及大电网变电站</w:t>
                        </w:r>
                      </w:p>
                    </w:tc>
                  </w:tr>
                </w:tbl>
                <w:p>
                  <w:pPr>
                    <w:pStyle w:val="BodyText"/>
                  </w:pPr>
                </w:p>
              </w:txbxContent>
            </v:textbox>
          </v:shape>
        </w:pict>
      </w:r>
      <w:bookmarkStart w:id="0" w:name="_bookmark0"/>
      <w:bookmarkEnd w:id="0"/>
      <w:bookmarkStart w:id="1" w:name="一、建设项目基本情况"/>
      <w:bookmarkEnd w:id="1"/>
      <w:r>
        <w:t>一、建设项目基本情况</w:t>
      </w:r>
    </w:p>
    <w:p>
      <w:pPr>
        <w:pStyle w:val="BodyText"/>
        <w:rPr>
          <w:b/>
          <w:sz w:val="20"/>
        </w:rPr>
      </w:pPr>
    </w:p>
    <w:p>
      <w:pPr>
        <w:pStyle w:val="BodyText"/>
        <w:rPr>
          <w:b/>
          <w:sz w:val="20"/>
        </w:rPr>
      </w:pPr>
    </w:p>
    <w:p>
      <w:pPr>
        <w:pStyle w:val="BodyText"/>
        <w:spacing w:before="10"/>
        <w:rPr>
          <w:b/>
          <w:sz w:val="22"/>
        </w:rPr>
      </w:pPr>
      <w:r>
        <w:pict>
          <v:rect id="_x0000_s1167" o:spid="_x0000_s1026" style="width:12pt;height:11.95pt;margin-top:18.7pt;margin-left:194.2pt;mso-height-relative:page;mso-position-horizontal-relative:page;mso-width-relative:page;mso-wrap-distance-bottom:0;mso-wrap-distance-top:0;position:absolute;z-index:-251658240" coordsize="21600,21600" filled="t" fillcolor="black" stroked="f">
            <w10:wrap type="topAndBottom"/>
          </v:rect>
        </w:pict>
      </w:r>
      <w:r>
        <w:pict>
          <v:rect id="_x0000_s1168" o:spid="_x0000_s1027" style="width:66pt;height:16.1pt;margin-top:16.55pt;margin-left:408.9pt;mso-height-relative:page;mso-position-horizontal-relative:page;mso-width-relative:page;mso-wrap-distance-bottom:0;mso-wrap-distance-top:0;position:absolute;z-index:-251657216" coordsize="21600,21600" filled="t" fillcolor="black" stroked="f">
            <w10:wrap type="topAndBottom"/>
          </v:rect>
        </w:pict>
      </w:r>
    </w:p>
    <w:p>
      <w:pPr>
        <w:pStyle w:val="BodyText"/>
        <w:rPr>
          <w:b/>
          <w:sz w:val="28"/>
        </w:rPr>
      </w:pPr>
    </w:p>
    <w:p>
      <w:pPr>
        <w:pStyle w:val="BodyText"/>
        <w:rPr>
          <w:b/>
          <w:sz w:val="28"/>
        </w:rPr>
      </w:pPr>
    </w:p>
    <w:p>
      <w:pPr>
        <w:pStyle w:val="BodyText"/>
        <w:rPr>
          <w:b/>
          <w:sz w:val="28"/>
        </w:rPr>
      </w:pPr>
    </w:p>
    <w:p>
      <w:pPr>
        <w:pStyle w:val="BodyText"/>
        <w:spacing w:before="3"/>
        <w:rPr>
          <w:b/>
          <w:sz w:val="21"/>
        </w:rPr>
      </w:pPr>
    </w:p>
    <w:p>
      <w:pPr>
        <w:pStyle w:val="BodyText"/>
        <w:ind w:left="9023"/>
      </w:pPr>
      <w:r>
        <w: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rPr>
          <w:sz w:val="28"/>
        </w:rPr>
      </w:pPr>
    </w:p>
    <w:p>
      <w:pPr>
        <w:pStyle w:val="BodyText"/>
        <w:spacing w:before="1"/>
        <w:ind w:left="9083"/>
      </w:pPr>
      <w:r>
        <w:t>》</w:t>
      </w:r>
    </w:p>
    <w:p>
      <w:pPr>
        <w:spacing w:after="0"/>
        <w:sectPr>
          <w:footerReference w:type="default" r:id="rId5"/>
          <w:pgSz w:w="11910" w:h="16840"/>
          <w:pgMar w:top="1380" w:right="1200" w:bottom="1240" w:left="1280" w:header="0" w:footer="1043" w:gutter="0"/>
          <w:pgNumType w:start="1"/>
          <w:cols w:num="1" w:space="720"/>
        </w:sectPr>
      </w:pPr>
    </w:p>
    <w:p>
      <w:pPr>
        <w:pStyle w:val="BodyText"/>
        <w:spacing w:before="45" w:line="364" w:lineRule="auto"/>
        <w:ind w:left="2116" w:right="221"/>
        <w:jc w:val="both"/>
      </w:pPr>
      <w:r>
        <w:pict>
          <v:group id="_x0000_s1169" o:spid="_x0000_s1028" style="width:455.05pt;height:686.15pt;margin-top:70.9pt;margin-left:70.4pt;mso-height-relative:page;mso-position-horizontal-relative:page;mso-position-vertical-relative:page;mso-width-relative:page;position:absolute;z-index:-251655168" coordorigin="1408,1418" coordsize="9101,13723">
            <v:shape id="_x0000_s1170" o:spid="_x0000_s1029" style="width:9101;height:13723;left:1408;position:absolute;top:1699" coordorigin="1408,1700" coordsize="9101,13723" path="m1408,1428l10509,1428m1408,15131l10509,15131m1418,1418l1418,15140m10499,1437l10499,15140e" filled="f" stroked="t" strokecolor="black">
              <v:path arrowok="t"/>
            </v:shape>
            <v:line id="_x0000_s1171" o:spid="_x0000_s1030" style="position:absolute" from="3381,1437" to="3381,15121" coordsize="21600,21600" stroked="t" strokecolor="black"/>
          </v:group>
        </w:pict>
      </w:r>
      <w:r>
        <w:rPr>
          <w:spacing w:val="-8"/>
        </w:rPr>
        <w:t>集约化设计和自动化技术开发与应用，跨区电网互联工程技术开发与</w:t>
      </w:r>
      <w:r>
        <w:rPr>
          <w:spacing w:val="-12"/>
        </w:rPr>
        <w:t>应用，电网改造与建设，增量配电网建设，边境及国家大电网未覆盖</w:t>
      </w:r>
      <w:r>
        <w:rPr>
          <w:spacing w:val="-9"/>
        </w:rPr>
        <w:t>的地区可再生能源局域网建设，输变电、配电节能、降损、环保技术</w:t>
      </w:r>
      <w:r>
        <w:t>开发与推广应用</w:t>
      </w:r>
      <w:r>
        <w:rPr>
          <w:rFonts w:ascii="Times New Roman" w:eastAsia="Times New Roman" w:hAnsi="Times New Roman"/>
        </w:rPr>
        <w:t>”</w:t>
      </w:r>
      <w:r>
        <w:t>，符合国家产业政策。</w:t>
      </w:r>
    </w:p>
    <w:p>
      <w:pPr>
        <w:pStyle w:val="BodyText"/>
        <w:spacing w:line="364" w:lineRule="auto"/>
        <w:ind w:left="2116" w:right="221" w:firstLine="480"/>
        <w:jc w:val="both"/>
      </w:pPr>
      <w:r>
        <w:t>根据《市场准入负面清单（</w:t>
      </w:r>
      <w:r>
        <w:rPr>
          <w:rFonts w:ascii="Times New Roman" w:eastAsia="Times New Roman" w:hAnsi="Times New Roman"/>
        </w:rPr>
        <w:t xml:space="preserve">2022 </w:t>
      </w:r>
      <w:r>
        <w:t>年版）》，“电力供应业”属</w:t>
      </w:r>
      <w:r>
        <w:rPr>
          <w:spacing w:val="-12"/>
        </w:rPr>
        <w:t>于“许可准入类”，本项目建成后的运营单位为广东电网有限责任公</w:t>
      </w:r>
      <w:r>
        <w:rPr>
          <w:spacing w:val="-11"/>
        </w:rPr>
        <w:t>司珠海供电局，该单位已获得许可经营电力供应业。因此，项目符合</w:t>
      </w:r>
    </w:p>
    <w:p>
      <w:pPr>
        <w:pStyle w:val="BodyText"/>
        <w:spacing w:line="307" w:lineRule="exact"/>
        <w:ind w:left="2116"/>
        <w:jc w:val="both"/>
      </w:pPr>
      <w:r>
        <w:t>《市场准入负面清单（</w:t>
      </w:r>
      <w:r>
        <w:rPr>
          <w:rFonts w:ascii="Times New Roman" w:eastAsia="Times New Roman"/>
        </w:rPr>
        <w:t xml:space="preserve">2022 </w:t>
      </w:r>
      <w:r>
        <w:t>年版）》的要求。</w:t>
      </w:r>
    </w:p>
    <w:p>
      <w:pPr>
        <w:pStyle w:val="BodyText"/>
        <w:spacing w:before="156" w:line="364" w:lineRule="auto"/>
        <w:ind w:left="2116" w:right="221" w:firstLine="480"/>
        <w:jc w:val="both"/>
      </w:pPr>
      <w:r>
        <w:rPr>
          <w:spacing w:val="-9"/>
        </w:rPr>
        <w:t xml:space="preserve">根据《珠海市产业发展导向目录 </w:t>
      </w:r>
      <w:r>
        <w:rPr>
          <w:rFonts w:ascii="Times New Roman" w:eastAsia="Times New Roman" w:hAnsi="Times New Roman"/>
        </w:rPr>
        <w:t xml:space="preserve">2020 </w:t>
      </w:r>
      <w:r>
        <w:t>年本</w:t>
      </w:r>
      <w:r>
        <w:rPr>
          <w:spacing w:val="-27"/>
        </w:rPr>
        <w:t>）</w:t>
      </w:r>
      <w:r>
        <w:rPr>
          <w:spacing w:val="-9"/>
        </w:rPr>
        <w:t>》，本工程属于</w:t>
      </w:r>
      <w:r>
        <w:rPr>
          <w:rFonts w:ascii="Times New Roman" w:eastAsia="Times New Roman" w:hAnsi="Times New Roman"/>
        </w:rPr>
        <w:t>“</w:t>
      </w:r>
      <w:r>
        <w:rPr>
          <w:spacing w:val="-16"/>
        </w:rPr>
        <w:t>其</w:t>
      </w:r>
      <w:r>
        <w:rPr>
          <w:spacing w:val="-8"/>
        </w:rPr>
        <w:t>他属于国家、省鼓励发展产业</w:t>
      </w:r>
      <w:r>
        <w:rPr>
          <w:rFonts w:ascii="Times New Roman" w:eastAsia="Times New Roman" w:hAnsi="Times New Roman"/>
          <w:spacing w:val="-29"/>
        </w:rPr>
        <w:t>”</w:t>
      </w:r>
      <w:r>
        <w:rPr>
          <w:spacing w:val="-8"/>
        </w:rPr>
        <w:t>，不属于</w:t>
      </w:r>
      <w:r>
        <w:rPr>
          <w:rFonts w:ascii="Times New Roman" w:eastAsia="Times New Roman" w:hAnsi="Times New Roman"/>
        </w:rPr>
        <w:t>“</w:t>
      </w:r>
      <w:r>
        <w:t>限制发展类</w:t>
      </w:r>
      <w:r>
        <w:rPr>
          <w:rFonts w:ascii="Times New Roman" w:eastAsia="Times New Roman" w:hAnsi="Times New Roman"/>
        </w:rPr>
        <w:t>”</w:t>
      </w:r>
      <w:r>
        <w:rPr>
          <w:spacing w:val="-56"/>
        </w:rPr>
        <w:t>、</w:t>
      </w:r>
      <w:r>
        <w:rPr>
          <w:rFonts w:ascii="Times New Roman" w:eastAsia="Times New Roman" w:hAnsi="Times New Roman"/>
        </w:rPr>
        <w:t>“</w:t>
      </w:r>
      <w:r>
        <w:t>禁止发展类</w:t>
      </w:r>
      <w:r>
        <w:rPr>
          <w:rFonts w:ascii="Times New Roman" w:eastAsia="Times New Roman" w:hAnsi="Times New Roman"/>
          <w:spacing w:val="-13"/>
        </w:rPr>
        <w:t xml:space="preserve">” </w:t>
      </w:r>
      <w:r>
        <w:t>产业，因此本项目符合珠海市地方产业政策。</w:t>
      </w:r>
    </w:p>
    <w:p>
      <w:pPr>
        <w:pStyle w:val="BodyText"/>
        <w:spacing w:line="307" w:lineRule="exact"/>
        <w:ind w:left="2596"/>
      </w:pPr>
      <w:r>
        <w:t>根据《关于印发</w:t>
      </w:r>
      <w:r>
        <w:rPr>
          <w:rFonts w:ascii="Times New Roman" w:eastAsia="Times New Roman"/>
        </w:rPr>
        <w:t>&lt;</w:t>
      </w:r>
      <w:r>
        <w:t>横琴粤澳深度合作区鼓励类产业目录</w:t>
      </w:r>
      <w:r>
        <w:rPr>
          <w:rFonts w:ascii="Times New Roman" w:eastAsia="Times New Roman"/>
        </w:rPr>
        <w:t>&gt;</w:t>
      </w:r>
      <w:r>
        <w:t>的通知》</w:t>
      </w:r>
    </w:p>
    <w:p>
      <w:pPr>
        <w:pStyle w:val="BodyText"/>
        <w:spacing w:before="158" w:line="364" w:lineRule="auto"/>
        <w:ind w:left="2116" w:right="221"/>
        <w:jc w:val="both"/>
      </w:pPr>
      <w:r>
        <w:t>（</w:t>
      </w:r>
      <w:r>
        <w:rPr>
          <w:spacing w:val="-6"/>
        </w:rPr>
        <w:t>发改地区〔</w:t>
      </w:r>
      <w:r>
        <w:rPr>
          <w:rFonts w:ascii="Times New Roman" w:eastAsia="Times New Roman" w:hAnsi="Times New Roman"/>
        </w:rPr>
        <w:t>2023</w:t>
      </w:r>
      <w:r>
        <w:rPr>
          <w:spacing w:val="-27"/>
        </w:rPr>
        <w:t>〕</w:t>
      </w:r>
      <w:r>
        <w:rPr>
          <w:rFonts w:ascii="Times New Roman" w:eastAsia="Times New Roman" w:hAnsi="Times New Roman"/>
        </w:rPr>
        <w:t xml:space="preserve">302 </w:t>
      </w:r>
      <w:r>
        <w:t>号</w:t>
      </w:r>
      <w:r>
        <w:rPr>
          <w:spacing w:val="-28"/>
        </w:rPr>
        <w:t>）</w:t>
      </w:r>
      <w:r>
        <w:rPr>
          <w:spacing w:val="-16"/>
        </w:rPr>
        <w:t xml:space="preserve">，本项目将 </w:t>
      </w:r>
      <w:r>
        <w:rPr>
          <w:rFonts w:ascii="Times New Roman" w:eastAsia="Times New Roman" w:hAnsi="Times New Roman"/>
        </w:rPr>
        <w:t xml:space="preserve">220kV </w:t>
      </w:r>
      <w:r>
        <w:rPr>
          <w:spacing w:val="-2"/>
        </w:rPr>
        <w:t>加琴甲乙线现状架空</w:t>
      </w:r>
      <w:r>
        <w:t>线路改造为电缆入廊线路属于该目录中的“</w:t>
      </w:r>
      <w:r>
        <w:rPr>
          <w:rFonts w:ascii="Times New Roman" w:eastAsia="Times New Roman" w:hAnsi="Times New Roman"/>
        </w:rPr>
        <w:t>179</w:t>
      </w:r>
      <w:r>
        <w:rPr>
          <w:spacing w:val="-2"/>
        </w:rPr>
        <w:t>．城市供气、供冷、</w:t>
      </w:r>
      <w:r>
        <w:rPr>
          <w:spacing w:val="-7"/>
        </w:rPr>
        <w:t>供排水管网建设及城镇地下管网建设与经营”，符合横琴粤澳深度合</w:t>
      </w:r>
      <w:r>
        <w:t>作区产业政策。</w:t>
      </w:r>
    </w:p>
    <w:p>
      <w:pPr>
        <w:pStyle w:val="Heading3"/>
        <w:numPr>
          <w:ilvl w:val="0"/>
          <w:numId w:val="1"/>
        </w:numPr>
        <w:tabs>
          <w:tab w:val="left" w:pos="2356"/>
        </w:tabs>
        <w:spacing w:before="0" w:after="0" w:line="240" w:lineRule="auto"/>
        <w:ind w:left="2356" w:right="0" w:hanging="240"/>
        <w:jc w:val="both"/>
      </w:pPr>
      <w:r>
        <w:t>选址选线相符性分析</w:t>
      </w:r>
    </w:p>
    <w:p>
      <w:pPr>
        <w:pStyle w:val="BodyText"/>
        <w:spacing w:before="158" w:line="364" w:lineRule="auto"/>
        <w:ind w:left="2116" w:right="221" w:firstLine="480"/>
        <w:jc w:val="both"/>
      </w:pPr>
      <w:r>
        <w:rPr>
          <w:spacing w:val="-9"/>
        </w:rPr>
        <w:t>本工程属于基础设施建设，工程调查范围内无自然保护区、生态</w:t>
      </w:r>
      <w:r>
        <w:rPr>
          <w:spacing w:val="-13"/>
        </w:rPr>
        <w:t>保护红线、世界文化和自然遗产地、饮用水水源保护区等特殊环境敏感区，用地不占用基本农田。项目线路迁改方案已获得珠海市自然资</w:t>
      </w:r>
      <w:r>
        <w:rPr>
          <w:spacing w:val="-2"/>
        </w:rPr>
        <w:t>源局原则性同意的复函</w:t>
      </w:r>
      <w:r>
        <w:t>（</w:t>
      </w:r>
      <w:r>
        <w:rPr>
          <w:spacing w:val="-15"/>
        </w:rPr>
        <w:t xml:space="preserve">见附件 </w:t>
      </w:r>
      <w:r>
        <w:rPr>
          <w:rFonts w:ascii="Times New Roman" w:eastAsia="Times New Roman"/>
          <w:spacing w:val="-13"/>
        </w:rPr>
        <w:t>2</w:t>
      </w:r>
      <w:r>
        <w:rPr>
          <w:spacing w:val="-13"/>
        </w:rPr>
        <w:t>）</w:t>
      </w:r>
      <w:r>
        <w:rPr>
          <w:spacing w:val="-5"/>
        </w:rPr>
        <w:t>，复函明确该线路迁改方案符合</w:t>
      </w:r>
      <w:r>
        <w:rPr>
          <w:spacing w:val="-13"/>
        </w:rPr>
        <w:t>城乡规划。项目新增的电缆终端塔用地已经获得鹤州新区筹备组复函</w:t>
      </w:r>
      <w:r>
        <w:t>同意（</w:t>
      </w:r>
      <w:r>
        <w:rPr>
          <w:spacing w:val="-15"/>
        </w:rPr>
        <w:t xml:space="preserve">见附件 </w:t>
      </w:r>
      <w:r>
        <w:rPr>
          <w:rFonts w:ascii="Times New Roman" w:eastAsia="Times New Roman"/>
        </w:rPr>
        <w:t>2</w:t>
      </w:r>
      <w:r>
        <w:t>）。故项目选址与当地城乡规划相符。</w:t>
      </w:r>
    </w:p>
    <w:p>
      <w:pPr>
        <w:pStyle w:val="Heading3"/>
        <w:numPr>
          <w:ilvl w:val="0"/>
          <w:numId w:val="1"/>
        </w:numPr>
        <w:tabs>
          <w:tab w:val="left" w:pos="2356"/>
        </w:tabs>
        <w:spacing w:before="117" w:after="0" w:line="240" w:lineRule="auto"/>
        <w:ind w:left="2356" w:right="0" w:hanging="240"/>
        <w:jc w:val="both"/>
      </w:pPr>
      <w:r>
        <w:rPr>
          <w:w w:val="95"/>
        </w:rPr>
        <w:t>与广东省“三线一单”相符性</w:t>
      </w:r>
    </w:p>
    <w:p>
      <w:pPr>
        <w:pStyle w:val="Heading3"/>
        <w:numPr>
          <w:ilvl w:val="1"/>
          <w:numId w:val="1"/>
        </w:numPr>
        <w:tabs>
          <w:tab w:val="left" w:pos="3188"/>
        </w:tabs>
        <w:spacing w:before="160" w:after="0" w:line="240" w:lineRule="auto"/>
        <w:ind w:left="3187" w:right="0" w:hanging="602"/>
        <w:jc w:val="left"/>
      </w:pPr>
      <w:r>
        <w:rPr>
          <w:w w:val="95"/>
        </w:rPr>
        <w:t>生态保护红线</w:t>
      </w:r>
    </w:p>
    <w:p>
      <w:pPr>
        <w:pStyle w:val="BodyText"/>
        <w:spacing w:before="158" w:line="364" w:lineRule="auto"/>
        <w:ind w:left="2116" w:right="221" w:firstLine="480"/>
        <w:jc w:val="both"/>
      </w:pPr>
      <w:r>
        <w:rPr>
          <w:spacing w:val="3"/>
        </w:rPr>
        <w:t>生态保护红线是生态空间范围内具有特殊重要生态功能必须实</w:t>
      </w:r>
      <w:r>
        <w:rPr>
          <w:spacing w:val="-7"/>
        </w:rPr>
        <w:t>行强制性严格保护的区域。根据《广东省“三线一单”生态环境分区</w:t>
      </w:r>
      <w:r>
        <w:t>管控方案》（粤府〔</w:t>
      </w:r>
      <w:r>
        <w:rPr>
          <w:rFonts w:ascii="Times New Roman" w:eastAsia="Times New Roman" w:hAnsi="Times New Roman"/>
        </w:rPr>
        <w:t>2020</w:t>
      </w:r>
      <w:r>
        <w:t>〕</w:t>
      </w:r>
      <w:r>
        <w:rPr>
          <w:rFonts w:ascii="Times New Roman" w:eastAsia="Times New Roman" w:hAnsi="Times New Roman"/>
        </w:rPr>
        <w:t xml:space="preserve">71 </w:t>
      </w:r>
      <w:r>
        <w:t>号），项目所在地不属于生态优先保</w:t>
      </w:r>
      <w:r>
        <w:rPr>
          <w:spacing w:val="-12"/>
        </w:rPr>
        <w:t>护区、水环境优先保护区、大气环境优先保护区等优先保护单元，不</w:t>
      </w:r>
    </w:p>
    <w:p>
      <w:pPr>
        <w:spacing w:after="0" w:line="364" w:lineRule="auto"/>
        <w:jc w:val="both"/>
        <w:sectPr>
          <w:footerReference w:type="default" r:id="rId6"/>
          <w:pgSz w:w="11910" w:h="16840"/>
          <w:pgMar w:top="1400" w:right="1200" w:bottom="1240" w:left="1280" w:header="0" w:footer="1043" w:gutter="0"/>
          <w:pgNumType w:start="2"/>
          <w:cols w:num="1" w:space="720"/>
        </w:sectPr>
      </w:pPr>
    </w:p>
    <w:p>
      <w:pPr>
        <w:pStyle w:val="BodyText"/>
        <w:spacing w:before="45"/>
        <w:ind w:left="2116"/>
      </w:pPr>
      <w:r>
        <w:pict>
          <v:group id="_x0000_s1172" o:spid="_x0000_s1031" style="width:455.05pt;height:680.15pt;margin-top:70.9pt;margin-left:70.4pt;mso-height-relative:page;mso-position-horizontal-relative:page;mso-position-vertical-relative:page;mso-width-relative:page;position:absolute;z-index:-251654144" coordorigin="1408,1418" coordsize="9101,13603">
            <v:shape id="_x0000_s1173" o:spid="_x0000_s1032" style="width:9101;height:13603;left:1408;position:absolute;top:1819" coordorigin="1408,1820" coordsize="9101,13603" path="m1408,1428l10509,1428m1408,15011l10509,15011m1418,1418l1418,15020m10499,1437l10499,15020e" filled="f" stroked="t" strokecolor="black">
              <v:path arrowok="t"/>
            </v:shape>
            <v:line id="_x0000_s1174" o:spid="_x0000_s1033" style="position:absolute" from="3381,1437" to="3381,15001" coordsize="21600,21600" stroked="t" strokecolor="black"/>
          </v:group>
        </w:pict>
      </w:r>
      <w:r>
        <w:rPr>
          <w:spacing w:val="-16"/>
        </w:rPr>
        <w:t>涉及生态保护红线。因此，本工程建设与生态保护红线管理政策相符。</w:t>
      </w:r>
    </w:p>
    <w:p>
      <w:pPr>
        <w:pStyle w:val="Heading3"/>
        <w:numPr>
          <w:ilvl w:val="1"/>
          <w:numId w:val="54"/>
        </w:numPr>
        <w:tabs>
          <w:tab w:val="left" w:pos="3188"/>
        </w:tabs>
        <w:spacing w:before="159" w:after="0" w:line="240" w:lineRule="auto"/>
        <w:ind w:left="3187" w:right="0" w:hanging="602"/>
        <w:jc w:val="left"/>
      </w:pPr>
      <w:r>
        <w:t>环境质量底线</w:t>
      </w:r>
    </w:p>
    <w:p>
      <w:pPr>
        <w:pStyle w:val="BodyText"/>
        <w:spacing w:before="160" w:line="362" w:lineRule="auto"/>
        <w:ind w:left="2116" w:right="221" w:firstLine="470"/>
      </w:pPr>
      <w:r>
        <w:t>环境质量底线是国家和地方设置的大气、水和土壤环境质量目标，也是改善环境质量的基准线。</w:t>
      </w:r>
    </w:p>
    <w:p>
      <w:pPr>
        <w:pStyle w:val="BodyText"/>
        <w:spacing w:before="5" w:line="364" w:lineRule="auto"/>
        <w:ind w:left="2116" w:right="101" w:firstLine="470"/>
      </w:pPr>
      <w:r>
        <w:rPr>
          <w:spacing w:val="-10"/>
        </w:rPr>
        <w:t>根据现状监测，项目所经区域的声环境、电磁环境现状均满足相应标准要求；同时，项目为输变电工程，运营期不产生大气污染物， 对大气环境无影响，不产生生产工业废水，不会对周边地表水环境造</w:t>
      </w:r>
      <w:r>
        <w:rPr>
          <w:spacing w:val="-14"/>
        </w:rPr>
        <w:t>成不良影响，根据本次环评预测结果，营运期的声环境、电磁环境影</w:t>
      </w:r>
      <w:r>
        <w:rPr>
          <w:spacing w:val="-20"/>
        </w:rPr>
        <w:t>响均满足标准要求。故项目投运后在正常工况下不会对地表水、大气、</w:t>
      </w:r>
      <w:r>
        <w:t>土壤等环境造成明显影响，符合环境质量底线要求。</w:t>
      </w:r>
    </w:p>
    <w:p>
      <w:pPr>
        <w:pStyle w:val="Heading3"/>
        <w:numPr>
          <w:ilvl w:val="1"/>
          <w:numId w:val="54"/>
        </w:numPr>
        <w:tabs>
          <w:tab w:val="left" w:pos="3188"/>
        </w:tabs>
        <w:spacing w:before="0" w:after="0" w:line="304" w:lineRule="exact"/>
        <w:ind w:left="3187" w:right="0" w:hanging="602"/>
        <w:jc w:val="left"/>
      </w:pPr>
      <w:r>
        <w:t>资源利用上线</w:t>
      </w:r>
    </w:p>
    <w:p>
      <w:pPr>
        <w:pStyle w:val="BodyText"/>
        <w:spacing w:before="161" w:line="364" w:lineRule="auto"/>
        <w:ind w:left="2116" w:right="221" w:firstLine="470"/>
        <w:jc w:val="both"/>
      </w:pPr>
      <w:r>
        <w:rPr>
          <w:spacing w:val="-15"/>
        </w:rPr>
        <w:t>资源利用上线是各地区能源、水、土地等资源消耗不得突破的</w:t>
      </w:r>
      <w:r>
        <w:rPr>
          <w:rFonts w:ascii="Times New Roman" w:eastAsia="Times New Roman" w:hAnsi="Times New Roman"/>
        </w:rPr>
        <w:t>“</w:t>
      </w:r>
      <w:r>
        <w:rPr>
          <w:spacing w:val="-16"/>
        </w:rPr>
        <w:t>天</w:t>
      </w:r>
      <w:r>
        <w:t>花板</w:t>
      </w:r>
      <w:r>
        <w:rPr>
          <w:rFonts w:ascii="Times New Roman" w:eastAsia="Times New Roman" w:hAnsi="Times New Roman"/>
        </w:rPr>
        <w:t>”</w:t>
      </w:r>
      <w:r>
        <w:rPr>
          <w:spacing w:val="-1"/>
        </w:rPr>
        <w:t>。强化节约集约利用，持续提升能源资源利用效率，水资源、</w:t>
      </w:r>
      <w:r>
        <w:rPr>
          <w:spacing w:val="-13"/>
        </w:rPr>
        <w:t>土地资源、岸线资源、能源消耗等达到或优于国家、省下达的总量和</w:t>
      </w:r>
      <w:r>
        <w:t>强度控制目标。</w:t>
      </w:r>
    </w:p>
    <w:p>
      <w:pPr>
        <w:pStyle w:val="BodyText"/>
        <w:spacing w:line="364" w:lineRule="auto"/>
        <w:ind w:left="2116" w:right="221" w:firstLine="470"/>
        <w:jc w:val="both"/>
      </w:pPr>
      <w:r>
        <w:rPr>
          <w:spacing w:val="-7"/>
        </w:rPr>
        <w:t>本项目为输变电线路迁改工程，把架空线路改为电缆线路，能减</w:t>
      </w:r>
      <w:r>
        <w:rPr>
          <w:spacing w:val="-12"/>
        </w:rPr>
        <w:t>少土地的占用，释放更多土地资源。同时项目的运行不消耗水、不需</w:t>
      </w:r>
      <w:r>
        <w:t>额外增加能源消耗。因此项目符合资源利用上线的要求。</w:t>
      </w:r>
    </w:p>
    <w:p>
      <w:pPr>
        <w:pStyle w:val="Heading3"/>
        <w:numPr>
          <w:ilvl w:val="1"/>
          <w:numId w:val="54"/>
        </w:numPr>
        <w:tabs>
          <w:tab w:val="left" w:pos="3188"/>
        </w:tabs>
        <w:spacing w:before="0" w:after="0" w:line="304" w:lineRule="exact"/>
        <w:ind w:left="3187" w:right="0" w:hanging="602"/>
        <w:jc w:val="left"/>
      </w:pPr>
      <w:r>
        <w:t>生态环境准入清单</w:t>
      </w:r>
    </w:p>
    <w:p>
      <w:pPr>
        <w:pStyle w:val="BodyText"/>
        <w:spacing w:before="158" w:line="364" w:lineRule="auto"/>
        <w:ind w:left="2116" w:right="110" w:firstLine="480"/>
      </w:pPr>
      <w:r>
        <w:rPr>
          <w:spacing w:val="-10"/>
        </w:rPr>
        <w:t>根据《广东省人民政府关于印发广东省“三线一单”生态环境分区管控方案的通知》（粤府〔</w:t>
      </w:r>
      <w:r>
        <w:rPr>
          <w:rFonts w:ascii="Times New Roman" w:eastAsia="Times New Roman" w:hAnsi="Times New Roman"/>
          <w:spacing w:val="-10"/>
        </w:rPr>
        <w:t>2020</w:t>
      </w:r>
      <w:r>
        <w:rPr>
          <w:spacing w:val="-10"/>
        </w:rPr>
        <w:t>〕</w:t>
      </w:r>
      <w:r>
        <w:rPr>
          <w:rFonts w:ascii="Times New Roman" w:eastAsia="Times New Roman" w:hAnsi="Times New Roman"/>
          <w:spacing w:val="-10"/>
        </w:rPr>
        <w:t xml:space="preserve">71 </w:t>
      </w:r>
      <w:r>
        <w:t>号），从区域布局管控、能</w:t>
      </w:r>
      <w:r>
        <w:rPr>
          <w:spacing w:val="-1"/>
        </w:rPr>
        <w:t xml:space="preserve">源资源利用、污染物排放管控和环境风险防控等方面明确准入要求， </w:t>
      </w:r>
      <w:r>
        <w:t>建立</w:t>
      </w:r>
      <w:r>
        <w:rPr>
          <w:rFonts w:ascii="Times New Roman" w:eastAsia="Times New Roman" w:hAnsi="Times New Roman"/>
        </w:rPr>
        <w:t>“1+3+N”</w:t>
      </w:r>
      <w:r>
        <w:rPr>
          <w:spacing w:val="-4"/>
        </w:rPr>
        <w:t>三级生态环境准入清单体系。将环境管控单元分为优先</w:t>
      </w:r>
      <w:r>
        <w:rPr>
          <w:spacing w:val="-10"/>
        </w:rPr>
        <w:t>保护、重点管控和一般管控三类。优先保护单元内，包括生态、水环</w:t>
      </w:r>
      <w:r>
        <w:rPr>
          <w:spacing w:val="-12"/>
        </w:rPr>
        <w:t>境、大气环境优先保护单元等，依法禁止或限制大规模、高强度的工</w:t>
      </w:r>
      <w:r>
        <w:rPr>
          <w:spacing w:val="-14"/>
        </w:rPr>
        <w:t>业和城镇建设，确保生态功能不降低。而重点管控单元内，包括省级</w:t>
      </w:r>
      <w:r>
        <w:rPr>
          <w:spacing w:val="-15"/>
        </w:rPr>
        <w:t>以上工业园区、水环境质量超标类、大气环境受体敏感类重点管控单</w:t>
      </w:r>
      <w:r>
        <w:rPr>
          <w:spacing w:val="-14"/>
        </w:rPr>
        <w:t>元等，以推动产业转型升级、强化污染减排、提升资源利用效率为重</w:t>
      </w:r>
      <w:r>
        <w:rPr>
          <w:spacing w:val="-13"/>
        </w:rPr>
        <w:t>点，加快解决资源环境负荷大、局部区域生态环境质量差、生态环境</w:t>
      </w:r>
    </w:p>
    <w:p>
      <w:pPr>
        <w:spacing w:after="0" w:line="364" w:lineRule="auto"/>
        <w:sectPr>
          <w:footerReference w:type="default" r:id="rId7"/>
          <w:pgSz w:w="11910" w:h="16840"/>
          <w:pgMar w:top="1400" w:right="1200" w:bottom="1240" w:left="1280" w:header="0" w:footer="1043" w:gutter="0"/>
          <w:pgNumType w:start="3"/>
          <w:cols w:num="1" w:space="720"/>
        </w:sectPr>
      </w:pPr>
    </w:p>
    <w:p>
      <w:pPr>
        <w:pStyle w:val="BodyText"/>
        <w:spacing w:before="45" w:line="362" w:lineRule="auto"/>
        <w:ind w:left="2116" w:right="101"/>
      </w:pPr>
      <w:r>
        <w:pict>
          <v:group id="_x0000_s1175" o:spid="_x0000_s1034" style="width:455.05pt;height:499.4pt;margin-top:0.85pt;margin-left:70.4pt;mso-height-relative:page;mso-position-horizontal-relative:page;mso-width-relative:page;position:absolute;z-index:-251653120" coordorigin="1408,17" coordsize="9101,9988">
            <v:shape id="_x0000_s1176" o:spid="_x0000_s1035" style="width:9101;height:9988;left:1408;position:absolute;top:4034" coordorigin="1408,4034" coordsize="9101,9988" path="m1408,27l10509,27m1408,9995l10509,9995m1418,17l1418,10004m10499,36l10499,10004e" filled="f" stroked="t" strokecolor="black">
              <v:path arrowok="t"/>
            </v:shape>
            <v:line id="_x0000_s1177" o:spid="_x0000_s1036" style="position:absolute" from="3381,36" to="3381,9985" coordsize="21600,21600" stroked="t" strokecolor="black"/>
          </v:group>
        </w:pict>
      </w:r>
      <w:r>
        <w:rPr>
          <w:spacing w:val="-16"/>
        </w:rPr>
        <w:t xml:space="preserve">风险高等问题。一般管控单元，则执行区域生态环境保护的基本要求， </w:t>
      </w:r>
      <w:r>
        <w:t>引导产业科学布局，合理控制开发强度，维护生态环境功能稳定。</w:t>
      </w:r>
    </w:p>
    <w:p>
      <w:pPr>
        <w:pStyle w:val="BodyText"/>
        <w:spacing w:before="5" w:line="364" w:lineRule="auto"/>
        <w:ind w:left="2116" w:right="221" w:firstLine="480"/>
        <w:jc w:val="both"/>
      </w:pPr>
      <w:r>
        <w:rPr>
          <w:spacing w:val="-10"/>
        </w:rPr>
        <w:t>本工程为输变电工程，属于基础设施建设工程，位于重点管控单</w:t>
      </w:r>
      <w:r>
        <w:rPr>
          <w:spacing w:val="-11"/>
        </w:rPr>
        <w:t>元内，不属于严格限制的新建钢铁、燃煤燃油火电、石化、储油库等</w:t>
      </w:r>
      <w:r>
        <w:t>项目，符合广东省“三线一单”生态环境分区管控方案管理要求。</w:t>
      </w:r>
    </w:p>
    <w:p>
      <w:pPr>
        <w:pStyle w:val="Heading3"/>
        <w:numPr>
          <w:ilvl w:val="0"/>
          <w:numId w:val="1"/>
        </w:numPr>
        <w:tabs>
          <w:tab w:val="left" w:pos="2356"/>
        </w:tabs>
        <w:spacing w:before="120" w:after="0" w:line="240" w:lineRule="auto"/>
        <w:ind w:left="2356" w:right="0" w:hanging="240"/>
        <w:jc w:val="both"/>
      </w:pPr>
      <w:r>
        <w:t>与珠海市“三线一单”的相符性</w:t>
      </w:r>
    </w:p>
    <w:p>
      <w:pPr>
        <w:pStyle w:val="BodyText"/>
        <w:spacing w:before="158" w:line="364" w:lineRule="auto"/>
        <w:ind w:left="2116" w:right="170" w:firstLine="420"/>
        <w:jc w:val="both"/>
      </w:pPr>
      <w:r>
        <w:rPr>
          <w:spacing w:val="-6"/>
        </w:rPr>
        <w:t>根据《珠海市“三线一单”生态环境分区管控方案》，环境管控</w:t>
      </w:r>
      <w:r>
        <w:rPr>
          <w:spacing w:val="-13"/>
        </w:rPr>
        <w:t>单元分为优先保护、重点管控和一般单元三类。珠海市全市共划定陆</w:t>
      </w:r>
      <w:r>
        <w:rPr>
          <w:spacing w:val="-16"/>
        </w:rPr>
        <w:t xml:space="preserve">域环境管控单元 </w:t>
      </w:r>
      <w:r>
        <w:rPr>
          <w:rFonts w:ascii="Times New Roman" w:eastAsia="Times New Roman" w:hAnsi="Times New Roman"/>
        </w:rPr>
        <w:t xml:space="preserve">41 </w:t>
      </w:r>
      <w:r>
        <w:rPr>
          <w:spacing w:val="-5"/>
        </w:rPr>
        <w:t xml:space="preserve">个，其中，优先保护单元 </w:t>
      </w:r>
      <w:r>
        <w:rPr>
          <w:rFonts w:ascii="Times New Roman" w:eastAsia="Times New Roman" w:hAnsi="Times New Roman"/>
        </w:rPr>
        <w:t xml:space="preserve">13 </w:t>
      </w:r>
      <w:r>
        <w:rPr>
          <w:spacing w:val="-11"/>
        </w:rPr>
        <w:t xml:space="preserve">个，面积 </w:t>
      </w:r>
      <w:r>
        <w:rPr>
          <w:rFonts w:ascii="Times New Roman" w:eastAsia="Times New Roman" w:hAnsi="Times New Roman"/>
        </w:rPr>
        <w:t xml:space="preserve">304.06 </w:t>
      </w:r>
      <w:r>
        <w:t>平</w:t>
      </w:r>
      <w:r>
        <w:rPr>
          <w:spacing w:val="-10"/>
        </w:rPr>
        <w:t xml:space="preserve">方公里，占全市陆域面积的 </w:t>
      </w:r>
      <w:r>
        <w:rPr>
          <w:rFonts w:ascii="Times New Roman" w:eastAsia="Times New Roman" w:hAnsi="Times New Roman"/>
          <w:spacing w:val="-5"/>
        </w:rPr>
        <w:t>17.5%</w:t>
      </w:r>
      <w:r>
        <w:rPr>
          <w:spacing w:val="-4"/>
        </w:rPr>
        <w:t>，主要涵盖生态保护红线、一般生</w:t>
      </w:r>
      <w:r>
        <w:rPr>
          <w:spacing w:val="-12"/>
        </w:rPr>
        <w:t>态空间、饮用水水源保护区、环境空气质量一类功能区等区域，主要</w:t>
      </w:r>
      <w:r>
        <w:rPr>
          <w:spacing w:val="-17"/>
        </w:rPr>
        <w:t>分布在香洲北面的凤凰山、斗门区的黄杨山、沿海山地以及万山群岛</w:t>
      </w:r>
      <w:r>
        <w:rPr>
          <w:spacing w:val="-20"/>
        </w:rPr>
        <w:t xml:space="preserve">等生态功能重要区域；重点管控单元 </w:t>
      </w:r>
      <w:r>
        <w:rPr>
          <w:rFonts w:ascii="Times New Roman" w:eastAsia="Times New Roman" w:hAnsi="Times New Roman"/>
        </w:rPr>
        <w:t xml:space="preserve">19 </w:t>
      </w:r>
      <w:r>
        <w:rPr>
          <w:spacing w:val="-12"/>
        </w:rPr>
        <w:t xml:space="preserve">个，面积 </w:t>
      </w:r>
      <w:r>
        <w:rPr>
          <w:rFonts w:ascii="Times New Roman" w:eastAsia="Times New Roman" w:hAnsi="Times New Roman"/>
        </w:rPr>
        <w:t xml:space="preserve">759.99 </w:t>
      </w:r>
      <w:r>
        <w:rPr>
          <w:spacing w:val="-4"/>
        </w:rPr>
        <w:t xml:space="preserve">平方公里， </w:t>
      </w:r>
      <w:r>
        <w:rPr>
          <w:spacing w:val="-7"/>
        </w:rPr>
        <w:t xml:space="preserve">占全市陆域面积的 </w:t>
      </w:r>
      <w:r>
        <w:rPr>
          <w:rFonts w:ascii="Times New Roman" w:eastAsia="Times New Roman" w:hAnsi="Times New Roman"/>
          <w:spacing w:val="-5"/>
        </w:rPr>
        <w:t>43.8%</w:t>
      </w:r>
      <w:r>
        <w:rPr>
          <w:spacing w:val="-7"/>
        </w:rPr>
        <w:t>，主要包括人口集中、工业集聚、环境质量</w:t>
      </w:r>
      <w:r>
        <w:rPr>
          <w:spacing w:val="-10"/>
        </w:rPr>
        <w:t xml:space="preserve">超标区域；一般管控单元 </w:t>
      </w:r>
      <w:r>
        <w:rPr>
          <w:rFonts w:ascii="Times New Roman" w:eastAsia="Times New Roman" w:hAnsi="Times New Roman"/>
        </w:rPr>
        <w:t xml:space="preserve">9 </w:t>
      </w:r>
      <w:r>
        <w:rPr>
          <w:spacing w:val="-10"/>
        </w:rPr>
        <w:t xml:space="preserve">个，面积 </w:t>
      </w:r>
      <w:r>
        <w:rPr>
          <w:rFonts w:ascii="Times New Roman" w:eastAsia="Times New Roman" w:hAnsi="Times New Roman"/>
        </w:rPr>
        <w:t xml:space="preserve">673.04 </w:t>
      </w:r>
      <w:r>
        <w:t>平方公里，占全市陆域</w:t>
      </w:r>
      <w:r>
        <w:rPr>
          <w:spacing w:val="-16"/>
        </w:rPr>
        <w:t xml:space="preserve">面积的 </w:t>
      </w:r>
      <w:r>
        <w:rPr>
          <w:rFonts w:ascii="Times New Roman" w:eastAsia="Times New Roman" w:hAnsi="Times New Roman"/>
        </w:rPr>
        <w:t>38.7%</w:t>
      </w:r>
      <w:r>
        <w:t>，为优先保护单元、重点管控单元以外的区域。</w:t>
      </w:r>
    </w:p>
    <w:p>
      <w:pPr>
        <w:pStyle w:val="BodyText"/>
        <w:spacing w:line="364" w:lineRule="auto"/>
        <w:ind w:left="2116" w:right="221" w:firstLine="480"/>
        <w:jc w:val="both"/>
      </w:pPr>
      <w:r>
        <w:rPr>
          <w:spacing w:val="1"/>
        </w:rPr>
        <w:t xml:space="preserve">本工程迁改线路位于 </w:t>
      </w:r>
      <w:r>
        <w:rPr>
          <w:rFonts w:ascii="Times New Roman" w:eastAsia="Times New Roman"/>
        </w:rPr>
        <w:t>ZH44040220015(</w:t>
      </w:r>
      <w:r>
        <w:rPr>
          <w:spacing w:val="8"/>
        </w:rPr>
        <w:t>香洲区南屏镇</w:t>
      </w:r>
      <w:r>
        <w:rPr>
          <w:rFonts w:ascii="Times New Roman" w:eastAsia="Times New Roman"/>
          <w:spacing w:val="8"/>
        </w:rPr>
        <w:t>-</w:t>
      </w:r>
      <w:r>
        <w:rPr>
          <w:spacing w:val="6"/>
        </w:rPr>
        <w:t>湾仔街道</w:t>
      </w:r>
      <w:r>
        <w:rPr>
          <w:spacing w:val="-25"/>
        </w:rPr>
        <w:t xml:space="preserve">重 点 管 控 单 元 </w:t>
      </w:r>
      <w:r>
        <w:rPr>
          <w:rFonts w:ascii="Times New Roman" w:eastAsia="Times New Roman"/>
          <w:spacing w:val="8"/>
        </w:rPr>
        <w:t xml:space="preserve">) </w:t>
      </w:r>
      <w:r>
        <w:rPr>
          <w:spacing w:val="-23"/>
        </w:rPr>
        <w:t xml:space="preserve">、 </w:t>
      </w:r>
      <w:r>
        <w:rPr>
          <w:rFonts w:ascii="Times New Roman" w:eastAsia="Times New Roman"/>
        </w:rPr>
        <w:t xml:space="preserve">HY44040020015( </w:t>
      </w:r>
      <w:r>
        <w:rPr>
          <w:spacing w:val="-27"/>
        </w:rPr>
        <w:t xml:space="preserve">横 琴 岛 港 口 航 运 区 </w:t>
      </w:r>
      <w:r>
        <w:rPr>
          <w:rFonts w:ascii="Times New Roman" w:eastAsia="Times New Roman"/>
          <w:spacing w:val="6"/>
        </w:rPr>
        <w:t xml:space="preserve">) </w:t>
      </w:r>
      <w:r>
        <w:t>、</w:t>
      </w:r>
      <w:r>
        <w:rPr>
          <w:rFonts w:ascii="Times New Roman" w:eastAsia="Times New Roman"/>
        </w:rPr>
        <w:t>ZH44040220016(</w:t>
      </w:r>
      <w:r>
        <w:t>横琴新区重点管控单元</w:t>
      </w:r>
      <w:r>
        <w:rPr>
          <w:rFonts w:ascii="Times New Roman" w:eastAsia="Times New Roman"/>
        </w:rPr>
        <w:t>)</w:t>
      </w:r>
      <w:r>
        <w:rPr>
          <w:spacing w:val="-1"/>
        </w:rPr>
        <w:t>。工程涉及环境管控单元相</w:t>
      </w:r>
      <w:r>
        <w:rPr>
          <w:spacing w:val="-8"/>
        </w:rPr>
        <w:t xml:space="preserve">符性分析详见表 </w:t>
      </w:r>
      <w:r>
        <w:rPr>
          <w:rFonts w:ascii="Times New Roman" w:eastAsia="Times New Roman"/>
          <w:spacing w:val="-4"/>
        </w:rPr>
        <w:t>1-1</w:t>
      </w:r>
      <w:r>
        <w:rPr>
          <w:spacing w:val="-3"/>
        </w:rPr>
        <w:t>，工程与涉及的环境管控单元相对位置关系见图</w:t>
      </w:r>
      <w:r>
        <w:rPr>
          <w:rFonts w:ascii="Times New Roman" w:eastAsia="Times New Roman"/>
        </w:rPr>
        <w:t>1-1</w:t>
      </w:r>
      <w:r>
        <w:rPr>
          <w:spacing w:val="-21"/>
        </w:rPr>
        <w:t xml:space="preserve">、图 </w:t>
      </w:r>
      <w:r>
        <w:rPr>
          <w:rFonts w:ascii="Times New Roman" w:eastAsia="Times New Roman"/>
        </w:rPr>
        <w:t xml:space="preserve">1-2 </w:t>
      </w:r>
      <w:r>
        <w:t>所示。</w:t>
      </w:r>
    </w:p>
    <w:p>
      <w:pPr>
        <w:spacing w:after="0" w:line="364" w:lineRule="auto"/>
        <w:jc w:val="both"/>
        <w:sectPr>
          <w:footerReference w:type="default" r:id="rId8"/>
          <w:pgSz w:w="11910" w:h="16840"/>
          <w:pgMar w:top="1400" w:right="1200" w:bottom="1240" w:left="1280" w:header="0" w:footer="1043" w:gutter="0"/>
          <w:pgNumType w:start="4"/>
          <w:cols w:num="1" w:space="720"/>
        </w:sectPr>
      </w:pPr>
    </w:p>
    <w:p>
      <w:pPr>
        <w:pStyle w:val="BodyText"/>
        <w:ind w:left="118"/>
        <w:rPr>
          <w:sz w:val="20"/>
        </w:rPr>
      </w:pPr>
      <w:r>
        <w:rPr>
          <w:sz w:val="20"/>
        </w:rPr>
        <w:pict>
          <v:group id="_x0000_s1178" o:spid="_x0000_i1037" style="width:455.05pt;height:537.3pt" coordsize="9101,10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9" o:spid="_x0000_s1038" type="#_x0000_t75" style="width:7104;height:9500;left:1987;position:absolute;top:26" coordsize="21600,21600" filled="f" stroked="f">
              <v:imagedata r:id="rId9" o:title=""/>
              <o:lock v:ext="edit" aspectratio="t"/>
            </v:shape>
            <v:line id="_x0000_s1180" o:spid="_x0000_s1039" style="position:absolute" from="0,10" to="9100,10" coordsize="21600,21600" stroked="t" strokecolor="black"/>
            <v:line id="_x0000_s1181" o:spid="_x0000_s1040" style="position:absolute" from="0,10736" to="9100,10736" coordsize="21600,21600" stroked="t" strokecolor="black"/>
            <v:line id="_x0000_s1182" o:spid="_x0000_s1041" style="position:absolute" from="10,0" to="10,10745" coordsize="21600,21600" stroked="t" strokecolor="black"/>
            <v:line id="_x0000_s1183" o:spid="_x0000_s1042" style="position:absolute" from="9091,19" to="9091,10745" coordsize="21600,21600" stroked="t" strokecolor="black"/>
            <v:line id="_x0000_s1184" o:spid="_x0000_s1043" style="position:absolute" from="1973,19" to="1973,10726" coordsize="21600,21600" stroked="t" strokecolor="black"/>
            <v:shape id="_x0000_s1185" o:spid="_x0000_s1044" style="width:2276;height:1290;left:5752;position:absolute;top:4578" coordorigin="5753,4578" coordsize="2276,1290" path="m6834,5100l6834,4578,8029,4578,8029,4588,6854,4588,6844,4598,6854,4598,6854,5097,6838,5097,6834,5100xm6854,4598l6844,4598,6854,4588,6854,4598xm8009,4598l6854,4598,6854,4588,8009,4588,8009,4598xm8009,5475l8009,4588,8019,4598,8029,4598,8029,5465,8019,5465,8009,5475xm8029,4598l8019,4598,8009,4588,8029,4588,8029,4598xm6834,5105l6834,5100,6838,5097,6834,5105xm6854,5105l6834,5105,6838,5097,6854,5097,6854,5105xm5757,5868l5753,5862,6834,5100,6834,5105,6854,5105,6854,5111,5931,5761,5819,5815,5829,5832,5830,5832,5757,5868xm5830,5832l5829,5832,5931,5761,6854,5311,6854,5327,6834,5327,6834,5343,5830,5832xm6834,5343l6834,5327,6848,5336,6834,5343xm8029,5485l6834,5485,6834,5343,6848,5336,6834,5327,6854,5327,6854,5465,6844,5465,6854,5475,8029,5475,8029,5485xm6854,5475l6844,5465,6854,5465,6854,5475xm8009,5475l6854,5475,6854,5465,8009,5465,8009,5475xm8029,5475l8009,5475,8019,5465,8029,5465,8029,5475xm5829,5832l5819,5815,5931,5761,5829,5832xe" filled="t" fillcolor="black" stroked="f">
              <v:path arrowok="t"/>
            </v:shape>
            <v:shape id="_x0000_s1186" o:spid="_x0000_s1045" type="#_x0000_t202" style="width:5305;height:232;left:2887;position:absolute;top:9549" coordsize="21600,21600" filled="f" stroked="f">
              <v:stroke joinstyle="miter"/>
              <v:textbox inset="0,0,0,0">
                <w:txbxContent>
                  <w:p>
                    <w:pPr>
                      <w:spacing w:before="0" w:line="231" w:lineRule="exact"/>
                      <w:ind w:left="0" w:right="0" w:firstLine="0"/>
                      <w:jc w:val="left"/>
                      <w:rPr>
                        <w:b/>
                        <w:sz w:val="21"/>
                      </w:rPr>
                    </w:pPr>
                    <w:r>
                      <w:rPr>
                        <w:b/>
                        <w:sz w:val="21"/>
                      </w:rPr>
                      <w:t xml:space="preserve">图 </w:t>
                    </w:r>
                    <w:r>
                      <w:rPr>
                        <w:rFonts w:ascii="Times New Roman" w:eastAsia="Times New Roman"/>
                        <w:b/>
                        <w:sz w:val="21"/>
                      </w:rPr>
                      <w:t xml:space="preserve">1-1 </w:t>
                    </w:r>
                    <w:r>
                      <w:rPr>
                        <w:b/>
                        <w:sz w:val="21"/>
                      </w:rPr>
                      <w:t>工程与其涉及的陆域环境管控单元相对位置关系图</w:t>
                    </w:r>
                  </w:p>
                </w:txbxContent>
              </v:textbox>
            </v:shape>
            <v:shape id="_x0000_s1187" o:spid="_x0000_s1046" type="#_x0000_t202" style="width:3726;height:232;left:4056;position:absolute;top:7156" coordsize="21600,21600" filled="f" stroked="f">
              <v:stroke joinstyle="miter"/>
              <v:textbox inset="0,0,0,0">
                <w:txbxContent>
                  <w:p>
                    <w:pPr>
                      <w:spacing w:before="0" w:line="231" w:lineRule="exact"/>
                      <w:ind w:left="0" w:right="0" w:firstLine="0"/>
                      <w:jc w:val="left"/>
                      <w:rPr>
                        <w:rFonts w:ascii="Times New Roman" w:eastAsia="Times New Roman"/>
                        <w:b/>
                        <w:sz w:val="21"/>
                      </w:rPr>
                    </w:pPr>
                    <w:r>
                      <w:rPr>
                        <w:rFonts w:ascii="Times New Roman" w:eastAsia="Times New Roman"/>
                        <w:b/>
                        <w:color w:val="FFFFFF"/>
                        <w:sz w:val="21"/>
                      </w:rPr>
                      <w:t>ZH44040220016(</w:t>
                    </w:r>
                    <w:r>
                      <w:rPr>
                        <w:b/>
                        <w:color w:val="FFFFFF"/>
                        <w:sz w:val="21"/>
                      </w:rPr>
                      <w:t>横琴新区重点管控单元</w:t>
                    </w:r>
                    <w:r>
                      <w:rPr>
                        <w:rFonts w:ascii="Times New Roman" w:eastAsia="Times New Roman"/>
                        <w:b/>
                        <w:color w:val="FFFFFF"/>
                        <w:sz w:val="21"/>
                      </w:rPr>
                      <w:t>)</w:t>
                    </w:r>
                  </w:p>
                </w:txbxContent>
              </v:textbox>
            </v:shape>
            <v:shape id="_x0000_s1188" o:spid="_x0000_s1047" type="#_x0000_t202" style="width:649;height:218;left:7116;position:absolute;top:4922" coordsize="21600,21600" filled="f" stroked="f">
              <v:stroke joinstyle="miter"/>
              <v:textbox inset="0,0,0,0">
                <w:txbxContent>
                  <w:p>
                    <w:pPr>
                      <w:spacing w:before="0" w:line="218" w:lineRule="exact"/>
                      <w:ind w:left="0" w:right="0" w:firstLine="0"/>
                      <w:jc w:val="left"/>
                      <w:rPr>
                        <w:rFonts w:ascii="等线" w:eastAsia="等线" w:hint="eastAsia"/>
                        <w:sz w:val="21"/>
                      </w:rPr>
                    </w:pPr>
                    <w:r>
                      <w:rPr>
                        <w:rFonts w:ascii="等线" w:eastAsia="等线" w:hint="eastAsia"/>
                        <w:sz w:val="21"/>
                      </w:rPr>
                      <w:t>本项目</w:t>
                    </w:r>
                  </w:p>
                </w:txbxContent>
              </v:textbox>
            </v:shape>
            <v:shape id="_x0000_s1189" o:spid="_x0000_s1048" type="#_x0000_t202" style="width:3755;height:503;left:3262;position:absolute;top:3273" coordsize="21600,21600" filled="f" stroked="f">
              <v:stroke joinstyle="miter"/>
              <v:textbox inset="0,0,0,0">
                <w:txbxContent>
                  <w:p>
                    <w:pPr>
                      <w:spacing w:before="0" w:line="245" w:lineRule="exact"/>
                      <w:ind w:left="0" w:right="0" w:firstLine="0"/>
                      <w:jc w:val="left"/>
                      <w:rPr>
                        <w:b/>
                        <w:sz w:val="21"/>
                      </w:rPr>
                    </w:pPr>
                    <w:r>
                      <w:rPr>
                        <w:rFonts w:ascii="Times New Roman" w:eastAsia="Times New Roman"/>
                        <w:b/>
                        <w:color w:val="FFFFFF"/>
                        <w:sz w:val="21"/>
                      </w:rPr>
                      <w:t>ZH44040220015(</w:t>
                    </w:r>
                    <w:r>
                      <w:rPr>
                        <w:b/>
                        <w:color w:val="FFFFFF"/>
                        <w:sz w:val="21"/>
                      </w:rPr>
                      <w:t>香洲区南屏镇</w:t>
                    </w:r>
                    <w:r>
                      <w:rPr>
                        <w:rFonts w:ascii="Times New Roman" w:eastAsia="Times New Roman"/>
                        <w:b/>
                        <w:color w:val="FFFFFF"/>
                        <w:sz w:val="21"/>
                      </w:rPr>
                      <w:t>-</w:t>
                    </w:r>
                    <w:r>
                      <w:rPr>
                        <w:b/>
                        <w:color w:val="FFFFFF"/>
                        <w:sz w:val="21"/>
                      </w:rPr>
                      <w:t>湾仔街道</w:t>
                    </w:r>
                  </w:p>
                  <w:p>
                    <w:pPr>
                      <w:spacing w:before="2" w:line="255" w:lineRule="exact"/>
                      <w:ind w:left="0" w:right="0" w:firstLine="0"/>
                      <w:jc w:val="left"/>
                      <w:rPr>
                        <w:rFonts w:ascii="Times New Roman" w:eastAsia="Times New Roman"/>
                        <w:b/>
                        <w:sz w:val="21"/>
                      </w:rPr>
                    </w:pPr>
                    <w:r>
                      <w:rPr>
                        <w:b/>
                        <w:color w:val="FFFFFF"/>
                        <w:sz w:val="21"/>
                      </w:rPr>
                      <w:t>重点管控单元</w:t>
                    </w:r>
                    <w:r>
                      <w:rPr>
                        <w:rFonts w:ascii="Times New Roman" w:eastAsia="Times New Roman"/>
                        <w:b/>
                        <w:color w:val="FFFFFF"/>
                        <w:sz w:val="21"/>
                      </w:rPr>
                      <w:t>)</w:t>
                    </w:r>
                  </w:p>
                </w:txbxContent>
              </v:textbox>
            </v:shape>
            <w10:anchorlock/>
          </v:group>
        </w:pict>
      </w:r>
    </w:p>
    <w:p>
      <w:pPr>
        <w:spacing w:after="0"/>
        <w:rPr>
          <w:sz w:val="20"/>
        </w:rPr>
        <w:sectPr>
          <w:footerReference w:type="default" r:id="rId10"/>
          <w:pgSz w:w="11910" w:h="16840"/>
          <w:pgMar w:top="1420" w:right="1200" w:bottom="1240" w:left="1280" w:header="0" w:footer="1043" w:gutter="0"/>
          <w:pgNumType w:start="5"/>
          <w:cols w:num="1" w:space="720"/>
        </w:sectPr>
      </w:pPr>
    </w:p>
    <w:p>
      <w:pPr>
        <w:pStyle w:val="BodyText"/>
        <w:rPr>
          <w:sz w:val="20"/>
        </w:rPr>
      </w:pPr>
      <w:r>
        <w:pict>
          <v:group id="_x0000_s1190" o:spid="_x0000_s1049" style="width:455.05pt;height:690.6pt;margin-top:70.9pt;margin-left:70.4pt;mso-height-relative:page;mso-position-horizontal-relative:page;mso-position-vertical-relative:page;mso-width-relative:page;position:absolute;z-index:-251652096" coordorigin="1408,1418" coordsize="9101,13812">
            <v:shape id="_x0000_s1191" o:spid="_x0000_s1050" type="#_x0000_t75" style="width:6900;height:10892;left:3396;position:absolute;top:1504" coordsize="21600,21600" filled="f" stroked="f">
              <v:imagedata r:id="rId11" o:title=""/>
              <o:lock v:ext="edit" aspectratio="t"/>
            </v:shape>
            <v:shape id="_x0000_s1192" o:spid="_x0000_s1051" style="width:9101;height:13812;left:1408;position:absolute;top:1610" coordorigin="1408,1611" coordsize="9101,13812" path="m1408,1428l10509,1428m1408,15220l10509,15220m1418,1418l1418,15229m10499,1437l10499,15229e" filled="f" stroked="t" strokecolor="black">
              <v:path arrowok="t"/>
            </v:shape>
            <v:line id="_x0000_s1193" o:spid="_x0000_s1052" style="position:absolute" from="3381,1437" to="3381,15210" coordsize="21600,21600" stroked="t" strokecolor="black"/>
            <v:shape id="_x0000_s1194" o:spid="_x0000_s1053" style="width:2276;height:1290;left:5796;position:absolute;top:4961" coordorigin="5796,4961" coordsize="2276,1290" path="m6877,5483l6877,4961,8072,4961,8072,4971,6897,4971,6887,4981,6897,4981,6897,5480,6881,5480,6877,5483xm6897,4981l6887,4981,6897,4971,6897,4981xm8052,4981l6897,4981,6897,4971,8052,4971,8052,4981xm8052,5858l8052,4971,8062,4981,8072,4981,8072,5848,8062,5848,8052,5858xm8072,4981l8062,4981,8052,4971,8072,4971,8072,4981xm6877,5488l6877,5483,6881,5480,6877,5488xm6897,5488l6877,5488,6881,5480,6897,5480,6897,5488xm5800,6251l5796,6245,6877,5483,6877,5488,6897,5488,6897,5494,5974,6144,5863,6198,5873,6215,5873,6215,5800,6251xm5873,6215l5873,6215,5974,6144,6897,5694,6897,5710,6877,5710,6877,5726,5873,6215xm6877,5726l6877,5710,6891,5719,6877,5726xm8072,5868l6877,5868,6877,5726,6891,5719,6877,5710,6897,5710,6897,5848,6887,5848,6897,5858,8072,5858,8072,5868xm6897,5858l6887,5848,6897,5848,6897,5858xm8052,5858l6897,5858,6897,5848,8052,5848,8052,5858xm8072,5858l8052,5858,8062,5848,8072,5848,8072,5858xm5873,6215l5863,6198,5974,6144,5873,6215xe" filled="t" fillcolor="black" stroked="f">
              <v:path arrowok="t"/>
            </v:shap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5"/>
        </w:rPr>
      </w:pPr>
    </w:p>
    <w:p>
      <w:pPr>
        <w:spacing w:before="51"/>
        <w:ind w:left="5879" w:right="0" w:firstLine="0"/>
        <w:jc w:val="left"/>
        <w:rPr>
          <w:rFonts w:ascii="等线" w:eastAsia="等线" w:hint="eastAsia"/>
          <w:sz w:val="21"/>
        </w:rPr>
      </w:pPr>
      <w:r>
        <w:rPr>
          <w:rFonts w:ascii="等线" w:eastAsia="等线" w:hint="eastAsia"/>
          <w:sz w:val="21"/>
        </w:rPr>
        <w:t>本项目</w:t>
      </w: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spacing w:before="6"/>
        <w:rPr>
          <w:rFonts w:ascii="等线"/>
          <w:sz w:val="17"/>
        </w:rPr>
      </w:pPr>
    </w:p>
    <w:p>
      <w:pPr>
        <w:spacing w:before="76"/>
        <w:ind w:left="3016" w:right="0" w:firstLine="0"/>
        <w:jc w:val="both"/>
        <w:rPr>
          <w:b/>
          <w:sz w:val="21"/>
        </w:rPr>
      </w:pPr>
      <w:r>
        <w:rPr>
          <w:b/>
          <w:spacing w:val="-26"/>
          <w:sz w:val="21"/>
        </w:rPr>
        <w:t xml:space="preserve">图 </w:t>
      </w:r>
      <w:r>
        <w:rPr>
          <w:rFonts w:ascii="Times New Roman" w:eastAsia="Times New Roman"/>
          <w:b/>
          <w:sz w:val="21"/>
        </w:rPr>
        <w:t>1-2</w:t>
      </w:r>
      <w:r>
        <w:rPr>
          <w:rFonts w:ascii="Times New Roman" w:eastAsia="Times New Roman"/>
          <w:b/>
          <w:spacing w:val="51"/>
          <w:sz w:val="21"/>
        </w:rPr>
        <w:t xml:space="preserve"> </w:t>
      </w:r>
      <w:r>
        <w:rPr>
          <w:b/>
          <w:sz w:val="21"/>
        </w:rPr>
        <w:t>工程与其涉及的海域环境管控单元相对位置关系图</w:t>
      </w:r>
    </w:p>
    <w:p>
      <w:pPr>
        <w:pStyle w:val="BodyText"/>
        <w:spacing w:before="124" w:line="364" w:lineRule="auto"/>
        <w:ind w:left="2116" w:right="170" w:firstLine="420"/>
        <w:jc w:val="both"/>
        <w:sectPr>
          <w:footerReference w:type="default" r:id="rId12"/>
          <w:pgSz w:w="11910" w:h="16840"/>
          <w:pgMar w:top="1420" w:right="1200" w:bottom="1240" w:left="1280" w:header="0" w:footer="1043" w:gutter="0"/>
          <w:pgNumType w:start="6"/>
          <w:cols w:num="1" w:space="720"/>
        </w:sectPr>
      </w:pPr>
      <w:r>
        <w:rPr>
          <w:spacing w:val="-1"/>
        </w:rPr>
        <w:t>综上所述，本工程为基础设施建设项目，不属于空间布局约束、</w:t>
      </w:r>
      <w:r>
        <w:rPr>
          <w:spacing w:val="-11"/>
        </w:rPr>
        <w:t>资源开发效率要求、污染物排放管控和环境风险防控这四个管控维度</w:t>
      </w:r>
    </w:p>
    <w:p>
      <w:pPr>
        <w:pStyle w:val="BodyText"/>
        <w:spacing w:before="124" w:line="364" w:lineRule="auto"/>
        <w:ind w:left="2116" w:right="170" w:firstLine="420"/>
        <w:jc w:val="both"/>
      </w:pPr>
      <w:r>
        <w:rPr>
          <w:spacing w:val="-13"/>
        </w:rPr>
        <w:t>中禁止、限制类项目。因此本工程符合《珠海市“三线一单”生态环境分区管控方案》的要求。</w:t>
      </w:r>
    </w:p>
    <w:p>
      <w:pPr>
        <w:spacing w:after="0" w:line="364" w:lineRule="auto"/>
        <w:jc w:val="both"/>
        <w:sectPr>
          <w:footerReference w:type="default" r:id="rId13"/>
          <w:type w:val="nextPage"/>
          <w:pgSz w:w="11910" w:h="16840"/>
          <w:pgMar w:top="1420" w:right="1200" w:bottom="1240" w:left="1280" w:header="0" w:footer="1043" w:gutter="0"/>
          <w:pgNumType w:start="7"/>
          <w:cols w:num="1" w:space="720"/>
          <w:titlePg w:val="0"/>
        </w:sectPr>
      </w:pPr>
    </w:p>
    <w:p>
      <w:pPr>
        <w:pStyle w:val="BodyText"/>
        <w:rPr>
          <w:sz w:val="20"/>
        </w:rPr>
      </w:pPr>
    </w:p>
    <w:p>
      <w:pPr>
        <w:pStyle w:val="BodyText"/>
        <w:rPr>
          <w:sz w:val="17"/>
        </w:rPr>
      </w:pPr>
    </w:p>
    <w:p>
      <w:pPr>
        <w:spacing w:before="77" w:after="3"/>
        <w:ind w:left="3354" w:right="3355" w:firstLine="0"/>
        <w:jc w:val="center"/>
        <w:rPr>
          <w:b/>
          <w:sz w:val="21"/>
        </w:rPr>
      </w:pPr>
      <w:r>
        <w:rPr>
          <w:b/>
          <w:sz w:val="21"/>
        </w:rPr>
        <w:t xml:space="preserve">表 </w:t>
      </w:r>
      <w:r>
        <w:rPr>
          <w:rFonts w:ascii="Times New Roman" w:eastAsia="Times New Roman"/>
          <w:b/>
          <w:sz w:val="21"/>
        </w:rPr>
        <w:t xml:space="preserve">1-1 220kV </w:t>
      </w:r>
      <w:r>
        <w:rPr>
          <w:b/>
          <w:sz w:val="21"/>
        </w:rPr>
        <w:t>加琴甲乙线电缆化迁改工程项目涉及管控单元区域相符性情况一览表</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97"/>
        <w:gridCol w:w="554"/>
        <w:gridCol w:w="7998"/>
        <w:gridCol w:w="2355"/>
        <w:gridCol w:w="1014"/>
      </w:tblGrid>
      <w:tr>
        <w:tblPrEx>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658"/>
        </w:trPr>
        <w:tc>
          <w:tcPr>
            <w:tcW w:w="2197" w:type="dxa"/>
            <w:tcBorders>
              <w:left w:val="nil"/>
            </w:tcBorders>
          </w:tcPr>
          <w:p>
            <w:pPr>
              <w:pStyle w:val="TableParagraph"/>
              <w:spacing w:before="1"/>
              <w:rPr>
                <w:b/>
                <w:sz w:val="15"/>
              </w:rPr>
            </w:pPr>
          </w:p>
          <w:p>
            <w:pPr>
              <w:pStyle w:val="TableParagraph"/>
              <w:ind w:left="472"/>
              <w:rPr>
                <w:sz w:val="21"/>
              </w:rPr>
            </w:pPr>
            <w:r>
              <w:rPr>
                <w:sz w:val="21"/>
              </w:rPr>
              <w:t>管控单元名称</w:t>
            </w:r>
          </w:p>
        </w:tc>
        <w:tc>
          <w:tcPr>
            <w:tcW w:w="554" w:type="dxa"/>
          </w:tcPr>
          <w:p>
            <w:pPr>
              <w:pStyle w:val="TableParagraph"/>
              <w:spacing w:before="59" w:line="242" w:lineRule="auto"/>
              <w:ind w:left="65" w:right="58"/>
              <w:rPr>
                <w:sz w:val="21"/>
              </w:rPr>
            </w:pPr>
            <w:r>
              <w:rPr>
                <w:sz w:val="21"/>
              </w:rPr>
              <w:t>管控维度</w:t>
            </w:r>
          </w:p>
        </w:tc>
        <w:tc>
          <w:tcPr>
            <w:tcW w:w="7998" w:type="dxa"/>
          </w:tcPr>
          <w:p>
            <w:pPr>
              <w:pStyle w:val="TableParagraph"/>
              <w:spacing w:before="1"/>
              <w:rPr>
                <w:b/>
                <w:sz w:val="15"/>
              </w:rPr>
            </w:pPr>
          </w:p>
          <w:p>
            <w:pPr>
              <w:pStyle w:val="TableParagraph"/>
              <w:ind w:left="3558" w:right="3549"/>
              <w:jc w:val="center"/>
              <w:rPr>
                <w:sz w:val="21"/>
              </w:rPr>
            </w:pPr>
            <w:r>
              <w:rPr>
                <w:sz w:val="21"/>
              </w:rPr>
              <w:t>管控要求</w:t>
            </w:r>
          </w:p>
        </w:tc>
        <w:tc>
          <w:tcPr>
            <w:tcW w:w="2355" w:type="dxa"/>
          </w:tcPr>
          <w:p>
            <w:pPr>
              <w:pStyle w:val="TableParagraph"/>
              <w:spacing w:before="1"/>
              <w:rPr>
                <w:b/>
                <w:sz w:val="15"/>
              </w:rPr>
            </w:pPr>
          </w:p>
          <w:p>
            <w:pPr>
              <w:pStyle w:val="TableParagraph"/>
              <w:ind w:left="650"/>
              <w:rPr>
                <w:sz w:val="21"/>
              </w:rPr>
            </w:pPr>
            <w:r>
              <w:rPr>
                <w:sz w:val="21"/>
              </w:rPr>
              <w:t>本项目情况</w:t>
            </w:r>
          </w:p>
        </w:tc>
        <w:tc>
          <w:tcPr>
            <w:tcW w:w="1014" w:type="dxa"/>
            <w:tcBorders>
              <w:right w:val="nil"/>
            </w:tcBorders>
          </w:tcPr>
          <w:p>
            <w:pPr>
              <w:pStyle w:val="TableParagraph"/>
              <w:spacing w:before="1"/>
              <w:rPr>
                <w:b/>
                <w:sz w:val="15"/>
              </w:rPr>
            </w:pPr>
          </w:p>
          <w:p>
            <w:pPr>
              <w:pStyle w:val="TableParagraph"/>
              <w:ind w:left="171" w:right="168"/>
              <w:jc w:val="center"/>
              <w:rPr>
                <w:sz w:val="21"/>
              </w:rPr>
            </w:pPr>
            <w:r>
              <w:rPr>
                <w:sz w:val="21"/>
              </w:rPr>
              <w:t>相符性</w:t>
            </w:r>
          </w:p>
        </w:tc>
      </w:tr>
      <w:tr>
        <w:tblPrEx>
          <w:tblW w:w="0" w:type="auto"/>
          <w:tblInd w:w="123" w:type="dxa"/>
          <w:tblLayout w:type="fixed"/>
          <w:tblCellMar>
            <w:top w:w="0" w:type="dxa"/>
            <w:left w:w="0" w:type="dxa"/>
            <w:bottom w:w="0" w:type="dxa"/>
            <w:right w:w="0" w:type="dxa"/>
          </w:tblCellMar>
        </w:tblPrEx>
        <w:trPr>
          <w:trHeight w:val="4199"/>
        </w:trPr>
        <w:tc>
          <w:tcPr>
            <w:tcW w:w="2197" w:type="dxa"/>
            <w:vMerge w:val="restart"/>
            <w:tcBorders>
              <w:left w:val="nil"/>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9"/>
              <w:ind w:left="62"/>
              <w:rPr>
                <w:sz w:val="21"/>
              </w:rPr>
            </w:pPr>
            <w:r>
              <w:rPr>
                <w:sz w:val="21"/>
              </w:rPr>
              <w:t>ZH44040220015(香洲</w:t>
            </w:r>
          </w:p>
          <w:p>
            <w:pPr>
              <w:pStyle w:val="TableParagraph"/>
              <w:spacing w:before="3" w:line="244" w:lineRule="auto"/>
              <w:ind w:left="62" w:right="133"/>
              <w:rPr>
                <w:sz w:val="21"/>
              </w:rPr>
            </w:pPr>
            <w:r>
              <w:rPr>
                <w:sz w:val="21"/>
              </w:rPr>
              <w:t>区南屏镇-湾仔街道重点管控单元)</w:t>
            </w:r>
          </w:p>
        </w:tc>
        <w:tc>
          <w:tcPr>
            <w:tcW w:w="554"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54" w:line="242" w:lineRule="auto"/>
              <w:ind w:left="56" w:right="68"/>
              <w:jc w:val="both"/>
              <w:rPr>
                <w:sz w:val="21"/>
              </w:rPr>
            </w:pPr>
            <w:r>
              <w:rPr>
                <w:sz w:val="21"/>
              </w:rPr>
              <w:t>区域布局管控</w:t>
            </w:r>
          </w:p>
        </w:tc>
        <w:tc>
          <w:tcPr>
            <w:tcW w:w="7998" w:type="dxa"/>
          </w:tcPr>
          <w:p>
            <w:pPr>
              <w:pStyle w:val="TableParagraph"/>
              <w:spacing w:before="57" w:line="242" w:lineRule="auto"/>
              <w:ind w:left="56" w:right="45"/>
              <w:rPr>
                <w:sz w:val="21"/>
              </w:rPr>
            </w:pPr>
            <w:r>
              <w:rPr>
                <w:sz w:val="21"/>
              </w:rPr>
              <w:t>1-1.【产业/</w:t>
            </w:r>
            <w:r>
              <w:rPr>
                <w:spacing w:val="-1"/>
                <w:sz w:val="21"/>
              </w:rPr>
              <w:t xml:space="preserve">鼓励引导类】鼓励发展休闲旅游、科技信息等现代服务业。 </w:t>
            </w:r>
            <w:r>
              <w:rPr>
                <w:sz w:val="21"/>
              </w:rPr>
              <w:t xml:space="preserve">1-2.【生态/ </w:t>
            </w:r>
            <w:r>
              <w:rPr>
                <w:spacing w:val="-11"/>
                <w:w w:val="95"/>
                <w:sz w:val="21"/>
              </w:rPr>
              <w:t xml:space="preserve">禁止类】单元内生态保护红线按照《关于在国土空间规划中统筹划定落实三条控制线的   </w:t>
            </w:r>
            <w:r>
              <w:rPr>
                <w:spacing w:val="-12"/>
                <w:w w:val="95"/>
                <w:sz w:val="21"/>
              </w:rPr>
              <w:t xml:space="preserve">指导意见》严格管控，自然保护地核心区原则上禁止人为活动，其他区域严格禁止开发   </w:t>
            </w:r>
            <w:r>
              <w:rPr>
                <w:spacing w:val="-10"/>
                <w:w w:val="95"/>
                <w:sz w:val="21"/>
              </w:rPr>
              <w:t xml:space="preserve">性、生产性建设活动，在符合现行法律法规前提下，除国家重大战略项目外，仅允许对  </w:t>
            </w:r>
            <w:r>
              <w:rPr>
                <w:spacing w:val="-15"/>
                <w:sz w:val="21"/>
              </w:rPr>
              <w:t xml:space="preserve">生态功能不造成破坏的 </w:t>
            </w:r>
            <w:r>
              <w:rPr>
                <w:sz w:val="21"/>
              </w:rPr>
              <w:t>8</w:t>
            </w:r>
            <w:r>
              <w:rPr>
                <w:spacing w:val="-11"/>
                <w:sz w:val="21"/>
              </w:rPr>
              <w:t xml:space="preserve"> 类有限人为活动。 </w:t>
            </w:r>
            <w:r>
              <w:rPr>
                <w:spacing w:val="-6"/>
                <w:sz w:val="21"/>
              </w:rPr>
              <w:t>1-3</w:t>
            </w:r>
            <w:r>
              <w:rPr>
                <w:spacing w:val="-2"/>
                <w:sz w:val="21"/>
              </w:rPr>
              <w:t>.【生态</w:t>
            </w:r>
            <w:r>
              <w:rPr>
                <w:sz w:val="21"/>
              </w:rPr>
              <w:t>/</w:t>
            </w:r>
            <w:r>
              <w:rPr>
                <w:spacing w:val="-7"/>
                <w:sz w:val="21"/>
              </w:rPr>
              <w:t>综合类】一般生态空间内，可</w:t>
            </w:r>
            <w:r>
              <w:rPr>
                <w:spacing w:val="-12"/>
                <w:w w:val="95"/>
                <w:sz w:val="21"/>
              </w:rPr>
              <w:t xml:space="preserve">开展生态保护红线内允许的活动；在不影响主导生态功能的前提下，还可开展国家和省  </w:t>
            </w:r>
            <w:r>
              <w:rPr>
                <w:spacing w:val="-20"/>
                <w:sz w:val="21"/>
              </w:rPr>
              <w:t>规定不纳入环评管理的项目建设，以及生态旅游、基础设施建设、村庄建设等人为活动1-4.【生态/综合类】一般生态空间内的人工商品林，允许依法进行抚育采伐、择伐和</w:t>
            </w:r>
            <w:r>
              <w:rPr>
                <w:spacing w:val="-23"/>
                <w:sz w:val="21"/>
              </w:rPr>
              <w:t xml:space="preserve">树种更新等经营活动。 </w:t>
            </w:r>
            <w:r>
              <w:rPr>
                <w:spacing w:val="-8"/>
                <w:sz w:val="21"/>
              </w:rPr>
              <w:t>1-5</w:t>
            </w:r>
            <w:r>
              <w:rPr>
                <w:spacing w:val="-3"/>
                <w:sz w:val="21"/>
              </w:rPr>
              <w:t>.【生态</w:t>
            </w:r>
            <w:r>
              <w:rPr>
                <w:sz w:val="21"/>
              </w:rPr>
              <w:t>/</w:t>
            </w:r>
            <w:r>
              <w:rPr>
                <w:spacing w:val="-6"/>
                <w:sz w:val="21"/>
              </w:rPr>
              <w:t>综合类】珠海香洲黑白面将军山地方级森林自然公园、珠海香洲有髻山地方级森林自然公园，按照自然保护地相关管理要求进行管控。1-6.【大气/限制类】大气环境受体敏感重点管控区内严格限制新建钢铁、燃煤燃油火</w:t>
            </w:r>
            <w:r>
              <w:rPr>
                <w:spacing w:val="-16"/>
                <w:sz w:val="21"/>
              </w:rPr>
              <w:t>电、石化、储油库等项目，产生和排放有毒有害大气污染物项目，以及使用溶剂型油墨</w:t>
            </w:r>
            <w:r>
              <w:rPr>
                <w:spacing w:val="-12"/>
                <w:w w:val="95"/>
                <w:sz w:val="21"/>
              </w:rPr>
              <w:t>涂料、清洗剂、胶黏剂等高挥发性有机物原辅材料的项目</w:t>
            </w:r>
            <w:r>
              <w:rPr>
                <w:w w:val="95"/>
                <w:sz w:val="21"/>
              </w:rPr>
              <w:t xml:space="preserve">（除现阶段确无法实施替代的  </w:t>
            </w:r>
            <w:r>
              <w:rPr>
                <w:sz w:val="21"/>
              </w:rPr>
              <w:t>工序外</w:t>
            </w:r>
            <w:r>
              <w:rPr>
                <w:spacing w:val="-20"/>
                <w:sz w:val="21"/>
              </w:rPr>
              <w:t>）；</w:t>
            </w:r>
            <w:r>
              <w:rPr>
                <w:spacing w:val="-3"/>
                <w:sz w:val="21"/>
              </w:rPr>
              <w:t xml:space="preserve">鼓励现有该类项目逐步搬迁退出。 </w:t>
            </w:r>
            <w:r>
              <w:rPr>
                <w:spacing w:val="-5"/>
                <w:sz w:val="21"/>
              </w:rPr>
              <w:t>1-7</w:t>
            </w:r>
            <w:r>
              <w:rPr>
                <w:spacing w:val="-2"/>
                <w:sz w:val="21"/>
              </w:rPr>
              <w:t>.【其他</w:t>
            </w:r>
            <w:r>
              <w:rPr>
                <w:sz w:val="21"/>
              </w:rPr>
              <w:t>/</w:t>
            </w:r>
            <w:r>
              <w:rPr>
                <w:spacing w:val="-4"/>
                <w:sz w:val="21"/>
              </w:rPr>
              <w:t>禁止类】禁止在单元区域内建设畜禽养殖场、养殖小区。</w:t>
            </w:r>
          </w:p>
        </w:tc>
        <w:tc>
          <w:tcPr>
            <w:tcW w:w="2355" w:type="dxa"/>
          </w:tcPr>
          <w:p>
            <w:pPr>
              <w:pStyle w:val="TableParagraph"/>
              <w:rPr>
                <w:b/>
                <w:sz w:val="20"/>
              </w:rPr>
            </w:pPr>
          </w:p>
          <w:p>
            <w:pPr>
              <w:pStyle w:val="TableParagraph"/>
              <w:rPr>
                <w:b/>
                <w:sz w:val="20"/>
              </w:rPr>
            </w:pPr>
          </w:p>
          <w:p>
            <w:pPr>
              <w:pStyle w:val="TableParagraph"/>
              <w:spacing w:before="2"/>
              <w:rPr>
                <w:b/>
                <w:sz w:val="28"/>
              </w:rPr>
            </w:pPr>
          </w:p>
          <w:p>
            <w:pPr>
              <w:pStyle w:val="TableParagraph"/>
              <w:spacing w:line="242" w:lineRule="auto"/>
              <w:ind w:left="57" w:right="45"/>
              <w:rPr>
                <w:sz w:val="21"/>
              </w:rPr>
            </w:pPr>
            <w:r>
              <w:rPr>
                <w:sz w:val="21"/>
              </w:rPr>
              <w:t>本项目不涉及生态保护</w:t>
            </w:r>
            <w:r>
              <w:rPr>
                <w:spacing w:val="-10"/>
                <w:sz w:val="21"/>
              </w:rPr>
              <w:t>红线、森林自然公园、湿</w:t>
            </w:r>
            <w:r>
              <w:rPr>
                <w:spacing w:val="-8"/>
                <w:sz w:val="21"/>
              </w:rPr>
              <w:t>地公园等生态敏感区；本</w:t>
            </w:r>
          </w:p>
          <w:p>
            <w:pPr>
              <w:pStyle w:val="TableParagraph"/>
              <w:spacing w:before="3" w:line="242" w:lineRule="auto"/>
              <w:ind w:left="57" w:right="45" w:hanging="221"/>
              <w:rPr>
                <w:sz w:val="21"/>
              </w:rPr>
            </w:pPr>
            <w:r>
              <w:rPr>
                <w:sz w:val="21"/>
              </w:rPr>
              <w:t>。项目为电网基础设施项</w:t>
            </w:r>
            <w:r>
              <w:rPr>
                <w:spacing w:val="-10"/>
                <w:sz w:val="21"/>
              </w:rPr>
              <w:t>目，属非工业类项目，运</w:t>
            </w:r>
            <w:r>
              <w:rPr>
                <w:sz w:val="21"/>
              </w:rPr>
              <w:t>营期间无生产废水和工</w:t>
            </w:r>
            <w:r>
              <w:rPr>
                <w:spacing w:val="-10"/>
                <w:sz w:val="21"/>
              </w:rPr>
              <w:t>业废气排放。本项目不属</w:t>
            </w:r>
            <w:r>
              <w:rPr>
                <w:sz w:val="21"/>
              </w:rPr>
              <w:t>于管控要求中的限制类</w:t>
            </w:r>
          </w:p>
          <w:p>
            <w:pPr>
              <w:pStyle w:val="TableParagraph"/>
              <w:spacing w:before="2"/>
              <w:ind w:left="-164"/>
              <w:rPr>
                <w:sz w:val="21"/>
              </w:rPr>
            </w:pPr>
            <w:r>
              <w:rPr>
                <w:sz w:val="21"/>
              </w:rPr>
              <w:t>、或禁止类项目。</w:t>
            </w:r>
          </w:p>
        </w:tc>
        <w:tc>
          <w:tcPr>
            <w:tcW w:w="1014" w:type="dxa"/>
            <w:tcBorders>
              <w:right w:val="nil"/>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69"/>
              <w:ind w:left="171" w:right="168"/>
              <w:jc w:val="center"/>
              <w:rPr>
                <w:sz w:val="21"/>
              </w:rPr>
            </w:pPr>
            <w:r>
              <w:rPr>
                <w:sz w:val="21"/>
              </w:rPr>
              <w:t>符合</w:t>
            </w:r>
          </w:p>
        </w:tc>
      </w:tr>
      <w:tr>
        <w:tblPrEx>
          <w:tblW w:w="0" w:type="auto"/>
          <w:tblInd w:w="123" w:type="dxa"/>
          <w:tblLayout w:type="fixed"/>
          <w:tblCellMar>
            <w:top w:w="0" w:type="dxa"/>
            <w:left w:w="0" w:type="dxa"/>
            <w:bottom w:w="0" w:type="dxa"/>
            <w:right w:w="0" w:type="dxa"/>
          </w:tblCellMar>
        </w:tblPrEx>
        <w:trPr>
          <w:trHeight w:val="1203"/>
        </w:trPr>
        <w:tc>
          <w:tcPr>
            <w:tcW w:w="2197" w:type="dxa"/>
            <w:vMerge/>
            <w:tcBorders>
              <w:top w:val="nil"/>
              <w:left w:val="nil"/>
            </w:tcBorders>
          </w:tcPr>
          <w:p>
            <w:pPr>
              <w:rPr>
                <w:sz w:val="2"/>
                <w:szCs w:val="2"/>
              </w:rPr>
            </w:pPr>
          </w:p>
        </w:tc>
        <w:tc>
          <w:tcPr>
            <w:tcW w:w="554" w:type="dxa"/>
          </w:tcPr>
          <w:p>
            <w:pPr>
              <w:pStyle w:val="TableParagraph"/>
              <w:rPr>
                <w:b/>
                <w:sz w:val="15"/>
              </w:rPr>
            </w:pPr>
          </w:p>
          <w:p>
            <w:pPr>
              <w:pStyle w:val="TableParagraph"/>
              <w:spacing w:line="242" w:lineRule="auto"/>
              <w:ind w:left="56" w:right="68"/>
              <w:jc w:val="both"/>
              <w:rPr>
                <w:sz w:val="21"/>
              </w:rPr>
            </w:pPr>
            <w:r>
              <w:rPr>
                <w:sz w:val="21"/>
              </w:rPr>
              <w:t>能源资源利用</w:t>
            </w:r>
          </w:p>
        </w:tc>
        <w:tc>
          <w:tcPr>
            <w:tcW w:w="7998" w:type="dxa"/>
          </w:tcPr>
          <w:p>
            <w:pPr>
              <w:pStyle w:val="TableParagraph"/>
              <w:spacing w:before="58"/>
              <w:ind w:left="56"/>
              <w:rPr>
                <w:sz w:val="21"/>
              </w:rPr>
            </w:pPr>
            <w:r>
              <w:rPr>
                <w:spacing w:val="1"/>
                <w:w w:val="99"/>
                <w:sz w:val="21"/>
              </w:rPr>
              <w:t>2-1</w:t>
            </w:r>
            <w:r>
              <w:rPr>
                <w:spacing w:val="-27"/>
                <w:w w:val="99"/>
                <w:sz w:val="21"/>
              </w:rPr>
              <w:t>.【其它</w:t>
            </w:r>
            <w:r>
              <w:rPr>
                <w:spacing w:val="1"/>
                <w:w w:val="99"/>
                <w:sz w:val="21"/>
              </w:rPr>
              <w:t>/</w:t>
            </w:r>
            <w:r>
              <w:rPr>
                <w:spacing w:val="-17"/>
                <w:w w:val="99"/>
                <w:sz w:val="21"/>
              </w:rPr>
              <w:t>综合类】新建高能耗项目单位产品</w:t>
            </w:r>
            <w:r>
              <w:rPr>
                <w:spacing w:val="-1"/>
                <w:w w:val="99"/>
                <w:sz w:val="21"/>
              </w:rPr>
              <w:t>（</w:t>
            </w:r>
            <w:r>
              <w:rPr>
                <w:w w:val="99"/>
                <w:sz w:val="21"/>
              </w:rPr>
              <w:t>产值</w:t>
            </w:r>
            <w:r>
              <w:rPr>
                <w:spacing w:val="-101"/>
                <w:w w:val="99"/>
                <w:sz w:val="21"/>
              </w:rPr>
              <w:t>）</w:t>
            </w:r>
            <w:r>
              <w:rPr>
                <w:spacing w:val="-1"/>
                <w:w w:val="99"/>
                <w:sz w:val="21"/>
              </w:rPr>
              <w:t>能耗达到国际国内先进水平。</w:t>
            </w:r>
            <w:r>
              <w:rPr>
                <w:spacing w:val="1"/>
                <w:w w:val="99"/>
                <w:sz w:val="21"/>
              </w:rPr>
              <w:t>2-</w:t>
            </w:r>
            <w:r>
              <w:rPr>
                <w:spacing w:val="-2"/>
                <w:w w:val="99"/>
                <w:sz w:val="21"/>
              </w:rPr>
              <w:t>2</w:t>
            </w:r>
            <w:r>
              <w:rPr>
                <w:w w:val="99"/>
                <w:sz w:val="21"/>
              </w:rPr>
              <w:t>.</w:t>
            </w:r>
          </w:p>
          <w:p>
            <w:pPr>
              <w:pStyle w:val="TableParagraph"/>
              <w:spacing w:before="2" w:line="242" w:lineRule="auto"/>
              <w:ind w:left="56" w:right="47"/>
              <w:jc w:val="both"/>
              <w:rPr>
                <w:sz w:val="21"/>
              </w:rPr>
            </w:pPr>
            <w:r>
              <w:rPr>
                <w:sz w:val="21"/>
              </w:rPr>
              <w:t>【水资源/限制类】强化水资源开发利用控制、用水效率控制、水功能区限制纳污三条</w:t>
            </w:r>
            <w:r>
              <w:rPr>
                <w:spacing w:val="-5"/>
                <w:sz w:val="21"/>
              </w:rPr>
              <w:t>红线刚性约束。 2-3</w:t>
            </w:r>
            <w:r>
              <w:rPr>
                <w:spacing w:val="-2"/>
                <w:sz w:val="21"/>
              </w:rPr>
              <w:t>.【能源</w:t>
            </w:r>
            <w:r>
              <w:rPr>
                <w:sz w:val="21"/>
              </w:rPr>
              <w:t>/</w:t>
            </w:r>
            <w:r>
              <w:rPr>
                <w:spacing w:val="-7"/>
                <w:sz w:val="21"/>
              </w:rPr>
              <w:t>禁止类】禁止新建、扩建燃用高污染燃料的设施，已建成的高污染燃料设施应当改用天然气、页岩气、液化石油气、电等清洁能源。</w:t>
            </w:r>
          </w:p>
        </w:tc>
        <w:tc>
          <w:tcPr>
            <w:tcW w:w="2355" w:type="dxa"/>
          </w:tcPr>
          <w:p>
            <w:pPr>
              <w:pStyle w:val="TableParagraph"/>
              <w:rPr>
                <w:b/>
                <w:sz w:val="15"/>
              </w:rPr>
            </w:pPr>
          </w:p>
          <w:p>
            <w:pPr>
              <w:pStyle w:val="TableParagraph"/>
              <w:spacing w:line="242" w:lineRule="auto"/>
              <w:ind w:left="127" w:right="117"/>
              <w:jc w:val="center"/>
              <w:rPr>
                <w:sz w:val="21"/>
              </w:rPr>
            </w:pPr>
            <w:r>
              <w:rPr>
                <w:w w:val="95"/>
                <w:sz w:val="21"/>
              </w:rPr>
              <w:t>本项目不属于管控要求中的限制类或禁止类项</w:t>
            </w:r>
            <w:r>
              <w:rPr>
                <w:sz w:val="21"/>
              </w:rPr>
              <w:t>目。</w:t>
            </w:r>
          </w:p>
        </w:tc>
        <w:tc>
          <w:tcPr>
            <w:tcW w:w="1014" w:type="dxa"/>
            <w:tcBorders>
              <w:right w:val="nil"/>
            </w:tcBorders>
          </w:tcPr>
          <w:p>
            <w:pPr>
              <w:pStyle w:val="TableParagraph"/>
              <w:rPr>
                <w:b/>
                <w:sz w:val="20"/>
              </w:rPr>
            </w:pPr>
          </w:p>
          <w:p>
            <w:pPr>
              <w:pStyle w:val="TableParagraph"/>
              <w:spacing w:before="4"/>
              <w:rPr>
                <w:b/>
                <w:sz w:val="16"/>
              </w:rPr>
            </w:pPr>
          </w:p>
          <w:p>
            <w:pPr>
              <w:pStyle w:val="TableParagraph"/>
              <w:ind w:left="171" w:right="168"/>
              <w:jc w:val="center"/>
              <w:rPr>
                <w:sz w:val="21"/>
              </w:rPr>
            </w:pPr>
            <w:r>
              <w:rPr>
                <w:sz w:val="21"/>
              </w:rPr>
              <w:t>符合</w:t>
            </w:r>
          </w:p>
        </w:tc>
      </w:tr>
      <w:tr>
        <w:tblPrEx>
          <w:tblW w:w="0" w:type="auto"/>
          <w:tblInd w:w="123" w:type="dxa"/>
          <w:tblLayout w:type="fixed"/>
          <w:tblCellMar>
            <w:top w:w="0" w:type="dxa"/>
            <w:left w:w="0" w:type="dxa"/>
            <w:bottom w:w="0" w:type="dxa"/>
            <w:right w:w="0" w:type="dxa"/>
          </w:tblCellMar>
        </w:tblPrEx>
        <w:trPr>
          <w:trHeight w:val="1475"/>
        </w:trPr>
        <w:tc>
          <w:tcPr>
            <w:tcW w:w="2197" w:type="dxa"/>
            <w:vMerge/>
            <w:tcBorders>
              <w:top w:val="nil"/>
              <w:left w:val="nil"/>
            </w:tcBorders>
          </w:tcPr>
          <w:p>
            <w:pPr>
              <w:rPr>
                <w:sz w:val="2"/>
                <w:szCs w:val="2"/>
              </w:rPr>
            </w:pPr>
          </w:p>
        </w:tc>
        <w:tc>
          <w:tcPr>
            <w:tcW w:w="554" w:type="dxa"/>
          </w:tcPr>
          <w:p>
            <w:pPr>
              <w:pStyle w:val="TableParagraph"/>
              <w:rPr>
                <w:b/>
                <w:sz w:val="15"/>
              </w:rPr>
            </w:pPr>
          </w:p>
          <w:p>
            <w:pPr>
              <w:pStyle w:val="TableParagraph"/>
              <w:spacing w:line="242" w:lineRule="auto"/>
              <w:ind w:left="56" w:right="68"/>
              <w:jc w:val="both"/>
              <w:rPr>
                <w:sz w:val="21"/>
              </w:rPr>
            </w:pPr>
            <w:r>
              <w:rPr>
                <w:sz w:val="21"/>
              </w:rPr>
              <w:t>污染物排放管控</w:t>
            </w:r>
          </w:p>
        </w:tc>
        <w:tc>
          <w:tcPr>
            <w:tcW w:w="7998" w:type="dxa"/>
          </w:tcPr>
          <w:p>
            <w:pPr>
              <w:pStyle w:val="TableParagraph"/>
              <w:spacing w:before="56" w:line="242" w:lineRule="auto"/>
              <w:ind w:left="56" w:right="45"/>
              <w:jc w:val="both"/>
              <w:rPr>
                <w:sz w:val="21"/>
              </w:rPr>
            </w:pPr>
            <w:r>
              <w:rPr>
                <w:sz w:val="21"/>
              </w:rPr>
              <w:t>3-1.【水/鼓励引导类】新建住宅项目、城中旧村改造、旧工业厂房改造项目要实现管</w:t>
            </w:r>
            <w:r>
              <w:rPr>
                <w:spacing w:val="-7"/>
                <w:sz w:val="21"/>
              </w:rPr>
              <w:t xml:space="preserve">网雨污分流，着力完善配套污水管网建设。 </w:t>
            </w:r>
            <w:r>
              <w:rPr>
                <w:spacing w:val="-6"/>
                <w:sz w:val="21"/>
              </w:rPr>
              <w:t>3-2</w:t>
            </w:r>
            <w:r>
              <w:rPr>
                <w:spacing w:val="-2"/>
                <w:sz w:val="21"/>
              </w:rPr>
              <w:t>.【水</w:t>
            </w:r>
            <w:r>
              <w:rPr>
                <w:sz w:val="21"/>
              </w:rPr>
              <w:t>/</w:t>
            </w:r>
            <w:r>
              <w:rPr>
                <w:spacing w:val="-5"/>
                <w:sz w:val="21"/>
              </w:rPr>
              <w:t>综合类】加强农村生活污水收集</w:t>
            </w:r>
            <w:r>
              <w:rPr>
                <w:spacing w:val="-11"/>
                <w:w w:val="95"/>
                <w:sz w:val="21"/>
              </w:rPr>
              <w:t xml:space="preserve">处理系统建设，对较偏远未能纳入城镇污水处理设施的乡村，结合河涌整治建设分散式  </w:t>
            </w:r>
            <w:r>
              <w:rPr>
                <w:spacing w:val="-15"/>
                <w:sz w:val="21"/>
              </w:rPr>
              <w:t xml:space="preserve">污水处理系统。 </w:t>
            </w:r>
            <w:r>
              <w:rPr>
                <w:spacing w:val="-5"/>
                <w:sz w:val="21"/>
              </w:rPr>
              <w:t>3-3</w:t>
            </w:r>
            <w:r>
              <w:rPr>
                <w:spacing w:val="-2"/>
                <w:sz w:val="21"/>
              </w:rPr>
              <w:t>.【大气</w:t>
            </w:r>
            <w:r>
              <w:rPr>
                <w:sz w:val="21"/>
              </w:rPr>
              <w:t>/</w:t>
            </w:r>
            <w:r>
              <w:rPr>
                <w:spacing w:val="-7"/>
                <w:sz w:val="21"/>
              </w:rPr>
              <w:t>综合类】在可核查、可监管的基础上，新建项目原则上实施氮氧化物等量替代，挥发性有机物两倍削减量替代。</w:t>
            </w:r>
          </w:p>
        </w:tc>
        <w:tc>
          <w:tcPr>
            <w:tcW w:w="2355" w:type="dxa"/>
          </w:tcPr>
          <w:p>
            <w:pPr>
              <w:pStyle w:val="TableParagraph"/>
              <w:spacing w:before="6"/>
              <w:rPr>
                <w:b/>
                <w:sz w:val="25"/>
              </w:rPr>
            </w:pPr>
          </w:p>
          <w:p>
            <w:pPr>
              <w:pStyle w:val="TableParagraph"/>
              <w:spacing w:before="1" w:line="242" w:lineRule="auto"/>
              <w:ind w:left="57" w:right="48"/>
              <w:rPr>
                <w:sz w:val="21"/>
              </w:rPr>
            </w:pPr>
            <w:r>
              <w:rPr>
                <w:sz w:val="21"/>
              </w:rPr>
              <w:t>本项目为电网基础设施</w:t>
            </w:r>
            <w:r>
              <w:rPr>
                <w:spacing w:val="-10"/>
                <w:sz w:val="21"/>
              </w:rPr>
              <w:t>项目，不属于污染物排放</w:t>
            </w:r>
            <w:r>
              <w:rPr>
                <w:sz w:val="21"/>
              </w:rPr>
              <w:t>管控的建设项目。</w:t>
            </w:r>
          </w:p>
        </w:tc>
        <w:tc>
          <w:tcPr>
            <w:tcW w:w="1014" w:type="dxa"/>
            <w:tcBorders>
              <w:right w:val="nil"/>
            </w:tcBorders>
          </w:tcPr>
          <w:p>
            <w:pPr>
              <w:pStyle w:val="TableParagraph"/>
              <w:rPr>
                <w:b/>
                <w:sz w:val="20"/>
              </w:rPr>
            </w:pPr>
          </w:p>
          <w:p>
            <w:pPr>
              <w:pStyle w:val="TableParagraph"/>
              <w:spacing w:before="11"/>
              <w:rPr>
                <w:b/>
                <w:sz w:val="26"/>
              </w:rPr>
            </w:pPr>
          </w:p>
          <w:p>
            <w:pPr>
              <w:pStyle w:val="TableParagraph"/>
              <w:ind w:left="171" w:right="168"/>
              <w:jc w:val="center"/>
              <w:rPr>
                <w:sz w:val="21"/>
              </w:rPr>
            </w:pPr>
            <w:r>
              <w:rPr>
                <w:sz w:val="21"/>
              </w:rPr>
              <w:t>符合</w:t>
            </w:r>
          </w:p>
        </w:tc>
      </w:tr>
      <w:tr>
        <w:tblPrEx>
          <w:tblW w:w="0" w:type="auto"/>
          <w:tblInd w:w="123" w:type="dxa"/>
          <w:tblLayout w:type="fixed"/>
          <w:tblCellMar>
            <w:top w:w="0" w:type="dxa"/>
            <w:left w:w="0" w:type="dxa"/>
            <w:bottom w:w="0" w:type="dxa"/>
            <w:right w:w="0" w:type="dxa"/>
          </w:tblCellMar>
        </w:tblPrEx>
        <w:trPr>
          <w:trHeight w:val="928"/>
        </w:trPr>
        <w:tc>
          <w:tcPr>
            <w:tcW w:w="2197" w:type="dxa"/>
            <w:vMerge/>
            <w:tcBorders>
              <w:top w:val="nil"/>
              <w:left w:val="nil"/>
            </w:tcBorders>
          </w:tcPr>
          <w:p>
            <w:pPr>
              <w:rPr>
                <w:sz w:val="2"/>
                <w:szCs w:val="2"/>
              </w:rPr>
            </w:pPr>
          </w:p>
        </w:tc>
        <w:tc>
          <w:tcPr>
            <w:tcW w:w="554" w:type="dxa"/>
          </w:tcPr>
          <w:p>
            <w:pPr>
              <w:pStyle w:val="TableParagraph"/>
              <w:spacing w:before="59" w:line="242" w:lineRule="auto"/>
              <w:ind w:left="56" w:right="68"/>
              <w:jc w:val="both"/>
              <w:rPr>
                <w:sz w:val="21"/>
              </w:rPr>
            </w:pPr>
            <w:r>
              <w:rPr>
                <w:sz w:val="21"/>
              </w:rPr>
              <w:t>环境风险管控</w:t>
            </w:r>
          </w:p>
        </w:tc>
        <w:tc>
          <w:tcPr>
            <w:tcW w:w="7998" w:type="dxa"/>
          </w:tcPr>
          <w:p>
            <w:pPr>
              <w:pStyle w:val="TableParagraph"/>
              <w:spacing w:before="9"/>
              <w:rPr>
                <w:b/>
                <w:sz w:val="25"/>
              </w:rPr>
            </w:pPr>
          </w:p>
          <w:p>
            <w:pPr>
              <w:pStyle w:val="TableParagraph"/>
              <w:spacing w:before="1"/>
              <w:ind w:left="56"/>
              <w:rPr>
                <w:sz w:val="21"/>
              </w:rPr>
            </w:pPr>
            <w:r>
              <w:rPr>
                <w:sz w:val="21"/>
              </w:rPr>
              <w:t>4-1.【大气/综合类】建立环境监测预警制度，重点施行污染天气预警预报。</w:t>
            </w:r>
          </w:p>
        </w:tc>
        <w:tc>
          <w:tcPr>
            <w:tcW w:w="2355" w:type="dxa"/>
          </w:tcPr>
          <w:p>
            <w:pPr>
              <w:pStyle w:val="TableParagraph"/>
              <w:spacing w:before="9"/>
              <w:rPr>
                <w:b/>
                <w:sz w:val="25"/>
              </w:rPr>
            </w:pPr>
          </w:p>
          <w:p>
            <w:pPr>
              <w:pStyle w:val="TableParagraph"/>
              <w:spacing w:before="1"/>
              <w:ind w:left="57"/>
              <w:rPr>
                <w:sz w:val="21"/>
              </w:rPr>
            </w:pPr>
            <w:r>
              <w:rPr>
                <w:sz w:val="21"/>
              </w:rPr>
              <w:t>不涉及</w:t>
            </w:r>
          </w:p>
        </w:tc>
        <w:tc>
          <w:tcPr>
            <w:tcW w:w="1014" w:type="dxa"/>
            <w:tcBorders>
              <w:right w:val="nil"/>
            </w:tcBorders>
          </w:tcPr>
          <w:p>
            <w:pPr>
              <w:pStyle w:val="TableParagraph"/>
              <w:spacing w:before="9"/>
              <w:rPr>
                <w:b/>
                <w:sz w:val="25"/>
              </w:rPr>
            </w:pPr>
          </w:p>
          <w:p>
            <w:pPr>
              <w:pStyle w:val="TableParagraph"/>
              <w:spacing w:before="1"/>
              <w:ind w:left="171" w:right="168"/>
              <w:jc w:val="center"/>
              <w:rPr>
                <w:sz w:val="21"/>
              </w:rPr>
            </w:pPr>
            <w:r>
              <w:rPr>
                <w:sz w:val="21"/>
              </w:rPr>
              <w:t>不涉及</w:t>
            </w:r>
          </w:p>
        </w:tc>
      </w:tr>
    </w:tbl>
    <w:p>
      <w:pPr>
        <w:spacing w:after="0"/>
        <w:jc w:val="center"/>
        <w:rPr>
          <w:sz w:val="21"/>
        </w:rPr>
        <w:sectPr>
          <w:footerReference w:type="default" r:id="rId14"/>
          <w:pgSz w:w="16840" w:h="11910" w:orient="landscape"/>
          <w:pgMar w:top="1100" w:right="1240" w:bottom="1160" w:left="1240" w:header="0" w:footer="965" w:gutter="0"/>
          <w:pgNumType w:start="7"/>
          <w:cols w:num="1" w:space="720"/>
        </w:sectPr>
      </w:pPr>
    </w:p>
    <w:p>
      <w:pPr>
        <w:pStyle w:val="BodyText"/>
        <w:rPr>
          <w:rFonts w:ascii="Times New Roman"/>
          <w:sz w:val="27"/>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97"/>
        <w:gridCol w:w="554"/>
        <w:gridCol w:w="7998"/>
        <w:gridCol w:w="2355"/>
        <w:gridCol w:w="1014"/>
      </w:tblGrid>
      <w:tr>
        <w:tblPrEx>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476"/>
        </w:trPr>
        <w:tc>
          <w:tcPr>
            <w:tcW w:w="2197" w:type="dxa"/>
            <w:vMerge w:val="restart"/>
            <w:tcBorders>
              <w:left w:val="nil"/>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21"/>
              </w:rPr>
            </w:pPr>
          </w:p>
          <w:p>
            <w:pPr>
              <w:pStyle w:val="TableParagraph"/>
              <w:ind w:left="62"/>
              <w:rPr>
                <w:sz w:val="21"/>
              </w:rPr>
            </w:pPr>
            <w:r>
              <w:rPr>
                <w:sz w:val="21"/>
              </w:rPr>
              <w:t>HY44040020015(横琴</w:t>
            </w:r>
          </w:p>
          <w:p>
            <w:pPr>
              <w:pStyle w:val="TableParagraph"/>
              <w:spacing w:before="3"/>
              <w:ind w:left="62"/>
              <w:rPr>
                <w:sz w:val="21"/>
              </w:rPr>
            </w:pPr>
            <w:r>
              <w:rPr>
                <w:sz w:val="21"/>
              </w:rPr>
              <w:t>岛港口航运区)</w:t>
            </w:r>
          </w:p>
        </w:tc>
        <w:tc>
          <w:tcPr>
            <w:tcW w:w="554" w:type="dxa"/>
          </w:tcPr>
          <w:p>
            <w:pPr>
              <w:pStyle w:val="TableParagraph"/>
              <w:spacing w:before="6"/>
              <w:rPr>
                <w:rFonts w:ascii="Times New Roman"/>
                <w:sz w:val="28"/>
              </w:rPr>
            </w:pPr>
          </w:p>
          <w:p>
            <w:pPr>
              <w:pStyle w:val="TableParagraph"/>
              <w:spacing w:before="1" w:line="242" w:lineRule="auto"/>
              <w:ind w:left="56" w:right="68"/>
              <w:jc w:val="both"/>
              <w:rPr>
                <w:sz w:val="21"/>
              </w:rPr>
            </w:pPr>
            <w:r>
              <w:rPr>
                <w:sz w:val="21"/>
              </w:rPr>
              <w:t>区域布局管控</w:t>
            </w:r>
          </w:p>
        </w:tc>
        <w:tc>
          <w:tcPr>
            <w:tcW w:w="7998" w:type="dxa"/>
          </w:tcPr>
          <w:p>
            <w:pPr>
              <w:pStyle w:val="TableParagraph"/>
              <w:spacing w:before="57" w:line="242" w:lineRule="auto"/>
              <w:ind w:left="56" w:right="45"/>
              <w:rPr>
                <w:sz w:val="21"/>
              </w:rPr>
            </w:pPr>
            <w:r>
              <w:rPr>
                <w:sz w:val="21"/>
              </w:rPr>
              <w:t>1</w:t>
            </w:r>
            <w:r>
              <w:rPr>
                <w:spacing w:val="-11"/>
                <w:sz w:val="21"/>
              </w:rPr>
              <w:t xml:space="preserve">.从严控制“两高一资”产业在沿海地区布局。 </w:t>
            </w:r>
            <w:r>
              <w:rPr>
                <w:sz w:val="21"/>
              </w:rPr>
              <w:t>2.立足海洋特色资源和海洋开发需求</w:t>
            </w:r>
            <w:r>
              <w:rPr>
                <w:spacing w:val="-1"/>
                <w:sz w:val="21"/>
              </w:rPr>
              <w:t xml:space="preserve">积极培育发展海洋新兴产业和先进制造业。 </w:t>
            </w:r>
            <w:r>
              <w:rPr>
                <w:sz w:val="21"/>
              </w:rPr>
              <w:t>3.依法淘汰沿海地区污染物排放不达标或</w:t>
            </w:r>
            <w:r>
              <w:rPr>
                <w:spacing w:val="-4"/>
                <w:sz w:val="21"/>
              </w:rPr>
              <w:t xml:space="preserve">超过总量控制要求的产能。 </w:t>
            </w:r>
            <w:r>
              <w:rPr>
                <w:sz w:val="21"/>
              </w:rPr>
              <w:t>4</w:t>
            </w:r>
            <w:r>
              <w:rPr>
                <w:spacing w:val="-6"/>
                <w:sz w:val="21"/>
              </w:rPr>
              <w:t xml:space="preserve">.除国家重大项目外，全面禁止围填海。 </w:t>
            </w:r>
            <w:r>
              <w:rPr>
                <w:sz w:val="21"/>
              </w:rPr>
              <w:t>5.船舶不符合污</w:t>
            </w:r>
            <w:r>
              <w:rPr>
                <w:spacing w:val="-6"/>
                <w:w w:val="95"/>
                <w:sz w:val="21"/>
              </w:rPr>
              <w:t xml:space="preserve">染危害性货物适载要求的，不得载运污染危害性货物，码头、装卸站不得为其进行装载  </w:t>
            </w:r>
            <w:r>
              <w:rPr>
                <w:spacing w:val="-6"/>
                <w:sz w:val="21"/>
              </w:rPr>
              <w:t>作业。</w:t>
            </w:r>
          </w:p>
        </w:tc>
        <w:tc>
          <w:tcPr>
            <w:tcW w:w="2355" w:type="dxa"/>
          </w:tcPr>
          <w:p>
            <w:pPr>
              <w:pStyle w:val="TableParagraph"/>
              <w:spacing w:before="57"/>
              <w:ind w:left="-164"/>
              <w:rPr>
                <w:sz w:val="21"/>
              </w:rPr>
            </w:pPr>
            <w:r>
              <w:rPr>
                <w:w w:val="99"/>
                <w:sz w:val="21"/>
              </w:rPr>
              <w:t>，</w:t>
            </w:r>
          </w:p>
          <w:p>
            <w:pPr>
              <w:pStyle w:val="TableParagraph"/>
              <w:rPr>
                <w:rFonts w:ascii="Times New Roman"/>
                <w:sz w:val="24"/>
              </w:rPr>
            </w:pPr>
          </w:p>
          <w:p>
            <w:pPr>
              <w:pStyle w:val="TableParagraph"/>
              <w:ind w:left="57"/>
              <w:rPr>
                <w:sz w:val="21"/>
              </w:rPr>
            </w:pPr>
            <w:r>
              <w:rPr>
                <w:sz w:val="21"/>
              </w:rPr>
              <w:t>不涉及</w:t>
            </w:r>
          </w:p>
        </w:tc>
        <w:tc>
          <w:tcPr>
            <w:tcW w:w="1014" w:type="dxa"/>
            <w:tcBorders>
              <w:right w:val="nil"/>
            </w:tcBorders>
          </w:tcPr>
          <w:p>
            <w:pPr>
              <w:pStyle w:val="TableParagraph"/>
              <w:rPr>
                <w:rFonts w:ascii="Times New Roman"/>
                <w:sz w:val="20"/>
              </w:rPr>
            </w:pPr>
          </w:p>
          <w:p>
            <w:pPr>
              <w:pStyle w:val="TableParagraph"/>
              <w:rPr>
                <w:rFonts w:ascii="Times New Roman"/>
                <w:sz w:val="20"/>
              </w:rPr>
            </w:pPr>
          </w:p>
          <w:p>
            <w:pPr>
              <w:pStyle w:val="TableParagraph"/>
              <w:spacing w:before="142"/>
              <w:ind w:left="171" w:right="168"/>
              <w:jc w:val="center"/>
              <w:rPr>
                <w:sz w:val="21"/>
              </w:rPr>
            </w:pPr>
            <w:r>
              <w:rPr>
                <w:sz w:val="21"/>
              </w:rPr>
              <w:t>符合</w:t>
            </w:r>
          </w:p>
        </w:tc>
      </w:tr>
      <w:tr>
        <w:tblPrEx>
          <w:tblW w:w="0" w:type="auto"/>
          <w:tblInd w:w="123" w:type="dxa"/>
          <w:tblLayout w:type="fixed"/>
          <w:tblCellMar>
            <w:top w:w="0" w:type="dxa"/>
            <w:left w:w="0" w:type="dxa"/>
            <w:bottom w:w="0" w:type="dxa"/>
            <w:right w:w="0" w:type="dxa"/>
          </w:tblCellMar>
        </w:tblPrEx>
        <w:trPr>
          <w:trHeight w:val="1475"/>
        </w:trPr>
        <w:tc>
          <w:tcPr>
            <w:tcW w:w="2197" w:type="dxa"/>
            <w:vMerge/>
            <w:tcBorders>
              <w:top w:val="nil"/>
              <w:left w:val="nil"/>
            </w:tcBorders>
          </w:tcPr>
          <w:p>
            <w:pPr>
              <w:rPr>
                <w:sz w:val="2"/>
                <w:szCs w:val="2"/>
              </w:rPr>
            </w:pPr>
          </w:p>
        </w:tc>
        <w:tc>
          <w:tcPr>
            <w:tcW w:w="554" w:type="dxa"/>
          </w:tcPr>
          <w:p>
            <w:pPr>
              <w:pStyle w:val="TableParagraph"/>
              <w:spacing w:before="6"/>
              <w:rPr>
                <w:rFonts w:ascii="Times New Roman"/>
                <w:sz w:val="28"/>
              </w:rPr>
            </w:pPr>
          </w:p>
          <w:p>
            <w:pPr>
              <w:pStyle w:val="TableParagraph"/>
              <w:spacing w:line="242" w:lineRule="auto"/>
              <w:ind w:left="56" w:right="68"/>
              <w:jc w:val="both"/>
              <w:rPr>
                <w:sz w:val="21"/>
              </w:rPr>
            </w:pPr>
            <w:r>
              <w:rPr>
                <w:sz w:val="21"/>
              </w:rPr>
              <w:t>能源资源利用</w:t>
            </w:r>
          </w:p>
        </w:tc>
        <w:tc>
          <w:tcPr>
            <w:tcW w:w="7998" w:type="dxa"/>
          </w:tcPr>
          <w:p>
            <w:pPr>
              <w:pStyle w:val="TableParagraph"/>
              <w:numPr>
                <w:ilvl w:val="0"/>
                <w:numId w:val="2"/>
              </w:numPr>
              <w:tabs>
                <w:tab w:val="left" w:pos="268"/>
              </w:tabs>
              <w:spacing w:before="57" w:after="0" w:line="240" w:lineRule="auto"/>
              <w:ind w:left="267" w:right="0" w:hanging="212"/>
              <w:jc w:val="left"/>
              <w:rPr>
                <w:sz w:val="21"/>
              </w:rPr>
            </w:pPr>
            <w:r>
              <w:rPr>
                <w:sz w:val="21"/>
              </w:rPr>
              <w:t>节约集约用海，合理控制规模，优化空间布局，提高海域空间资源的整体使用效能</w:t>
            </w:r>
          </w:p>
          <w:p>
            <w:pPr>
              <w:pStyle w:val="TableParagraph"/>
              <w:numPr>
                <w:ilvl w:val="0"/>
                <w:numId w:val="2"/>
              </w:numPr>
              <w:tabs>
                <w:tab w:val="left" w:pos="268"/>
              </w:tabs>
              <w:spacing w:before="2" w:after="0" w:line="242" w:lineRule="auto"/>
              <w:ind w:left="56" w:right="45" w:firstLine="0"/>
              <w:jc w:val="both"/>
              <w:rPr>
                <w:sz w:val="21"/>
              </w:rPr>
            </w:pPr>
            <w:r>
              <w:rPr>
                <w:spacing w:val="-7"/>
                <w:w w:val="95"/>
                <w:sz w:val="21"/>
              </w:rPr>
              <w:t xml:space="preserve">引导船舶靠港使用岸电，推进船舶清洁能源改造，鼓励提前淘汰老旧渔业作业船舶和  </w:t>
            </w:r>
            <w:r>
              <w:rPr>
                <w:spacing w:val="-8"/>
                <w:sz w:val="21"/>
              </w:rPr>
              <w:t xml:space="preserve">内河货运船舶。 </w:t>
            </w:r>
            <w:r>
              <w:rPr>
                <w:sz w:val="21"/>
              </w:rPr>
              <w:t>3</w:t>
            </w:r>
            <w:r>
              <w:rPr>
                <w:spacing w:val="-3"/>
                <w:sz w:val="21"/>
              </w:rPr>
              <w:t xml:space="preserve">.维持岸线自然属性，保持自然岸线形态，砂质岸线向海一侧 </w:t>
            </w:r>
            <w:r>
              <w:rPr>
                <w:sz w:val="21"/>
              </w:rPr>
              <w:t>3.5</w:t>
            </w:r>
            <w:r>
              <w:rPr>
                <w:spacing w:val="-28"/>
                <w:sz w:val="21"/>
              </w:rPr>
              <w:t xml:space="preserve"> 海</w:t>
            </w:r>
            <w:r>
              <w:rPr>
                <w:spacing w:val="-19"/>
                <w:w w:val="95"/>
                <w:sz w:val="21"/>
              </w:rPr>
              <w:t xml:space="preserve">里内禁止采挖海砂、倾废等可能诱发沙滩蚀退的开发活动，保护岸线原有生态功能，加  </w:t>
            </w:r>
            <w:r>
              <w:rPr>
                <w:spacing w:val="-19"/>
                <w:sz w:val="21"/>
              </w:rPr>
              <w:t>强对受损自然岸线的整治与修复。</w:t>
            </w:r>
          </w:p>
        </w:tc>
        <w:tc>
          <w:tcPr>
            <w:tcW w:w="2355" w:type="dxa"/>
          </w:tcPr>
          <w:p>
            <w:pPr>
              <w:pStyle w:val="TableParagraph"/>
              <w:spacing w:before="61" w:line="242" w:lineRule="auto"/>
              <w:ind w:left="57" w:right="45" w:hanging="228"/>
              <w:rPr>
                <w:sz w:val="21"/>
              </w:rPr>
            </w:pPr>
            <w:r>
              <w:rPr>
                <w:spacing w:val="-11"/>
                <w:position w:val="13"/>
                <w:sz w:val="21"/>
              </w:rPr>
              <w:t xml:space="preserve">。 </w:t>
            </w:r>
            <w:r>
              <w:rPr>
                <w:sz w:val="21"/>
              </w:rPr>
              <w:t>该段线路电缆在横琴隧</w:t>
            </w:r>
            <w:r>
              <w:rPr>
                <w:spacing w:val="-8"/>
                <w:w w:val="95"/>
                <w:sz w:val="21"/>
              </w:rPr>
              <w:t>道电力舱铺设，无土建工</w:t>
            </w:r>
            <w:r>
              <w:rPr>
                <w:spacing w:val="-10"/>
                <w:sz w:val="21"/>
              </w:rPr>
              <w:t>程，不涉及用海或破坏岸</w:t>
            </w:r>
          </w:p>
          <w:p>
            <w:pPr>
              <w:pStyle w:val="TableParagraph"/>
              <w:spacing w:before="3"/>
              <w:ind w:left="124" w:right="117"/>
              <w:jc w:val="center"/>
              <w:rPr>
                <w:sz w:val="21"/>
              </w:rPr>
            </w:pPr>
            <w:r>
              <w:rPr>
                <w:sz w:val="21"/>
              </w:rPr>
              <w:t>线。</w:t>
            </w:r>
          </w:p>
        </w:tc>
        <w:tc>
          <w:tcPr>
            <w:tcW w:w="1014" w:type="dxa"/>
            <w:tcBorders>
              <w:right w:val="nil"/>
            </w:tcBorders>
          </w:tcPr>
          <w:p>
            <w:pPr>
              <w:pStyle w:val="TableParagraph"/>
              <w:rPr>
                <w:rFonts w:ascii="Times New Roman"/>
                <w:sz w:val="20"/>
              </w:rPr>
            </w:pPr>
          </w:p>
          <w:p>
            <w:pPr>
              <w:pStyle w:val="TableParagraph"/>
              <w:rPr>
                <w:rFonts w:ascii="Times New Roman"/>
                <w:sz w:val="20"/>
              </w:rPr>
            </w:pPr>
          </w:p>
          <w:p>
            <w:pPr>
              <w:pStyle w:val="TableParagraph"/>
              <w:spacing w:before="142"/>
              <w:ind w:left="171" w:right="168"/>
              <w:jc w:val="center"/>
              <w:rPr>
                <w:sz w:val="21"/>
              </w:rPr>
            </w:pPr>
            <w:r>
              <w:rPr>
                <w:sz w:val="21"/>
              </w:rPr>
              <w:t>符合</w:t>
            </w:r>
          </w:p>
        </w:tc>
      </w:tr>
      <w:tr>
        <w:tblPrEx>
          <w:tblW w:w="0" w:type="auto"/>
          <w:tblInd w:w="123" w:type="dxa"/>
          <w:tblLayout w:type="fixed"/>
          <w:tblCellMar>
            <w:top w:w="0" w:type="dxa"/>
            <w:left w:w="0" w:type="dxa"/>
            <w:bottom w:w="0" w:type="dxa"/>
            <w:right w:w="0" w:type="dxa"/>
          </w:tblCellMar>
        </w:tblPrEx>
        <w:trPr>
          <w:trHeight w:val="2566"/>
        </w:trPr>
        <w:tc>
          <w:tcPr>
            <w:tcW w:w="2197" w:type="dxa"/>
            <w:vMerge/>
            <w:tcBorders>
              <w:top w:val="nil"/>
              <w:left w:val="nil"/>
            </w:tcBorders>
          </w:tcPr>
          <w:p>
            <w:pPr>
              <w:rPr>
                <w:sz w:val="2"/>
                <w:szCs w:val="2"/>
              </w:rPr>
            </w:pPr>
          </w:p>
        </w:tc>
        <w:tc>
          <w:tcPr>
            <w:tcW w:w="554" w:type="dxa"/>
          </w:tcPr>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4"/>
              </w:rPr>
            </w:pPr>
          </w:p>
          <w:p>
            <w:pPr>
              <w:pStyle w:val="TableParagraph"/>
              <w:spacing w:line="242" w:lineRule="auto"/>
              <w:ind w:left="56" w:right="68"/>
              <w:jc w:val="both"/>
              <w:rPr>
                <w:sz w:val="21"/>
              </w:rPr>
            </w:pPr>
            <w:r>
              <w:rPr>
                <w:sz w:val="21"/>
              </w:rPr>
              <w:t>污染物排放管控</w:t>
            </w:r>
          </w:p>
        </w:tc>
        <w:tc>
          <w:tcPr>
            <w:tcW w:w="7998" w:type="dxa"/>
          </w:tcPr>
          <w:p>
            <w:pPr>
              <w:pStyle w:val="TableParagraph"/>
              <w:spacing w:before="58" w:line="242" w:lineRule="auto"/>
              <w:ind w:left="56" w:right="47"/>
              <w:rPr>
                <w:sz w:val="21"/>
              </w:rPr>
            </w:pPr>
            <w:r>
              <w:rPr>
                <w:sz w:val="21"/>
              </w:rPr>
              <w:t>1</w:t>
            </w:r>
            <w:r>
              <w:rPr>
                <w:spacing w:val="-1"/>
                <w:sz w:val="21"/>
              </w:rPr>
              <w:t xml:space="preserve">.向海域排放陆源污染物，必须严格执行国家或者地方规定的标准和有关规定。 </w:t>
            </w:r>
            <w:r>
              <w:rPr>
                <w:sz w:val="21"/>
              </w:rPr>
              <w:t>2.禁</w:t>
            </w:r>
            <w:r>
              <w:rPr>
                <w:spacing w:val="-8"/>
                <w:w w:val="95"/>
                <w:sz w:val="21"/>
              </w:rPr>
              <w:t xml:space="preserve">止向海域排放油类、酸液、碱液、剧毒废液和高、中水平放射性废水；严格限制向海域  </w:t>
            </w:r>
            <w:r>
              <w:rPr>
                <w:spacing w:val="-9"/>
                <w:sz w:val="21"/>
              </w:rPr>
              <w:t xml:space="preserve">排放低水平放射性废水，确需排放的，应当符合国家放射性污染防治标准。 </w:t>
            </w:r>
            <w:r>
              <w:rPr>
                <w:sz w:val="21"/>
              </w:rPr>
              <w:t>3.严格落</w:t>
            </w:r>
            <w:r>
              <w:rPr>
                <w:spacing w:val="-7"/>
                <w:w w:val="95"/>
                <w:sz w:val="21"/>
              </w:rPr>
              <w:t xml:space="preserve">实排污许可管理要求，加强排污许可证实施监管，督促企业采取有效措施控制污染物排  </w:t>
            </w:r>
            <w:r>
              <w:rPr>
                <w:spacing w:val="-11"/>
                <w:sz w:val="21"/>
              </w:rPr>
              <w:t xml:space="preserve">放，达到排污许可证规定的许可排放量要求。 </w:t>
            </w:r>
            <w:r>
              <w:rPr>
                <w:sz w:val="21"/>
              </w:rPr>
              <w:t>4.以近岸海域劣四类水质分布区为重点</w:t>
            </w:r>
            <w:r>
              <w:rPr>
                <w:w w:val="95"/>
                <w:sz w:val="21"/>
              </w:rPr>
              <w:t xml:space="preserve">建立健全“近岸水体-入海排污口-排污管线-污染源”全链条治理体系，系统开展入海  </w:t>
            </w:r>
            <w:r>
              <w:rPr>
                <w:spacing w:val="-1"/>
                <w:sz w:val="21"/>
              </w:rPr>
              <w:t xml:space="preserve">排污口综合整治，建立入海排污口整治销号制度。 </w:t>
            </w:r>
            <w:r>
              <w:rPr>
                <w:sz w:val="21"/>
              </w:rPr>
              <w:t>5.从事海水养殖的养殖者，应当采</w:t>
            </w:r>
            <w:r>
              <w:rPr>
                <w:spacing w:val="-1"/>
                <w:sz w:val="21"/>
              </w:rPr>
              <w:t xml:space="preserve">取科学的养殖方式，减少养殖饵料对海洋环境的污染。 </w:t>
            </w:r>
            <w:r>
              <w:rPr>
                <w:sz w:val="21"/>
              </w:rPr>
              <w:t>6.清理沙滩垃圾，改善旅游环境。</w:t>
            </w:r>
          </w:p>
        </w:tc>
        <w:tc>
          <w:tcPr>
            <w:tcW w:w="2355" w:type="dxa"/>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
              <w:rPr>
                <w:rFonts w:ascii="Times New Roman"/>
                <w:sz w:val="15"/>
              </w:rPr>
            </w:pPr>
          </w:p>
          <w:p>
            <w:pPr>
              <w:pStyle w:val="TableParagraph"/>
              <w:ind w:left="57"/>
              <w:rPr>
                <w:sz w:val="21"/>
              </w:rPr>
            </w:pPr>
            <w:r>
              <w:rPr>
                <w:sz w:val="21"/>
              </w:rPr>
              <w:t>本项目为电网基础设施</w:t>
            </w:r>
          </w:p>
          <w:p>
            <w:pPr>
              <w:pStyle w:val="TableParagraph"/>
              <w:spacing w:before="5" w:line="242" w:lineRule="auto"/>
              <w:ind w:left="57" w:right="48" w:hanging="221"/>
              <w:rPr>
                <w:sz w:val="21"/>
              </w:rPr>
            </w:pPr>
            <w:r>
              <w:rPr>
                <w:spacing w:val="-9"/>
                <w:sz w:val="21"/>
              </w:rPr>
              <w:t>，项目，不属于污染物排放</w:t>
            </w:r>
            <w:r>
              <w:rPr>
                <w:sz w:val="21"/>
              </w:rPr>
              <w:t>管控的建设项目。</w:t>
            </w:r>
          </w:p>
        </w:tc>
        <w:tc>
          <w:tcPr>
            <w:tcW w:w="1014" w:type="dxa"/>
            <w:tcBorders>
              <w:right w:val="nil"/>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19"/>
              </w:rPr>
            </w:pPr>
          </w:p>
          <w:p>
            <w:pPr>
              <w:pStyle w:val="TableParagraph"/>
              <w:spacing w:before="1"/>
              <w:ind w:left="171" w:right="168"/>
              <w:jc w:val="center"/>
              <w:rPr>
                <w:sz w:val="21"/>
              </w:rPr>
            </w:pPr>
            <w:r>
              <w:rPr>
                <w:sz w:val="21"/>
              </w:rPr>
              <w:t>符合</w:t>
            </w:r>
          </w:p>
        </w:tc>
      </w:tr>
      <w:tr>
        <w:tblPrEx>
          <w:tblW w:w="0" w:type="auto"/>
          <w:tblInd w:w="123" w:type="dxa"/>
          <w:tblLayout w:type="fixed"/>
          <w:tblCellMar>
            <w:top w:w="0" w:type="dxa"/>
            <w:left w:w="0" w:type="dxa"/>
            <w:bottom w:w="0" w:type="dxa"/>
            <w:right w:w="0" w:type="dxa"/>
          </w:tblCellMar>
        </w:tblPrEx>
        <w:trPr>
          <w:trHeight w:val="1475"/>
        </w:trPr>
        <w:tc>
          <w:tcPr>
            <w:tcW w:w="2197" w:type="dxa"/>
            <w:vMerge/>
            <w:tcBorders>
              <w:top w:val="nil"/>
              <w:left w:val="nil"/>
            </w:tcBorders>
          </w:tcPr>
          <w:p>
            <w:pPr>
              <w:rPr>
                <w:sz w:val="2"/>
                <w:szCs w:val="2"/>
              </w:rPr>
            </w:pPr>
          </w:p>
        </w:tc>
        <w:tc>
          <w:tcPr>
            <w:tcW w:w="554" w:type="dxa"/>
          </w:tcPr>
          <w:p>
            <w:pPr>
              <w:pStyle w:val="TableParagraph"/>
              <w:spacing w:before="6"/>
              <w:rPr>
                <w:rFonts w:ascii="Times New Roman"/>
                <w:sz w:val="28"/>
              </w:rPr>
            </w:pPr>
          </w:p>
          <w:p>
            <w:pPr>
              <w:pStyle w:val="TableParagraph"/>
              <w:spacing w:line="242" w:lineRule="auto"/>
              <w:ind w:left="56" w:right="68"/>
              <w:jc w:val="both"/>
              <w:rPr>
                <w:sz w:val="21"/>
              </w:rPr>
            </w:pPr>
            <w:r>
              <w:rPr>
                <w:sz w:val="21"/>
              </w:rPr>
              <w:t>环境风险管控</w:t>
            </w:r>
          </w:p>
        </w:tc>
        <w:tc>
          <w:tcPr>
            <w:tcW w:w="7998" w:type="dxa"/>
          </w:tcPr>
          <w:p>
            <w:pPr>
              <w:pStyle w:val="TableParagraph"/>
              <w:spacing w:before="57" w:line="242" w:lineRule="auto"/>
              <w:ind w:left="56" w:right="45"/>
              <w:jc w:val="both"/>
              <w:rPr>
                <w:sz w:val="21"/>
              </w:rPr>
            </w:pPr>
            <w:r>
              <w:rPr>
                <w:w w:val="95"/>
                <w:sz w:val="21"/>
              </w:rPr>
              <w:t>1</w:t>
            </w:r>
            <w:r>
              <w:rPr>
                <w:spacing w:val="-8"/>
                <w:w w:val="95"/>
                <w:sz w:val="21"/>
              </w:rPr>
              <w:t xml:space="preserve">.进行海上堤坝、跨海桥梁、海上娱乐及运动、景观开发工程建设的，应当采取有效措  </w:t>
            </w:r>
            <w:r>
              <w:rPr>
                <w:spacing w:val="-9"/>
                <w:sz w:val="21"/>
              </w:rPr>
              <w:t xml:space="preserve">施防止对海岸的侵蚀或者淤积。 </w:t>
            </w:r>
            <w:r>
              <w:rPr>
                <w:sz w:val="21"/>
              </w:rPr>
              <w:t>2.制定和完善陆域环境风险源、海上溢油及危险化学</w:t>
            </w:r>
            <w:r>
              <w:rPr>
                <w:spacing w:val="-1"/>
                <w:sz w:val="21"/>
              </w:rPr>
              <w:t xml:space="preserve">品泄漏、海洋环境灾害等对近岸海域影响的应急预案，健全应急响应机制。 </w:t>
            </w:r>
            <w:r>
              <w:rPr>
                <w:sz w:val="21"/>
              </w:rPr>
              <w:t>3.船舶、</w:t>
            </w:r>
            <w:r>
              <w:rPr>
                <w:spacing w:val="-11"/>
                <w:w w:val="95"/>
                <w:sz w:val="21"/>
              </w:rPr>
              <w:t xml:space="preserve">港口、码头、装卸站以及其他有关作业单位应当制定防治船舶及其有关作业活动污染海  </w:t>
            </w:r>
            <w:r>
              <w:rPr>
                <w:spacing w:val="-11"/>
                <w:sz w:val="21"/>
              </w:rPr>
              <w:t>洋环境的应急预案，定期组织演练，并做好相应记录。</w:t>
            </w:r>
          </w:p>
        </w:tc>
        <w:tc>
          <w:tcPr>
            <w:tcW w:w="2355" w:type="dxa"/>
          </w:tcPr>
          <w:p>
            <w:pPr>
              <w:pStyle w:val="TableParagraph"/>
              <w:rPr>
                <w:rFonts w:ascii="Times New Roman"/>
                <w:sz w:val="20"/>
              </w:rPr>
            </w:pPr>
          </w:p>
          <w:p>
            <w:pPr>
              <w:pStyle w:val="TableParagraph"/>
              <w:rPr>
                <w:rFonts w:ascii="Times New Roman"/>
                <w:sz w:val="20"/>
              </w:rPr>
            </w:pPr>
          </w:p>
          <w:p>
            <w:pPr>
              <w:pStyle w:val="TableParagraph"/>
              <w:spacing w:before="142"/>
              <w:ind w:left="57"/>
              <w:rPr>
                <w:sz w:val="21"/>
              </w:rPr>
            </w:pPr>
            <w:r>
              <w:rPr>
                <w:sz w:val="21"/>
              </w:rPr>
              <w:t>不涉及</w:t>
            </w:r>
          </w:p>
        </w:tc>
        <w:tc>
          <w:tcPr>
            <w:tcW w:w="1014" w:type="dxa"/>
            <w:tcBorders>
              <w:right w:val="nil"/>
            </w:tcBorders>
          </w:tcPr>
          <w:p>
            <w:pPr>
              <w:pStyle w:val="TableParagraph"/>
              <w:rPr>
                <w:rFonts w:ascii="Times New Roman"/>
                <w:sz w:val="20"/>
              </w:rPr>
            </w:pPr>
          </w:p>
          <w:p>
            <w:pPr>
              <w:pStyle w:val="TableParagraph"/>
              <w:rPr>
                <w:rFonts w:ascii="Times New Roman"/>
                <w:sz w:val="20"/>
              </w:rPr>
            </w:pPr>
          </w:p>
          <w:p>
            <w:pPr>
              <w:pStyle w:val="TableParagraph"/>
              <w:spacing w:before="142"/>
              <w:ind w:left="171" w:right="168"/>
              <w:jc w:val="center"/>
              <w:rPr>
                <w:sz w:val="21"/>
              </w:rPr>
            </w:pPr>
            <w:r>
              <w:rPr>
                <w:sz w:val="21"/>
              </w:rPr>
              <w:t>不涉及</w:t>
            </w:r>
          </w:p>
        </w:tc>
      </w:tr>
      <w:tr>
        <w:tblPrEx>
          <w:tblW w:w="0" w:type="auto"/>
          <w:tblInd w:w="123" w:type="dxa"/>
          <w:tblLayout w:type="fixed"/>
          <w:tblCellMar>
            <w:top w:w="0" w:type="dxa"/>
            <w:left w:w="0" w:type="dxa"/>
            <w:bottom w:w="0" w:type="dxa"/>
            <w:right w:w="0" w:type="dxa"/>
          </w:tblCellMar>
        </w:tblPrEx>
        <w:trPr>
          <w:trHeight w:val="1746"/>
        </w:trPr>
        <w:tc>
          <w:tcPr>
            <w:tcW w:w="2197" w:type="dxa"/>
            <w:tcBorders>
              <w:left w:val="nil"/>
            </w:tcBorders>
          </w:tcPr>
          <w:p>
            <w:pPr>
              <w:pStyle w:val="TableParagraph"/>
              <w:rPr>
                <w:rFonts w:ascii="Times New Roman"/>
                <w:sz w:val="20"/>
              </w:rPr>
            </w:pPr>
          </w:p>
          <w:p>
            <w:pPr>
              <w:pStyle w:val="TableParagraph"/>
              <w:rPr>
                <w:rFonts w:ascii="Times New Roman"/>
                <w:sz w:val="20"/>
              </w:rPr>
            </w:pPr>
          </w:p>
          <w:p>
            <w:pPr>
              <w:pStyle w:val="TableParagraph"/>
              <w:spacing w:before="142"/>
              <w:ind w:left="62"/>
              <w:rPr>
                <w:sz w:val="21"/>
              </w:rPr>
            </w:pPr>
            <w:r>
              <w:rPr>
                <w:sz w:val="21"/>
              </w:rPr>
              <w:t>ZH44040220016(横琴</w:t>
            </w:r>
          </w:p>
          <w:p>
            <w:pPr>
              <w:pStyle w:val="TableParagraph"/>
              <w:spacing w:before="2"/>
              <w:ind w:left="62"/>
              <w:rPr>
                <w:sz w:val="21"/>
              </w:rPr>
            </w:pPr>
            <w:r>
              <w:rPr>
                <w:sz w:val="21"/>
              </w:rPr>
              <w:t>新区重点管控单元)</w:t>
            </w:r>
          </w:p>
        </w:tc>
        <w:tc>
          <w:tcPr>
            <w:tcW w:w="554" w:type="dxa"/>
          </w:tcPr>
          <w:p>
            <w:pPr>
              <w:pStyle w:val="TableParagraph"/>
              <w:rPr>
                <w:rFonts w:ascii="Times New Roman"/>
                <w:sz w:val="20"/>
              </w:rPr>
            </w:pPr>
          </w:p>
          <w:p>
            <w:pPr>
              <w:pStyle w:val="TableParagraph"/>
              <w:spacing w:before="5"/>
              <w:rPr>
                <w:rFonts w:ascii="Times New Roman"/>
                <w:sz w:val="20"/>
              </w:rPr>
            </w:pPr>
          </w:p>
          <w:p>
            <w:pPr>
              <w:pStyle w:val="TableParagraph"/>
              <w:spacing w:line="242" w:lineRule="auto"/>
              <w:ind w:left="56" w:right="68"/>
              <w:jc w:val="both"/>
              <w:rPr>
                <w:sz w:val="21"/>
              </w:rPr>
            </w:pPr>
            <w:r>
              <w:rPr>
                <w:sz w:val="21"/>
              </w:rPr>
              <w:t>区域布局管控</w:t>
            </w:r>
          </w:p>
        </w:tc>
        <w:tc>
          <w:tcPr>
            <w:tcW w:w="7998" w:type="dxa"/>
          </w:tcPr>
          <w:p>
            <w:pPr>
              <w:pStyle w:val="TableParagraph"/>
              <w:spacing w:before="57" w:line="242" w:lineRule="auto"/>
              <w:ind w:left="56" w:right="45"/>
              <w:jc w:val="both"/>
              <w:rPr>
                <w:sz w:val="21"/>
              </w:rPr>
            </w:pPr>
            <w:r>
              <w:rPr>
                <w:sz w:val="21"/>
              </w:rPr>
              <w:t>1-1.【产业/鼓励引导类】鼓励发展金融、商务会展、休闲旅游、科技信息等高端服务</w:t>
            </w:r>
            <w:r>
              <w:rPr>
                <w:spacing w:val="-14"/>
                <w:sz w:val="21"/>
              </w:rPr>
              <w:t xml:space="preserve">业。 </w:t>
            </w:r>
            <w:r>
              <w:rPr>
                <w:spacing w:val="-6"/>
                <w:sz w:val="21"/>
              </w:rPr>
              <w:t>1-2</w:t>
            </w:r>
            <w:r>
              <w:rPr>
                <w:spacing w:val="-2"/>
                <w:sz w:val="21"/>
              </w:rPr>
              <w:t>.【生态</w:t>
            </w:r>
            <w:r>
              <w:rPr>
                <w:sz w:val="21"/>
              </w:rPr>
              <w:t>/</w:t>
            </w:r>
            <w:r>
              <w:rPr>
                <w:spacing w:val="-7"/>
                <w:sz w:val="21"/>
              </w:rPr>
              <w:t>禁止类】单元内生态保护红线按照《关于在国土空间规划中统筹划定</w:t>
            </w:r>
            <w:r>
              <w:rPr>
                <w:spacing w:val="-12"/>
                <w:w w:val="95"/>
                <w:sz w:val="21"/>
              </w:rPr>
              <w:t xml:space="preserve">落实三条控制线的指导意见》严格管控，自然保护地核心区原则上禁止人为活动，其他   </w:t>
            </w:r>
            <w:r>
              <w:rPr>
                <w:spacing w:val="-15"/>
                <w:w w:val="95"/>
                <w:sz w:val="21"/>
              </w:rPr>
              <w:t xml:space="preserve">区域严格禁止开发性、生产性建设活动，在符合现行法律法规前提下，除国家重大战略  </w:t>
            </w:r>
            <w:r>
              <w:rPr>
                <w:spacing w:val="-12"/>
                <w:sz w:val="21"/>
              </w:rPr>
              <w:t xml:space="preserve">项目外，仅允许对生态功能不造成破坏的 </w:t>
            </w:r>
            <w:r>
              <w:rPr>
                <w:sz w:val="21"/>
              </w:rPr>
              <w:t>8</w:t>
            </w:r>
            <w:r>
              <w:rPr>
                <w:spacing w:val="-11"/>
                <w:sz w:val="21"/>
              </w:rPr>
              <w:t xml:space="preserve"> 类有限人为活动。 </w:t>
            </w:r>
            <w:r>
              <w:rPr>
                <w:spacing w:val="-6"/>
                <w:sz w:val="21"/>
              </w:rPr>
              <w:t>1-3</w:t>
            </w:r>
            <w:r>
              <w:rPr>
                <w:spacing w:val="-2"/>
                <w:sz w:val="21"/>
              </w:rPr>
              <w:t>.【生态</w:t>
            </w:r>
            <w:r>
              <w:rPr>
                <w:sz w:val="21"/>
              </w:rPr>
              <w:t>/</w:t>
            </w:r>
            <w:r>
              <w:rPr>
                <w:spacing w:val="-5"/>
                <w:sz w:val="21"/>
              </w:rPr>
              <w:t>综合类】一般生态空间内，可开展生态保护红线内允许的活动；在不影响主导生态功能的前提下</w:t>
            </w:r>
          </w:p>
        </w:tc>
        <w:tc>
          <w:tcPr>
            <w:tcW w:w="2355" w:type="dxa"/>
          </w:tcPr>
          <w:p>
            <w:pPr>
              <w:pStyle w:val="TableParagraph"/>
              <w:spacing w:before="57" w:line="242" w:lineRule="auto"/>
              <w:ind w:left="57" w:right="45"/>
              <w:rPr>
                <w:sz w:val="21"/>
              </w:rPr>
            </w:pPr>
            <w:r>
              <w:rPr>
                <w:sz w:val="21"/>
              </w:rPr>
              <w:t>本项目不涉及生态保护</w:t>
            </w:r>
            <w:r>
              <w:rPr>
                <w:spacing w:val="-10"/>
                <w:sz w:val="21"/>
              </w:rPr>
              <w:t>红线、森林自然公园、湿</w:t>
            </w:r>
            <w:r>
              <w:rPr>
                <w:spacing w:val="-8"/>
                <w:sz w:val="21"/>
              </w:rPr>
              <w:t>地公园等生态敏感区；本</w:t>
            </w:r>
            <w:r>
              <w:rPr>
                <w:sz w:val="21"/>
              </w:rPr>
              <w:t>项目为电网基础设施项</w:t>
            </w:r>
            <w:r>
              <w:rPr>
                <w:spacing w:val="-10"/>
                <w:sz w:val="21"/>
              </w:rPr>
              <w:t>目，属非工业类项目，运</w:t>
            </w:r>
          </w:p>
          <w:p>
            <w:pPr>
              <w:pStyle w:val="TableParagraph"/>
              <w:spacing w:before="2"/>
              <w:ind w:left="-171"/>
              <w:rPr>
                <w:sz w:val="21"/>
              </w:rPr>
            </w:pPr>
            <w:r>
              <w:rPr>
                <w:sz w:val="21"/>
              </w:rPr>
              <w:t>， 营期间无生产废水和工</w:t>
            </w:r>
          </w:p>
        </w:tc>
        <w:tc>
          <w:tcPr>
            <w:tcW w:w="1014" w:type="dxa"/>
            <w:tcBorders>
              <w:right w:val="nil"/>
            </w:tcBorders>
          </w:tcPr>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4"/>
              </w:rPr>
            </w:pPr>
          </w:p>
          <w:p>
            <w:pPr>
              <w:pStyle w:val="TableParagraph"/>
              <w:ind w:left="171" w:right="168"/>
              <w:jc w:val="center"/>
              <w:rPr>
                <w:sz w:val="21"/>
              </w:rPr>
            </w:pPr>
            <w:r>
              <w:rPr>
                <w:sz w:val="21"/>
              </w:rPr>
              <w:t>符合</w:t>
            </w:r>
          </w:p>
        </w:tc>
      </w:tr>
    </w:tbl>
    <w:p>
      <w:pPr>
        <w:spacing w:after="0"/>
        <w:jc w:val="center"/>
        <w:rPr>
          <w:sz w:val="21"/>
        </w:rPr>
        <w:sectPr>
          <w:footerReference w:type="default" r:id="rId15"/>
          <w:pgSz w:w="16840" w:h="11910" w:orient="landscape"/>
          <w:pgMar w:top="1100" w:right="1240" w:bottom="1160" w:left="1240" w:header="0" w:footer="965" w:gutter="0"/>
          <w:pgNumType w:start="8"/>
          <w:cols w:num="1" w:space="720"/>
        </w:sectPr>
      </w:pPr>
    </w:p>
    <w:p>
      <w:pPr>
        <w:pStyle w:val="BodyText"/>
        <w:rPr>
          <w:rFonts w:ascii="Times New Roman"/>
          <w:sz w:val="27"/>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97"/>
        <w:gridCol w:w="554"/>
        <w:gridCol w:w="7998"/>
        <w:gridCol w:w="2355"/>
        <w:gridCol w:w="1014"/>
      </w:tblGrid>
      <w:tr>
        <w:tblPrEx>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565"/>
        </w:trPr>
        <w:tc>
          <w:tcPr>
            <w:tcW w:w="2197" w:type="dxa"/>
            <w:vMerge w:val="restart"/>
            <w:tcBorders>
              <w:left w:val="nil"/>
            </w:tcBorders>
          </w:tcPr>
          <w:p>
            <w:pPr>
              <w:pStyle w:val="TableParagraph"/>
              <w:rPr>
                <w:rFonts w:ascii="Times New Roman"/>
                <w:sz w:val="20"/>
              </w:rPr>
            </w:pPr>
          </w:p>
        </w:tc>
        <w:tc>
          <w:tcPr>
            <w:tcW w:w="554" w:type="dxa"/>
          </w:tcPr>
          <w:p>
            <w:pPr>
              <w:pStyle w:val="TableParagraph"/>
              <w:rPr>
                <w:rFonts w:ascii="Times New Roman"/>
                <w:sz w:val="20"/>
              </w:rPr>
            </w:pPr>
          </w:p>
        </w:tc>
        <w:tc>
          <w:tcPr>
            <w:tcW w:w="7998" w:type="dxa"/>
          </w:tcPr>
          <w:p>
            <w:pPr>
              <w:pStyle w:val="TableParagraph"/>
              <w:spacing w:before="57" w:line="242" w:lineRule="auto"/>
              <w:ind w:left="56" w:right="45"/>
              <w:rPr>
                <w:sz w:val="21"/>
              </w:rPr>
            </w:pPr>
            <w:r>
              <w:rPr>
                <w:spacing w:val="-4"/>
                <w:w w:val="95"/>
                <w:sz w:val="21"/>
              </w:rPr>
              <w:t xml:space="preserve">还可开展国家和省规定不纳入环评管理的项目建设，以及生态旅游、畜禽养殖、基础设  </w:t>
            </w:r>
            <w:r>
              <w:rPr>
                <w:spacing w:val="-5"/>
                <w:sz w:val="21"/>
              </w:rPr>
              <w:t xml:space="preserve">施建设、村庄建设等人为活动。 </w:t>
            </w:r>
            <w:r>
              <w:rPr>
                <w:sz w:val="21"/>
              </w:rPr>
              <w:t>1-4.【生态/综合类】一般生态空间内的人工商品林</w:t>
            </w:r>
            <w:r>
              <w:rPr>
                <w:spacing w:val="-4"/>
                <w:sz w:val="21"/>
              </w:rPr>
              <w:t xml:space="preserve">允许依法进行抚育采伐、择伐和树种更新等经营活动。 </w:t>
            </w:r>
            <w:r>
              <w:rPr>
                <w:spacing w:val="-6"/>
                <w:sz w:val="21"/>
              </w:rPr>
              <w:t>1-5</w:t>
            </w:r>
            <w:r>
              <w:rPr>
                <w:spacing w:val="-2"/>
                <w:sz w:val="21"/>
              </w:rPr>
              <w:t>.【生态</w:t>
            </w:r>
            <w:r>
              <w:rPr>
                <w:sz w:val="21"/>
              </w:rPr>
              <w:t>/</w:t>
            </w:r>
            <w:r>
              <w:rPr>
                <w:spacing w:val="-5"/>
                <w:sz w:val="21"/>
              </w:rPr>
              <w:t>综合类】广东横琴</w:t>
            </w:r>
            <w:r>
              <w:rPr>
                <w:spacing w:val="-8"/>
                <w:w w:val="95"/>
                <w:sz w:val="21"/>
              </w:rPr>
              <w:t>国家湿地自然公园</w:t>
            </w:r>
            <w:r>
              <w:rPr>
                <w:w w:val="95"/>
                <w:sz w:val="21"/>
              </w:rPr>
              <w:t>（试点</w:t>
            </w:r>
            <w:r>
              <w:rPr>
                <w:spacing w:val="-25"/>
                <w:w w:val="95"/>
                <w:sz w:val="21"/>
              </w:rPr>
              <w:t>）</w:t>
            </w:r>
            <w:r>
              <w:rPr>
                <w:spacing w:val="-6"/>
                <w:w w:val="95"/>
                <w:sz w:val="21"/>
              </w:rPr>
              <w:t xml:space="preserve">、珠海横琴滨海地方级湿地自然公园，按照自然保护地相关  </w:t>
            </w:r>
            <w:r>
              <w:rPr>
                <w:spacing w:val="-11"/>
                <w:sz w:val="21"/>
              </w:rPr>
              <w:t xml:space="preserve">管理要求进行管控。 </w:t>
            </w:r>
            <w:r>
              <w:rPr>
                <w:spacing w:val="-8"/>
                <w:sz w:val="21"/>
              </w:rPr>
              <w:t>1-6</w:t>
            </w:r>
            <w:r>
              <w:rPr>
                <w:spacing w:val="-3"/>
                <w:sz w:val="21"/>
              </w:rPr>
              <w:t>.【大气</w:t>
            </w:r>
            <w:r>
              <w:rPr>
                <w:sz w:val="21"/>
              </w:rPr>
              <w:t>/</w:t>
            </w:r>
            <w:r>
              <w:rPr>
                <w:spacing w:val="-6"/>
                <w:sz w:val="21"/>
              </w:rPr>
              <w:t>限制类】大气环境布局敏感重点管控区内严格落实国</w:t>
            </w:r>
            <w:r>
              <w:rPr>
                <w:spacing w:val="-20"/>
                <w:sz w:val="21"/>
              </w:rPr>
              <w:t xml:space="preserve">家产品 </w:t>
            </w:r>
            <w:r>
              <w:rPr>
                <w:sz w:val="21"/>
              </w:rPr>
              <w:t>VOCs</w:t>
            </w:r>
            <w:r>
              <w:rPr>
                <w:spacing w:val="-8"/>
                <w:sz w:val="21"/>
              </w:rPr>
              <w:t xml:space="preserve"> 含量限值标准要求，除现阶段确无法实施替代的工序外，禁止新建生产和</w:t>
            </w:r>
            <w:r>
              <w:rPr>
                <w:spacing w:val="-21"/>
                <w:sz w:val="21"/>
              </w:rPr>
              <w:t xml:space="preserve">使用高 </w:t>
            </w:r>
            <w:r>
              <w:rPr>
                <w:sz w:val="21"/>
              </w:rPr>
              <w:t>VOCs</w:t>
            </w:r>
            <w:r>
              <w:rPr>
                <w:spacing w:val="-8"/>
                <w:sz w:val="21"/>
              </w:rPr>
              <w:t xml:space="preserve"> 含量原辅材料项目。 </w:t>
            </w:r>
            <w:r>
              <w:rPr>
                <w:sz w:val="21"/>
              </w:rPr>
              <w:t>1-7.【大气/鼓励引导类】鼓励在生产和流通消费环</w:t>
            </w:r>
            <w:r>
              <w:rPr>
                <w:spacing w:val="-8"/>
                <w:sz w:val="21"/>
              </w:rPr>
              <w:t xml:space="preserve">节推广使用低 </w:t>
            </w:r>
            <w:r>
              <w:rPr>
                <w:sz w:val="21"/>
              </w:rPr>
              <w:t>VOCs</w:t>
            </w:r>
            <w:r>
              <w:rPr>
                <w:spacing w:val="-9"/>
                <w:sz w:val="21"/>
              </w:rPr>
              <w:t xml:space="preserve"> 含量原辅材料。 </w:t>
            </w:r>
            <w:r>
              <w:rPr>
                <w:sz w:val="21"/>
              </w:rPr>
              <w:t>1-8.【其他/禁止类】禁止在单元区域内建设畜禽养殖场、养殖小区。</w:t>
            </w:r>
          </w:p>
        </w:tc>
        <w:tc>
          <w:tcPr>
            <w:tcW w:w="2355" w:type="dxa"/>
          </w:tcPr>
          <w:p>
            <w:pPr>
              <w:pStyle w:val="TableParagraph"/>
              <w:spacing w:before="57"/>
              <w:ind w:left="57"/>
              <w:rPr>
                <w:sz w:val="21"/>
              </w:rPr>
            </w:pPr>
            <w:r>
              <w:rPr>
                <w:sz w:val="21"/>
              </w:rPr>
              <w:t>业废气排放。</w:t>
            </w:r>
          </w:p>
          <w:p>
            <w:pPr>
              <w:pStyle w:val="TableParagraph"/>
              <w:spacing w:before="5"/>
              <w:ind w:left="-171"/>
              <w:rPr>
                <w:sz w:val="21"/>
              </w:rPr>
            </w:pPr>
            <w:r>
              <w:rPr>
                <w:w w:val="99"/>
                <w:sz w:val="21"/>
              </w:rPr>
              <w:t>，</w:t>
            </w:r>
          </w:p>
        </w:tc>
        <w:tc>
          <w:tcPr>
            <w:tcW w:w="1014" w:type="dxa"/>
            <w:tcBorders>
              <w:right w:val="nil"/>
            </w:tcBorders>
          </w:tcPr>
          <w:p>
            <w:pPr>
              <w:pStyle w:val="TableParagraph"/>
              <w:rPr>
                <w:rFonts w:ascii="Times New Roman"/>
                <w:sz w:val="20"/>
              </w:rPr>
            </w:pPr>
          </w:p>
        </w:tc>
      </w:tr>
      <w:tr>
        <w:tblPrEx>
          <w:tblW w:w="0" w:type="auto"/>
          <w:tblInd w:w="123" w:type="dxa"/>
          <w:tblLayout w:type="fixed"/>
          <w:tblCellMar>
            <w:top w:w="0" w:type="dxa"/>
            <w:left w:w="0" w:type="dxa"/>
            <w:bottom w:w="0" w:type="dxa"/>
            <w:right w:w="0" w:type="dxa"/>
          </w:tblCellMar>
        </w:tblPrEx>
        <w:trPr>
          <w:trHeight w:val="931"/>
        </w:trPr>
        <w:tc>
          <w:tcPr>
            <w:tcW w:w="2197" w:type="dxa"/>
            <w:vMerge/>
            <w:tcBorders>
              <w:top w:val="nil"/>
              <w:left w:val="nil"/>
            </w:tcBorders>
          </w:tcPr>
          <w:p>
            <w:pPr>
              <w:rPr>
                <w:sz w:val="2"/>
                <w:szCs w:val="2"/>
              </w:rPr>
            </w:pPr>
          </w:p>
        </w:tc>
        <w:tc>
          <w:tcPr>
            <w:tcW w:w="554" w:type="dxa"/>
          </w:tcPr>
          <w:p>
            <w:pPr>
              <w:pStyle w:val="TableParagraph"/>
              <w:spacing w:before="57" w:line="242" w:lineRule="auto"/>
              <w:ind w:left="56" w:right="68"/>
              <w:jc w:val="both"/>
              <w:rPr>
                <w:sz w:val="21"/>
              </w:rPr>
            </w:pPr>
            <w:r>
              <w:rPr>
                <w:sz w:val="21"/>
              </w:rPr>
              <w:t>能源资源利用</w:t>
            </w:r>
          </w:p>
        </w:tc>
        <w:tc>
          <w:tcPr>
            <w:tcW w:w="7998" w:type="dxa"/>
          </w:tcPr>
          <w:p>
            <w:pPr>
              <w:pStyle w:val="TableParagraph"/>
              <w:spacing w:before="57"/>
              <w:ind w:left="56"/>
              <w:rPr>
                <w:sz w:val="21"/>
              </w:rPr>
            </w:pPr>
            <w:r>
              <w:rPr>
                <w:spacing w:val="1"/>
                <w:w w:val="99"/>
                <w:sz w:val="21"/>
              </w:rPr>
              <w:t>2-1</w:t>
            </w:r>
            <w:r>
              <w:rPr>
                <w:spacing w:val="-27"/>
                <w:w w:val="99"/>
                <w:sz w:val="21"/>
              </w:rPr>
              <w:t>.【能源</w:t>
            </w:r>
            <w:r>
              <w:rPr>
                <w:spacing w:val="1"/>
                <w:w w:val="99"/>
                <w:sz w:val="21"/>
              </w:rPr>
              <w:t>/</w:t>
            </w:r>
            <w:r>
              <w:rPr>
                <w:spacing w:val="-17"/>
                <w:w w:val="99"/>
                <w:sz w:val="21"/>
              </w:rPr>
              <w:t>综合类】新建高能耗项目单位产品</w:t>
            </w:r>
            <w:r>
              <w:rPr>
                <w:spacing w:val="-1"/>
                <w:w w:val="99"/>
                <w:sz w:val="21"/>
              </w:rPr>
              <w:t>（</w:t>
            </w:r>
            <w:r>
              <w:rPr>
                <w:w w:val="99"/>
                <w:sz w:val="21"/>
              </w:rPr>
              <w:t>产值</w:t>
            </w:r>
            <w:r>
              <w:rPr>
                <w:spacing w:val="-101"/>
                <w:w w:val="99"/>
                <w:sz w:val="21"/>
              </w:rPr>
              <w:t>）</w:t>
            </w:r>
            <w:r>
              <w:rPr>
                <w:spacing w:val="-1"/>
                <w:w w:val="99"/>
                <w:sz w:val="21"/>
              </w:rPr>
              <w:t>能耗达到国际国内先进水平。</w:t>
            </w:r>
            <w:r>
              <w:rPr>
                <w:spacing w:val="1"/>
                <w:w w:val="99"/>
                <w:sz w:val="21"/>
              </w:rPr>
              <w:t>2-</w:t>
            </w:r>
            <w:r>
              <w:rPr>
                <w:spacing w:val="-2"/>
                <w:w w:val="99"/>
                <w:sz w:val="21"/>
              </w:rPr>
              <w:t>2</w:t>
            </w:r>
            <w:r>
              <w:rPr>
                <w:w w:val="99"/>
                <w:sz w:val="21"/>
              </w:rPr>
              <w:t>.</w:t>
            </w:r>
          </w:p>
          <w:p>
            <w:pPr>
              <w:pStyle w:val="TableParagraph"/>
              <w:spacing w:before="3" w:line="244" w:lineRule="auto"/>
              <w:ind w:left="56" w:right="55"/>
              <w:rPr>
                <w:sz w:val="21"/>
              </w:rPr>
            </w:pPr>
            <w:r>
              <w:rPr>
                <w:w w:val="95"/>
                <w:sz w:val="21"/>
              </w:rPr>
              <w:t xml:space="preserve">【水资源/限制类】强化水资源开发利用控制、用水效率控制、水功能区限制纳污三条  </w:t>
            </w:r>
            <w:r>
              <w:rPr>
                <w:sz w:val="21"/>
              </w:rPr>
              <w:t>红线刚性约束。</w:t>
            </w:r>
          </w:p>
        </w:tc>
        <w:tc>
          <w:tcPr>
            <w:tcW w:w="2355" w:type="dxa"/>
          </w:tcPr>
          <w:p>
            <w:pPr>
              <w:pStyle w:val="TableParagraph"/>
              <w:spacing w:before="7"/>
              <w:rPr>
                <w:rFonts w:ascii="Times New Roman"/>
                <w:sz w:val="28"/>
              </w:rPr>
            </w:pPr>
          </w:p>
          <w:p>
            <w:pPr>
              <w:pStyle w:val="TableParagraph"/>
              <w:ind w:left="127"/>
              <w:rPr>
                <w:sz w:val="21"/>
              </w:rPr>
            </w:pPr>
            <w:r>
              <w:rPr>
                <w:sz w:val="21"/>
              </w:rPr>
              <w:t>本项目运行无需用水。</w:t>
            </w:r>
          </w:p>
        </w:tc>
        <w:tc>
          <w:tcPr>
            <w:tcW w:w="1014" w:type="dxa"/>
            <w:tcBorders>
              <w:right w:val="nil"/>
            </w:tcBorders>
          </w:tcPr>
          <w:p>
            <w:pPr>
              <w:pStyle w:val="TableParagraph"/>
              <w:spacing w:before="7"/>
              <w:rPr>
                <w:rFonts w:ascii="Times New Roman"/>
                <w:sz w:val="28"/>
              </w:rPr>
            </w:pPr>
          </w:p>
          <w:p>
            <w:pPr>
              <w:pStyle w:val="TableParagraph"/>
              <w:ind w:left="171" w:right="168"/>
              <w:jc w:val="center"/>
              <w:rPr>
                <w:sz w:val="21"/>
              </w:rPr>
            </w:pPr>
            <w:r>
              <w:rPr>
                <w:sz w:val="21"/>
              </w:rPr>
              <w:t>符合</w:t>
            </w:r>
          </w:p>
        </w:tc>
      </w:tr>
      <w:tr>
        <w:tblPrEx>
          <w:tblW w:w="0" w:type="auto"/>
          <w:tblInd w:w="123" w:type="dxa"/>
          <w:tblLayout w:type="fixed"/>
          <w:tblCellMar>
            <w:top w:w="0" w:type="dxa"/>
            <w:left w:w="0" w:type="dxa"/>
            <w:bottom w:w="0" w:type="dxa"/>
            <w:right w:w="0" w:type="dxa"/>
          </w:tblCellMar>
        </w:tblPrEx>
        <w:trPr>
          <w:trHeight w:val="1747"/>
        </w:trPr>
        <w:tc>
          <w:tcPr>
            <w:tcW w:w="2197" w:type="dxa"/>
            <w:vMerge/>
            <w:tcBorders>
              <w:top w:val="nil"/>
              <w:left w:val="nil"/>
            </w:tcBorders>
          </w:tcPr>
          <w:p>
            <w:pPr>
              <w:rPr>
                <w:sz w:val="2"/>
                <w:szCs w:val="2"/>
              </w:rPr>
            </w:pPr>
          </w:p>
        </w:tc>
        <w:tc>
          <w:tcPr>
            <w:tcW w:w="554" w:type="dxa"/>
          </w:tcPr>
          <w:p>
            <w:pPr>
              <w:pStyle w:val="TableParagraph"/>
              <w:spacing w:before="9"/>
              <w:rPr>
                <w:rFonts w:ascii="Times New Roman"/>
                <w:sz w:val="28"/>
              </w:rPr>
            </w:pPr>
          </w:p>
          <w:p>
            <w:pPr>
              <w:pStyle w:val="TableParagraph"/>
              <w:spacing w:line="242" w:lineRule="auto"/>
              <w:ind w:left="56" w:right="68"/>
              <w:jc w:val="both"/>
              <w:rPr>
                <w:sz w:val="21"/>
              </w:rPr>
            </w:pPr>
            <w:r>
              <w:rPr>
                <w:sz w:val="21"/>
              </w:rPr>
              <w:t>污染物排放管控</w:t>
            </w:r>
          </w:p>
        </w:tc>
        <w:tc>
          <w:tcPr>
            <w:tcW w:w="7998" w:type="dxa"/>
          </w:tcPr>
          <w:p>
            <w:pPr>
              <w:pStyle w:val="TableParagraph"/>
              <w:spacing w:before="57" w:line="242" w:lineRule="auto"/>
              <w:ind w:left="56" w:right="45"/>
              <w:jc w:val="both"/>
              <w:rPr>
                <w:sz w:val="21"/>
              </w:rPr>
            </w:pPr>
            <w:r>
              <w:rPr>
                <w:sz w:val="21"/>
              </w:rPr>
              <w:t>3-1.【水/鼓励引导类】新建住宅项目、城中旧村改造、旧工业厂房改造项目要实现管</w:t>
            </w:r>
            <w:r>
              <w:rPr>
                <w:spacing w:val="-7"/>
                <w:sz w:val="21"/>
              </w:rPr>
              <w:t xml:space="preserve">网雨污分流，着力完善配套污水管网建设。 </w:t>
            </w:r>
            <w:r>
              <w:rPr>
                <w:spacing w:val="-6"/>
                <w:sz w:val="21"/>
              </w:rPr>
              <w:t>3-2</w:t>
            </w:r>
            <w:r>
              <w:rPr>
                <w:spacing w:val="-2"/>
                <w:sz w:val="21"/>
              </w:rPr>
              <w:t>.【水</w:t>
            </w:r>
            <w:r>
              <w:rPr>
                <w:sz w:val="21"/>
              </w:rPr>
              <w:t>/</w:t>
            </w:r>
            <w:r>
              <w:rPr>
                <w:spacing w:val="-5"/>
                <w:sz w:val="21"/>
              </w:rPr>
              <w:t>限制类】横琴水质净化厂的尾水</w:t>
            </w:r>
            <w:r>
              <w:rPr>
                <w:spacing w:val="-9"/>
                <w:sz w:val="21"/>
              </w:rPr>
              <w:t>均应达到《城镇污水处理厂污染物排放标准</w:t>
            </w:r>
            <w:r>
              <w:rPr>
                <w:sz w:val="21"/>
              </w:rPr>
              <w:t>（GB18918-2002</w:t>
            </w:r>
            <w:r>
              <w:rPr>
                <w:spacing w:val="-15"/>
                <w:sz w:val="21"/>
              </w:rPr>
              <w:t xml:space="preserve">》确定的一级 </w:t>
            </w:r>
            <w:r>
              <w:rPr>
                <w:sz w:val="21"/>
              </w:rPr>
              <w:t>A</w:t>
            </w:r>
            <w:r>
              <w:rPr>
                <w:spacing w:val="-12"/>
                <w:sz w:val="21"/>
              </w:rPr>
              <w:t xml:space="preserve"> 类排放标准</w:t>
            </w:r>
            <w:r>
              <w:rPr>
                <w:spacing w:val="-10"/>
                <w:sz w:val="21"/>
              </w:rPr>
              <w:t>及广东省《水污染物排放限值》</w:t>
            </w:r>
            <w:r>
              <w:rPr>
                <w:sz w:val="21"/>
              </w:rPr>
              <w:t>（DB44/26-2001）</w:t>
            </w:r>
            <w:r>
              <w:rPr>
                <w:spacing w:val="-5"/>
                <w:sz w:val="21"/>
              </w:rPr>
              <w:t xml:space="preserve">第二时段一级标准。 </w:t>
            </w:r>
            <w:r>
              <w:rPr>
                <w:spacing w:val="-4"/>
                <w:sz w:val="21"/>
              </w:rPr>
              <w:t>3-3</w:t>
            </w:r>
            <w:r>
              <w:rPr>
                <w:spacing w:val="-2"/>
                <w:sz w:val="21"/>
              </w:rPr>
              <w:t>.【水</w:t>
            </w:r>
            <w:r>
              <w:rPr>
                <w:sz w:val="21"/>
              </w:rPr>
              <w:t>/鼓励</w:t>
            </w:r>
            <w:r>
              <w:rPr>
                <w:spacing w:val="-10"/>
                <w:w w:val="95"/>
                <w:sz w:val="21"/>
              </w:rPr>
              <w:t xml:space="preserve">引导类】鼓励在城镇水质净化厂下游采取湿地净化工程等措施，进一步削减污染物入海  </w:t>
            </w:r>
            <w:r>
              <w:rPr>
                <w:spacing w:val="-10"/>
                <w:sz w:val="21"/>
              </w:rPr>
              <w:t>量。</w:t>
            </w:r>
          </w:p>
        </w:tc>
        <w:tc>
          <w:tcPr>
            <w:tcW w:w="2355" w:type="dxa"/>
          </w:tcPr>
          <w:p>
            <w:pPr>
              <w:pStyle w:val="TableParagraph"/>
              <w:rPr>
                <w:rFonts w:ascii="Times New Roman"/>
                <w:sz w:val="20"/>
              </w:rPr>
            </w:pPr>
          </w:p>
          <w:p>
            <w:pPr>
              <w:pStyle w:val="TableParagraph"/>
              <w:spacing w:before="5"/>
              <w:rPr>
                <w:rFonts w:ascii="Times New Roman"/>
                <w:sz w:val="20"/>
              </w:rPr>
            </w:pPr>
          </w:p>
          <w:p>
            <w:pPr>
              <w:pStyle w:val="TableParagraph"/>
              <w:spacing w:line="242" w:lineRule="auto"/>
              <w:ind w:left="57" w:right="48"/>
              <w:rPr>
                <w:sz w:val="21"/>
              </w:rPr>
            </w:pPr>
            <w:r>
              <w:rPr>
                <w:sz w:val="21"/>
              </w:rPr>
              <w:t>本项目为电网基础设施</w:t>
            </w:r>
            <w:r>
              <w:rPr>
                <w:spacing w:val="-10"/>
                <w:sz w:val="21"/>
              </w:rPr>
              <w:t>项目，不属于污染物排放</w:t>
            </w:r>
            <w:r>
              <w:rPr>
                <w:sz w:val="21"/>
              </w:rPr>
              <w:t>管控的建设项目。</w:t>
            </w:r>
          </w:p>
        </w:tc>
        <w:tc>
          <w:tcPr>
            <w:tcW w:w="1014" w:type="dxa"/>
            <w:tcBorders>
              <w:right w:val="nil"/>
            </w:tcBorders>
          </w:tcPr>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4"/>
              </w:rPr>
            </w:pPr>
          </w:p>
          <w:p>
            <w:pPr>
              <w:pStyle w:val="TableParagraph"/>
              <w:ind w:left="171" w:right="168"/>
              <w:jc w:val="center"/>
              <w:rPr>
                <w:sz w:val="21"/>
              </w:rPr>
            </w:pPr>
            <w:r>
              <w:rPr>
                <w:sz w:val="21"/>
              </w:rPr>
              <w:t>符合</w:t>
            </w:r>
          </w:p>
        </w:tc>
      </w:tr>
      <w:tr>
        <w:tblPrEx>
          <w:tblW w:w="0" w:type="auto"/>
          <w:tblInd w:w="123" w:type="dxa"/>
          <w:tblLayout w:type="fixed"/>
          <w:tblCellMar>
            <w:top w:w="0" w:type="dxa"/>
            <w:left w:w="0" w:type="dxa"/>
            <w:bottom w:w="0" w:type="dxa"/>
            <w:right w:w="0" w:type="dxa"/>
          </w:tblCellMar>
        </w:tblPrEx>
        <w:trPr>
          <w:trHeight w:val="931"/>
        </w:trPr>
        <w:tc>
          <w:tcPr>
            <w:tcW w:w="2197" w:type="dxa"/>
            <w:vMerge/>
            <w:tcBorders>
              <w:top w:val="nil"/>
              <w:left w:val="nil"/>
            </w:tcBorders>
          </w:tcPr>
          <w:p>
            <w:pPr>
              <w:rPr>
                <w:sz w:val="2"/>
                <w:szCs w:val="2"/>
              </w:rPr>
            </w:pPr>
          </w:p>
        </w:tc>
        <w:tc>
          <w:tcPr>
            <w:tcW w:w="554" w:type="dxa"/>
          </w:tcPr>
          <w:p>
            <w:pPr>
              <w:pStyle w:val="TableParagraph"/>
              <w:spacing w:before="58" w:line="242" w:lineRule="auto"/>
              <w:ind w:left="56" w:right="68"/>
              <w:jc w:val="both"/>
              <w:rPr>
                <w:sz w:val="21"/>
              </w:rPr>
            </w:pPr>
            <w:r>
              <w:rPr>
                <w:sz w:val="21"/>
              </w:rPr>
              <w:t>环境风险管控</w:t>
            </w:r>
          </w:p>
        </w:tc>
        <w:tc>
          <w:tcPr>
            <w:tcW w:w="7998" w:type="dxa"/>
          </w:tcPr>
          <w:p>
            <w:pPr>
              <w:pStyle w:val="TableParagraph"/>
              <w:spacing w:before="9"/>
              <w:rPr>
                <w:rFonts w:ascii="Times New Roman"/>
                <w:sz w:val="16"/>
              </w:rPr>
            </w:pPr>
          </w:p>
          <w:p>
            <w:pPr>
              <w:pStyle w:val="TableParagraph"/>
              <w:spacing w:line="244" w:lineRule="auto"/>
              <w:ind w:left="56" w:right="55"/>
              <w:rPr>
                <w:sz w:val="21"/>
              </w:rPr>
            </w:pPr>
            <w:r>
              <w:rPr>
                <w:w w:val="95"/>
                <w:sz w:val="21"/>
              </w:rPr>
              <w:t xml:space="preserve">4-1.【水/综合类】南区水质净化厂（二期）应采取有效措施，防止事故废水直接排入  </w:t>
            </w:r>
            <w:r>
              <w:rPr>
                <w:sz w:val="21"/>
              </w:rPr>
              <w:t>马骝洲水道。</w:t>
            </w:r>
          </w:p>
        </w:tc>
        <w:tc>
          <w:tcPr>
            <w:tcW w:w="2355" w:type="dxa"/>
          </w:tcPr>
          <w:p>
            <w:pPr>
              <w:pStyle w:val="TableParagraph"/>
              <w:spacing w:before="8"/>
              <w:rPr>
                <w:rFonts w:ascii="Times New Roman"/>
                <w:sz w:val="28"/>
              </w:rPr>
            </w:pPr>
          </w:p>
          <w:p>
            <w:pPr>
              <w:pStyle w:val="TableParagraph"/>
              <w:ind w:left="57"/>
              <w:rPr>
                <w:sz w:val="21"/>
              </w:rPr>
            </w:pPr>
            <w:r>
              <w:rPr>
                <w:sz w:val="21"/>
              </w:rPr>
              <w:t>不涉及</w:t>
            </w:r>
          </w:p>
        </w:tc>
        <w:tc>
          <w:tcPr>
            <w:tcW w:w="1014" w:type="dxa"/>
            <w:tcBorders>
              <w:right w:val="nil"/>
            </w:tcBorders>
          </w:tcPr>
          <w:p>
            <w:pPr>
              <w:pStyle w:val="TableParagraph"/>
              <w:spacing w:before="8"/>
              <w:rPr>
                <w:rFonts w:ascii="Times New Roman"/>
                <w:sz w:val="28"/>
              </w:rPr>
            </w:pPr>
          </w:p>
          <w:p>
            <w:pPr>
              <w:pStyle w:val="TableParagraph"/>
              <w:ind w:left="171" w:right="168"/>
              <w:jc w:val="center"/>
              <w:rPr>
                <w:sz w:val="21"/>
              </w:rPr>
            </w:pPr>
            <w:r>
              <w:rPr>
                <w:sz w:val="21"/>
              </w:rPr>
              <w:t>不涉及</w:t>
            </w:r>
          </w:p>
        </w:tc>
      </w:tr>
    </w:tbl>
    <w:p>
      <w:pPr>
        <w:spacing w:after="0"/>
        <w:jc w:val="center"/>
        <w:rPr>
          <w:sz w:val="21"/>
        </w:rPr>
        <w:sectPr>
          <w:footerReference w:type="default" r:id="rId16"/>
          <w:pgSz w:w="16840" w:h="11910" w:orient="landscape"/>
          <w:pgMar w:top="1100" w:right="1240" w:bottom="1160" w:left="1240" w:header="0" w:footer="965" w:gutter="0"/>
          <w:pgNumType w:start="9"/>
          <w:cols w:num="1" w:space="720"/>
        </w:sectPr>
      </w:pPr>
    </w:p>
    <w:p>
      <w:pPr>
        <w:pStyle w:val="Heading1"/>
        <w:spacing w:before="40" w:after="2"/>
        <w:ind w:left="466"/>
      </w:pPr>
      <w:bookmarkStart w:id="2" w:name="二、建设内容"/>
      <w:bookmarkEnd w:id="2"/>
      <w:bookmarkStart w:id="3" w:name="_bookmark1"/>
      <w:bookmarkEnd w:id="3"/>
      <w:r>
        <w:t>二、建设内容</w:t>
      </w: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0"/>
        <w:gridCol w:w="298"/>
        <w:gridCol w:w="720"/>
        <w:gridCol w:w="694"/>
        <w:gridCol w:w="2340"/>
        <w:gridCol w:w="4628"/>
        <w:gridCol w:w="299"/>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801"/>
        </w:trPr>
        <w:tc>
          <w:tcPr>
            <w:tcW w:w="460" w:type="dxa"/>
            <w:tcBorders>
              <w:bottom w:val="single" w:sz="4" w:space="0" w:color="000000"/>
              <w:right w:val="single" w:sz="4" w:space="0" w:color="000000"/>
            </w:tcBorders>
          </w:tcPr>
          <w:p>
            <w:pPr>
              <w:pStyle w:val="TableParagraph"/>
              <w:rPr>
                <w:b/>
                <w:sz w:val="24"/>
              </w:rPr>
            </w:pPr>
          </w:p>
          <w:p>
            <w:pPr>
              <w:pStyle w:val="TableParagraph"/>
              <w:rPr>
                <w:b/>
                <w:sz w:val="24"/>
              </w:rPr>
            </w:pPr>
          </w:p>
          <w:p>
            <w:pPr>
              <w:pStyle w:val="TableParagraph"/>
              <w:spacing w:before="165" w:line="242" w:lineRule="auto"/>
              <w:ind w:left="109" w:right="93"/>
              <w:jc w:val="both"/>
              <w:rPr>
                <w:sz w:val="24"/>
              </w:rPr>
            </w:pPr>
            <w:r>
              <w:rPr>
                <w:sz w:val="24"/>
              </w:rPr>
              <w:t>地理位置</w:t>
            </w:r>
          </w:p>
        </w:tc>
        <w:tc>
          <w:tcPr>
            <w:tcW w:w="8979" w:type="dxa"/>
            <w:gridSpan w:val="6"/>
            <w:tcBorders>
              <w:left w:val="single" w:sz="4" w:space="0" w:color="000000"/>
              <w:bottom w:val="single" w:sz="4" w:space="0" w:color="000000"/>
            </w:tcBorders>
          </w:tcPr>
          <w:p>
            <w:pPr>
              <w:pStyle w:val="TableParagraph"/>
              <w:spacing w:before="2"/>
              <w:ind w:left="113"/>
              <w:rPr>
                <w:b/>
                <w:sz w:val="24"/>
              </w:rPr>
            </w:pPr>
            <w:r>
              <w:rPr>
                <w:rFonts w:ascii="Times New Roman" w:eastAsia="Times New Roman"/>
                <w:b/>
                <w:sz w:val="24"/>
              </w:rPr>
              <w:t>1</w:t>
            </w:r>
            <w:r>
              <w:rPr>
                <w:rFonts w:ascii="Times New Roman" w:eastAsia="Times New Roman"/>
                <w:b/>
                <w:spacing w:val="59"/>
                <w:sz w:val="24"/>
              </w:rPr>
              <w:t xml:space="preserve"> </w:t>
            </w:r>
            <w:r>
              <w:rPr>
                <w:b/>
                <w:sz w:val="24"/>
              </w:rPr>
              <w:t>地理位置</w:t>
            </w:r>
          </w:p>
          <w:p>
            <w:pPr>
              <w:pStyle w:val="TableParagraph"/>
              <w:spacing w:before="159" w:line="364" w:lineRule="auto"/>
              <w:ind w:left="113" w:right="-29" w:firstLine="480"/>
              <w:rPr>
                <w:sz w:val="24"/>
              </w:rPr>
            </w:pPr>
            <w:r>
              <w:rPr>
                <w:sz w:val="24"/>
              </w:rPr>
              <w:t>本项目线路全线位于横琴粤澳深度合作区和珠海市香洲区洪湾、保税一体化区</w:t>
            </w:r>
            <w:r>
              <w:rPr>
                <w:spacing w:val="-8"/>
                <w:sz w:val="24"/>
              </w:rPr>
              <w:t xml:space="preserve">域。迁改线路自 </w:t>
            </w:r>
            <w:r>
              <w:rPr>
                <w:rFonts w:ascii="Times New Roman" w:eastAsia="Times New Roman" w:hAnsi="Times New Roman"/>
                <w:sz w:val="24"/>
              </w:rPr>
              <w:t>220kV</w:t>
            </w:r>
            <w:r>
              <w:rPr>
                <w:rFonts w:ascii="Times New Roman" w:eastAsia="Times New Roman" w:hAnsi="Times New Roman"/>
                <w:spacing w:val="-1"/>
                <w:sz w:val="24"/>
              </w:rPr>
              <w:t xml:space="preserve"> </w:t>
            </w:r>
            <w:r>
              <w:rPr>
                <w:sz w:val="24"/>
              </w:rPr>
              <w:t>琴韵站站内终端起，至加琴甲线</w:t>
            </w:r>
            <w:r>
              <w:rPr>
                <w:rFonts w:ascii="Times New Roman" w:eastAsia="Times New Roman" w:hAnsi="Times New Roman"/>
                <w:sz w:val="24"/>
              </w:rPr>
              <w:t xml:space="preserve">#36 </w:t>
            </w:r>
            <w:r>
              <w:rPr>
                <w:spacing w:val="-2"/>
                <w:sz w:val="24"/>
              </w:rPr>
              <w:t xml:space="preserve">塔侧新建电缆终端塔止， </w:t>
            </w:r>
            <w:r>
              <w:rPr>
                <w:spacing w:val="-6"/>
                <w:sz w:val="24"/>
              </w:rPr>
              <w:t>沿横琴粤澳深度合作区环岛北路综合管廊、横琴隧道电力舱、宝琴路拟建电缆隧道走</w:t>
            </w:r>
            <w:r>
              <w:rPr>
                <w:spacing w:val="-24"/>
                <w:sz w:val="24"/>
              </w:rPr>
              <w:t xml:space="preserve">线。线路经纬度坐标为：起点 </w:t>
            </w:r>
            <w:r>
              <w:rPr>
                <w:rFonts w:ascii="Times New Roman" w:eastAsia="Times New Roman" w:hAnsi="Times New Roman"/>
                <w:spacing w:val="-5"/>
                <w:sz w:val="24"/>
              </w:rPr>
              <w:t>1</w:t>
            </w:r>
            <w:r>
              <w:rPr>
                <w:rFonts w:ascii="Times New Roman" w:eastAsia="Times New Roman" w:hAnsi="Times New Roman"/>
                <w:spacing w:val="-3"/>
                <w:sz w:val="24"/>
              </w:rPr>
              <w:t>1</w:t>
            </w:r>
            <w:r>
              <w:rPr>
                <w:rFonts w:ascii="Times New Roman" w:eastAsia="Times New Roman" w:hAnsi="Times New Roman"/>
                <w:sz w:val="24"/>
              </w:rPr>
              <w:t>3</w:t>
            </w:r>
            <w:r>
              <w:rPr>
                <w:sz w:val="24"/>
              </w:rPr>
              <w:t>°</w:t>
            </w:r>
            <w:r>
              <w:rPr>
                <w:rFonts w:ascii="Times New Roman" w:eastAsia="Times New Roman" w:hAnsi="Times New Roman"/>
                <w:sz w:val="24"/>
              </w:rPr>
              <w:t>30</w:t>
            </w:r>
            <w:r>
              <w:rPr>
                <w:rFonts w:ascii="Times New Roman" w:eastAsia="Times New Roman" w:hAnsi="Times New Roman"/>
                <w:spacing w:val="-3"/>
                <w:sz w:val="24"/>
              </w:rPr>
              <w:t>'</w:t>
            </w:r>
            <w:r>
              <w:rPr>
                <w:rFonts w:ascii="Times New Roman" w:eastAsia="Times New Roman" w:hAnsi="Times New Roman"/>
                <w:sz w:val="24"/>
              </w:rPr>
              <w:t>1.446",22</w:t>
            </w:r>
            <w:r>
              <w:rPr>
                <w:sz w:val="24"/>
              </w:rPr>
              <w:t>°</w:t>
            </w:r>
            <w:r>
              <w:rPr>
                <w:rFonts w:ascii="Times New Roman" w:eastAsia="Times New Roman" w:hAnsi="Times New Roman"/>
                <w:sz w:val="24"/>
              </w:rPr>
              <w:t>8</w:t>
            </w:r>
            <w:r>
              <w:rPr>
                <w:rFonts w:ascii="Times New Roman" w:eastAsia="Times New Roman" w:hAnsi="Times New Roman"/>
                <w:spacing w:val="-1"/>
                <w:sz w:val="24"/>
              </w:rPr>
              <w:t>'</w:t>
            </w:r>
            <w:r>
              <w:rPr>
                <w:rFonts w:ascii="Times New Roman" w:eastAsia="Times New Roman" w:hAnsi="Times New Roman"/>
                <w:sz w:val="24"/>
              </w:rPr>
              <w:t>55.421"</w:t>
            </w:r>
            <w:r>
              <w:rPr>
                <w:spacing w:val="-44"/>
                <w:sz w:val="24"/>
              </w:rPr>
              <w:t xml:space="preserve">；终点 </w:t>
            </w:r>
            <w:r>
              <w:rPr>
                <w:rFonts w:ascii="Times New Roman" w:eastAsia="Times New Roman" w:hAnsi="Times New Roman"/>
                <w:spacing w:val="-8"/>
                <w:sz w:val="24"/>
              </w:rPr>
              <w:t>1</w:t>
            </w:r>
            <w:r>
              <w:rPr>
                <w:rFonts w:ascii="Times New Roman" w:eastAsia="Times New Roman" w:hAnsi="Times New Roman"/>
                <w:spacing w:val="-3"/>
                <w:sz w:val="24"/>
              </w:rPr>
              <w:t>1</w:t>
            </w:r>
            <w:r>
              <w:rPr>
                <w:rFonts w:ascii="Times New Roman" w:eastAsia="Times New Roman" w:hAnsi="Times New Roman"/>
                <w:spacing w:val="-1"/>
                <w:sz w:val="24"/>
              </w:rPr>
              <w:t>3</w:t>
            </w:r>
            <w:r>
              <w:rPr>
                <w:sz w:val="24"/>
              </w:rPr>
              <w:t>°</w:t>
            </w:r>
            <w:r>
              <w:rPr>
                <w:rFonts w:ascii="Times New Roman" w:eastAsia="Times New Roman" w:hAnsi="Times New Roman"/>
                <w:sz w:val="24"/>
              </w:rPr>
              <w:t>29</w:t>
            </w:r>
            <w:r>
              <w:rPr>
                <w:rFonts w:ascii="Times New Roman" w:eastAsia="Times New Roman" w:hAnsi="Times New Roman"/>
                <w:spacing w:val="-3"/>
                <w:sz w:val="24"/>
              </w:rPr>
              <w:t>'</w:t>
            </w:r>
            <w:r>
              <w:rPr>
                <w:rFonts w:ascii="Times New Roman" w:eastAsia="Times New Roman" w:hAnsi="Times New Roman"/>
                <w:sz w:val="24"/>
              </w:rPr>
              <w:t>22.878",2</w:t>
            </w:r>
            <w:r>
              <w:rPr>
                <w:rFonts w:ascii="Times New Roman" w:eastAsia="Times New Roman" w:hAnsi="Times New Roman"/>
                <w:spacing w:val="2"/>
                <w:sz w:val="24"/>
              </w:rPr>
              <w:t>2</w:t>
            </w:r>
            <w:r>
              <w:rPr>
                <w:sz w:val="24"/>
              </w:rPr>
              <w:t>°</w:t>
            </w:r>
          </w:p>
          <w:p>
            <w:pPr>
              <w:pStyle w:val="TableParagraph"/>
              <w:spacing w:line="305" w:lineRule="exact"/>
              <w:ind w:left="113"/>
              <w:rPr>
                <w:sz w:val="24"/>
              </w:rPr>
            </w:pPr>
            <w:r>
              <w:rPr>
                <w:rFonts w:ascii="Times New Roman" w:eastAsia="Times New Roman"/>
                <w:sz w:val="24"/>
              </w:rPr>
              <w:t>9'39.090"</w:t>
            </w:r>
            <w:r>
              <w:rPr>
                <w:sz w:val="24"/>
              </w:rPr>
              <w:t xml:space="preserve">。项目地理位置图见附图 </w:t>
            </w:r>
            <w:r>
              <w:rPr>
                <w:rFonts w:ascii="Times New Roman" w:eastAsia="Times New Roman"/>
                <w:sz w:val="24"/>
              </w:rPr>
              <w:t>1</w:t>
            </w:r>
            <w:r>
              <w:rPr>
                <w:sz w:val="24"/>
              </w:rPr>
              <w:t>。</w:t>
            </w:r>
          </w:p>
        </w:tc>
      </w:tr>
      <w:tr>
        <w:tblPrEx>
          <w:tblW w:w="0" w:type="auto"/>
          <w:tblInd w:w="324" w:type="dxa"/>
          <w:tblLayout w:type="fixed"/>
          <w:tblCellMar>
            <w:top w:w="0" w:type="dxa"/>
            <w:left w:w="0" w:type="dxa"/>
            <w:bottom w:w="0" w:type="dxa"/>
            <w:right w:w="0" w:type="dxa"/>
          </w:tblCellMar>
        </w:tblPrEx>
        <w:trPr>
          <w:trHeight w:val="383"/>
        </w:trPr>
        <w:tc>
          <w:tcPr>
            <w:tcW w:w="460" w:type="dxa"/>
            <w:vMerge w:val="restart"/>
            <w:tcBorders>
              <w:top w:val="single" w:sz="4" w:space="0" w:color="000000"/>
              <w:right w:val="single" w:sz="4" w:space="0" w:color="000000"/>
            </w:tcBorders>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
              <w:rPr>
                <w:b/>
                <w:sz w:val="18"/>
              </w:rPr>
            </w:pPr>
          </w:p>
          <w:p>
            <w:pPr>
              <w:pStyle w:val="TableParagraph"/>
              <w:spacing w:line="242" w:lineRule="auto"/>
              <w:ind w:left="109" w:right="93"/>
              <w:jc w:val="both"/>
              <w:rPr>
                <w:sz w:val="24"/>
              </w:rPr>
            </w:pPr>
            <w:r>
              <w:rPr>
                <w:sz w:val="24"/>
              </w:rPr>
              <w:t>项目组成及规模</w:t>
            </w:r>
          </w:p>
        </w:tc>
        <w:tc>
          <w:tcPr>
            <w:tcW w:w="8979" w:type="dxa"/>
            <w:gridSpan w:val="6"/>
            <w:tcBorders>
              <w:top w:val="single" w:sz="4" w:space="0" w:color="000000"/>
              <w:left w:val="single" w:sz="4" w:space="0" w:color="000000"/>
              <w:bottom w:val="nil"/>
              <w:right w:val="nil"/>
            </w:tcBorders>
          </w:tcPr>
          <w:p>
            <w:pPr>
              <w:pStyle w:val="TableParagraph"/>
              <w:spacing w:before="2"/>
              <w:ind w:left="113"/>
              <w:rPr>
                <w:b/>
                <w:sz w:val="24"/>
              </w:rPr>
            </w:pPr>
            <w:r>
              <w:rPr>
                <w:rFonts w:ascii="Times New Roman" w:eastAsia="Times New Roman"/>
                <w:b/>
                <w:sz w:val="24"/>
              </w:rPr>
              <w:t>2</w:t>
            </w:r>
            <w:r>
              <w:rPr>
                <w:rFonts w:ascii="Times New Roman" w:eastAsia="Times New Roman"/>
                <w:b/>
                <w:spacing w:val="59"/>
                <w:sz w:val="24"/>
              </w:rPr>
              <w:t xml:space="preserve"> </w:t>
            </w:r>
            <w:r>
              <w:rPr>
                <w:b/>
                <w:sz w:val="24"/>
              </w:rPr>
              <w:t>建设内容、规模概况</w:t>
            </w:r>
          </w:p>
        </w:tc>
      </w:tr>
      <w:tr>
        <w:tblPrEx>
          <w:tblW w:w="0" w:type="auto"/>
          <w:tblInd w:w="324" w:type="dxa"/>
          <w:tblLayout w:type="fixed"/>
          <w:tblCellMar>
            <w:top w:w="0" w:type="dxa"/>
            <w:left w:w="0" w:type="dxa"/>
            <w:bottom w:w="0" w:type="dxa"/>
            <w:right w:w="0" w:type="dxa"/>
          </w:tblCellMar>
        </w:tblPrEx>
        <w:trPr>
          <w:trHeight w:val="443"/>
        </w:trPr>
        <w:tc>
          <w:tcPr>
            <w:tcW w:w="460" w:type="dxa"/>
            <w:vMerge/>
            <w:tcBorders>
              <w:top w:val="nil"/>
              <w:right w:val="single" w:sz="4" w:space="0" w:color="000000"/>
            </w:tcBorders>
          </w:tcPr>
          <w:p>
            <w:pPr>
              <w:rPr>
                <w:sz w:val="2"/>
                <w:szCs w:val="2"/>
              </w:rPr>
            </w:pPr>
          </w:p>
        </w:tc>
        <w:tc>
          <w:tcPr>
            <w:tcW w:w="8979" w:type="dxa"/>
            <w:gridSpan w:val="6"/>
            <w:tcBorders>
              <w:top w:val="nil"/>
              <w:left w:val="single" w:sz="4" w:space="0" w:color="000000"/>
              <w:bottom w:val="nil"/>
              <w:right w:val="nil"/>
            </w:tcBorders>
          </w:tcPr>
          <w:p>
            <w:pPr>
              <w:pStyle w:val="TableParagraph"/>
              <w:spacing w:before="63"/>
              <w:ind w:left="593"/>
              <w:rPr>
                <w:sz w:val="24"/>
              </w:rPr>
            </w:pPr>
            <w:r>
              <w:rPr>
                <w:sz w:val="24"/>
              </w:rPr>
              <w:t xml:space="preserve">根据工程可行性研究报告，本项目将 </w:t>
            </w:r>
            <w:r>
              <w:rPr>
                <w:rFonts w:ascii="Times New Roman" w:eastAsia="Times New Roman"/>
                <w:sz w:val="24"/>
              </w:rPr>
              <w:t xml:space="preserve">220kV </w:t>
            </w:r>
            <w:r>
              <w:rPr>
                <w:sz w:val="24"/>
              </w:rPr>
              <w:t>加琴甲乙线现状架空线路改造为电</w:t>
            </w:r>
          </w:p>
        </w:tc>
      </w:tr>
      <w:tr>
        <w:tblPrEx>
          <w:tblW w:w="0" w:type="auto"/>
          <w:tblInd w:w="324" w:type="dxa"/>
          <w:tblLayout w:type="fixed"/>
          <w:tblCellMar>
            <w:top w:w="0" w:type="dxa"/>
            <w:left w:w="0" w:type="dxa"/>
            <w:bottom w:w="0" w:type="dxa"/>
            <w:right w:w="0" w:type="dxa"/>
          </w:tblCellMar>
        </w:tblPrEx>
        <w:trPr>
          <w:trHeight w:val="448"/>
        </w:trPr>
        <w:tc>
          <w:tcPr>
            <w:tcW w:w="460" w:type="dxa"/>
            <w:vMerge/>
            <w:tcBorders>
              <w:top w:val="nil"/>
              <w:right w:val="single" w:sz="4" w:space="0" w:color="000000"/>
            </w:tcBorders>
          </w:tcPr>
          <w:p>
            <w:pPr>
              <w:rPr>
                <w:sz w:val="2"/>
                <w:szCs w:val="2"/>
              </w:rPr>
            </w:pPr>
          </w:p>
        </w:tc>
        <w:tc>
          <w:tcPr>
            <w:tcW w:w="8979" w:type="dxa"/>
            <w:gridSpan w:val="6"/>
            <w:tcBorders>
              <w:top w:val="nil"/>
              <w:left w:val="single" w:sz="4" w:space="0" w:color="000000"/>
              <w:bottom w:val="nil"/>
              <w:right w:val="nil"/>
            </w:tcBorders>
          </w:tcPr>
          <w:p>
            <w:pPr>
              <w:pStyle w:val="TableParagraph"/>
              <w:spacing w:before="68"/>
              <w:ind w:left="113"/>
              <w:rPr>
                <w:sz w:val="24"/>
              </w:rPr>
            </w:pPr>
            <w:r>
              <w:rPr>
                <w:spacing w:val="-6"/>
                <w:sz w:val="24"/>
              </w:rPr>
              <w:t>缆入廊线路，新建双回路电缆</w:t>
            </w:r>
            <w:r>
              <w:rPr>
                <w:sz w:val="24"/>
              </w:rPr>
              <w:t>（</w:t>
            </w:r>
            <w:r>
              <w:rPr>
                <w:spacing w:val="-10"/>
                <w:sz w:val="24"/>
              </w:rPr>
              <w:t xml:space="preserve">单根截面为 </w:t>
            </w:r>
            <w:r>
              <w:rPr>
                <w:rFonts w:ascii="Times New Roman" w:eastAsia="Times New Roman" w:hAnsi="Times New Roman"/>
                <w:spacing w:val="-5"/>
                <w:sz w:val="24"/>
              </w:rPr>
              <w:t>2500mm</w:t>
            </w:r>
            <w:r>
              <w:rPr>
                <w:rFonts w:ascii="Times New Roman" w:eastAsia="Times New Roman" w:hAnsi="Times New Roman"/>
                <w:spacing w:val="-5"/>
                <w:position w:val="8"/>
                <w:sz w:val="15"/>
              </w:rPr>
              <w:t>2</w:t>
            </w:r>
            <w:r>
              <w:rPr>
                <w:spacing w:val="-5"/>
                <w:sz w:val="24"/>
              </w:rPr>
              <w:t>），</w:t>
            </w:r>
            <w:r>
              <w:rPr>
                <w:spacing w:val="-12"/>
                <w:sz w:val="24"/>
              </w:rPr>
              <w:t xml:space="preserve">线路长约 </w:t>
            </w:r>
            <w:r>
              <w:rPr>
                <w:rFonts w:ascii="Times New Roman" w:eastAsia="Times New Roman" w:hAnsi="Times New Roman"/>
                <w:spacing w:val="-3"/>
                <w:sz w:val="24"/>
              </w:rPr>
              <w:t>2</w:t>
            </w:r>
            <w:r>
              <w:rPr>
                <w:spacing w:val="-3"/>
                <w:sz w:val="24"/>
              </w:rPr>
              <w:t>×</w:t>
            </w:r>
            <w:r>
              <w:rPr>
                <w:rFonts w:ascii="Times New Roman" w:eastAsia="Times New Roman" w:hAnsi="Times New Roman"/>
                <w:spacing w:val="-3"/>
                <w:sz w:val="24"/>
              </w:rPr>
              <w:t>2.80km</w:t>
            </w:r>
            <w:r>
              <w:rPr>
                <w:spacing w:val="-2"/>
                <w:sz w:val="24"/>
              </w:rPr>
              <w:t>，起点</w:t>
            </w:r>
          </w:p>
        </w:tc>
      </w:tr>
      <w:tr>
        <w:tblPrEx>
          <w:tblW w:w="0" w:type="auto"/>
          <w:tblInd w:w="324" w:type="dxa"/>
          <w:tblLayout w:type="fixed"/>
          <w:tblCellMar>
            <w:top w:w="0" w:type="dxa"/>
            <w:left w:w="0" w:type="dxa"/>
            <w:bottom w:w="0" w:type="dxa"/>
            <w:right w:w="0" w:type="dxa"/>
          </w:tblCellMar>
        </w:tblPrEx>
        <w:trPr>
          <w:trHeight w:val="451"/>
        </w:trPr>
        <w:tc>
          <w:tcPr>
            <w:tcW w:w="460" w:type="dxa"/>
            <w:vMerge/>
            <w:tcBorders>
              <w:top w:val="nil"/>
              <w:right w:val="single" w:sz="4" w:space="0" w:color="000000"/>
            </w:tcBorders>
          </w:tcPr>
          <w:p>
            <w:pPr>
              <w:rPr>
                <w:sz w:val="2"/>
                <w:szCs w:val="2"/>
              </w:rPr>
            </w:pPr>
          </w:p>
        </w:tc>
        <w:tc>
          <w:tcPr>
            <w:tcW w:w="8979" w:type="dxa"/>
            <w:gridSpan w:val="6"/>
            <w:tcBorders>
              <w:top w:val="nil"/>
              <w:left w:val="single" w:sz="4" w:space="0" w:color="000000"/>
              <w:bottom w:val="nil"/>
              <w:right w:val="nil"/>
            </w:tcBorders>
          </w:tcPr>
          <w:p>
            <w:pPr>
              <w:pStyle w:val="TableParagraph"/>
              <w:spacing w:before="65"/>
              <w:ind w:left="113"/>
              <w:rPr>
                <w:sz w:val="24"/>
              </w:rPr>
            </w:pPr>
            <w:r>
              <w:rPr>
                <w:spacing w:val="-20"/>
                <w:sz w:val="24"/>
              </w:rPr>
              <w:t xml:space="preserve">位于 </w:t>
            </w:r>
            <w:r>
              <w:rPr>
                <w:rFonts w:ascii="Times New Roman" w:eastAsia="Times New Roman"/>
                <w:sz w:val="24"/>
              </w:rPr>
              <w:t xml:space="preserve">220kV </w:t>
            </w:r>
            <w:r>
              <w:rPr>
                <w:spacing w:val="-8"/>
                <w:sz w:val="24"/>
              </w:rPr>
              <w:t>琴韵站站内，终点为加琴甲线</w:t>
            </w:r>
            <w:r>
              <w:rPr>
                <w:rFonts w:ascii="Times New Roman" w:eastAsia="Times New Roman"/>
                <w:sz w:val="24"/>
              </w:rPr>
              <w:t xml:space="preserve">#36 </w:t>
            </w:r>
            <w:r>
              <w:rPr>
                <w:spacing w:val="-5"/>
                <w:sz w:val="24"/>
              </w:rPr>
              <w:t>塔小号侧新建电缆终端塔，沿横琴粤澳</w:t>
            </w:r>
          </w:p>
        </w:tc>
      </w:tr>
      <w:tr>
        <w:tblPrEx>
          <w:tblW w:w="0" w:type="auto"/>
          <w:tblInd w:w="324" w:type="dxa"/>
          <w:tblLayout w:type="fixed"/>
          <w:tblCellMar>
            <w:top w:w="0" w:type="dxa"/>
            <w:left w:w="0" w:type="dxa"/>
            <w:bottom w:w="0" w:type="dxa"/>
            <w:right w:w="0" w:type="dxa"/>
          </w:tblCellMar>
        </w:tblPrEx>
        <w:trPr>
          <w:trHeight w:val="438"/>
        </w:trPr>
        <w:tc>
          <w:tcPr>
            <w:tcW w:w="460" w:type="dxa"/>
            <w:vMerge/>
            <w:tcBorders>
              <w:top w:val="nil"/>
              <w:right w:val="single" w:sz="4" w:space="0" w:color="000000"/>
            </w:tcBorders>
          </w:tcPr>
          <w:p>
            <w:pPr>
              <w:rPr>
                <w:sz w:val="2"/>
                <w:szCs w:val="2"/>
              </w:rPr>
            </w:pPr>
          </w:p>
        </w:tc>
        <w:tc>
          <w:tcPr>
            <w:tcW w:w="8979" w:type="dxa"/>
            <w:gridSpan w:val="6"/>
            <w:tcBorders>
              <w:top w:val="nil"/>
              <w:left w:val="single" w:sz="4" w:space="0" w:color="000000"/>
              <w:bottom w:val="nil"/>
              <w:right w:val="nil"/>
            </w:tcBorders>
          </w:tcPr>
          <w:p>
            <w:pPr>
              <w:pStyle w:val="TableParagraph"/>
              <w:spacing w:before="61"/>
              <w:ind w:left="113"/>
              <w:rPr>
                <w:sz w:val="24"/>
              </w:rPr>
            </w:pPr>
            <w:r>
              <w:rPr>
                <w:spacing w:val="-3"/>
                <w:sz w:val="24"/>
              </w:rPr>
              <w:t>深度合作区环岛北路电缆隧道（</w:t>
            </w:r>
            <w:r>
              <w:rPr>
                <w:sz w:val="24"/>
              </w:rPr>
              <w:t>综合管廊</w:t>
            </w:r>
            <w:r>
              <w:rPr>
                <w:spacing w:val="-29"/>
                <w:sz w:val="24"/>
              </w:rPr>
              <w:t>）</w:t>
            </w:r>
            <w:r>
              <w:rPr>
                <w:spacing w:val="-9"/>
                <w:sz w:val="24"/>
              </w:rPr>
              <w:t>、横琴隧道电力舱、宝琴路新建电缆沟走</w:t>
            </w:r>
          </w:p>
        </w:tc>
      </w:tr>
      <w:tr>
        <w:tblPrEx>
          <w:tblW w:w="0" w:type="auto"/>
          <w:tblInd w:w="324" w:type="dxa"/>
          <w:tblLayout w:type="fixed"/>
          <w:tblCellMar>
            <w:top w:w="0" w:type="dxa"/>
            <w:left w:w="0" w:type="dxa"/>
            <w:bottom w:w="0" w:type="dxa"/>
            <w:right w:w="0" w:type="dxa"/>
          </w:tblCellMar>
        </w:tblPrEx>
        <w:trPr>
          <w:trHeight w:val="446"/>
        </w:trPr>
        <w:tc>
          <w:tcPr>
            <w:tcW w:w="460" w:type="dxa"/>
            <w:vMerge/>
            <w:tcBorders>
              <w:top w:val="nil"/>
              <w:right w:val="single" w:sz="4" w:space="0" w:color="000000"/>
            </w:tcBorders>
          </w:tcPr>
          <w:p>
            <w:pPr>
              <w:rPr>
                <w:sz w:val="2"/>
                <w:szCs w:val="2"/>
              </w:rPr>
            </w:pPr>
          </w:p>
        </w:tc>
        <w:tc>
          <w:tcPr>
            <w:tcW w:w="8979" w:type="dxa"/>
            <w:gridSpan w:val="6"/>
            <w:tcBorders>
              <w:top w:val="nil"/>
              <w:left w:val="single" w:sz="4" w:space="0" w:color="000000"/>
              <w:bottom w:val="nil"/>
              <w:right w:val="nil"/>
            </w:tcBorders>
          </w:tcPr>
          <w:p>
            <w:pPr>
              <w:pStyle w:val="TableParagraph"/>
              <w:spacing w:before="70"/>
              <w:ind w:left="113" w:right="-29"/>
              <w:rPr>
                <w:sz w:val="24"/>
              </w:rPr>
            </w:pPr>
            <w:r>
              <w:rPr>
                <w:sz w:val="24"/>
              </w:rPr>
              <w:t>线。建设内容为新建电缆及其配套设施、环岛北路电缆隧道（综合管廊）附属设施、</w:t>
            </w:r>
          </w:p>
        </w:tc>
      </w:tr>
      <w:tr>
        <w:tblPrEx>
          <w:tblW w:w="0" w:type="auto"/>
          <w:tblInd w:w="324" w:type="dxa"/>
          <w:tblLayout w:type="fixed"/>
          <w:tblCellMar>
            <w:top w:w="0" w:type="dxa"/>
            <w:left w:w="0" w:type="dxa"/>
            <w:bottom w:w="0" w:type="dxa"/>
            <w:right w:w="0" w:type="dxa"/>
          </w:tblCellMar>
        </w:tblPrEx>
        <w:trPr>
          <w:trHeight w:val="441"/>
        </w:trPr>
        <w:tc>
          <w:tcPr>
            <w:tcW w:w="460" w:type="dxa"/>
            <w:vMerge/>
            <w:tcBorders>
              <w:top w:val="nil"/>
              <w:right w:val="single" w:sz="4" w:space="0" w:color="000000"/>
            </w:tcBorders>
          </w:tcPr>
          <w:p>
            <w:pPr>
              <w:rPr>
                <w:sz w:val="2"/>
                <w:szCs w:val="2"/>
              </w:rPr>
            </w:pPr>
          </w:p>
        </w:tc>
        <w:tc>
          <w:tcPr>
            <w:tcW w:w="8979" w:type="dxa"/>
            <w:gridSpan w:val="6"/>
            <w:tcBorders>
              <w:top w:val="nil"/>
              <w:left w:val="single" w:sz="4" w:space="0" w:color="000000"/>
              <w:bottom w:val="nil"/>
              <w:right w:val="nil"/>
            </w:tcBorders>
          </w:tcPr>
          <w:p>
            <w:pPr>
              <w:pStyle w:val="TableParagraph"/>
              <w:spacing w:before="69"/>
              <w:ind w:left="113"/>
              <w:rPr>
                <w:sz w:val="24"/>
              </w:rPr>
            </w:pPr>
            <w:r>
              <w:rPr>
                <w:sz w:val="24"/>
              </w:rPr>
              <w:t>电缆终端塔及其配套设施、电缆沟、在线监测室以及拆除原有杆塔和架空线路等。</w:t>
            </w:r>
          </w:p>
        </w:tc>
      </w:tr>
      <w:tr>
        <w:tblPrEx>
          <w:tblW w:w="0" w:type="auto"/>
          <w:tblInd w:w="324" w:type="dxa"/>
          <w:tblLayout w:type="fixed"/>
          <w:tblCellMar>
            <w:top w:w="0" w:type="dxa"/>
            <w:left w:w="0" w:type="dxa"/>
            <w:bottom w:w="0" w:type="dxa"/>
            <w:right w:w="0" w:type="dxa"/>
          </w:tblCellMar>
        </w:tblPrEx>
        <w:trPr>
          <w:trHeight w:val="454"/>
        </w:trPr>
        <w:tc>
          <w:tcPr>
            <w:tcW w:w="460" w:type="dxa"/>
            <w:vMerge/>
            <w:tcBorders>
              <w:top w:val="nil"/>
              <w:right w:val="single" w:sz="4" w:space="0" w:color="000000"/>
            </w:tcBorders>
          </w:tcPr>
          <w:p>
            <w:pPr>
              <w:rPr>
                <w:sz w:val="2"/>
                <w:szCs w:val="2"/>
              </w:rPr>
            </w:pPr>
          </w:p>
        </w:tc>
        <w:tc>
          <w:tcPr>
            <w:tcW w:w="8979" w:type="dxa"/>
            <w:gridSpan w:val="6"/>
            <w:tcBorders>
              <w:top w:val="nil"/>
              <w:left w:val="single" w:sz="4" w:space="0" w:color="000000"/>
              <w:bottom w:val="nil"/>
              <w:right w:val="nil"/>
            </w:tcBorders>
          </w:tcPr>
          <w:p>
            <w:pPr>
              <w:pStyle w:val="TableParagraph"/>
              <w:spacing w:before="75"/>
              <w:ind w:left="593"/>
              <w:rPr>
                <w:sz w:val="24"/>
              </w:rPr>
            </w:pPr>
            <w:r>
              <w:rPr>
                <w:sz w:val="24"/>
              </w:rPr>
              <w:t xml:space="preserve">本工程主要建设内容及规模见表 </w:t>
            </w:r>
            <w:r>
              <w:rPr>
                <w:rFonts w:ascii="Times New Roman" w:eastAsia="Times New Roman"/>
                <w:sz w:val="24"/>
              </w:rPr>
              <w:t>2-1</w:t>
            </w:r>
            <w:r>
              <w:rPr>
                <w:sz w:val="24"/>
              </w:rPr>
              <w:t>。</w:t>
            </w:r>
          </w:p>
        </w:tc>
      </w:tr>
      <w:tr>
        <w:tblPrEx>
          <w:tblW w:w="0" w:type="auto"/>
          <w:tblInd w:w="324" w:type="dxa"/>
          <w:tblLayout w:type="fixed"/>
          <w:tblCellMar>
            <w:top w:w="0" w:type="dxa"/>
            <w:left w:w="0" w:type="dxa"/>
            <w:bottom w:w="0" w:type="dxa"/>
            <w:right w:w="0" w:type="dxa"/>
          </w:tblCellMar>
        </w:tblPrEx>
        <w:trPr>
          <w:trHeight w:val="336"/>
        </w:trPr>
        <w:tc>
          <w:tcPr>
            <w:tcW w:w="460" w:type="dxa"/>
            <w:vMerge/>
            <w:tcBorders>
              <w:top w:val="nil"/>
              <w:right w:val="single" w:sz="4" w:space="0" w:color="000000"/>
            </w:tcBorders>
          </w:tcPr>
          <w:p>
            <w:pPr>
              <w:rPr>
                <w:sz w:val="2"/>
                <w:szCs w:val="2"/>
              </w:rPr>
            </w:pPr>
          </w:p>
        </w:tc>
        <w:tc>
          <w:tcPr>
            <w:tcW w:w="8979" w:type="dxa"/>
            <w:gridSpan w:val="6"/>
            <w:tcBorders>
              <w:top w:val="nil"/>
              <w:left w:val="single" w:sz="4" w:space="0" w:color="000000"/>
              <w:bottom w:val="nil"/>
              <w:right w:val="nil"/>
            </w:tcBorders>
          </w:tcPr>
          <w:p>
            <w:pPr>
              <w:pStyle w:val="TableParagraph"/>
              <w:spacing w:before="65" w:line="251" w:lineRule="exact"/>
              <w:ind w:left="2882" w:right="2873"/>
              <w:jc w:val="center"/>
              <w:rPr>
                <w:b/>
                <w:sz w:val="21"/>
              </w:rPr>
            </w:pPr>
            <w:r>
              <w:rPr>
                <w:b/>
                <w:spacing w:val="-26"/>
                <w:sz w:val="21"/>
              </w:rPr>
              <w:t xml:space="preserve">表 </w:t>
            </w:r>
            <w:r>
              <w:rPr>
                <w:rFonts w:ascii="Times New Roman" w:eastAsia="Times New Roman"/>
                <w:b/>
                <w:sz w:val="21"/>
              </w:rPr>
              <w:t>2-1</w:t>
            </w:r>
            <w:r>
              <w:rPr>
                <w:rFonts w:ascii="Times New Roman" w:eastAsia="Times New Roman"/>
                <w:b/>
                <w:spacing w:val="52"/>
                <w:sz w:val="21"/>
              </w:rPr>
              <w:t xml:space="preserve"> </w:t>
            </w:r>
            <w:r>
              <w:rPr>
                <w:b/>
                <w:sz w:val="21"/>
              </w:rPr>
              <w:t>本工程建设内容及规模概况</w:t>
            </w:r>
          </w:p>
        </w:tc>
      </w:tr>
      <w:tr>
        <w:tblPrEx>
          <w:tblW w:w="0" w:type="auto"/>
          <w:tblInd w:w="324" w:type="dxa"/>
          <w:tblLayout w:type="fixed"/>
          <w:tblCellMar>
            <w:top w:w="0" w:type="dxa"/>
            <w:left w:w="0" w:type="dxa"/>
            <w:bottom w:w="0" w:type="dxa"/>
            <w:right w:w="0" w:type="dxa"/>
          </w:tblCellMar>
        </w:tblPrEx>
        <w:trPr>
          <w:trHeight w:val="602"/>
        </w:trPr>
        <w:tc>
          <w:tcPr>
            <w:tcW w:w="460" w:type="dxa"/>
            <w:vMerge/>
            <w:tcBorders>
              <w:top w:val="nil"/>
              <w:right w:val="single" w:sz="4" w:space="0" w:color="000000"/>
            </w:tcBorders>
          </w:tcPr>
          <w:p>
            <w:pPr>
              <w:rPr>
                <w:sz w:val="2"/>
                <w:szCs w:val="2"/>
              </w:rPr>
            </w:pPr>
          </w:p>
        </w:tc>
        <w:tc>
          <w:tcPr>
            <w:tcW w:w="298" w:type="dxa"/>
            <w:tcBorders>
              <w:top w:val="nil"/>
              <w:left w:val="single" w:sz="4" w:space="0" w:color="000000"/>
              <w:bottom w:val="nil"/>
              <w:right w:val="nil"/>
            </w:tcBorders>
          </w:tcPr>
          <w:p>
            <w:pPr>
              <w:pStyle w:val="TableParagraph"/>
              <w:rPr>
                <w:rFonts w:ascii="Times New Roman"/>
                <w:sz w:val="22"/>
              </w:rPr>
            </w:pPr>
          </w:p>
        </w:tc>
        <w:tc>
          <w:tcPr>
            <w:tcW w:w="720" w:type="dxa"/>
            <w:tcBorders>
              <w:top w:val="single" w:sz="12" w:space="0" w:color="000000"/>
              <w:left w:val="nil"/>
              <w:bottom w:val="single" w:sz="4" w:space="0" w:color="000000"/>
              <w:right w:val="single" w:sz="4" w:space="0" w:color="000000"/>
            </w:tcBorders>
            <w:shd w:val="clear" w:color="auto" w:fill="F0F0F0"/>
          </w:tcPr>
          <w:p>
            <w:pPr>
              <w:pStyle w:val="TableParagraph"/>
              <w:spacing w:before="169"/>
              <w:ind w:left="158"/>
              <w:rPr>
                <w:b/>
                <w:sz w:val="21"/>
              </w:rPr>
            </w:pPr>
            <w:r>
              <w:rPr>
                <w:b/>
                <w:sz w:val="21"/>
              </w:rPr>
              <w:t>类别</w:t>
            </w:r>
          </w:p>
        </w:tc>
        <w:tc>
          <w:tcPr>
            <w:tcW w:w="3034" w:type="dxa"/>
            <w:gridSpan w:val="2"/>
            <w:tcBorders>
              <w:top w:val="single" w:sz="12" w:space="0" w:color="000000"/>
              <w:left w:val="single" w:sz="4" w:space="0" w:color="000000"/>
              <w:bottom w:val="single" w:sz="4" w:space="0" w:color="000000"/>
              <w:right w:val="single" w:sz="4" w:space="0" w:color="000000"/>
            </w:tcBorders>
            <w:shd w:val="clear" w:color="auto" w:fill="F0F0F0"/>
          </w:tcPr>
          <w:p>
            <w:pPr>
              <w:pStyle w:val="TableParagraph"/>
              <w:spacing w:before="169"/>
              <w:ind w:left="1080" w:right="1064"/>
              <w:jc w:val="center"/>
              <w:rPr>
                <w:b/>
                <w:sz w:val="21"/>
              </w:rPr>
            </w:pPr>
            <w:r>
              <w:rPr>
                <w:b/>
                <w:sz w:val="21"/>
              </w:rPr>
              <w:t>组成</w:t>
            </w:r>
          </w:p>
        </w:tc>
        <w:tc>
          <w:tcPr>
            <w:tcW w:w="4628" w:type="dxa"/>
            <w:tcBorders>
              <w:top w:val="single" w:sz="12" w:space="0" w:color="000000"/>
              <w:left w:val="single" w:sz="4" w:space="0" w:color="000000"/>
              <w:bottom w:val="single" w:sz="4" w:space="0" w:color="000000"/>
              <w:right w:val="nil"/>
            </w:tcBorders>
            <w:shd w:val="clear" w:color="auto" w:fill="F0F0F0"/>
          </w:tcPr>
          <w:p>
            <w:pPr>
              <w:pStyle w:val="TableParagraph"/>
              <w:spacing w:before="169"/>
              <w:ind w:left="91" w:right="79"/>
              <w:jc w:val="center"/>
              <w:rPr>
                <w:b/>
                <w:sz w:val="21"/>
              </w:rPr>
            </w:pPr>
            <w:r>
              <w:rPr>
                <w:b/>
                <w:sz w:val="21"/>
              </w:rPr>
              <w:t>本期规模概况</w:t>
            </w:r>
          </w:p>
        </w:tc>
        <w:tc>
          <w:tcPr>
            <w:tcW w:w="299" w:type="dxa"/>
            <w:vMerge w:val="restart"/>
            <w:tcBorders>
              <w:top w:val="nil"/>
              <w:left w:val="nil"/>
            </w:tcBorders>
          </w:tcPr>
          <w:p>
            <w:pPr>
              <w:pStyle w:val="TableParagraph"/>
              <w:rPr>
                <w:rFonts w:ascii="Times New Roman"/>
                <w:sz w:val="22"/>
              </w:rPr>
            </w:pPr>
          </w:p>
        </w:tc>
      </w:tr>
      <w:tr>
        <w:tblPrEx>
          <w:tblW w:w="0" w:type="auto"/>
          <w:tblInd w:w="324" w:type="dxa"/>
          <w:tblLayout w:type="fixed"/>
          <w:tblCellMar>
            <w:top w:w="0" w:type="dxa"/>
            <w:left w:w="0" w:type="dxa"/>
            <w:bottom w:w="0" w:type="dxa"/>
            <w:right w:w="0" w:type="dxa"/>
          </w:tblCellMar>
        </w:tblPrEx>
        <w:trPr>
          <w:trHeight w:val="1074"/>
        </w:trPr>
        <w:tc>
          <w:tcPr>
            <w:tcW w:w="460" w:type="dxa"/>
            <w:vMerge/>
            <w:tcBorders>
              <w:top w:val="nil"/>
              <w:right w:val="single" w:sz="4" w:space="0" w:color="000000"/>
            </w:tcBorders>
          </w:tcPr>
          <w:p>
            <w:pPr>
              <w:rPr>
                <w:sz w:val="2"/>
                <w:szCs w:val="2"/>
              </w:rPr>
            </w:pPr>
          </w:p>
        </w:tc>
        <w:tc>
          <w:tcPr>
            <w:tcW w:w="298" w:type="dxa"/>
            <w:vMerge w:val="restart"/>
            <w:tcBorders>
              <w:top w:val="nil"/>
              <w:left w:val="single" w:sz="4" w:space="0" w:color="000000"/>
              <w:right w:val="nil"/>
            </w:tcBorders>
          </w:tcPr>
          <w:p>
            <w:pPr>
              <w:pStyle w:val="TableParagraph"/>
              <w:rPr>
                <w:rFonts w:ascii="Times New Roman"/>
                <w:sz w:val="22"/>
              </w:rPr>
            </w:pPr>
          </w:p>
        </w:tc>
        <w:tc>
          <w:tcPr>
            <w:tcW w:w="720" w:type="dxa"/>
            <w:tcBorders>
              <w:top w:val="single" w:sz="4" w:space="0" w:color="000000"/>
              <w:left w:val="nil"/>
              <w:bottom w:val="nil"/>
              <w:right w:val="single" w:sz="4" w:space="0" w:color="000000"/>
            </w:tcBorders>
          </w:tcPr>
          <w:p>
            <w:pPr>
              <w:pStyle w:val="TableParagraph"/>
              <w:rPr>
                <w:rFonts w:ascii="Times New Roman"/>
                <w:sz w:val="22"/>
              </w:rPr>
            </w:pPr>
          </w:p>
        </w:tc>
        <w:tc>
          <w:tcPr>
            <w:tcW w:w="694" w:type="dxa"/>
            <w:tcBorders>
              <w:top w:val="single" w:sz="4" w:space="0" w:color="000000"/>
              <w:left w:val="single" w:sz="4" w:space="0" w:color="000000"/>
              <w:bottom w:val="nil"/>
              <w:right w:val="single" w:sz="4" w:space="0" w:color="000000"/>
            </w:tcBorders>
          </w:tcPr>
          <w:p>
            <w:pPr>
              <w:pStyle w:val="TableParagraph"/>
              <w:rPr>
                <w:rFonts w:ascii="Times New Roman"/>
                <w:sz w:val="22"/>
              </w:rPr>
            </w:pPr>
          </w:p>
        </w:tc>
        <w:tc>
          <w:tcPr>
            <w:tcW w:w="2340" w:type="dxa"/>
            <w:tcBorders>
              <w:top w:val="single" w:sz="4" w:space="0" w:color="000000"/>
              <w:left w:val="single" w:sz="4" w:space="0" w:color="000000"/>
              <w:bottom w:val="nil"/>
              <w:right w:val="single" w:sz="4" w:space="0" w:color="000000"/>
            </w:tcBorders>
          </w:tcPr>
          <w:p>
            <w:pPr>
              <w:pStyle w:val="TableParagraph"/>
              <w:rPr>
                <w:rFonts w:ascii="Times New Roman"/>
                <w:sz w:val="22"/>
              </w:rPr>
            </w:pPr>
          </w:p>
        </w:tc>
        <w:tc>
          <w:tcPr>
            <w:tcW w:w="4628" w:type="dxa"/>
            <w:tcBorders>
              <w:top w:val="single" w:sz="4" w:space="0" w:color="000000"/>
              <w:left w:val="single" w:sz="4" w:space="0" w:color="000000"/>
              <w:bottom w:val="nil"/>
              <w:right w:val="nil"/>
            </w:tcBorders>
          </w:tcPr>
          <w:p>
            <w:pPr>
              <w:pStyle w:val="TableParagraph"/>
              <w:spacing w:line="264" w:lineRule="exact"/>
              <w:ind w:left="532"/>
              <w:rPr>
                <w:sz w:val="21"/>
              </w:rPr>
            </w:pPr>
            <w:r>
              <w:rPr>
                <w:rFonts w:ascii="Times New Roman" w:eastAsia="Times New Roman"/>
                <w:sz w:val="21"/>
              </w:rPr>
              <w:t>1</w:t>
            </w:r>
            <w:r>
              <w:rPr>
                <w:sz w:val="21"/>
              </w:rPr>
              <w:t>）新建双回路电缆线路（单根截面为</w:t>
            </w:r>
          </w:p>
          <w:p>
            <w:pPr>
              <w:pStyle w:val="TableParagraph"/>
              <w:spacing w:before="4" w:line="242" w:lineRule="auto"/>
              <w:ind w:left="112" w:right="97"/>
              <w:rPr>
                <w:sz w:val="21"/>
              </w:rPr>
            </w:pPr>
            <w:r>
              <w:rPr>
                <w:rFonts w:ascii="Times New Roman" w:eastAsia="Times New Roman" w:hAnsi="Times New Roman"/>
                <w:spacing w:val="-4"/>
                <w:sz w:val="21"/>
              </w:rPr>
              <w:t>2500mm</w:t>
            </w:r>
            <w:r>
              <w:rPr>
                <w:rFonts w:ascii="Times New Roman" w:eastAsia="Times New Roman" w:hAnsi="Times New Roman"/>
                <w:spacing w:val="-4"/>
                <w:position w:val="7"/>
                <w:sz w:val="13"/>
              </w:rPr>
              <w:t>2</w:t>
            </w:r>
            <w:r>
              <w:rPr>
                <w:spacing w:val="-4"/>
                <w:sz w:val="21"/>
              </w:rPr>
              <w:t>）</w:t>
            </w:r>
            <w:r>
              <w:rPr>
                <w:spacing w:val="-13"/>
                <w:sz w:val="21"/>
              </w:rPr>
              <w:t xml:space="preserve">，线路长约 </w:t>
            </w:r>
            <w:r>
              <w:rPr>
                <w:rFonts w:ascii="Times New Roman" w:eastAsia="Times New Roman" w:hAnsi="Times New Roman"/>
                <w:sz w:val="21"/>
              </w:rPr>
              <w:t>2×2.80km</w:t>
            </w:r>
            <w:r>
              <w:rPr>
                <w:sz w:val="21"/>
              </w:rPr>
              <w:t>，其中本项目新</w:t>
            </w:r>
            <w:r>
              <w:rPr>
                <w:spacing w:val="-9"/>
                <w:sz w:val="21"/>
              </w:rPr>
              <w:t xml:space="preserve">建电缆沟长度为 </w:t>
            </w:r>
            <w:r>
              <w:rPr>
                <w:rFonts w:ascii="Times New Roman" w:eastAsia="Times New Roman" w:hAnsi="Times New Roman"/>
                <w:spacing w:val="-8"/>
                <w:sz w:val="21"/>
              </w:rPr>
              <w:t>0.03km</w:t>
            </w:r>
            <w:r>
              <w:rPr>
                <w:spacing w:val="-3"/>
                <w:sz w:val="21"/>
              </w:rPr>
              <w:t>，其余琴韵站进站电缆隧</w:t>
            </w:r>
          </w:p>
          <w:p>
            <w:pPr>
              <w:pStyle w:val="TableParagraph"/>
              <w:spacing w:before="2" w:line="240" w:lineRule="exact"/>
              <w:ind w:left="112"/>
              <w:rPr>
                <w:sz w:val="21"/>
              </w:rPr>
            </w:pPr>
            <w:r>
              <w:rPr>
                <w:w w:val="95"/>
                <w:sz w:val="21"/>
              </w:rPr>
              <w:t>道、利用横琴粤澳深度合作区环岛北路电缆隧道</w:t>
            </w:r>
          </w:p>
        </w:tc>
        <w:tc>
          <w:tcPr>
            <w:tcW w:w="299" w:type="dxa"/>
            <w:vMerge/>
            <w:tcBorders>
              <w:top w:val="nil"/>
              <w:left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51"/>
        </w:trPr>
        <w:tc>
          <w:tcPr>
            <w:tcW w:w="460" w:type="dxa"/>
            <w:vMerge/>
            <w:tcBorders>
              <w:top w:val="nil"/>
              <w:right w:val="single" w:sz="4" w:space="0" w:color="000000"/>
            </w:tcBorders>
          </w:tcPr>
          <w:p>
            <w:pPr>
              <w:rPr>
                <w:sz w:val="2"/>
                <w:szCs w:val="2"/>
              </w:rPr>
            </w:pPr>
          </w:p>
        </w:tc>
        <w:tc>
          <w:tcPr>
            <w:tcW w:w="298" w:type="dxa"/>
            <w:vMerge/>
            <w:tcBorders>
              <w:top w:val="nil"/>
              <w:left w:val="single" w:sz="4" w:space="0" w:color="000000"/>
              <w:right w:val="nil"/>
            </w:tcBorders>
          </w:tcPr>
          <w:p>
            <w:pPr>
              <w:rPr>
                <w:sz w:val="2"/>
                <w:szCs w:val="2"/>
              </w:rPr>
            </w:pPr>
          </w:p>
        </w:tc>
        <w:tc>
          <w:tcPr>
            <w:tcW w:w="720" w:type="dxa"/>
            <w:tcBorders>
              <w:top w:val="nil"/>
              <w:left w:val="nil"/>
              <w:bottom w:val="nil"/>
              <w:right w:val="single" w:sz="4" w:space="0" w:color="000000"/>
            </w:tcBorders>
          </w:tcPr>
          <w:p>
            <w:pPr>
              <w:pStyle w:val="TableParagraph"/>
              <w:rPr>
                <w:rFonts w:ascii="Times New Roman"/>
                <w:sz w:val="18"/>
              </w:rPr>
            </w:pPr>
          </w:p>
        </w:tc>
        <w:tc>
          <w:tcPr>
            <w:tcW w:w="694" w:type="dxa"/>
            <w:tcBorders>
              <w:top w:val="nil"/>
              <w:left w:val="single" w:sz="4" w:space="0" w:color="000000"/>
              <w:bottom w:val="nil"/>
              <w:right w:val="single" w:sz="4" w:space="0" w:color="000000"/>
            </w:tcBorders>
          </w:tcPr>
          <w:p>
            <w:pPr>
              <w:pStyle w:val="TableParagraph"/>
              <w:rPr>
                <w:rFonts w:ascii="Times New Roman"/>
                <w:sz w:val="18"/>
              </w:rPr>
            </w:pPr>
          </w:p>
        </w:tc>
        <w:tc>
          <w:tcPr>
            <w:tcW w:w="2340" w:type="dxa"/>
            <w:tcBorders>
              <w:top w:val="nil"/>
              <w:left w:val="single" w:sz="4" w:space="0" w:color="000000"/>
              <w:bottom w:val="nil"/>
              <w:right w:val="single" w:sz="4" w:space="0" w:color="000000"/>
            </w:tcBorders>
          </w:tcPr>
          <w:p>
            <w:pPr>
              <w:pStyle w:val="TableParagraph"/>
              <w:rPr>
                <w:rFonts w:ascii="Times New Roman"/>
                <w:sz w:val="18"/>
              </w:rPr>
            </w:pPr>
          </w:p>
        </w:tc>
        <w:tc>
          <w:tcPr>
            <w:tcW w:w="4628" w:type="dxa"/>
            <w:tcBorders>
              <w:top w:val="nil"/>
              <w:left w:val="single" w:sz="4" w:space="0" w:color="000000"/>
              <w:bottom w:val="nil"/>
              <w:right w:val="nil"/>
            </w:tcBorders>
          </w:tcPr>
          <w:p>
            <w:pPr>
              <w:pStyle w:val="TableParagraph"/>
              <w:spacing w:line="231" w:lineRule="exact"/>
              <w:ind w:left="91" w:right="81"/>
              <w:jc w:val="center"/>
              <w:rPr>
                <w:sz w:val="21"/>
              </w:rPr>
            </w:pPr>
            <w:r>
              <w:rPr>
                <w:sz w:val="21"/>
              </w:rPr>
              <w:t>（综合管廊）、横琴隧道电力舱、宝琴路电缆隧</w:t>
            </w:r>
          </w:p>
        </w:tc>
        <w:tc>
          <w:tcPr>
            <w:tcW w:w="299" w:type="dxa"/>
            <w:vMerge/>
            <w:tcBorders>
              <w:top w:val="nil"/>
              <w:left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437"/>
        </w:trPr>
        <w:tc>
          <w:tcPr>
            <w:tcW w:w="460" w:type="dxa"/>
            <w:vMerge/>
            <w:tcBorders>
              <w:top w:val="nil"/>
              <w:right w:val="single" w:sz="4" w:space="0" w:color="000000"/>
            </w:tcBorders>
          </w:tcPr>
          <w:p>
            <w:pPr>
              <w:rPr>
                <w:sz w:val="2"/>
                <w:szCs w:val="2"/>
              </w:rPr>
            </w:pPr>
          </w:p>
        </w:tc>
        <w:tc>
          <w:tcPr>
            <w:tcW w:w="298" w:type="dxa"/>
            <w:vMerge/>
            <w:tcBorders>
              <w:top w:val="nil"/>
              <w:left w:val="single" w:sz="4" w:space="0" w:color="000000"/>
              <w:right w:val="nil"/>
            </w:tcBorders>
          </w:tcPr>
          <w:p>
            <w:pPr>
              <w:rPr>
                <w:sz w:val="2"/>
                <w:szCs w:val="2"/>
              </w:rPr>
            </w:pPr>
          </w:p>
        </w:tc>
        <w:tc>
          <w:tcPr>
            <w:tcW w:w="720" w:type="dxa"/>
            <w:tcBorders>
              <w:top w:val="nil"/>
              <w:left w:val="nil"/>
              <w:bottom w:val="single" w:sz="4" w:space="0" w:color="000000"/>
              <w:right w:val="single" w:sz="4" w:space="0" w:color="000000"/>
            </w:tcBorders>
          </w:tcPr>
          <w:p>
            <w:pPr>
              <w:pStyle w:val="TableParagraph"/>
              <w:spacing w:before="8"/>
              <w:rPr>
                <w:b/>
                <w:sz w:val="20"/>
              </w:rPr>
            </w:pPr>
          </w:p>
          <w:p>
            <w:pPr>
              <w:pStyle w:val="TableParagraph"/>
              <w:spacing w:line="242" w:lineRule="auto"/>
              <w:ind w:left="158" w:right="134"/>
              <w:rPr>
                <w:b/>
                <w:sz w:val="21"/>
              </w:rPr>
            </w:pPr>
            <w:r>
              <w:rPr>
                <w:b/>
                <w:sz w:val="21"/>
              </w:rPr>
              <w:t>主体工程</w:t>
            </w:r>
          </w:p>
        </w:tc>
        <w:tc>
          <w:tcPr>
            <w:tcW w:w="694" w:type="dxa"/>
            <w:tcBorders>
              <w:top w:val="nil"/>
              <w:left w:val="single" w:sz="4" w:space="0" w:color="000000"/>
              <w:bottom w:val="single" w:sz="4" w:space="0" w:color="000000"/>
              <w:right w:val="single" w:sz="4" w:space="0" w:color="000000"/>
            </w:tcBorders>
          </w:tcPr>
          <w:p>
            <w:pPr>
              <w:pStyle w:val="TableParagraph"/>
              <w:spacing w:before="8"/>
              <w:rPr>
                <w:b/>
                <w:sz w:val="20"/>
              </w:rPr>
            </w:pPr>
          </w:p>
          <w:p>
            <w:pPr>
              <w:pStyle w:val="TableParagraph"/>
              <w:spacing w:line="242" w:lineRule="auto"/>
              <w:ind w:left="141" w:right="122"/>
              <w:rPr>
                <w:sz w:val="21"/>
              </w:rPr>
            </w:pPr>
            <w:r>
              <w:rPr>
                <w:sz w:val="21"/>
              </w:rPr>
              <w:t>线路工程</w:t>
            </w:r>
          </w:p>
        </w:tc>
        <w:tc>
          <w:tcPr>
            <w:tcW w:w="2340" w:type="dxa"/>
            <w:tcBorders>
              <w:top w:val="nil"/>
              <w:left w:val="single" w:sz="4" w:space="0" w:color="000000"/>
              <w:bottom w:val="single" w:sz="4" w:space="0" w:color="000000"/>
              <w:right w:val="single" w:sz="4" w:space="0" w:color="000000"/>
            </w:tcBorders>
          </w:tcPr>
          <w:p>
            <w:pPr>
              <w:pStyle w:val="TableParagraph"/>
              <w:spacing w:before="1"/>
              <w:rPr>
                <w:b/>
                <w:sz w:val="31"/>
              </w:rPr>
            </w:pPr>
          </w:p>
          <w:p>
            <w:pPr>
              <w:pStyle w:val="TableParagraph"/>
              <w:ind w:left="232"/>
              <w:rPr>
                <w:sz w:val="21"/>
              </w:rPr>
            </w:pPr>
            <w:r>
              <w:rPr>
                <w:rFonts w:ascii="Times New Roman" w:eastAsia="Times New Roman"/>
                <w:sz w:val="21"/>
              </w:rPr>
              <w:t xml:space="preserve">220kV </w:t>
            </w:r>
            <w:r>
              <w:rPr>
                <w:sz w:val="21"/>
              </w:rPr>
              <w:t>线路迁改工程</w:t>
            </w:r>
          </w:p>
        </w:tc>
        <w:tc>
          <w:tcPr>
            <w:tcW w:w="4628" w:type="dxa"/>
            <w:tcBorders>
              <w:top w:val="nil"/>
              <w:left w:val="single" w:sz="4" w:space="0" w:color="000000"/>
              <w:bottom w:val="single" w:sz="4" w:space="0" w:color="000000"/>
              <w:right w:val="nil"/>
            </w:tcBorders>
          </w:tcPr>
          <w:p>
            <w:pPr>
              <w:pStyle w:val="TableParagraph"/>
              <w:spacing w:line="260" w:lineRule="exact"/>
              <w:ind w:left="112"/>
              <w:rPr>
                <w:sz w:val="21"/>
              </w:rPr>
            </w:pPr>
            <w:r>
              <w:rPr>
                <w:sz w:val="21"/>
              </w:rPr>
              <w:t>道走线。</w:t>
            </w:r>
          </w:p>
          <w:p>
            <w:pPr>
              <w:pStyle w:val="TableParagraph"/>
              <w:numPr>
                <w:ilvl w:val="0"/>
                <w:numId w:val="55"/>
              </w:numPr>
              <w:tabs>
                <w:tab w:val="left" w:pos="848"/>
              </w:tabs>
              <w:spacing w:before="4" w:after="0" w:line="242" w:lineRule="auto"/>
              <w:ind w:left="112" w:right="98" w:firstLine="420"/>
              <w:jc w:val="both"/>
              <w:rPr>
                <w:sz w:val="21"/>
              </w:rPr>
            </w:pPr>
            <w:r>
              <w:rPr>
                <w:sz w:val="21"/>
              </w:rPr>
              <w:t>加琴甲线</w:t>
            </w:r>
            <w:r>
              <w:rPr>
                <w:rFonts w:ascii="Times New Roman" w:eastAsia="Times New Roman"/>
                <w:sz w:val="21"/>
              </w:rPr>
              <w:t>#36</w:t>
            </w:r>
            <w:r>
              <w:rPr>
                <w:rFonts w:ascii="Times New Roman" w:eastAsia="Times New Roman"/>
                <w:spacing w:val="-5"/>
                <w:sz w:val="21"/>
              </w:rPr>
              <w:t xml:space="preserve"> </w:t>
            </w:r>
            <w:r>
              <w:rPr>
                <w:spacing w:val="-5"/>
                <w:sz w:val="21"/>
              </w:rPr>
              <w:t xml:space="preserve">塔小号侧新建电缆终端塔 </w:t>
            </w:r>
            <w:r>
              <w:rPr>
                <w:rFonts w:ascii="Times New Roman" w:eastAsia="Times New Roman"/>
                <w:sz w:val="21"/>
              </w:rPr>
              <w:t xml:space="preserve">1 </w:t>
            </w:r>
            <w:r>
              <w:rPr>
                <w:spacing w:val="-21"/>
                <w:sz w:val="21"/>
              </w:rPr>
              <w:t xml:space="preserve">基，现状 </w:t>
            </w:r>
            <w:r>
              <w:rPr>
                <w:rFonts w:ascii="Times New Roman" w:eastAsia="Times New Roman"/>
                <w:sz w:val="21"/>
              </w:rPr>
              <w:t>220kV</w:t>
            </w:r>
            <w:r>
              <w:rPr>
                <w:rFonts w:ascii="Times New Roman" w:eastAsia="Times New Roman"/>
                <w:spacing w:val="-6"/>
                <w:sz w:val="21"/>
              </w:rPr>
              <w:t xml:space="preserve"> </w:t>
            </w:r>
            <w:r>
              <w:rPr>
                <w:sz w:val="21"/>
              </w:rPr>
              <w:t>加琴甲乙线利用旧导线与新建电缆终端塔接续，需要调整</w:t>
            </w:r>
            <w:r>
              <w:rPr>
                <w:rFonts w:ascii="Times New Roman" w:eastAsia="Times New Roman"/>
                <w:sz w:val="21"/>
              </w:rPr>
              <w:t>#35</w:t>
            </w:r>
            <w:r>
              <w:rPr>
                <w:rFonts w:ascii="Times New Roman" w:eastAsia="Times New Roman"/>
                <w:spacing w:val="-6"/>
                <w:sz w:val="21"/>
              </w:rPr>
              <w:t xml:space="preserve"> </w:t>
            </w:r>
            <w:r>
              <w:rPr>
                <w:sz w:val="21"/>
              </w:rPr>
              <w:t>塔至新建电缆终端</w:t>
            </w:r>
            <w:r>
              <w:rPr>
                <w:spacing w:val="-6"/>
                <w:sz w:val="21"/>
              </w:rPr>
              <w:t xml:space="preserve">塔段导线弧垂，长约 </w:t>
            </w:r>
            <w:r>
              <w:rPr>
                <w:rFonts w:ascii="Times New Roman" w:eastAsia="Times New Roman"/>
                <w:sz w:val="21"/>
              </w:rPr>
              <w:t>0.33km</w:t>
            </w:r>
            <w:r>
              <w:rPr>
                <w:sz w:val="21"/>
              </w:rPr>
              <w:t>。</w:t>
            </w:r>
          </w:p>
          <w:p>
            <w:pPr>
              <w:pStyle w:val="TableParagraph"/>
              <w:numPr>
                <w:ilvl w:val="0"/>
                <w:numId w:val="55"/>
              </w:numPr>
              <w:tabs>
                <w:tab w:val="left" w:pos="848"/>
              </w:tabs>
              <w:spacing w:before="3" w:after="0" w:line="242" w:lineRule="auto"/>
              <w:ind w:left="112" w:right="97" w:firstLine="420"/>
              <w:jc w:val="both"/>
              <w:rPr>
                <w:sz w:val="21"/>
              </w:rPr>
            </w:pPr>
            <w:r>
              <w:rPr>
                <w:spacing w:val="-1"/>
                <w:w w:val="99"/>
                <w:sz w:val="21"/>
              </w:rPr>
              <w:t>线路改造完成后拆除加琴甲线</w:t>
            </w:r>
            <w:r>
              <w:rPr>
                <w:rFonts w:ascii="Times New Roman" w:eastAsia="Times New Roman" w:hAnsi="Times New Roman"/>
                <w:spacing w:val="1"/>
                <w:w w:val="99"/>
                <w:sz w:val="21"/>
              </w:rPr>
              <w:t>#3</w:t>
            </w:r>
            <w:r>
              <w:rPr>
                <w:rFonts w:ascii="Times New Roman" w:eastAsia="Times New Roman" w:hAnsi="Times New Roman"/>
                <w:spacing w:val="-2"/>
                <w:w w:val="99"/>
                <w:sz w:val="21"/>
              </w:rPr>
              <w:t>6</w:t>
            </w:r>
            <w:r>
              <w:rPr>
                <w:rFonts w:ascii="Times New Roman" w:eastAsia="Times New Roman" w:hAnsi="Times New Roman"/>
                <w:w w:val="99"/>
                <w:sz w:val="21"/>
              </w:rPr>
              <w:t>-#</w:t>
            </w:r>
            <w:r>
              <w:rPr>
                <w:rFonts w:ascii="Times New Roman" w:eastAsia="Times New Roman" w:hAnsi="Times New Roman"/>
                <w:spacing w:val="1"/>
                <w:w w:val="99"/>
                <w:sz w:val="21"/>
              </w:rPr>
              <w:t>4</w:t>
            </w:r>
            <w:r>
              <w:rPr>
                <w:rFonts w:ascii="Times New Roman" w:eastAsia="Times New Roman" w:hAnsi="Times New Roman"/>
                <w:spacing w:val="-88"/>
                <w:w w:val="99"/>
                <w:sz w:val="21"/>
              </w:rPr>
              <w:t>3</w:t>
            </w:r>
            <w:r>
              <w:rPr>
                <w:spacing w:val="2"/>
                <w:w w:val="99"/>
                <w:sz w:val="21"/>
              </w:rPr>
              <w:t>（</w:t>
            </w:r>
            <w:r>
              <w:rPr>
                <w:sz w:val="21"/>
              </w:rPr>
              <w:t>乙线</w:t>
            </w:r>
            <w:r>
              <w:rPr>
                <w:rFonts w:ascii="Times New Roman" w:eastAsia="Times New Roman" w:hAnsi="Times New Roman"/>
                <w:spacing w:val="-3"/>
                <w:sz w:val="21"/>
              </w:rPr>
              <w:t>#37-#44</w:t>
            </w:r>
            <w:r>
              <w:rPr>
                <w:spacing w:val="-3"/>
                <w:sz w:val="21"/>
              </w:rPr>
              <w:t>）</w:t>
            </w:r>
            <w:r>
              <w:rPr>
                <w:spacing w:val="-10"/>
                <w:sz w:val="21"/>
              </w:rPr>
              <w:t xml:space="preserve">架空线路长约 </w:t>
            </w:r>
            <w:r>
              <w:rPr>
                <w:rFonts w:ascii="Times New Roman" w:eastAsia="Times New Roman" w:hAnsi="Times New Roman"/>
                <w:sz w:val="21"/>
              </w:rPr>
              <w:t>2×2.6km</w:t>
            </w:r>
            <w:r>
              <w:rPr>
                <w:sz w:val="21"/>
              </w:rPr>
              <w:t>，拆除琴韵</w:t>
            </w:r>
            <w:r>
              <w:rPr>
                <w:spacing w:val="-7"/>
                <w:sz w:val="21"/>
              </w:rPr>
              <w:t xml:space="preserve">站进站电缆线路 </w:t>
            </w:r>
            <w:r>
              <w:rPr>
                <w:rFonts w:ascii="Times New Roman" w:eastAsia="Times New Roman" w:hAnsi="Times New Roman"/>
                <w:spacing w:val="-8"/>
                <w:sz w:val="21"/>
              </w:rPr>
              <w:t>2×0.12km</w:t>
            </w:r>
            <w:r>
              <w:rPr>
                <w:spacing w:val="-9"/>
                <w:sz w:val="21"/>
              </w:rPr>
              <w:t xml:space="preserve">，拆除电缆终端场 </w:t>
            </w:r>
            <w:r>
              <w:rPr>
                <w:rFonts w:ascii="Times New Roman" w:eastAsia="Times New Roman" w:hAnsi="Times New Roman"/>
                <w:sz w:val="21"/>
              </w:rPr>
              <w:t>1</w:t>
            </w:r>
            <w:r>
              <w:rPr>
                <w:rFonts w:ascii="Times New Roman" w:eastAsia="Times New Roman" w:hAnsi="Times New Roman"/>
                <w:spacing w:val="-5"/>
                <w:sz w:val="21"/>
              </w:rPr>
              <w:t xml:space="preserve"> </w:t>
            </w:r>
            <w:r>
              <w:rPr>
                <w:sz w:val="21"/>
              </w:rPr>
              <w:t>座和</w:t>
            </w:r>
          </w:p>
          <w:p>
            <w:pPr>
              <w:pStyle w:val="TableParagraph"/>
              <w:spacing w:before="1" w:line="248" w:lineRule="exact"/>
              <w:ind w:left="112"/>
              <w:jc w:val="both"/>
              <w:rPr>
                <w:sz w:val="21"/>
              </w:rPr>
            </w:pPr>
            <w:r>
              <w:rPr>
                <w:sz w:val="21"/>
              </w:rPr>
              <w:t xml:space="preserve">铁塔 </w:t>
            </w:r>
            <w:r>
              <w:rPr>
                <w:rFonts w:ascii="Times New Roman" w:eastAsia="Times New Roman"/>
                <w:sz w:val="21"/>
              </w:rPr>
              <w:t xml:space="preserve">8 </w:t>
            </w:r>
            <w:r>
              <w:rPr>
                <w:sz w:val="21"/>
              </w:rPr>
              <w:t>基。</w:t>
            </w:r>
          </w:p>
        </w:tc>
        <w:tc>
          <w:tcPr>
            <w:tcW w:w="299" w:type="dxa"/>
            <w:vMerge/>
            <w:tcBorders>
              <w:top w:val="nil"/>
              <w:left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171"/>
        </w:trPr>
        <w:tc>
          <w:tcPr>
            <w:tcW w:w="460" w:type="dxa"/>
            <w:vMerge/>
            <w:tcBorders>
              <w:top w:val="nil"/>
              <w:right w:val="single" w:sz="4" w:space="0" w:color="000000"/>
            </w:tcBorders>
          </w:tcPr>
          <w:p>
            <w:pPr>
              <w:rPr>
                <w:sz w:val="2"/>
                <w:szCs w:val="2"/>
              </w:rPr>
            </w:pPr>
          </w:p>
        </w:tc>
        <w:tc>
          <w:tcPr>
            <w:tcW w:w="298" w:type="dxa"/>
            <w:vMerge/>
            <w:tcBorders>
              <w:top w:val="nil"/>
              <w:left w:val="single" w:sz="4" w:space="0" w:color="000000"/>
              <w:right w:val="nil"/>
            </w:tcBorders>
          </w:tcPr>
          <w:p>
            <w:pPr>
              <w:rPr>
                <w:sz w:val="2"/>
                <w:szCs w:val="2"/>
              </w:rPr>
            </w:pPr>
          </w:p>
        </w:tc>
        <w:tc>
          <w:tcPr>
            <w:tcW w:w="720" w:type="dxa"/>
            <w:tcBorders>
              <w:top w:val="single" w:sz="4" w:space="0" w:color="000000"/>
              <w:left w:val="nil"/>
              <w:right w:val="single" w:sz="4" w:space="0" w:color="000000"/>
            </w:tcBorders>
          </w:tcPr>
          <w:p>
            <w:pPr>
              <w:pStyle w:val="TableParagraph"/>
              <w:rPr>
                <w:b/>
                <w:sz w:val="20"/>
              </w:rPr>
            </w:pPr>
          </w:p>
          <w:p>
            <w:pPr>
              <w:pStyle w:val="TableParagraph"/>
              <w:rPr>
                <w:b/>
                <w:sz w:val="20"/>
              </w:rPr>
            </w:pPr>
          </w:p>
          <w:p>
            <w:pPr>
              <w:pStyle w:val="TableParagraph"/>
              <w:spacing w:before="4"/>
              <w:rPr>
                <w:b/>
                <w:sz w:val="23"/>
              </w:rPr>
            </w:pPr>
          </w:p>
          <w:p>
            <w:pPr>
              <w:pStyle w:val="TableParagraph"/>
              <w:spacing w:line="244" w:lineRule="auto"/>
              <w:ind w:left="158" w:right="134"/>
              <w:rPr>
                <w:b/>
                <w:sz w:val="21"/>
              </w:rPr>
            </w:pPr>
            <w:r>
              <w:rPr>
                <w:b/>
                <w:sz w:val="21"/>
              </w:rPr>
              <w:t>辅助工程</w:t>
            </w:r>
          </w:p>
        </w:tc>
        <w:tc>
          <w:tcPr>
            <w:tcW w:w="3034" w:type="dxa"/>
            <w:gridSpan w:val="2"/>
            <w:tcBorders>
              <w:top w:val="single" w:sz="4" w:space="0" w:color="000000"/>
              <w:left w:val="single" w:sz="4" w:space="0" w:color="000000"/>
              <w:right w:val="single" w:sz="4"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79"/>
              <w:ind w:left="1080" w:right="1064"/>
              <w:jc w:val="center"/>
              <w:rPr>
                <w:sz w:val="21"/>
              </w:rPr>
            </w:pPr>
            <w:r>
              <w:rPr>
                <w:sz w:val="21"/>
              </w:rPr>
              <w:t>附属设施</w:t>
            </w:r>
          </w:p>
        </w:tc>
        <w:tc>
          <w:tcPr>
            <w:tcW w:w="4628" w:type="dxa"/>
            <w:tcBorders>
              <w:top w:val="single" w:sz="4" w:space="0" w:color="000000"/>
              <w:left w:val="single" w:sz="4" w:space="0" w:color="000000"/>
              <w:right w:val="nil"/>
            </w:tcBorders>
          </w:tcPr>
          <w:p>
            <w:pPr>
              <w:pStyle w:val="TableParagraph"/>
              <w:spacing w:line="242" w:lineRule="auto"/>
              <w:ind w:left="112" w:right="99" w:firstLine="420"/>
              <w:jc w:val="both"/>
              <w:rPr>
                <w:sz w:val="21"/>
              </w:rPr>
            </w:pPr>
            <w:r>
              <w:rPr>
                <w:w w:val="95"/>
                <w:sz w:val="21"/>
              </w:rPr>
              <w:t xml:space="preserve">电缆全线配置电缆环流在线监测系统、高压 电缆故障定位系统，电缆终端配置红外在线监测 装置，电缆转接塔上导线配置输电线路分布式故 </w:t>
            </w:r>
            <w:r>
              <w:rPr>
                <w:sz w:val="21"/>
              </w:rPr>
              <w:t>障精确定位装置。</w:t>
            </w:r>
          </w:p>
          <w:p>
            <w:pPr>
              <w:pStyle w:val="TableParagraph"/>
              <w:spacing w:line="242" w:lineRule="auto"/>
              <w:ind w:left="112" w:right="99" w:firstLine="420"/>
              <w:jc w:val="both"/>
              <w:rPr>
                <w:sz w:val="21"/>
              </w:rPr>
            </w:pPr>
            <w:r>
              <w:rPr>
                <w:w w:val="95"/>
                <w:sz w:val="21"/>
              </w:rPr>
              <w:t>配套建设环岛北路综合管廊照明、通风、给</w:t>
            </w:r>
            <w:r>
              <w:rPr>
                <w:spacing w:val="-4"/>
                <w:sz w:val="21"/>
              </w:rPr>
              <w:t xml:space="preserve">排水、通信、环境监控等附属设施长约 </w:t>
            </w:r>
            <w:r>
              <w:rPr>
                <w:rFonts w:ascii="Times New Roman" w:eastAsia="Times New Roman"/>
                <w:sz w:val="21"/>
              </w:rPr>
              <w:t>1.0km</w:t>
            </w:r>
            <w:r>
              <w:rPr>
                <w:sz w:val="21"/>
              </w:rPr>
              <w:t xml:space="preserve">， </w:t>
            </w:r>
            <w:r>
              <w:rPr>
                <w:spacing w:val="-4"/>
                <w:sz w:val="21"/>
              </w:rPr>
              <w:t xml:space="preserve">新建附属设施在线监测室拟选在 </w:t>
            </w:r>
            <w:r>
              <w:rPr>
                <w:rFonts w:ascii="Times New Roman" w:eastAsia="Times New Roman"/>
                <w:sz w:val="21"/>
              </w:rPr>
              <w:t xml:space="preserve">220kV </w:t>
            </w:r>
            <w:r>
              <w:rPr>
                <w:sz w:val="21"/>
              </w:rPr>
              <w:t>琴韵站</w:t>
            </w:r>
          </w:p>
          <w:p>
            <w:pPr>
              <w:pStyle w:val="TableParagraph"/>
              <w:spacing w:line="251" w:lineRule="exact"/>
              <w:ind w:left="112"/>
              <w:jc w:val="both"/>
              <w:rPr>
                <w:sz w:val="21"/>
              </w:rPr>
            </w:pPr>
            <w:r>
              <w:rPr>
                <w:spacing w:val="-18"/>
                <w:sz w:val="21"/>
              </w:rPr>
              <w:t xml:space="preserve">内，为一单层框架结构，轴线面积为 </w:t>
            </w:r>
            <w:r>
              <w:rPr>
                <w:rFonts w:ascii="Times New Roman" w:eastAsia="Times New Roman" w:hAnsi="Times New Roman"/>
                <w:sz w:val="21"/>
              </w:rPr>
              <w:t>4.6m×14.5m</w:t>
            </w:r>
            <w:r>
              <w:rPr>
                <w:spacing w:val="-16"/>
                <w:sz w:val="21"/>
              </w:rPr>
              <w:t>。</w:t>
            </w:r>
          </w:p>
        </w:tc>
        <w:tc>
          <w:tcPr>
            <w:tcW w:w="299" w:type="dxa"/>
            <w:vMerge/>
            <w:tcBorders>
              <w:top w:val="nil"/>
              <w:left w:val="nil"/>
            </w:tcBorders>
          </w:tcPr>
          <w:p>
            <w:pPr>
              <w:rPr>
                <w:sz w:val="2"/>
                <w:szCs w:val="2"/>
              </w:rPr>
            </w:pPr>
          </w:p>
        </w:tc>
      </w:tr>
    </w:tbl>
    <w:p>
      <w:pPr>
        <w:spacing w:after="0"/>
        <w:rPr>
          <w:sz w:val="2"/>
          <w:szCs w:val="2"/>
        </w:rPr>
        <w:sectPr>
          <w:footerReference w:type="default" r:id="rId17"/>
          <w:pgSz w:w="11910" w:h="16840"/>
          <w:pgMar w:top="1380" w:right="901" w:bottom="1160" w:left="920" w:header="0" w:footer="963" w:gutter="0"/>
          <w:pgNumType w:start="10"/>
          <w:cols w:num="1" w:space="720"/>
        </w:sect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0"/>
        <w:gridCol w:w="108"/>
        <w:gridCol w:w="190"/>
        <w:gridCol w:w="720"/>
        <w:gridCol w:w="1037"/>
        <w:gridCol w:w="1997"/>
        <w:gridCol w:w="4628"/>
        <w:gridCol w:w="191"/>
        <w:gridCol w:w="108"/>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675"/>
        </w:trPr>
        <w:tc>
          <w:tcPr>
            <w:tcW w:w="460" w:type="dxa"/>
            <w:vMerge w:val="restart"/>
            <w:tcBorders>
              <w:right w:val="single" w:sz="4" w:space="0" w:color="000000"/>
            </w:tcBorders>
          </w:tcPr>
          <w:p>
            <w:pPr>
              <w:pStyle w:val="TableParagraph"/>
              <w:rPr>
                <w:rFonts w:ascii="Times New Roman"/>
                <w:sz w:val="22"/>
              </w:rPr>
            </w:pPr>
          </w:p>
        </w:tc>
        <w:tc>
          <w:tcPr>
            <w:tcW w:w="108" w:type="dxa"/>
            <w:vMerge w:val="restart"/>
            <w:tcBorders>
              <w:left w:val="single" w:sz="4" w:space="0" w:color="000000"/>
              <w:right w:val="nil"/>
            </w:tcBorders>
          </w:tcPr>
          <w:p>
            <w:pPr>
              <w:pStyle w:val="TableParagraph"/>
              <w:rPr>
                <w:rFonts w:ascii="Times New Roman"/>
                <w:sz w:val="22"/>
              </w:rPr>
            </w:pPr>
          </w:p>
        </w:tc>
        <w:tc>
          <w:tcPr>
            <w:tcW w:w="190" w:type="dxa"/>
            <w:vMerge w:val="restart"/>
            <w:tcBorders>
              <w:left w:val="nil"/>
              <w:bottom w:val="nil"/>
              <w:right w:val="nil"/>
            </w:tcBorders>
          </w:tcPr>
          <w:p>
            <w:pPr>
              <w:pStyle w:val="TableParagraph"/>
              <w:rPr>
                <w:rFonts w:ascii="Times New Roman"/>
                <w:sz w:val="22"/>
              </w:rPr>
            </w:pPr>
          </w:p>
        </w:tc>
        <w:tc>
          <w:tcPr>
            <w:tcW w:w="720" w:type="dxa"/>
            <w:tcBorders>
              <w:left w:val="nil"/>
              <w:bottom w:val="single" w:sz="4" w:space="0" w:color="000000"/>
              <w:right w:val="single" w:sz="4" w:space="0" w:color="000000"/>
            </w:tcBorders>
          </w:tcPr>
          <w:p>
            <w:pPr>
              <w:pStyle w:val="TableParagraph"/>
              <w:rPr>
                <w:rFonts w:ascii="Times New Roman"/>
                <w:sz w:val="22"/>
              </w:rPr>
            </w:pPr>
          </w:p>
        </w:tc>
        <w:tc>
          <w:tcPr>
            <w:tcW w:w="3034" w:type="dxa"/>
            <w:gridSpan w:val="2"/>
            <w:tcBorders>
              <w:left w:val="single" w:sz="4" w:space="0" w:color="000000"/>
              <w:bottom w:val="single" w:sz="4" w:space="0" w:color="000000"/>
              <w:right w:val="single" w:sz="4" w:space="0" w:color="000000"/>
            </w:tcBorders>
          </w:tcPr>
          <w:p>
            <w:pPr>
              <w:pStyle w:val="TableParagraph"/>
              <w:spacing w:before="11"/>
              <w:rPr>
                <w:b/>
                <w:sz w:val="15"/>
              </w:rPr>
            </w:pPr>
          </w:p>
          <w:p>
            <w:pPr>
              <w:pStyle w:val="TableParagraph"/>
              <w:ind w:left="1080" w:right="1064"/>
              <w:jc w:val="center"/>
              <w:rPr>
                <w:sz w:val="21"/>
              </w:rPr>
            </w:pPr>
            <w:r>
              <w:rPr>
                <w:sz w:val="21"/>
              </w:rPr>
              <w:t>通信工程</w:t>
            </w:r>
          </w:p>
        </w:tc>
        <w:tc>
          <w:tcPr>
            <w:tcW w:w="4628" w:type="dxa"/>
            <w:tcBorders>
              <w:left w:val="single" w:sz="4" w:space="0" w:color="000000"/>
              <w:bottom w:val="single" w:sz="4" w:space="0" w:color="000000"/>
              <w:right w:val="nil"/>
            </w:tcBorders>
          </w:tcPr>
          <w:p>
            <w:pPr>
              <w:pStyle w:val="TableParagraph"/>
              <w:spacing w:before="69"/>
              <w:ind w:left="532"/>
              <w:rPr>
                <w:sz w:val="21"/>
              </w:rPr>
            </w:pPr>
            <w:r>
              <w:rPr>
                <w:sz w:val="21"/>
              </w:rPr>
              <w:t>沿新建</w:t>
            </w:r>
            <w:r>
              <w:rPr>
                <w:rFonts w:ascii="Times New Roman" w:eastAsia="Times New Roman"/>
                <w:sz w:val="21"/>
              </w:rPr>
              <w:t xml:space="preserve">220kV </w:t>
            </w:r>
            <w:r>
              <w:rPr>
                <w:sz w:val="21"/>
              </w:rPr>
              <w:t>加琴甲乙线电缆线路配套建设</w:t>
            </w:r>
          </w:p>
          <w:p>
            <w:pPr>
              <w:pStyle w:val="TableParagraph"/>
              <w:spacing w:before="2"/>
              <w:ind w:left="112"/>
              <w:rPr>
                <w:sz w:val="21"/>
              </w:rPr>
            </w:pPr>
            <w:r>
              <w:rPr>
                <w:rFonts w:ascii="Times New Roman" w:eastAsia="Times New Roman" w:hAnsi="Times New Roman"/>
                <w:sz w:val="21"/>
              </w:rPr>
              <w:t xml:space="preserve">3 </w:t>
            </w:r>
            <w:r>
              <w:rPr>
                <w:sz w:val="21"/>
              </w:rPr>
              <w:t xml:space="preserve">根 </w:t>
            </w:r>
            <w:r>
              <w:rPr>
                <w:rFonts w:ascii="Times New Roman" w:eastAsia="Times New Roman" w:hAnsi="Times New Roman"/>
                <w:sz w:val="21"/>
              </w:rPr>
              <w:t xml:space="preserve">48 </w:t>
            </w:r>
            <w:r>
              <w:rPr>
                <w:sz w:val="21"/>
              </w:rPr>
              <w:t xml:space="preserve">芯管道光缆，光缆长度为 </w:t>
            </w:r>
            <w:r>
              <w:rPr>
                <w:rFonts w:ascii="Times New Roman" w:eastAsia="Times New Roman" w:hAnsi="Times New Roman"/>
                <w:sz w:val="21"/>
              </w:rPr>
              <w:t>3×2.9km</w:t>
            </w:r>
            <w:r>
              <w:rPr>
                <w:sz w:val="21"/>
              </w:rPr>
              <w:t>。</w:t>
            </w:r>
          </w:p>
        </w:tc>
        <w:tc>
          <w:tcPr>
            <w:tcW w:w="299" w:type="dxa"/>
            <w:gridSpan w:val="2"/>
            <w:vMerge w:val="restart"/>
            <w:tcBorders>
              <w:left w:val="nil"/>
              <w:bottom w:val="nil"/>
            </w:tcBorders>
          </w:tcPr>
          <w:p>
            <w:pPr>
              <w:pStyle w:val="TableParagraph"/>
              <w:rPr>
                <w:rFonts w:ascii="Times New Roman"/>
                <w:sz w:val="22"/>
              </w:rPr>
            </w:pPr>
          </w:p>
        </w:tc>
      </w:tr>
      <w:tr>
        <w:tblPrEx>
          <w:tblW w:w="0" w:type="auto"/>
          <w:tblInd w:w="324" w:type="dxa"/>
          <w:tblLayout w:type="fixed"/>
          <w:tblCellMar>
            <w:top w:w="0" w:type="dxa"/>
            <w:left w:w="0" w:type="dxa"/>
            <w:bottom w:w="0" w:type="dxa"/>
            <w:right w:w="0" w:type="dxa"/>
          </w:tblCellMar>
        </w:tblPrEx>
        <w:trPr>
          <w:trHeight w:val="807"/>
        </w:trPr>
        <w:tc>
          <w:tcPr>
            <w:tcW w:w="460"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190" w:type="dxa"/>
            <w:vMerge/>
            <w:tcBorders>
              <w:top w:val="nil"/>
              <w:left w:val="nil"/>
              <w:bottom w:val="nil"/>
              <w:right w:val="nil"/>
            </w:tcBorders>
          </w:tcPr>
          <w:p>
            <w:pPr>
              <w:rPr>
                <w:sz w:val="2"/>
                <w:szCs w:val="2"/>
              </w:rPr>
            </w:pPr>
          </w:p>
        </w:tc>
        <w:tc>
          <w:tcPr>
            <w:tcW w:w="720" w:type="dxa"/>
            <w:tcBorders>
              <w:top w:val="single" w:sz="4" w:space="0" w:color="000000"/>
              <w:left w:val="nil"/>
              <w:bottom w:val="single" w:sz="4" w:space="0" w:color="000000"/>
              <w:right w:val="single" w:sz="4" w:space="0" w:color="000000"/>
            </w:tcBorders>
          </w:tcPr>
          <w:p>
            <w:pPr>
              <w:pStyle w:val="TableParagraph"/>
              <w:spacing w:before="132" w:line="242" w:lineRule="auto"/>
              <w:ind w:left="158" w:right="134"/>
              <w:rPr>
                <w:b/>
                <w:sz w:val="21"/>
              </w:rPr>
            </w:pPr>
            <w:r>
              <w:rPr>
                <w:b/>
                <w:sz w:val="21"/>
              </w:rPr>
              <w:t>环保工程</w:t>
            </w:r>
          </w:p>
        </w:tc>
        <w:tc>
          <w:tcPr>
            <w:tcW w:w="30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0"/>
              <w:rPr>
                <w:b/>
                <w:sz w:val="20"/>
              </w:rPr>
            </w:pPr>
          </w:p>
          <w:p>
            <w:pPr>
              <w:pStyle w:val="TableParagraph"/>
              <w:ind w:left="1080" w:right="1062"/>
              <w:jc w:val="center"/>
              <w:rPr>
                <w:sz w:val="21"/>
              </w:rPr>
            </w:pPr>
            <w:r>
              <w:rPr>
                <w:sz w:val="21"/>
              </w:rPr>
              <w:t>绿化</w:t>
            </w:r>
          </w:p>
        </w:tc>
        <w:tc>
          <w:tcPr>
            <w:tcW w:w="4628" w:type="dxa"/>
            <w:tcBorders>
              <w:top w:val="single" w:sz="4" w:space="0" w:color="000000"/>
              <w:left w:val="single" w:sz="4" w:space="0" w:color="000000"/>
              <w:bottom w:val="single" w:sz="4" w:space="0" w:color="000000"/>
              <w:right w:val="nil"/>
            </w:tcBorders>
          </w:tcPr>
          <w:p>
            <w:pPr>
              <w:pStyle w:val="TableParagraph"/>
              <w:spacing w:line="242" w:lineRule="auto"/>
              <w:ind w:left="112" w:right="99" w:firstLine="420"/>
              <w:rPr>
                <w:sz w:val="21"/>
              </w:rPr>
            </w:pPr>
            <w:r>
              <w:rPr>
                <w:w w:val="95"/>
                <w:sz w:val="21"/>
              </w:rPr>
              <w:t>对本项目新建的电缆沟及电缆终端塔开挖处 及时复绿；对本项目拆除的电缆终端场和铁塔复</w:t>
            </w:r>
          </w:p>
          <w:p>
            <w:pPr>
              <w:pStyle w:val="TableParagraph"/>
              <w:spacing w:line="246" w:lineRule="exact"/>
              <w:ind w:left="112"/>
              <w:rPr>
                <w:sz w:val="21"/>
              </w:rPr>
            </w:pPr>
            <w:r>
              <w:rPr>
                <w:sz w:val="21"/>
              </w:rPr>
              <w:t>绿。</w:t>
            </w:r>
          </w:p>
        </w:tc>
        <w:tc>
          <w:tcPr>
            <w:tcW w:w="299" w:type="dxa"/>
            <w:gridSpan w:val="2"/>
            <w:vMerge/>
            <w:tcBorders>
              <w:top w:val="nil"/>
              <w:left w:val="nil"/>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7474"/>
        </w:trPr>
        <w:tc>
          <w:tcPr>
            <w:tcW w:w="460"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871" w:type="dxa"/>
            <w:gridSpan w:val="7"/>
            <w:tcBorders>
              <w:top w:val="nil"/>
              <w:left w:val="nil"/>
              <w:bottom w:val="single" w:sz="12" w:space="0" w:color="000000"/>
            </w:tcBorders>
          </w:tcPr>
          <w:p>
            <w:pPr>
              <w:pStyle w:val="TableParagraph"/>
              <w:spacing w:before="7"/>
              <w:rPr>
                <w:b/>
                <w:sz w:val="18"/>
              </w:rPr>
            </w:pPr>
          </w:p>
          <w:p>
            <w:pPr>
              <w:pStyle w:val="TableParagraph"/>
              <w:numPr>
                <w:ilvl w:val="0"/>
                <w:numId w:val="4"/>
              </w:numPr>
              <w:tabs>
                <w:tab w:val="left" w:pos="250"/>
              </w:tabs>
              <w:spacing w:before="0" w:after="0" w:line="240" w:lineRule="auto"/>
              <w:ind w:left="250" w:right="0" w:hanging="240"/>
              <w:jc w:val="left"/>
              <w:rPr>
                <w:b/>
                <w:sz w:val="24"/>
              </w:rPr>
            </w:pPr>
            <w:r>
              <w:rPr>
                <w:b/>
                <w:sz w:val="24"/>
              </w:rPr>
              <w:t>主体工程</w:t>
            </w:r>
          </w:p>
          <w:p>
            <w:pPr>
              <w:pStyle w:val="TableParagraph"/>
              <w:spacing w:before="9"/>
              <w:rPr>
                <w:b/>
                <w:sz w:val="21"/>
              </w:rPr>
            </w:pPr>
          </w:p>
          <w:p>
            <w:pPr>
              <w:pStyle w:val="TableParagraph"/>
              <w:numPr>
                <w:ilvl w:val="1"/>
                <w:numId w:val="4"/>
              </w:numPr>
              <w:tabs>
                <w:tab w:val="left" w:pos="430"/>
              </w:tabs>
              <w:spacing w:before="0" w:after="0" w:line="240" w:lineRule="auto"/>
              <w:ind w:left="430" w:right="0" w:hanging="420"/>
              <w:jc w:val="both"/>
              <w:rPr>
                <w:b/>
                <w:sz w:val="24"/>
              </w:rPr>
            </w:pPr>
            <w:r>
              <w:rPr>
                <w:b/>
                <w:sz w:val="24"/>
              </w:rPr>
              <w:t>线路工程</w:t>
            </w:r>
          </w:p>
          <w:p>
            <w:pPr>
              <w:pStyle w:val="TableParagraph"/>
              <w:numPr>
                <w:ilvl w:val="2"/>
                <w:numId w:val="5"/>
              </w:numPr>
              <w:tabs>
                <w:tab w:val="left" w:pos="610"/>
              </w:tabs>
              <w:spacing w:before="158" w:after="0" w:line="240" w:lineRule="auto"/>
              <w:ind w:left="610" w:right="0" w:hanging="600"/>
              <w:jc w:val="both"/>
              <w:rPr>
                <w:b/>
                <w:sz w:val="24"/>
              </w:rPr>
            </w:pPr>
            <w:r>
              <w:rPr>
                <w:b/>
                <w:sz w:val="24"/>
              </w:rPr>
              <w:t>建设规模</w:t>
            </w:r>
          </w:p>
          <w:p>
            <w:pPr>
              <w:pStyle w:val="TableParagraph"/>
              <w:numPr>
                <w:ilvl w:val="3"/>
                <w:numId w:val="5"/>
              </w:numPr>
              <w:tabs>
                <w:tab w:val="left" w:pos="851"/>
              </w:tabs>
              <w:spacing w:before="161" w:after="0" w:line="364" w:lineRule="auto"/>
              <w:ind w:left="10" w:right="86" w:firstLine="480"/>
              <w:jc w:val="both"/>
              <w:rPr>
                <w:sz w:val="24"/>
              </w:rPr>
            </w:pPr>
            <w:r>
              <w:rPr>
                <w:spacing w:val="-3"/>
                <w:sz w:val="24"/>
              </w:rPr>
              <w:t xml:space="preserve">本工程对横琴粤澳深度合作区及跨马骝洲水道段 </w:t>
            </w:r>
            <w:r>
              <w:rPr>
                <w:rFonts w:ascii="Times New Roman" w:eastAsia="Times New Roman" w:hAnsi="Times New Roman"/>
                <w:sz w:val="24"/>
              </w:rPr>
              <w:t>220kV</w:t>
            </w:r>
            <w:r>
              <w:rPr>
                <w:rFonts w:ascii="Times New Roman" w:eastAsia="Times New Roman" w:hAnsi="Times New Roman"/>
                <w:spacing w:val="-1"/>
                <w:sz w:val="24"/>
              </w:rPr>
              <w:t xml:space="preserve"> </w:t>
            </w:r>
            <w:r>
              <w:rPr>
                <w:sz w:val="24"/>
              </w:rPr>
              <w:t>加琴甲乙线实施电</w:t>
            </w:r>
            <w:r>
              <w:rPr>
                <w:spacing w:val="-14"/>
                <w:sz w:val="24"/>
              </w:rPr>
              <w:t xml:space="preserve">缆下地改造。新建电缆自 </w:t>
            </w:r>
            <w:r>
              <w:rPr>
                <w:rFonts w:ascii="Times New Roman" w:eastAsia="Times New Roman" w:hAnsi="Times New Roman"/>
                <w:sz w:val="24"/>
              </w:rPr>
              <w:t>220kV</w:t>
            </w:r>
            <w:r>
              <w:rPr>
                <w:rFonts w:ascii="Times New Roman" w:eastAsia="Times New Roman" w:hAnsi="Times New Roman"/>
                <w:spacing w:val="1"/>
                <w:sz w:val="24"/>
              </w:rPr>
              <w:t xml:space="preserve"> </w:t>
            </w:r>
            <w:r>
              <w:rPr>
                <w:spacing w:val="-7"/>
                <w:sz w:val="24"/>
              </w:rPr>
              <w:t>琴韵站站内终端起，至加琴甲线</w:t>
            </w:r>
            <w:r>
              <w:rPr>
                <w:rFonts w:ascii="Times New Roman" w:eastAsia="Times New Roman" w:hAnsi="Times New Roman"/>
                <w:sz w:val="24"/>
              </w:rPr>
              <w:t xml:space="preserve">#36 </w:t>
            </w:r>
            <w:r>
              <w:rPr>
                <w:sz w:val="24"/>
              </w:rPr>
              <w:t>塔小号侧新建电</w:t>
            </w:r>
            <w:r>
              <w:rPr>
                <w:spacing w:val="-11"/>
                <w:sz w:val="24"/>
              </w:rPr>
              <w:t>缆终端塔止，沿横琴粤澳深度合作区环岛北路综合管廊、横琴隧道电力舱、宝琴路拟</w:t>
            </w:r>
            <w:r>
              <w:rPr>
                <w:spacing w:val="-6"/>
                <w:sz w:val="24"/>
              </w:rPr>
              <w:t xml:space="preserve">建电缆隧道走线，新建电缆线路路径长约 </w:t>
            </w:r>
            <w:r>
              <w:rPr>
                <w:rFonts w:ascii="Times New Roman" w:eastAsia="Times New Roman" w:hAnsi="Times New Roman"/>
                <w:sz w:val="24"/>
              </w:rPr>
              <w:t>2</w:t>
            </w:r>
            <w:r>
              <w:rPr>
                <w:sz w:val="24"/>
              </w:rPr>
              <w:t>×</w:t>
            </w:r>
            <w:r>
              <w:rPr>
                <w:rFonts w:ascii="Times New Roman" w:eastAsia="Times New Roman" w:hAnsi="Times New Roman"/>
                <w:sz w:val="24"/>
              </w:rPr>
              <w:t>2.8km</w:t>
            </w:r>
            <w:r>
              <w:rPr>
                <w:sz w:val="24"/>
              </w:rPr>
              <w:t>。电缆采用铜芯分割导体、导体</w:t>
            </w:r>
            <w:r>
              <w:rPr>
                <w:spacing w:val="-7"/>
                <w:sz w:val="24"/>
              </w:rPr>
              <w:t xml:space="preserve">截面 </w:t>
            </w:r>
            <w:r>
              <w:rPr>
                <w:rFonts w:ascii="Times New Roman" w:eastAsia="Times New Roman" w:hAnsi="Times New Roman"/>
                <w:sz w:val="24"/>
              </w:rPr>
              <w:t>2500mm</w:t>
            </w:r>
            <w:r>
              <w:rPr>
                <w:rFonts w:ascii="Times New Roman" w:eastAsia="Times New Roman" w:hAnsi="Times New Roman"/>
                <w:position w:val="8"/>
                <w:sz w:val="15"/>
              </w:rPr>
              <w:t>2</w:t>
            </w:r>
            <w:r>
              <w:rPr>
                <w:sz w:val="24"/>
              </w:rPr>
              <w:t>，交联聚乙烯绝缘、波纹铝护套、阻燃聚氯乙烯外护套电力电缆，型</w:t>
            </w:r>
            <w:r>
              <w:rPr>
                <w:spacing w:val="-21"/>
                <w:sz w:val="24"/>
              </w:rPr>
              <w:t xml:space="preserve">号为 </w:t>
            </w:r>
            <w:r>
              <w:rPr>
                <w:rFonts w:ascii="Times New Roman" w:eastAsia="Times New Roman" w:hAnsi="Times New Roman"/>
                <w:sz w:val="24"/>
              </w:rPr>
              <w:t>ZRA-YJLW02-Z-127/220-1</w:t>
            </w:r>
            <w:r>
              <w:rPr>
                <w:sz w:val="24"/>
              </w:rPr>
              <w:t>×</w:t>
            </w:r>
            <w:r>
              <w:rPr>
                <w:rFonts w:ascii="Times New Roman" w:eastAsia="Times New Roman" w:hAnsi="Times New Roman"/>
                <w:sz w:val="24"/>
              </w:rPr>
              <w:t>2500mm</w:t>
            </w:r>
            <w:r>
              <w:rPr>
                <w:rFonts w:ascii="Times New Roman" w:eastAsia="Times New Roman" w:hAnsi="Times New Roman"/>
                <w:position w:val="8"/>
                <w:sz w:val="15"/>
              </w:rPr>
              <w:t>2</w:t>
            </w:r>
            <w:r>
              <w:rPr>
                <w:sz w:val="24"/>
              </w:rPr>
              <w:t>。</w:t>
            </w:r>
          </w:p>
          <w:p>
            <w:pPr>
              <w:pStyle w:val="TableParagraph"/>
              <w:numPr>
                <w:ilvl w:val="3"/>
                <w:numId w:val="5"/>
              </w:numPr>
              <w:tabs>
                <w:tab w:val="left" w:pos="851"/>
              </w:tabs>
              <w:spacing w:before="0" w:after="0" w:line="364" w:lineRule="auto"/>
              <w:ind w:left="10" w:right="86" w:firstLine="480"/>
              <w:jc w:val="both"/>
              <w:rPr>
                <w:sz w:val="24"/>
              </w:rPr>
            </w:pPr>
            <w:r>
              <w:rPr>
                <w:spacing w:val="-1"/>
                <w:sz w:val="24"/>
              </w:rPr>
              <w:t>加琴甲线</w:t>
            </w:r>
            <w:r>
              <w:rPr>
                <w:rFonts w:ascii="Times New Roman" w:eastAsia="Times New Roman"/>
                <w:sz w:val="24"/>
              </w:rPr>
              <w:t>#36</w:t>
            </w:r>
            <w:r>
              <w:rPr>
                <w:rFonts w:ascii="Times New Roman" w:eastAsia="Times New Roman"/>
                <w:spacing w:val="3"/>
                <w:sz w:val="24"/>
              </w:rPr>
              <w:t xml:space="preserve"> </w:t>
            </w:r>
            <w:r>
              <w:rPr>
                <w:spacing w:val="-5"/>
                <w:sz w:val="24"/>
              </w:rPr>
              <w:t xml:space="preserve">塔小号侧新建电缆终端塔 </w:t>
            </w:r>
            <w:r>
              <w:rPr>
                <w:rFonts w:ascii="Times New Roman" w:eastAsia="Times New Roman"/>
                <w:sz w:val="24"/>
              </w:rPr>
              <w:t>1</w:t>
            </w:r>
            <w:r>
              <w:rPr>
                <w:rFonts w:ascii="Times New Roman" w:eastAsia="Times New Roman"/>
                <w:spacing w:val="1"/>
                <w:sz w:val="24"/>
              </w:rPr>
              <w:t xml:space="preserve"> </w:t>
            </w:r>
            <w:r>
              <w:rPr>
                <w:spacing w:val="-12"/>
                <w:sz w:val="24"/>
              </w:rPr>
              <w:t xml:space="preserve">基，现状 </w:t>
            </w:r>
            <w:r>
              <w:rPr>
                <w:rFonts w:ascii="Times New Roman" w:eastAsia="Times New Roman"/>
                <w:sz w:val="24"/>
              </w:rPr>
              <w:t xml:space="preserve">220kV </w:t>
            </w:r>
            <w:r>
              <w:rPr>
                <w:spacing w:val="-2"/>
                <w:sz w:val="24"/>
              </w:rPr>
              <w:t>加琴甲乙线利用旧</w:t>
            </w:r>
            <w:r>
              <w:rPr>
                <w:sz w:val="24"/>
              </w:rPr>
              <w:t>导线与新建电缆终端塔接续，需要调整</w:t>
            </w:r>
            <w:r>
              <w:rPr>
                <w:rFonts w:ascii="Times New Roman" w:eastAsia="Times New Roman"/>
                <w:sz w:val="24"/>
              </w:rPr>
              <w:t xml:space="preserve">#35 </w:t>
            </w:r>
            <w:r>
              <w:rPr>
                <w:sz w:val="24"/>
              </w:rPr>
              <w:t>塔至新建电缆终端塔段导线弧垂。</w:t>
            </w:r>
          </w:p>
          <w:p>
            <w:pPr>
              <w:pStyle w:val="TableParagraph"/>
              <w:numPr>
                <w:ilvl w:val="3"/>
                <w:numId w:val="5"/>
              </w:numPr>
              <w:tabs>
                <w:tab w:val="left" w:pos="851"/>
              </w:tabs>
              <w:spacing w:before="0" w:after="0" w:line="364" w:lineRule="auto"/>
              <w:ind w:left="10" w:right="-44" w:firstLine="480"/>
              <w:jc w:val="both"/>
              <w:rPr>
                <w:sz w:val="24"/>
              </w:rPr>
            </w:pPr>
            <w:r>
              <w:rPr>
                <w:sz w:val="24"/>
              </w:rPr>
              <w:t>线路改造完成后拆除加琴甲线</w:t>
            </w:r>
            <w:r>
              <w:rPr>
                <w:rFonts w:ascii="Times New Roman" w:eastAsia="Times New Roman" w:hAnsi="Times New Roman"/>
                <w:sz w:val="24"/>
              </w:rPr>
              <w:t>#36</w:t>
            </w:r>
            <w:r>
              <w:rPr>
                <w:rFonts w:ascii="Times New Roman" w:eastAsia="Times New Roman" w:hAnsi="Times New Roman"/>
                <w:spacing w:val="-1"/>
                <w:sz w:val="24"/>
              </w:rPr>
              <w:t>-</w:t>
            </w:r>
            <w:r>
              <w:rPr>
                <w:rFonts w:ascii="Times New Roman" w:eastAsia="Times New Roman" w:hAnsi="Times New Roman"/>
                <w:sz w:val="24"/>
              </w:rPr>
              <w:t>#4</w:t>
            </w:r>
            <w:r>
              <w:rPr>
                <w:rFonts w:ascii="Times New Roman" w:eastAsia="Times New Roman" w:hAnsi="Times New Roman"/>
                <w:spacing w:val="-113"/>
                <w:sz w:val="24"/>
              </w:rPr>
              <w:t>3</w:t>
            </w:r>
            <w:r>
              <w:rPr>
                <w:spacing w:val="-3"/>
                <w:sz w:val="24"/>
              </w:rPr>
              <w:t>（</w:t>
            </w:r>
            <w:r>
              <w:rPr>
                <w:sz w:val="24"/>
              </w:rPr>
              <w:t>乙线</w:t>
            </w:r>
            <w:r>
              <w:rPr>
                <w:rFonts w:ascii="Times New Roman" w:eastAsia="Times New Roman" w:hAnsi="Times New Roman"/>
                <w:sz w:val="24"/>
              </w:rPr>
              <w:t>#37</w:t>
            </w:r>
            <w:r>
              <w:rPr>
                <w:rFonts w:ascii="Times New Roman" w:eastAsia="Times New Roman" w:hAnsi="Times New Roman"/>
                <w:spacing w:val="-1"/>
                <w:sz w:val="24"/>
              </w:rPr>
              <w:t>-</w:t>
            </w:r>
            <w:r>
              <w:rPr>
                <w:rFonts w:ascii="Times New Roman" w:eastAsia="Times New Roman" w:hAnsi="Times New Roman"/>
                <w:sz w:val="24"/>
              </w:rPr>
              <w:t>#4</w:t>
            </w:r>
            <w:r>
              <w:rPr>
                <w:rFonts w:ascii="Times New Roman" w:eastAsia="Times New Roman" w:hAnsi="Times New Roman"/>
                <w:spacing w:val="2"/>
                <w:sz w:val="24"/>
              </w:rPr>
              <w:t>4</w:t>
            </w:r>
            <w:r>
              <w:rPr>
                <w:spacing w:val="-116"/>
                <w:sz w:val="24"/>
              </w:rPr>
              <w:t>）</w:t>
            </w:r>
            <w:r>
              <w:rPr>
                <w:sz w:val="24"/>
              </w:rPr>
              <w:t>架空线路长约</w:t>
            </w:r>
            <w:r>
              <w:rPr>
                <w:spacing w:val="-60"/>
                <w:sz w:val="24"/>
              </w:rPr>
              <w:t xml:space="preserve"> </w:t>
            </w:r>
            <w:r>
              <w:rPr>
                <w:rFonts w:ascii="Times New Roman" w:eastAsia="Times New Roman" w:hAnsi="Times New Roman"/>
                <w:sz w:val="24"/>
              </w:rPr>
              <w:t>2</w:t>
            </w:r>
            <w:r>
              <w:rPr>
                <w:sz w:val="24"/>
              </w:rPr>
              <w:t>×</w:t>
            </w:r>
            <w:r>
              <w:rPr>
                <w:rFonts w:ascii="Times New Roman" w:eastAsia="Times New Roman" w:hAnsi="Times New Roman"/>
                <w:sz w:val="24"/>
              </w:rPr>
              <w:t>2.6km</w:t>
            </w:r>
            <w:r>
              <w:rPr>
                <w:spacing w:val="-5"/>
                <w:sz w:val="24"/>
              </w:rPr>
              <w:t xml:space="preserve">，拆除琴韵站进站电缆线路 </w:t>
            </w:r>
            <w:r>
              <w:rPr>
                <w:rFonts w:ascii="Times New Roman" w:eastAsia="Times New Roman" w:hAnsi="Times New Roman"/>
                <w:sz w:val="24"/>
              </w:rPr>
              <w:t>2</w:t>
            </w:r>
            <w:r>
              <w:rPr>
                <w:sz w:val="24"/>
              </w:rPr>
              <w:t>×</w:t>
            </w:r>
            <w:r>
              <w:rPr>
                <w:rFonts w:ascii="Times New Roman" w:eastAsia="Times New Roman" w:hAnsi="Times New Roman"/>
                <w:sz w:val="24"/>
              </w:rPr>
              <w:t>0.12km</w:t>
            </w:r>
            <w:r>
              <w:rPr>
                <w:spacing w:val="-7"/>
                <w:sz w:val="24"/>
              </w:rPr>
              <w:t xml:space="preserve">，拆除电缆终端场 </w:t>
            </w:r>
            <w:r>
              <w:rPr>
                <w:rFonts w:ascii="Times New Roman" w:eastAsia="Times New Roman" w:hAnsi="Times New Roman"/>
                <w:sz w:val="24"/>
              </w:rPr>
              <w:t xml:space="preserve">1 </w:t>
            </w:r>
            <w:r>
              <w:rPr>
                <w:spacing w:val="-13"/>
                <w:sz w:val="24"/>
              </w:rPr>
              <w:t xml:space="preserve">座和铁塔 </w:t>
            </w:r>
            <w:r>
              <w:rPr>
                <w:rFonts w:ascii="Times New Roman" w:eastAsia="Times New Roman" w:hAnsi="Times New Roman"/>
                <w:sz w:val="24"/>
              </w:rPr>
              <w:t xml:space="preserve">8 </w:t>
            </w:r>
            <w:r>
              <w:rPr>
                <w:sz w:val="24"/>
              </w:rPr>
              <w:t>基。</w:t>
            </w:r>
          </w:p>
          <w:p>
            <w:pPr>
              <w:pStyle w:val="TableParagraph"/>
              <w:numPr>
                <w:ilvl w:val="2"/>
                <w:numId w:val="5"/>
              </w:numPr>
              <w:tabs>
                <w:tab w:val="left" w:pos="610"/>
              </w:tabs>
              <w:spacing w:before="0" w:after="0" w:line="306" w:lineRule="exact"/>
              <w:ind w:left="610" w:right="0" w:hanging="600"/>
              <w:jc w:val="both"/>
              <w:rPr>
                <w:b/>
                <w:sz w:val="24"/>
              </w:rPr>
            </w:pPr>
            <w:r>
              <w:rPr>
                <w:b/>
                <w:sz w:val="24"/>
              </w:rPr>
              <w:t>电缆土建、选型</w:t>
            </w:r>
          </w:p>
          <w:p>
            <w:pPr>
              <w:pStyle w:val="TableParagraph"/>
              <w:spacing w:before="155"/>
              <w:ind w:left="130" w:right="3009"/>
              <w:jc w:val="center"/>
              <w:rPr>
                <w:sz w:val="24"/>
              </w:rPr>
            </w:pPr>
            <w:r>
              <w:rPr>
                <w:sz w:val="24"/>
              </w:rPr>
              <w:t xml:space="preserve">本工程电缆线路主要技术经济指标见表 </w:t>
            </w:r>
            <w:r>
              <w:rPr>
                <w:rFonts w:ascii="Times New Roman" w:eastAsia="Times New Roman"/>
                <w:sz w:val="24"/>
              </w:rPr>
              <w:t xml:space="preserve">2-5 </w:t>
            </w:r>
            <w:r>
              <w:rPr>
                <w:sz w:val="24"/>
              </w:rPr>
              <w:t>所示</w:t>
            </w:r>
          </w:p>
          <w:p>
            <w:pPr>
              <w:pStyle w:val="TableParagraph"/>
              <w:tabs>
                <w:tab w:val="left" w:pos="883"/>
              </w:tabs>
              <w:spacing w:before="4" w:line="251" w:lineRule="exact"/>
              <w:ind w:left="130"/>
              <w:jc w:val="center"/>
              <w:rPr>
                <w:b/>
                <w:sz w:val="21"/>
              </w:rPr>
            </w:pPr>
            <w:r>
              <w:rPr>
                <w:b/>
                <w:sz w:val="21"/>
              </w:rPr>
              <w:t>表</w:t>
            </w:r>
            <w:r>
              <w:rPr>
                <w:b/>
                <w:spacing w:val="-52"/>
                <w:sz w:val="21"/>
              </w:rPr>
              <w:t xml:space="preserve"> </w:t>
            </w:r>
            <w:r>
              <w:rPr>
                <w:rFonts w:ascii="Times New Roman" w:eastAsia="Times New Roman"/>
                <w:b/>
                <w:sz w:val="21"/>
              </w:rPr>
              <w:t>2-5</w:t>
            </w:r>
            <w:r>
              <w:rPr>
                <w:rFonts w:ascii="Times New Roman" w:eastAsia="Times New Roman"/>
                <w:b/>
                <w:sz w:val="21"/>
              </w:rPr>
              <w:tab/>
            </w:r>
            <w:r>
              <w:rPr>
                <w:b/>
                <w:sz w:val="21"/>
              </w:rPr>
              <w:t>电缆工程主要技术指标</w:t>
            </w:r>
          </w:p>
        </w:tc>
      </w:tr>
      <w:tr>
        <w:tblPrEx>
          <w:tblW w:w="0" w:type="auto"/>
          <w:tblInd w:w="324" w:type="dxa"/>
          <w:tblLayout w:type="fixed"/>
          <w:tblCellMar>
            <w:top w:w="0" w:type="dxa"/>
            <w:left w:w="0" w:type="dxa"/>
            <w:bottom w:w="0" w:type="dxa"/>
            <w:right w:w="0" w:type="dxa"/>
          </w:tblCellMar>
        </w:tblPrEx>
        <w:trPr>
          <w:trHeight w:val="449"/>
        </w:trPr>
        <w:tc>
          <w:tcPr>
            <w:tcW w:w="460"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1947" w:type="dxa"/>
            <w:gridSpan w:val="3"/>
            <w:tcBorders>
              <w:top w:val="single" w:sz="12" w:space="0" w:color="000000"/>
              <w:left w:val="nil"/>
              <w:bottom w:val="single" w:sz="4" w:space="0" w:color="000000"/>
              <w:right w:val="single" w:sz="4" w:space="0" w:color="000000"/>
            </w:tcBorders>
          </w:tcPr>
          <w:p>
            <w:pPr>
              <w:pStyle w:val="TableParagraph"/>
              <w:spacing w:before="90"/>
              <w:ind w:left="117"/>
              <w:rPr>
                <w:sz w:val="21"/>
              </w:rPr>
            </w:pPr>
            <w:r>
              <w:rPr>
                <w:sz w:val="21"/>
              </w:rPr>
              <w:t>工程名称</w:t>
            </w:r>
          </w:p>
        </w:tc>
        <w:tc>
          <w:tcPr>
            <w:tcW w:w="6816" w:type="dxa"/>
            <w:gridSpan w:val="3"/>
            <w:tcBorders>
              <w:top w:val="single" w:sz="12" w:space="0" w:color="000000"/>
              <w:left w:val="single" w:sz="4" w:space="0" w:color="000000"/>
              <w:bottom w:val="single" w:sz="4" w:space="0" w:color="000000"/>
              <w:right w:val="single" w:sz="4" w:space="0" w:color="000000"/>
            </w:tcBorders>
          </w:tcPr>
          <w:p>
            <w:pPr>
              <w:pStyle w:val="TableParagraph"/>
              <w:spacing w:before="90"/>
              <w:ind w:left="112"/>
              <w:rPr>
                <w:sz w:val="21"/>
              </w:rPr>
            </w:pPr>
            <w:r>
              <w:rPr>
                <w:rFonts w:ascii="Times New Roman" w:eastAsia="Times New Roman"/>
                <w:sz w:val="21"/>
              </w:rPr>
              <w:t xml:space="preserve">220kV </w:t>
            </w:r>
            <w:r>
              <w:rPr>
                <w:sz w:val="21"/>
              </w:rPr>
              <w:t>加琴甲乙线电缆化迁改工程</w:t>
            </w:r>
          </w:p>
        </w:tc>
        <w:tc>
          <w:tcPr>
            <w:tcW w:w="108" w:type="dxa"/>
            <w:tcBorders>
              <w:top w:val="nil"/>
              <w:left w:val="single" w:sz="4" w:space="0" w:color="000000"/>
              <w:bottom w:val="nil"/>
            </w:tcBorders>
          </w:tcPr>
          <w:p>
            <w:pPr>
              <w:pStyle w:val="TableParagraph"/>
              <w:rPr>
                <w:rFonts w:ascii="Times New Roman"/>
                <w:sz w:val="22"/>
              </w:rPr>
            </w:pPr>
          </w:p>
        </w:tc>
      </w:tr>
      <w:tr>
        <w:tblPrEx>
          <w:tblW w:w="0" w:type="auto"/>
          <w:tblInd w:w="324" w:type="dxa"/>
          <w:tblLayout w:type="fixed"/>
          <w:tblCellMar>
            <w:top w:w="0" w:type="dxa"/>
            <w:left w:w="0" w:type="dxa"/>
            <w:bottom w:w="0" w:type="dxa"/>
            <w:right w:w="0" w:type="dxa"/>
          </w:tblCellMar>
        </w:tblPrEx>
        <w:trPr>
          <w:trHeight w:val="443"/>
        </w:trPr>
        <w:tc>
          <w:tcPr>
            <w:tcW w:w="460"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1947" w:type="dxa"/>
            <w:gridSpan w:val="3"/>
            <w:tcBorders>
              <w:top w:val="single" w:sz="4" w:space="0" w:color="000000"/>
              <w:left w:val="nil"/>
              <w:bottom w:val="single" w:sz="4" w:space="0" w:color="000000"/>
              <w:right w:val="single" w:sz="4" w:space="0" w:color="000000"/>
            </w:tcBorders>
          </w:tcPr>
          <w:p>
            <w:pPr>
              <w:pStyle w:val="TableParagraph"/>
              <w:spacing w:before="84"/>
              <w:ind w:left="117"/>
              <w:rPr>
                <w:sz w:val="21"/>
              </w:rPr>
            </w:pPr>
            <w:r>
              <w:rPr>
                <w:sz w:val="21"/>
              </w:rPr>
              <w:t>电缆型号</w:t>
            </w:r>
          </w:p>
        </w:tc>
        <w:tc>
          <w:tcPr>
            <w:tcW w:w="681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66"/>
              <w:ind w:left="112"/>
              <w:rPr>
                <w:rFonts w:ascii="Times New Roman" w:hAnsi="Times New Roman"/>
                <w:sz w:val="15"/>
              </w:rPr>
            </w:pPr>
            <w:r>
              <w:rPr>
                <w:rFonts w:ascii="Times New Roman" w:hAnsi="Times New Roman"/>
                <w:sz w:val="24"/>
              </w:rPr>
              <w:t>ZRA-YJLW02-Z-127/220-1</w:t>
            </w:r>
            <w:r>
              <w:rPr>
                <w:sz w:val="24"/>
              </w:rPr>
              <w:t>×</w:t>
            </w:r>
            <w:r>
              <w:rPr>
                <w:rFonts w:ascii="Times New Roman" w:hAnsi="Times New Roman"/>
                <w:sz w:val="24"/>
              </w:rPr>
              <w:t>2500mm</w:t>
            </w:r>
            <w:r>
              <w:rPr>
                <w:rFonts w:ascii="Times New Roman" w:hAnsi="Times New Roman"/>
                <w:position w:val="8"/>
                <w:sz w:val="15"/>
              </w:rPr>
              <w:t>2</w:t>
            </w:r>
          </w:p>
        </w:tc>
        <w:tc>
          <w:tcPr>
            <w:tcW w:w="108" w:type="dxa"/>
            <w:tcBorders>
              <w:top w:val="nil"/>
              <w:left w:val="single" w:sz="4" w:space="0" w:color="000000"/>
              <w:bottom w:val="nil"/>
            </w:tcBorders>
          </w:tcPr>
          <w:p>
            <w:pPr>
              <w:pStyle w:val="TableParagraph"/>
              <w:rPr>
                <w:rFonts w:ascii="Times New Roman"/>
                <w:sz w:val="22"/>
              </w:rPr>
            </w:pPr>
          </w:p>
        </w:tc>
      </w:tr>
      <w:tr>
        <w:tblPrEx>
          <w:tblW w:w="0" w:type="auto"/>
          <w:tblInd w:w="324" w:type="dxa"/>
          <w:tblLayout w:type="fixed"/>
          <w:tblCellMar>
            <w:top w:w="0" w:type="dxa"/>
            <w:left w:w="0" w:type="dxa"/>
            <w:bottom w:w="0" w:type="dxa"/>
            <w:right w:w="0" w:type="dxa"/>
          </w:tblCellMar>
        </w:tblPrEx>
        <w:trPr>
          <w:trHeight w:val="444"/>
        </w:trPr>
        <w:tc>
          <w:tcPr>
            <w:tcW w:w="460"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1947" w:type="dxa"/>
            <w:gridSpan w:val="3"/>
            <w:tcBorders>
              <w:top w:val="single" w:sz="4" w:space="0" w:color="000000"/>
              <w:left w:val="nil"/>
              <w:bottom w:val="single" w:sz="4" w:space="0" w:color="000000"/>
              <w:right w:val="single" w:sz="4" w:space="0" w:color="000000"/>
            </w:tcBorders>
          </w:tcPr>
          <w:p>
            <w:pPr>
              <w:pStyle w:val="TableParagraph"/>
              <w:spacing w:before="86"/>
              <w:ind w:left="117"/>
              <w:rPr>
                <w:sz w:val="21"/>
              </w:rPr>
            </w:pPr>
            <w:r>
              <w:rPr>
                <w:sz w:val="21"/>
              </w:rPr>
              <w:t>长度</w:t>
            </w:r>
          </w:p>
        </w:tc>
        <w:tc>
          <w:tcPr>
            <w:tcW w:w="681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6"/>
              <w:ind w:left="112"/>
              <w:rPr>
                <w:rFonts w:ascii="Times New Roman" w:eastAsia="Times New Roman" w:hAnsi="Times New Roman"/>
                <w:sz w:val="21"/>
              </w:rPr>
            </w:pPr>
            <w:r>
              <w:rPr>
                <w:sz w:val="21"/>
              </w:rPr>
              <w:t xml:space="preserve">新建电缆线路路径全长 </w:t>
            </w:r>
            <w:r>
              <w:rPr>
                <w:rFonts w:ascii="Times New Roman" w:eastAsia="Times New Roman" w:hAnsi="Times New Roman"/>
                <w:sz w:val="21"/>
              </w:rPr>
              <w:t>2</w:t>
            </w:r>
            <w:r>
              <w:rPr>
                <w:sz w:val="21"/>
              </w:rPr>
              <w:t>×</w:t>
            </w:r>
            <w:r>
              <w:rPr>
                <w:rFonts w:ascii="Times New Roman" w:eastAsia="Times New Roman" w:hAnsi="Times New Roman"/>
                <w:sz w:val="21"/>
              </w:rPr>
              <w:t>2.80km</w:t>
            </w:r>
          </w:p>
        </w:tc>
        <w:tc>
          <w:tcPr>
            <w:tcW w:w="108" w:type="dxa"/>
            <w:tcBorders>
              <w:top w:val="nil"/>
              <w:left w:val="single" w:sz="4" w:space="0" w:color="000000"/>
              <w:bottom w:val="nil"/>
            </w:tcBorders>
          </w:tcPr>
          <w:p>
            <w:pPr>
              <w:pStyle w:val="TableParagraph"/>
              <w:rPr>
                <w:rFonts w:ascii="Times New Roman"/>
                <w:sz w:val="22"/>
              </w:rPr>
            </w:pPr>
          </w:p>
        </w:tc>
      </w:tr>
      <w:tr>
        <w:tblPrEx>
          <w:tblW w:w="0" w:type="auto"/>
          <w:tblInd w:w="324" w:type="dxa"/>
          <w:tblLayout w:type="fixed"/>
          <w:tblCellMar>
            <w:top w:w="0" w:type="dxa"/>
            <w:left w:w="0" w:type="dxa"/>
            <w:bottom w:w="0" w:type="dxa"/>
            <w:right w:w="0" w:type="dxa"/>
          </w:tblCellMar>
        </w:tblPrEx>
        <w:trPr>
          <w:trHeight w:val="1622"/>
        </w:trPr>
        <w:tc>
          <w:tcPr>
            <w:tcW w:w="460"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1947" w:type="dxa"/>
            <w:gridSpan w:val="3"/>
            <w:tcBorders>
              <w:top w:val="single" w:sz="4" w:space="0" w:color="000000"/>
              <w:left w:val="nil"/>
              <w:bottom w:val="single" w:sz="24" w:space="0" w:color="000000"/>
              <w:right w:val="single" w:sz="4" w:space="0" w:color="000000"/>
            </w:tcBorders>
          </w:tcPr>
          <w:p>
            <w:pPr>
              <w:pStyle w:val="TableParagraph"/>
              <w:rPr>
                <w:b/>
                <w:sz w:val="20"/>
              </w:rPr>
            </w:pPr>
          </w:p>
          <w:p>
            <w:pPr>
              <w:pStyle w:val="TableParagraph"/>
              <w:rPr>
                <w:b/>
                <w:sz w:val="20"/>
              </w:rPr>
            </w:pPr>
          </w:p>
          <w:p>
            <w:pPr>
              <w:pStyle w:val="TableParagraph"/>
              <w:spacing w:before="163"/>
              <w:ind w:left="117"/>
              <w:rPr>
                <w:sz w:val="21"/>
              </w:rPr>
            </w:pPr>
            <w:r>
              <w:rPr>
                <w:sz w:val="21"/>
              </w:rPr>
              <w:t>土建部分</w:t>
            </w:r>
          </w:p>
        </w:tc>
        <w:tc>
          <w:tcPr>
            <w:tcW w:w="6816" w:type="dxa"/>
            <w:gridSpan w:val="3"/>
            <w:tcBorders>
              <w:top w:val="single" w:sz="4" w:space="0" w:color="000000"/>
              <w:left w:val="single" w:sz="4" w:space="0" w:color="000000"/>
              <w:bottom w:val="single" w:sz="24" w:space="0" w:color="000000"/>
              <w:right w:val="single" w:sz="4" w:space="0" w:color="000000"/>
            </w:tcBorders>
          </w:tcPr>
          <w:p>
            <w:pPr>
              <w:pStyle w:val="TableParagraph"/>
              <w:spacing w:line="242" w:lineRule="auto"/>
              <w:ind w:left="112" w:right="91"/>
              <w:jc w:val="both"/>
              <w:rPr>
                <w:sz w:val="21"/>
              </w:rPr>
            </w:pPr>
            <w:r>
              <w:rPr>
                <w:spacing w:val="-3"/>
                <w:sz w:val="21"/>
              </w:rPr>
              <w:t xml:space="preserve">本项目新建电缆沟长度为 </w:t>
            </w:r>
            <w:r>
              <w:rPr>
                <w:rFonts w:ascii="Times New Roman" w:eastAsia="Times New Roman"/>
                <w:sz w:val="21"/>
              </w:rPr>
              <w:t>0.03km</w:t>
            </w:r>
            <w:r>
              <w:rPr>
                <w:sz w:val="21"/>
              </w:rPr>
              <w:t>，其余利用琴韵站进站电缆隧道、横琴</w:t>
            </w:r>
            <w:r>
              <w:rPr>
                <w:w w:val="95"/>
                <w:sz w:val="21"/>
              </w:rPr>
              <w:t>粤澳深度合作区环岛北路电缆隧道</w:t>
            </w:r>
            <w:r>
              <w:rPr>
                <w:spacing w:val="4"/>
                <w:w w:val="95"/>
                <w:sz w:val="21"/>
              </w:rPr>
              <w:t>（</w:t>
            </w:r>
            <w:r>
              <w:rPr>
                <w:spacing w:val="2"/>
                <w:w w:val="95"/>
                <w:sz w:val="21"/>
              </w:rPr>
              <w:t>综合管廊</w:t>
            </w:r>
            <w:r>
              <w:rPr>
                <w:spacing w:val="4"/>
                <w:w w:val="95"/>
                <w:sz w:val="21"/>
              </w:rPr>
              <w:t>）</w:t>
            </w:r>
            <w:r>
              <w:rPr>
                <w:w w:val="95"/>
                <w:sz w:val="21"/>
              </w:rPr>
              <w:t xml:space="preserve">、横琴隧道电力舱、宝  琴路电缆隧道走线。琴韵站进站电缆隧道、横琴粤澳深度合作区环岛北  </w:t>
            </w:r>
            <w:r>
              <w:rPr>
                <w:spacing w:val="2"/>
                <w:w w:val="95"/>
                <w:sz w:val="21"/>
              </w:rPr>
              <w:t>路电缆隧道</w:t>
            </w:r>
            <w:r>
              <w:rPr>
                <w:w w:val="95"/>
                <w:sz w:val="21"/>
              </w:rPr>
              <w:t>（</w:t>
            </w:r>
            <w:r>
              <w:rPr>
                <w:spacing w:val="3"/>
                <w:w w:val="95"/>
                <w:sz w:val="21"/>
              </w:rPr>
              <w:t>综合管廊</w:t>
            </w:r>
            <w:r>
              <w:rPr>
                <w:spacing w:val="4"/>
                <w:w w:val="95"/>
                <w:sz w:val="21"/>
              </w:rPr>
              <w:t>）</w:t>
            </w:r>
            <w:r>
              <w:rPr>
                <w:w w:val="95"/>
                <w:sz w:val="21"/>
              </w:rPr>
              <w:t>、横琴隧道电力舱、宝琴路电缆隧道目前均已  建设好，本项目只需在上述通道铺设电缆，无需进行土建工程。部分已</w:t>
            </w:r>
          </w:p>
          <w:p>
            <w:pPr>
              <w:pStyle w:val="TableParagraph"/>
              <w:spacing w:line="246" w:lineRule="exact"/>
              <w:ind w:left="112"/>
              <w:jc w:val="both"/>
              <w:rPr>
                <w:sz w:val="21"/>
              </w:rPr>
            </w:pPr>
            <w:r>
              <w:rPr>
                <w:sz w:val="21"/>
              </w:rPr>
              <w:t xml:space="preserve">建成电缆通道见图 </w:t>
            </w:r>
            <w:r>
              <w:rPr>
                <w:rFonts w:ascii="Times New Roman" w:eastAsia="Times New Roman"/>
                <w:sz w:val="21"/>
              </w:rPr>
              <w:t>2-1~</w:t>
            </w:r>
            <w:r>
              <w:rPr>
                <w:sz w:val="21"/>
              </w:rPr>
              <w:t xml:space="preserve">图 </w:t>
            </w:r>
            <w:r>
              <w:rPr>
                <w:rFonts w:ascii="Times New Roman" w:eastAsia="Times New Roman"/>
                <w:sz w:val="21"/>
              </w:rPr>
              <w:t>2-3</w:t>
            </w:r>
            <w:r>
              <w:rPr>
                <w:sz w:val="21"/>
              </w:rPr>
              <w:t>。</w:t>
            </w:r>
          </w:p>
        </w:tc>
        <w:tc>
          <w:tcPr>
            <w:tcW w:w="108" w:type="dxa"/>
            <w:tcBorders>
              <w:top w:val="nil"/>
              <w:left w:val="single" w:sz="4" w:space="0" w:color="000000"/>
            </w:tcBorders>
          </w:tcPr>
          <w:p>
            <w:pPr>
              <w:pStyle w:val="TableParagraph"/>
              <w:rPr>
                <w:rFonts w:ascii="Times New Roman"/>
                <w:sz w:val="22"/>
              </w:rPr>
            </w:pPr>
          </w:p>
        </w:tc>
      </w:tr>
    </w:tbl>
    <w:p>
      <w:pPr>
        <w:spacing w:after="0"/>
        <w:rPr>
          <w:rFonts w:ascii="Times New Roman"/>
        </w:rPr>
        <w:sectPr>
          <w:footerReference w:type="default" r:id="rId18"/>
          <w:pgSz w:w="11910" w:h="16840"/>
          <w:pgMar w:top="1420" w:right="901" w:bottom="1160" w:left="920" w:header="0" w:footer="963" w:gutter="0"/>
          <w:pgNumType w:start="11"/>
          <w:cols w:num="1" w:space="720"/>
        </w:sect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0"/>
        <w:gridCol w:w="8979"/>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2628"/>
        </w:trPr>
        <w:tc>
          <w:tcPr>
            <w:tcW w:w="460" w:type="dxa"/>
            <w:tcBorders>
              <w:right w:val="single" w:sz="4" w:space="0" w:color="000000"/>
            </w:tcBorders>
          </w:tcPr>
          <w:p>
            <w:pPr>
              <w:pStyle w:val="TableParagraph"/>
              <w:rPr>
                <w:rFonts w:ascii="Times New Roman"/>
                <w:sz w:val="22"/>
              </w:rPr>
            </w:pPr>
          </w:p>
        </w:tc>
        <w:tc>
          <w:tcPr>
            <w:tcW w:w="8979" w:type="dxa"/>
            <w:tcBorders>
              <w:left w:val="single" w:sz="4" w:space="0" w:color="000000"/>
            </w:tcBorders>
          </w:tcPr>
          <w:p>
            <w:pPr>
              <w:pStyle w:val="TableParagraph"/>
              <w:ind w:left="113"/>
              <w:rPr>
                <w:sz w:val="20"/>
              </w:rPr>
            </w:pPr>
            <w:r>
              <w:rPr>
                <w:sz w:val="20"/>
              </w:rPr>
              <w:drawing>
                <wp:inline distT="0" distB="0" distL="0" distR="0">
                  <wp:extent cx="5247640" cy="3662680"/>
                  <wp:effectExtent l="0" t="0" r="0" b="0"/>
                  <wp:docPr id="1"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5.jpeg"/>
                          <pic:cNvPicPr>
                            <a:picLocks noChangeAspect="1"/>
                          </pic:cNvPicPr>
                        </pic:nvPicPr>
                        <pic:blipFill>
                          <a:blip xmlns:r="http://schemas.openxmlformats.org/officeDocument/2006/relationships" r:embed="rId19" cstate="print"/>
                          <a:stretch>
                            <a:fillRect/>
                          </a:stretch>
                        </pic:blipFill>
                        <pic:spPr>
                          <a:xfrm>
                            <a:off x="0" y="0"/>
                            <a:ext cx="5247694" cy="3662934"/>
                          </a:xfrm>
                          <a:prstGeom prst="rect">
                            <a:avLst/>
                          </a:prstGeom>
                        </pic:spPr>
                      </pic:pic>
                    </a:graphicData>
                  </a:graphic>
                </wp:inline>
              </w:drawing>
            </w:r>
          </w:p>
          <w:p>
            <w:pPr>
              <w:pStyle w:val="TableParagraph"/>
              <w:spacing w:before="90"/>
              <w:ind w:left="3023" w:right="3001"/>
              <w:jc w:val="center"/>
              <w:rPr>
                <w:sz w:val="24"/>
              </w:rPr>
            </w:pPr>
            <w:bookmarkStart w:id="4" w:name="图2-1环岛北路综合管廊"/>
            <w:bookmarkEnd w:id="4"/>
            <w:r>
              <w:rPr>
                <w:sz w:val="24"/>
              </w:rPr>
              <w:t xml:space="preserve">图 </w:t>
            </w:r>
            <w:r>
              <w:rPr>
                <w:rFonts w:ascii="Times New Roman" w:eastAsia="Times New Roman"/>
                <w:sz w:val="24"/>
              </w:rPr>
              <w:t xml:space="preserve">2-1 </w:t>
            </w:r>
            <w:r>
              <w:rPr>
                <w:sz w:val="24"/>
              </w:rPr>
              <w:t>环岛北路综合管廊</w:t>
            </w:r>
          </w:p>
          <w:p>
            <w:pPr>
              <w:pStyle w:val="TableParagraph"/>
              <w:spacing w:before="3"/>
              <w:rPr>
                <w:b/>
                <w:sz w:val="12"/>
              </w:rPr>
            </w:pPr>
          </w:p>
          <w:p>
            <w:pPr>
              <w:pStyle w:val="TableParagraph"/>
              <w:ind w:left="113"/>
              <w:rPr>
                <w:sz w:val="20"/>
              </w:rPr>
            </w:pPr>
            <w:r>
              <w:rPr>
                <w:sz w:val="20"/>
              </w:rPr>
              <w:drawing>
                <wp:inline distT="0" distB="0" distL="0" distR="0">
                  <wp:extent cx="5257165" cy="3646170"/>
                  <wp:effectExtent l="0" t="0" r="0" b="0"/>
                  <wp:docPr id="3"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6.jpeg"/>
                          <pic:cNvPicPr>
                            <a:picLocks noChangeAspect="1"/>
                          </pic:cNvPicPr>
                        </pic:nvPicPr>
                        <pic:blipFill>
                          <a:blip xmlns:r="http://schemas.openxmlformats.org/officeDocument/2006/relationships" r:embed="rId20" cstate="print"/>
                          <a:stretch>
                            <a:fillRect/>
                          </a:stretch>
                        </pic:blipFill>
                        <pic:spPr>
                          <a:xfrm>
                            <a:off x="0" y="0"/>
                            <a:ext cx="5257304" cy="3646170"/>
                          </a:xfrm>
                          <a:prstGeom prst="rect">
                            <a:avLst/>
                          </a:prstGeom>
                        </pic:spPr>
                      </pic:pic>
                    </a:graphicData>
                  </a:graphic>
                </wp:inline>
              </w:drawing>
            </w:r>
          </w:p>
          <w:p>
            <w:pPr>
              <w:pStyle w:val="TableParagraph"/>
              <w:spacing w:before="98"/>
              <w:ind w:left="3023" w:right="3001"/>
              <w:jc w:val="center"/>
              <w:rPr>
                <w:sz w:val="24"/>
              </w:rPr>
            </w:pPr>
            <w:bookmarkStart w:id="5" w:name="图2-2横琴隧道电力舱现状"/>
            <w:bookmarkEnd w:id="5"/>
            <w:r>
              <w:rPr>
                <w:sz w:val="24"/>
              </w:rPr>
              <w:t xml:space="preserve">图 </w:t>
            </w:r>
            <w:r>
              <w:rPr>
                <w:rFonts w:ascii="Times New Roman" w:eastAsia="Times New Roman"/>
                <w:sz w:val="24"/>
              </w:rPr>
              <w:t xml:space="preserve">2-2 </w:t>
            </w:r>
            <w:r>
              <w:rPr>
                <w:sz w:val="24"/>
              </w:rPr>
              <w:t>横琴隧道电力舱现状</w:t>
            </w:r>
          </w:p>
        </w:tc>
      </w:tr>
    </w:tbl>
    <w:p>
      <w:pPr>
        <w:spacing w:after="0"/>
        <w:jc w:val="center"/>
        <w:rPr>
          <w:sz w:val="24"/>
        </w:rPr>
        <w:sectPr>
          <w:footerReference w:type="default" r:id="rId21"/>
          <w:pgSz w:w="11910" w:h="16840"/>
          <w:pgMar w:top="1420" w:right="901" w:bottom="1160" w:left="920" w:header="0" w:footer="963" w:gutter="0"/>
          <w:pgNumType w:start="12"/>
          <w:cols w:num="1" w:space="72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2"/>
        <w:rPr>
          <w:b/>
          <w:sz w:val="27"/>
        </w:rPr>
      </w:pPr>
    </w:p>
    <w:p>
      <w:pPr>
        <w:pStyle w:val="BodyText"/>
        <w:spacing w:before="74"/>
        <w:ind w:left="921" w:right="483"/>
        <w:jc w:val="center"/>
      </w:pPr>
      <w:bookmarkStart w:id="6" w:name="图2-3 琴韵站出线电缆隧道现状"/>
      <w:bookmarkEnd w:id="6"/>
      <w:r>
        <w:t xml:space="preserve">图 </w:t>
      </w:r>
      <w:r>
        <w:rPr>
          <w:rFonts w:ascii="Times New Roman" w:eastAsia="Times New Roman"/>
        </w:rPr>
        <w:t xml:space="preserve">2-3  </w:t>
      </w:r>
      <w:r>
        <w:t>琴韵站出线电缆隧道现状</w:t>
      </w:r>
    </w:p>
    <w:p>
      <w:pPr>
        <w:pStyle w:val="Heading3"/>
        <w:numPr>
          <w:ilvl w:val="2"/>
          <w:numId w:val="6"/>
        </w:numPr>
        <w:tabs>
          <w:tab w:val="left" w:pos="1483"/>
        </w:tabs>
        <w:spacing w:before="160" w:after="0" w:line="240" w:lineRule="auto"/>
        <w:ind w:left="1482" w:right="0" w:hanging="601"/>
        <w:jc w:val="left"/>
      </w:pPr>
      <w:r>
        <w:t>电缆终端塔</w:t>
      </w:r>
    </w:p>
    <w:p>
      <w:pPr>
        <w:pStyle w:val="ListParagraph"/>
        <w:numPr>
          <w:ilvl w:val="3"/>
          <w:numId w:val="6"/>
        </w:numPr>
        <w:tabs>
          <w:tab w:val="left" w:pos="1964"/>
        </w:tabs>
        <w:spacing w:before="161" w:after="0" w:line="240" w:lineRule="auto"/>
        <w:ind w:left="1963" w:right="0" w:hanging="602"/>
        <w:jc w:val="left"/>
        <w:rPr>
          <w:sz w:val="24"/>
        </w:rPr>
      </w:pPr>
      <w:r>
        <w:rPr>
          <w:sz w:val="24"/>
        </w:rPr>
        <w:t>杆塔选型</w:t>
      </w:r>
    </w:p>
    <w:p>
      <w:pPr>
        <w:pStyle w:val="BodyText"/>
        <w:spacing w:before="158" w:line="364" w:lineRule="auto"/>
        <w:ind w:left="882" w:right="439" w:firstLine="480"/>
      </w:pPr>
      <w:r>
        <w:rPr>
          <w:spacing w:val="-10"/>
        </w:rPr>
        <w:t xml:space="preserve">本项目新建 </w:t>
      </w:r>
      <w:r>
        <w:rPr>
          <w:rFonts w:ascii="Times New Roman" w:eastAsia="Times New Roman"/>
        </w:rPr>
        <w:t xml:space="preserve">1 </w:t>
      </w:r>
      <w:r>
        <w:rPr>
          <w:spacing w:val="-30"/>
        </w:rPr>
        <w:t xml:space="preserve">基 </w:t>
      </w:r>
      <w:r>
        <w:rPr>
          <w:rFonts w:ascii="Times New Roman" w:eastAsia="Times New Roman"/>
        </w:rPr>
        <w:t xml:space="preserve">220kV </w:t>
      </w:r>
      <w:r>
        <w:rPr>
          <w:spacing w:val="-6"/>
        </w:rPr>
        <w:t xml:space="preserve">双回路电缆终端塔，塔型为 </w:t>
      </w:r>
      <w:r>
        <w:rPr>
          <w:rFonts w:ascii="Times New Roman" w:eastAsia="Times New Roman"/>
          <w:spacing w:val="-3"/>
        </w:rPr>
        <w:t>2F2Wa-JDG</w:t>
      </w:r>
      <w:r>
        <w:rPr>
          <w:spacing w:val="-17"/>
        </w:rPr>
        <w:t xml:space="preserve">，呼高 </w:t>
      </w:r>
      <w:r>
        <w:rPr>
          <w:rFonts w:ascii="Times New Roman" w:eastAsia="Times New Roman"/>
        </w:rPr>
        <w:t>27m</w:t>
      </w:r>
      <w:r>
        <w:rPr>
          <w:spacing w:val="-7"/>
        </w:rPr>
        <w:t>，杆</w:t>
      </w:r>
      <w:r>
        <w:rPr>
          <w:spacing w:val="-10"/>
        </w:rPr>
        <w:t xml:space="preserve">塔图见附图 </w:t>
      </w:r>
      <w:r>
        <w:rPr>
          <w:rFonts w:ascii="Times New Roman" w:eastAsia="Times New Roman"/>
        </w:rPr>
        <w:t>3</w:t>
      </w:r>
      <w:r>
        <w:t>。</w:t>
      </w:r>
    </w:p>
    <w:p>
      <w:pPr>
        <w:pStyle w:val="ListParagraph"/>
        <w:numPr>
          <w:ilvl w:val="3"/>
          <w:numId w:val="6"/>
        </w:numPr>
        <w:tabs>
          <w:tab w:val="left" w:pos="1964"/>
        </w:tabs>
        <w:spacing w:before="0" w:after="0" w:line="306" w:lineRule="exact"/>
        <w:ind w:left="1963" w:right="0" w:hanging="602"/>
        <w:jc w:val="left"/>
        <w:rPr>
          <w:sz w:val="24"/>
        </w:rPr>
      </w:pPr>
      <w:r>
        <w:rPr>
          <w:sz w:val="24"/>
        </w:rPr>
        <w:t>基础选型</w:t>
      </w:r>
    </w:p>
    <w:p>
      <w:pPr>
        <w:pStyle w:val="BodyText"/>
        <w:spacing w:before="160"/>
        <w:ind w:left="1362"/>
      </w:pPr>
      <w:r>
        <w:t xml:space="preserve">根据可研报告，本工程推荐使用四桩承台灌注桩基础，具体详见附图 </w:t>
      </w:r>
      <w:r>
        <w:rPr>
          <w:rFonts w:ascii="Times New Roman" w:eastAsia="Times New Roman"/>
        </w:rPr>
        <w:t>3</w:t>
      </w:r>
      <w:r>
        <w:t>。</w:t>
      </w:r>
    </w:p>
    <w:p>
      <w:pPr>
        <w:pStyle w:val="ListParagraph"/>
        <w:numPr>
          <w:ilvl w:val="3"/>
          <w:numId w:val="6"/>
        </w:numPr>
        <w:tabs>
          <w:tab w:val="left" w:pos="1964"/>
        </w:tabs>
        <w:spacing w:before="161" w:after="0" w:line="240" w:lineRule="auto"/>
        <w:ind w:left="1963" w:right="0" w:hanging="602"/>
        <w:jc w:val="left"/>
        <w:rPr>
          <w:sz w:val="24"/>
        </w:rPr>
      </w:pPr>
      <w:r>
        <w:rPr>
          <w:sz w:val="24"/>
        </w:rPr>
        <w:t>导线对地距离</w:t>
      </w:r>
    </w:p>
    <w:p>
      <w:pPr>
        <w:pStyle w:val="BodyText"/>
        <w:spacing w:before="158" w:line="362" w:lineRule="auto"/>
        <w:ind w:left="882" w:right="439" w:firstLine="480"/>
      </w:pPr>
      <w:r>
        <w:t>加琴甲线</w:t>
      </w:r>
      <w:r>
        <w:rPr>
          <w:rFonts w:ascii="Times New Roman" w:eastAsia="Times New Roman"/>
        </w:rPr>
        <w:t xml:space="preserve">#36 </w:t>
      </w:r>
      <w:r>
        <w:rPr>
          <w:spacing w:val="-5"/>
        </w:rPr>
        <w:t xml:space="preserve">塔小号侧新建电缆终端塔 </w:t>
      </w:r>
      <w:r>
        <w:rPr>
          <w:rFonts w:ascii="Times New Roman" w:eastAsia="Times New Roman"/>
        </w:rPr>
        <w:t xml:space="preserve">1 </w:t>
      </w:r>
      <w:r>
        <w:rPr>
          <w:spacing w:val="-36"/>
        </w:rPr>
        <w:t xml:space="preserve">基，现状 </w:t>
      </w:r>
      <w:r>
        <w:rPr>
          <w:rFonts w:ascii="Times New Roman" w:eastAsia="Times New Roman"/>
        </w:rPr>
        <w:t xml:space="preserve">220kV </w:t>
      </w:r>
      <w:r>
        <w:rPr>
          <w:spacing w:val="-2"/>
        </w:rPr>
        <w:t>加琴甲乙线利用旧导线</w:t>
      </w:r>
      <w:r>
        <w:rPr>
          <w:spacing w:val="8"/>
        </w:rPr>
        <w:t>与新建电缆终端塔接续， 需要调整</w:t>
      </w:r>
      <w:r>
        <w:rPr>
          <w:rFonts w:ascii="Times New Roman" w:eastAsia="Times New Roman"/>
        </w:rPr>
        <w:t xml:space="preserve">#35 </w:t>
      </w:r>
      <w:r>
        <w:rPr>
          <w:spacing w:val="17"/>
        </w:rPr>
        <w:t>塔至新建电缆终端塔段导线弧垂。按照</w:t>
      </w:r>
    </w:p>
    <w:p>
      <w:pPr>
        <w:pStyle w:val="BodyText"/>
        <w:spacing w:before="5" w:line="362" w:lineRule="auto"/>
        <w:ind w:left="882" w:right="439"/>
      </w:pPr>
      <w:r>
        <w:t>《</w:t>
      </w:r>
      <w:r>
        <w:rPr>
          <w:rFonts w:ascii="Times New Roman" w:eastAsia="Times New Roman"/>
        </w:rPr>
        <w:t xml:space="preserve">110kV~750kV </w:t>
      </w:r>
      <w:r>
        <w:t>架空输电线路设计规范》（</w:t>
      </w:r>
      <w:r>
        <w:rPr>
          <w:rFonts w:ascii="Times New Roman" w:eastAsia="Times New Roman"/>
        </w:rPr>
        <w:t>GB50545-2010</w:t>
      </w:r>
      <w:r>
        <w:t xml:space="preserve">），规定的导线对地最小允许距离取值见表 </w:t>
      </w:r>
      <w:r>
        <w:rPr>
          <w:rFonts w:ascii="Times New Roman" w:eastAsia="Times New Roman"/>
        </w:rPr>
        <w:t>2.3-4</w:t>
      </w:r>
      <w:r>
        <w:t>。</w:t>
      </w:r>
    </w:p>
    <w:p>
      <w:pPr>
        <w:pStyle w:val="Heading3"/>
        <w:spacing w:before="5"/>
        <w:ind w:left="3025" w:firstLine="0"/>
      </w:pPr>
      <w:r>
        <w:t xml:space="preserve">表 </w:t>
      </w:r>
      <w:r>
        <w:rPr>
          <w:rFonts w:ascii="Times New Roman" w:eastAsia="Times New Roman"/>
        </w:rPr>
        <w:t xml:space="preserve">2.3-4 </w:t>
      </w:r>
      <w:r>
        <w:t>不同地区的导线对地最小允许距离</w:t>
      </w:r>
    </w:p>
    <w:p>
      <w:pPr>
        <w:spacing w:before="46" w:line="182" w:lineRule="exact"/>
        <w:ind w:left="5500" w:right="0" w:firstLine="0"/>
        <w:jc w:val="left"/>
        <w:rPr>
          <w:b/>
          <w:sz w:val="21"/>
        </w:rPr>
      </w:pPr>
      <w:r>
        <w:rPr>
          <w:b/>
          <w:sz w:val="21"/>
        </w:rPr>
        <w:t>最小距离（</w:t>
      </w:r>
      <w:r>
        <w:rPr>
          <w:rFonts w:ascii="Times New Roman" w:eastAsia="Times New Roman"/>
          <w:b/>
          <w:sz w:val="21"/>
        </w:rPr>
        <w:t>m</w:t>
      </w:r>
      <w:r>
        <w:rPr>
          <w:b/>
          <w:sz w:val="21"/>
        </w:rPr>
        <w:t>）</w:t>
      </w:r>
    </w:p>
    <w:p>
      <w:pPr>
        <w:spacing w:after="0" w:line="182" w:lineRule="exact"/>
        <w:jc w:val="left"/>
        <w:rPr>
          <w:sz w:val="21"/>
        </w:rPr>
        <w:sectPr>
          <w:footerReference w:type="default" r:id="rId22"/>
          <w:pgSz w:w="11910" w:h="16840"/>
          <w:pgMar w:top="1420" w:right="901" w:bottom="1240" w:left="920" w:header="0" w:footer="963" w:gutter="0"/>
          <w:pgNumType w:start="13"/>
          <w:cols w:num="1" w:space="720"/>
        </w:sectPr>
      </w:pPr>
    </w:p>
    <w:p>
      <w:pPr>
        <w:spacing w:before="0" w:line="239" w:lineRule="exact"/>
        <w:ind w:left="2322" w:right="0" w:firstLine="0"/>
        <w:jc w:val="center"/>
        <w:rPr>
          <w:b/>
          <w:sz w:val="21"/>
        </w:rPr>
      </w:pPr>
      <w:r>
        <w:rPr>
          <w:b/>
          <w:spacing w:val="-4"/>
          <w:sz w:val="21"/>
        </w:rPr>
        <w:t>线路经过地区</w:t>
      </w:r>
    </w:p>
    <w:p>
      <w:pPr>
        <w:pStyle w:val="BodyText"/>
        <w:spacing w:before="3"/>
        <w:rPr>
          <w:b/>
          <w:sz w:val="22"/>
        </w:rPr>
      </w:pPr>
    </w:p>
    <w:p>
      <w:pPr>
        <w:spacing w:before="0"/>
        <w:ind w:left="2322" w:right="0" w:firstLine="0"/>
        <w:jc w:val="center"/>
        <w:rPr>
          <w:sz w:val="21"/>
        </w:rPr>
      </w:pPr>
      <w:r>
        <w:rPr>
          <w:sz w:val="21"/>
        </w:rPr>
        <w:t>居民区</w:t>
      </w:r>
    </w:p>
    <w:p>
      <w:pPr>
        <w:spacing w:before="128"/>
        <w:ind w:left="2067" w:right="0" w:firstLine="0"/>
        <w:jc w:val="center"/>
        <w:rPr>
          <w:b/>
          <w:sz w:val="21"/>
        </w:rPr>
      </w:pPr>
      <w:r>
        <w:br w:type="column"/>
      </w:r>
      <w:r>
        <w:rPr>
          <w:rFonts w:ascii="Times New Roman" w:eastAsia="Times New Roman"/>
          <w:b/>
          <w:sz w:val="21"/>
        </w:rPr>
        <w:t xml:space="preserve">220kV </w:t>
      </w:r>
      <w:r>
        <w:rPr>
          <w:b/>
          <w:spacing w:val="-9"/>
          <w:sz w:val="21"/>
        </w:rPr>
        <w:t>线路</w:t>
      </w:r>
    </w:p>
    <w:p>
      <w:pPr>
        <w:spacing w:before="141"/>
        <w:ind w:left="2065" w:right="0" w:firstLine="0"/>
        <w:jc w:val="center"/>
        <w:rPr>
          <w:rFonts w:ascii="Times New Roman"/>
          <w:sz w:val="21"/>
        </w:rPr>
      </w:pPr>
      <w:r>
        <w:rPr>
          <w:rFonts w:ascii="Times New Roman"/>
          <w:sz w:val="21"/>
        </w:rPr>
        <w:t>7.5</w:t>
      </w:r>
    </w:p>
    <w:p>
      <w:pPr>
        <w:spacing w:before="0" w:line="239" w:lineRule="exact"/>
        <w:ind w:left="1322" w:right="1137" w:firstLine="0"/>
        <w:jc w:val="center"/>
        <w:rPr>
          <w:b/>
          <w:sz w:val="21"/>
        </w:rPr>
      </w:pPr>
      <w:r>
        <w:br w:type="column"/>
      </w:r>
      <w:r>
        <w:rPr>
          <w:b/>
          <w:w w:val="95"/>
          <w:sz w:val="21"/>
        </w:rPr>
        <w:t>计算条件</w:t>
      </w:r>
    </w:p>
    <w:p>
      <w:pPr>
        <w:pStyle w:val="BodyText"/>
        <w:spacing w:before="3"/>
        <w:rPr>
          <w:b/>
          <w:sz w:val="22"/>
        </w:rPr>
      </w:pPr>
    </w:p>
    <w:p>
      <w:pPr>
        <w:spacing w:before="0"/>
        <w:ind w:left="1318" w:right="1137" w:firstLine="0"/>
        <w:jc w:val="center"/>
        <w:rPr>
          <w:sz w:val="21"/>
        </w:rPr>
      </w:pPr>
      <w:r>
        <w:rPr>
          <w:w w:val="95"/>
          <w:sz w:val="21"/>
        </w:rPr>
        <w:t>最大弧垂</w:t>
      </w:r>
    </w:p>
    <w:p>
      <w:pPr>
        <w:spacing w:after="0"/>
        <w:jc w:val="center"/>
        <w:rPr>
          <w:sz w:val="21"/>
        </w:rPr>
        <w:sectPr>
          <w:footerReference w:type="default" r:id="rId23"/>
          <w:type w:val="continuous"/>
          <w:pgSz w:w="11910" w:h="16840"/>
          <w:pgMar w:top="1580" w:right="901" w:bottom="280" w:left="920" w:header="720" w:footer="720" w:gutter="0"/>
          <w:pgNumType w:start="14"/>
          <w:cols w:num="3" w:space="708" w:equalWidth="0">
            <w:col w:w="3585" w:space="40"/>
            <w:col w:w="3124" w:space="39"/>
            <w:col w:w="3301" w:space="0"/>
          </w:cols>
        </w:sectPr>
      </w:pPr>
    </w:p>
    <w:p>
      <w:pPr>
        <w:pStyle w:val="BodyText"/>
        <w:spacing w:before="3"/>
        <w:rPr>
          <w:sz w:val="11"/>
        </w:rPr>
      </w:pPr>
    </w:p>
    <w:p>
      <w:pPr>
        <w:spacing w:after="0"/>
        <w:rPr>
          <w:sz w:val="11"/>
        </w:rPr>
        <w:sectPr>
          <w:footerReference w:type="default" r:id="rId24"/>
          <w:type w:val="continuous"/>
          <w:pgSz w:w="11910" w:h="16840"/>
          <w:pgMar w:top="1580" w:right="901" w:bottom="280" w:left="920" w:header="720" w:footer="720" w:gutter="0"/>
          <w:pgNumType w:start="15"/>
          <w:cols w:num="1" w:space="720"/>
        </w:sectPr>
      </w:pPr>
    </w:p>
    <w:p>
      <w:pPr>
        <w:spacing w:before="77"/>
        <w:ind w:left="0" w:right="38" w:firstLine="0"/>
        <w:jc w:val="right"/>
        <w:rPr>
          <w:sz w:val="21"/>
        </w:rPr>
      </w:pPr>
      <w:r>
        <w:pict>
          <v:group id="_x0000_s1195" o:spid="_x0000_s1054" style="width:472.95pt;height:693.7pt;margin-top:70.9pt;margin-left:61.2pt;mso-height-relative:page;mso-position-horizontal-relative:page;mso-position-vertical-relative:page;mso-width-relative:page;position:absolute;z-index:-251651072" coordorigin="1224,1418" coordsize="9459,13874">
            <v:shape id="_x0000_s1196" o:spid="_x0000_s1055" type="#_x0000_t75" style="width:8199;height:6152;left:1802;position:absolute;top:1428" coordsize="21600,21600" filled="f" stroked="f">
              <v:imagedata r:id="rId25" o:title=""/>
              <o:lock v:ext="edit" aspectratio="t"/>
            </v:shape>
            <v:line id="_x0000_s1197" o:spid="_x0000_s1056" style="position:absolute" from="1224,1428" to="10683,1428" coordsize="21600,21600" stroked="t" strokecolor="black"/>
            <v:shape id="_x0000_s1198" o:spid="_x0000_s1057" style="width:8585;height:610;left:1891;position:absolute;top:13687" coordorigin="1891,13687" coordsize="8585,610" path="m5852,13687l1891,13687,1891,14296,5852,14296,5852,13687m8422,14004l5861,14004,5861,14296,8422,14296,8422,14004m8422,13687l5861,13687,5861,13994,8422,13994,8422,13687m10476,13687l8431,13687,8431,14296,10476,14296,10476,13687e" filled="t" fillcolor="#f1f1f1" stroked="f">
              <v:path arrowok="t"/>
            </v:shape>
            <v:line id="_x0000_s1199" o:spid="_x0000_s1058" style="position:absolute" from="1893,13674" to="10473,13674" coordsize="21600,21600" stroked="t" strokecolor="black"/>
            <v:shape id="_x0000_s1200" o:spid="_x0000_s1059" style="width:8580;height:1584;left:1893;position:absolute;top:1568" coordorigin="1893,1568" coordsize="8580,1584" path="m5849,13999l8433,13999m1893,14301l10473,14301m1893,14791l10473,14791m5856,13689l5856,15272m8426,13689l8426,15272e" filled="f" stroked="t" strokecolor="black">
              <v:path arrowok="t"/>
            </v:shape>
            <v:shape id="_x0000_s1201" o:spid="_x0000_s1060" style="width:9459;height:13874;left:1224;position:absolute;top:1548" coordorigin="1224,1549" coordsize="9459,13874" path="m1224,15282l10683,15282m1234,1418l1234,15291m10673,1437l10673,15291e" filled="f" stroked="t" strokecolor="black">
              <v:path arrowok="t"/>
            </v:shape>
            <v:line id="_x0000_s1202" o:spid="_x0000_s1061" style="position:absolute" from="1694,1437" to="1694,15272" coordsize="21600,21600" stroked="t" strokecolor="black"/>
          </v:group>
        </w:pict>
      </w:r>
      <w:r>
        <w:rPr>
          <w:w w:val="95"/>
          <w:sz w:val="21"/>
        </w:rPr>
        <w:t>非居民区</w:t>
      </w:r>
    </w:p>
    <w:p>
      <w:pPr>
        <w:spacing w:before="91"/>
        <w:ind w:left="0" w:right="0" w:firstLine="0"/>
        <w:jc w:val="right"/>
        <w:rPr>
          <w:rFonts w:ascii="Times New Roman"/>
          <w:sz w:val="21"/>
        </w:rPr>
      </w:pPr>
      <w:r>
        <w:br w:type="column"/>
      </w:r>
      <w:r>
        <w:rPr>
          <w:rFonts w:ascii="Times New Roman"/>
          <w:w w:val="95"/>
          <w:sz w:val="21"/>
        </w:rPr>
        <w:t>6.5</w:t>
      </w:r>
    </w:p>
    <w:p>
      <w:pPr>
        <w:spacing w:before="77"/>
        <w:ind w:left="1717" w:right="0" w:firstLine="0"/>
        <w:jc w:val="left"/>
        <w:rPr>
          <w:sz w:val="21"/>
        </w:rPr>
      </w:pPr>
      <w:r>
        <w:br w:type="column"/>
      </w:r>
      <w:r>
        <w:rPr>
          <w:sz w:val="21"/>
        </w:rPr>
        <w:t>最大弧垂</w:t>
      </w:r>
    </w:p>
    <w:p>
      <w:pPr>
        <w:spacing w:after="0"/>
        <w:jc w:val="left"/>
        <w:rPr>
          <w:sz w:val="21"/>
        </w:rPr>
        <w:sectPr>
          <w:footerReference w:type="default" r:id="rId26"/>
          <w:type w:val="continuous"/>
          <w:pgSz w:w="11910" w:h="16840"/>
          <w:pgMar w:top="1580" w:right="901" w:bottom="280" w:left="920" w:header="720" w:footer="720" w:gutter="0"/>
          <w:pgNumType w:start="16"/>
          <w:cols w:num="3" w:space="708" w:equalWidth="0">
            <w:col w:w="3412" w:space="143"/>
            <w:col w:w="2797" w:space="39"/>
            <w:col w:w="3698" w:space="0"/>
          </w:cols>
        </w:sect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0"/>
        <w:gridCol w:w="199"/>
        <w:gridCol w:w="3963"/>
        <w:gridCol w:w="2570"/>
        <w:gridCol w:w="2047"/>
        <w:gridCol w:w="200"/>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70"/>
        </w:trPr>
        <w:tc>
          <w:tcPr>
            <w:tcW w:w="460" w:type="dxa"/>
            <w:vMerge w:val="restart"/>
            <w:tcBorders>
              <w:right w:val="single" w:sz="4" w:space="0" w:color="000000"/>
            </w:tcBorders>
          </w:tcPr>
          <w:p>
            <w:pPr>
              <w:pStyle w:val="TableParagraph"/>
              <w:rPr>
                <w:rFonts w:ascii="Times New Roman"/>
                <w:sz w:val="22"/>
              </w:rPr>
            </w:pPr>
          </w:p>
        </w:tc>
        <w:tc>
          <w:tcPr>
            <w:tcW w:w="199" w:type="dxa"/>
            <w:vMerge w:val="restart"/>
            <w:tcBorders>
              <w:left w:val="single" w:sz="4" w:space="0" w:color="000000"/>
              <w:bottom w:val="nil"/>
              <w:right w:val="nil"/>
            </w:tcBorders>
          </w:tcPr>
          <w:p>
            <w:pPr>
              <w:pStyle w:val="TableParagraph"/>
              <w:rPr>
                <w:rFonts w:ascii="Times New Roman"/>
                <w:sz w:val="22"/>
              </w:rPr>
            </w:pPr>
          </w:p>
        </w:tc>
        <w:tc>
          <w:tcPr>
            <w:tcW w:w="3963" w:type="dxa"/>
            <w:tcBorders>
              <w:top w:val="single" w:sz="18" w:space="0" w:color="000000"/>
              <w:left w:val="nil"/>
              <w:bottom w:val="single" w:sz="6" w:space="0" w:color="000000"/>
              <w:right w:val="single" w:sz="6" w:space="0" w:color="000000"/>
            </w:tcBorders>
          </w:tcPr>
          <w:p>
            <w:pPr>
              <w:pStyle w:val="TableParagraph"/>
              <w:spacing w:before="100"/>
              <w:ind w:left="60" w:right="38"/>
              <w:jc w:val="center"/>
              <w:rPr>
                <w:sz w:val="21"/>
              </w:rPr>
            </w:pPr>
            <w:r>
              <w:rPr>
                <w:sz w:val="21"/>
              </w:rPr>
              <w:t>导线与交通困难地区垂直距离</w:t>
            </w:r>
          </w:p>
        </w:tc>
        <w:tc>
          <w:tcPr>
            <w:tcW w:w="2570" w:type="dxa"/>
            <w:tcBorders>
              <w:top w:val="single" w:sz="18" w:space="0" w:color="000000"/>
              <w:left w:val="single" w:sz="6" w:space="0" w:color="000000"/>
              <w:bottom w:val="single" w:sz="6" w:space="0" w:color="000000"/>
              <w:right w:val="single" w:sz="6" w:space="0" w:color="000000"/>
            </w:tcBorders>
          </w:tcPr>
          <w:p>
            <w:pPr>
              <w:pStyle w:val="TableParagraph"/>
              <w:spacing w:before="114"/>
              <w:ind w:right="1136"/>
              <w:jc w:val="right"/>
              <w:rPr>
                <w:rFonts w:ascii="Times New Roman"/>
                <w:sz w:val="21"/>
              </w:rPr>
            </w:pPr>
            <w:r>
              <w:rPr>
                <w:rFonts w:ascii="Times New Roman"/>
                <w:w w:val="95"/>
                <w:sz w:val="21"/>
              </w:rPr>
              <w:t>5.5</w:t>
            </w:r>
          </w:p>
        </w:tc>
        <w:tc>
          <w:tcPr>
            <w:tcW w:w="2047" w:type="dxa"/>
            <w:tcBorders>
              <w:top w:val="single" w:sz="18" w:space="0" w:color="000000"/>
              <w:left w:val="single" w:sz="6" w:space="0" w:color="000000"/>
              <w:bottom w:val="single" w:sz="6" w:space="0" w:color="000000"/>
              <w:right w:val="nil"/>
            </w:tcBorders>
          </w:tcPr>
          <w:p>
            <w:pPr>
              <w:pStyle w:val="TableParagraph"/>
              <w:spacing w:before="100"/>
              <w:ind w:left="583" w:right="575"/>
              <w:jc w:val="center"/>
              <w:rPr>
                <w:sz w:val="21"/>
              </w:rPr>
            </w:pPr>
            <w:r>
              <w:rPr>
                <w:sz w:val="21"/>
              </w:rPr>
              <w:t>最大弧垂</w:t>
            </w:r>
          </w:p>
        </w:tc>
        <w:tc>
          <w:tcPr>
            <w:tcW w:w="200" w:type="dxa"/>
            <w:vMerge w:val="restart"/>
            <w:tcBorders>
              <w:left w:val="nil"/>
              <w:bottom w:val="nil"/>
            </w:tcBorders>
          </w:tcPr>
          <w:p>
            <w:pPr>
              <w:pStyle w:val="TableParagraph"/>
              <w:rPr>
                <w:rFonts w:ascii="Times New Roman"/>
                <w:sz w:val="22"/>
              </w:rPr>
            </w:pPr>
          </w:p>
        </w:tc>
      </w:tr>
      <w:tr>
        <w:tblPrEx>
          <w:tblW w:w="0" w:type="auto"/>
          <w:tblInd w:w="324" w:type="dxa"/>
          <w:tblLayout w:type="fixed"/>
          <w:tblCellMar>
            <w:top w:w="0" w:type="dxa"/>
            <w:left w:w="0" w:type="dxa"/>
            <w:bottom w:w="0" w:type="dxa"/>
            <w:right w:w="0" w:type="dxa"/>
          </w:tblCellMar>
        </w:tblPrEx>
        <w:trPr>
          <w:trHeight w:val="470"/>
        </w:trPr>
        <w:tc>
          <w:tcPr>
            <w:tcW w:w="460" w:type="dxa"/>
            <w:vMerge/>
            <w:tcBorders>
              <w:top w:val="nil"/>
              <w:right w:val="single" w:sz="4" w:space="0" w:color="000000"/>
            </w:tcBorders>
          </w:tcPr>
          <w:p>
            <w:pPr>
              <w:rPr>
                <w:sz w:val="2"/>
                <w:szCs w:val="2"/>
              </w:rPr>
            </w:pPr>
          </w:p>
        </w:tc>
        <w:tc>
          <w:tcPr>
            <w:tcW w:w="199" w:type="dxa"/>
            <w:vMerge/>
            <w:tcBorders>
              <w:top w:val="nil"/>
              <w:left w:val="single" w:sz="4" w:space="0" w:color="000000"/>
              <w:bottom w:val="nil"/>
              <w:right w:val="nil"/>
            </w:tcBorders>
          </w:tcPr>
          <w:p>
            <w:pPr>
              <w:rPr>
                <w:sz w:val="2"/>
                <w:szCs w:val="2"/>
              </w:rPr>
            </w:pPr>
          </w:p>
        </w:tc>
        <w:tc>
          <w:tcPr>
            <w:tcW w:w="3963" w:type="dxa"/>
            <w:tcBorders>
              <w:top w:val="single" w:sz="6" w:space="0" w:color="000000"/>
              <w:left w:val="nil"/>
              <w:bottom w:val="single" w:sz="6" w:space="0" w:color="000000"/>
              <w:right w:val="single" w:sz="6" w:space="0" w:color="000000"/>
            </w:tcBorders>
          </w:tcPr>
          <w:p>
            <w:pPr>
              <w:pStyle w:val="TableParagraph"/>
              <w:spacing w:before="99"/>
              <w:ind w:left="60" w:right="38"/>
              <w:jc w:val="center"/>
              <w:rPr>
                <w:sz w:val="21"/>
              </w:rPr>
            </w:pPr>
            <w:r>
              <w:rPr>
                <w:sz w:val="21"/>
              </w:rPr>
              <w:t>导线与步行可到地区净空距离</w:t>
            </w:r>
          </w:p>
        </w:tc>
        <w:tc>
          <w:tcPr>
            <w:tcW w:w="2570" w:type="dxa"/>
            <w:tcBorders>
              <w:top w:val="single" w:sz="6" w:space="0" w:color="000000"/>
              <w:left w:val="single" w:sz="6" w:space="0" w:color="000000"/>
              <w:bottom w:val="single" w:sz="6" w:space="0" w:color="000000"/>
              <w:right w:val="single" w:sz="6" w:space="0" w:color="000000"/>
            </w:tcBorders>
          </w:tcPr>
          <w:p>
            <w:pPr>
              <w:pStyle w:val="TableParagraph"/>
              <w:spacing w:before="113"/>
              <w:ind w:right="1136"/>
              <w:jc w:val="right"/>
              <w:rPr>
                <w:rFonts w:ascii="Times New Roman"/>
                <w:sz w:val="21"/>
              </w:rPr>
            </w:pPr>
            <w:r>
              <w:rPr>
                <w:rFonts w:ascii="Times New Roman"/>
                <w:w w:val="95"/>
                <w:sz w:val="21"/>
              </w:rPr>
              <w:t>5.5</w:t>
            </w:r>
          </w:p>
        </w:tc>
        <w:tc>
          <w:tcPr>
            <w:tcW w:w="2047" w:type="dxa"/>
            <w:tcBorders>
              <w:top w:val="single" w:sz="6" w:space="0" w:color="000000"/>
              <w:left w:val="single" w:sz="6" w:space="0" w:color="000000"/>
              <w:bottom w:val="single" w:sz="6" w:space="0" w:color="000000"/>
              <w:right w:val="nil"/>
            </w:tcBorders>
          </w:tcPr>
          <w:p>
            <w:pPr>
              <w:pStyle w:val="TableParagraph"/>
              <w:spacing w:before="99"/>
              <w:ind w:left="583" w:right="575"/>
              <w:jc w:val="center"/>
              <w:rPr>
                <w:sz w:val="21"/>
              </w:rPr>
            </w:pPr>
            <w:r>
              <w:rPr>
                <w:sz w:val="21"/>
              </w:rPr>
              <w:t>最大风偏</w:t>
            </w:r>
          </w:p>
        </w:tc>
        <w:tc>
          <w:tcPr>
            <w:tcW w:w="200" w:type="dxa"/>
            <w:vMerge/>
            <w:tcBorders>
              <w:top w:val="nil"/>
              <w:left w:val="nil"/>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470"/>
        </w:trPr>
        <w:tc>
          <w:tcPr>
            <w:tcW w:w="460" w:type="dxa"/>
            <w:vMerge/>
            <w:tcBorders>
              <w:top w:val="nil"/>
              <w:right w:val="single" w:sz="4" w:space="0" w:color="000000"/>
            </w:tcBorders>
          </w:tcPr>
          <w:p>
            <w:pPr>
              <w:rPr>
                <w:sz w:val="2"/>
                <w:szCs w:val="2"/>
              </w:rPr>
            </w:pPr>
          </w:p>
        </w:tc>
        <w:tc>
          <w:tcPr>
            <w:tcW w:w="199" w:type="dxa"/>
            <w:vMerge/>
            <w:tcBorders>
              <w:top w:val="nil"/>
              <w:left w:val="single" w:sz="4" w:space="0" w:color="000000"/>
              <w:bottom w:val="nil"/>
              <w:right w:val="nil"/>
            </w:tcBorders>
          </w:tcPr>
          <w:p>
            <w:pPr>
              <w:rPr>
                <w:sz w:val="2"/>
                <w:szCs w:val="2"/>
              </w:rPr>
            </w:pPr>
          </w:p>
        </w:tc>
        <w:tc>
          <w:tcPr>
            <w:tcW w:w="3963" w:type="dxa"/>
            <w:tcBorders>
              <w:top w:val="single" w:sz="6" w:space="0" w:color="000000"/>
              <w:left w:val="nil"/>
              <w:bottom w:val="single" w:sz="6" w:space="0" w:color="000000"/>
              <w:right w:val="single" w:sz="6" w:space="0" w:color="000000"/>
            </w:tcBorders>
          </w:tcPr>
          <w:p>
            <w:pPr>
              <w:pStyle w:val="TableParagraph"/>
              <w:spacing w:before="99"/>
              <w:ind w:left="63" w:right="38"/>
              <w:jc w:val="center"/>
              <w:rPr>
                <w:sz w:val="21"/>
              </w:rPr>
            </w:pPr>
            <w:r>
              <w:rPr>
                <w:sz w:val="21"/>
              </w:rPr>
              <w:t>导线与步行达不到地区净空距离</w:t>
            </w:r>
          </w:p>
        </w:tc>
        <w:tc>
          <w:tcPr>
            <w:tcW w:w="2570" w:type="dxa"/>
            <w:tcBorders>
              <w:top w:val="single" w:sz="6" w:space="0" w:color="000000"/>
              <w:left w:val="single" w:sz="6" w:space="0" w:color="000000"/>
              <w:bottom w:val="single" w:sz="6" w:space="0" w:color="000000"/>
              <w:right w:val="single" w:sz="6" w:space="0" w:color="000000"/>
            </w:tcBorders>
          </w:tcPr>
          <w:p>
            <w:pPr>
              <w:pStyle w:val="TableParagraph"/>
              <w:spacing w:before="112"/>
              <w:ind w:right="1136"/>
              <w:jc w:val="right"/>
              <w:rPr>
                <w:rFonts w:ascii="Times New Roman"/>
                <w:sz w:val="21"/>
              </w:rPr>
            </w:pPr>
            <w:r>
              <w:rPr>
                <w:rFonts w:ascii="Times New Roman"/>
                <w:w w:val="95"/>
                <w:sz w:val="21"/>
              </w:rPr>
              <w:t>4.0</w:t>
            </w:r>
          </w:p>
        </w:tc>
        <w:tc>
          <w:tcPr>
            <w:tcW w:w="2047" w:type="dxa"/>
            <w:tcBorders>
              <w:top w:val="single" w:sz="6" w:space="0" w:color="000000"/>
              <w:left w:val="single" w:sz="6" w:space="0" w:color="000000"/>
              <w:bottom w:val="single" w:sz="6" w:space="0" w:color="000000"/>
              <w:right w:val="nil"/>
            </w:tcBorders>
          </w:tcPr>
          <w:p>
            <w:pPr>
              <w:pStyle w:val="TableParagraph"/>
              <w:spacing w:before="99"/>
              <w:ind w:left="583" w:right="575"/>
              <w:jc w:val="center"/>
              <w:rPr>
                <w:sz w:val="21"/>
              </w:rPr>
            </w:pPr>
            <w:r>
              <w:rPr>
                <w:sz w:val="21"/>
              </w:rPr>
              <w:t>最大风偏</w:t>
            </w:r>
          </w:p>
        </w:tc>
        <w:tc>
          <w:tcPr>
            <w:tcW w:w="200" w:type="dxa"/>
            <w:vMerge/>
            <w:tcBorders>
              <w:top w:val="nil"/>
              <w:left w:val="nil"/>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470"/>
        </w:trPr>
        <w:tc>
          <w:tcPr>
            <w:tcW w:w="460" w:type="dxa"/>
            <w:vMerge/>
            <w:tcBorders>
              <w:top w:val="nil"/>
              <w:right w:val="single" w:sz="4" w:space="0" w:color="000000"/>
            </w:tcBorders>
          </w:tcPr>
          <w:p>
            <w:pPr>
              <w:rPr>
                <w:sz w:val="2"/>
                <w:szCs w:val="2"/>
              </w:rPr>
            </w:pPr>
          </w:p>
        </w:tc>
        <w:tc>
          <w:tcPr>
            <w:tcW w:w="199" w:type="dxa"/>
            <w:vMerge/>
            <w:tcBorders>
              <w:top w:val="nil"/>
              <w:left w:val="single" w:sz="4" w:space="0" w:color="000000"/>
              <w:bottom w:val="nil"/>
              <w:right w:val="nil"/>
            </w:tcBorders>
          </w:tcPr>
          <w:p>
            <w:pPr>
              <w:rPr>
                <w:sz w:val="2"/>
                <w:szCs w:val="2"/>
              </w:rPr>
            </w:pPr>
          </w:p>
        </w:tc>
        <w:tc>
          <w:tcPr>
            <w:tcW w:w="3963" w:type="dxa"/>
            <w:vMerge w:val="restart"/>
            <w:tcBorders>
              <w:top w:val="single" w:sz="6" w:space="0" w:color="000000"/>
              <w:left w:val="nil"/>
              <w:bottom w:val="single" w:sz="6" w:space="0" w:color="000000"/>
              <w:right w:val="single" w:sz="6" w:space="0" w:color="000000"/>
            </w:tcBorders>
          </w:tcPr>
          <w:p>
            <w:pPr>
              <w:pStyle w:val="TableParagraph"/>
              <w:spacing w:before="3"/>
              <w:rPr>
                <w:sz w:val="16"/>
              </w:rPr>
            </w:pPr>
          </w:p>
          <w:p>
            <w:pPr>
              <w:pStyle w:val="TableParagraph"/>
              <w:spacing w:before="1"/>
              <w:ind w:left="60" w:right="38"/>
              <w:jc w:val="center"/>
              <w:rPr>
                <w:sz w:val="21"/>
              </w:rPr>
            </w:pPr>
            <w:r>
              <w:rPr>
                <w:sz w:val="21"/>
              </w:rPr>
              <w:t>对建筑物</w:t>
            </w:r>
          </w:p>
          <w:p>
            <w:pPr>
              <w:pStyle w:val="TableParagraph"/>
              <w:spacing w:before="2"/>
              <w:ind w:left="96" w:right="38"/>
              <w:jc w:val="center"/>
              <w:rPr>
                <w:sz w:val="21"/>
              </w:rPr>
            </w:pPr>
            <w:r>
              <w:rPr>
                <w:sz w:val="21"/>
              </w:rPr>
              <w:t>（对城市多层或规划建筑物指水平距离）</w:t>
            </w:r>
          </w:p>
        </w:tc>
        <w:tc>
          <w:tcPr>
            <w:tcW w:w="2570" w:type="dxa"/>
            <w:tcBorders>
              <w:top w:val="single" w:sz="6" w:space="0" w:color="000000"/>
              <w:left w:val="single" w:sz="6" w:space="0" w:color="000000"/>
              <w:bottom w:val="single" w:sz="6" w:space="0" w:color="000000"/>
              <w:right w:val="single" w:sz="6" w:space="0" w:color="000000"/>
            </w:tcBorders>
          </w:tcPr>
          <w:p>
            <w:pPr>
              <w:pStyle w:val="TableParagraph"/>
              <w:spacing w:before="114"/>
              <w:ind w:right="1136"/>
              <w:jc w:val="right"/>
              <w:rPr>
                <w:rFonts w:ascii="Times New Roman"/>
                <w:sz w:val="21"/>
              </w:rPr>
            </w:pPr>
            <w:r>
              <w:rPr>
                <w:rFonts w:ascii="Times New Roman"/>
                <w:w w:val="95"/>
                <w:sz w:val="21"/>
              </w:rPr>
              <w:t>6.0</w:t>
            </w:r>
          </w:p>
        </w:tc>
        <w:tc>
          <w:tcPr>
            <w:tcW w:w="2047" w:type="dxa"/>
            <w:tcBorders>
              <w:top w:val="single" w:sz="6" w:space="0" w:color="000000"/>
              <w:left w:val="single" w:sz="6" w:space="0" w:color="000000"/>
              <w:bottom w:val="single" w:sz="6" w:space="0" w:color="000000"/>
              <w:right w:val="nil"/>
            </w:tcBorders>
          </w:tcPr>
          <w:p>
            <w:pPr>
              <w:pStyle w:val="TableParagraph"/>
              <w:spacing w:before="100"/>
              <w:ind w:left="583" w:right="575"/>
              <w:jc w:val="center"/>
              <w:rPr>
                <w:sz w:val="21"/>
              </w:rPr>
            </w:pPr>
            <w:r>
              <w:rPr>
                <w:sz w:val="21"/>
              </w:rPr>
              <w:t>最大弧垂</w:t>
            </w:r>
          </w:p>
        </w:tc>
        <w:tc>
          <w:tcPr>
            <w:tcW w:w="200" w:type="dxa"/>
            <w:vMerge/>
            <w:tcBorders>
              <w:top w:val="nil"/>
              <w:left w:val="nil"/>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470"/>
        </w:trPr>
        <w:tc>
          <w:tcPr>
            <w:tcW w:w="460" w:type="dxa"/>
            <w:vMerge/>
            <w:tcBorders>
              <w:top w:val="nil"/>
              <w:right w:val="single" w:sz="4" w:space="0" w:color="000000"/>
            </w:tcBorders>
          </w:tcPr>
          <w:p>
            <w:pPr>
              <w:rPr>
                <w:sz w:val="2"/>
                <w:szCs w:val="2"/>
              </w:rPr>
            </w:pPr>
          </w:p>
        </w:tc>
        <w:tc>
          <w:tcPr>
            <w:tcW w:w="199" w:type="dxa"/>
            <w:vMerge/>
            <w:tcBorders>
              <w:top w:val="nil"/>
              <w:left w:val="single" w:sz="4" w:space="0" w:color="000000"/>
              <w:bottom w:val="nil"/>
              <w:right w:val="nil"/>
            </w:tcBorders>
          </w:tcPr>
          <w:p>
            <w:pPr>
              <w:rPr>
                <w:sz w:val="2"/>
                <w:szCs w:val="2"/>
              </w:rPr>
            </w:pPr>
          </w:p>
        </w:tc>
        <w:tc>
          <w:tcPr>
            <w:tcW w:w="3963" w:type="dxa"/>
            <w:vMerge/>
            <w:tcBorders>
              <w:top w:val="nil"/>
              <w:left w:val="nil"/>
              <w:bottom w:val="single" w:sz="6" w:space="0" w:color="000000"/>
              <w:right w:val="single" w:sz="6" w:space="0" w:color="000000"/>
            </w:tcBorders>
          </w:tcPr>
          <w:p>
            <w:pPr>
              <w:rPr>
                <w:sz w:val="2"/>
                <w:szCs w:val="2"/>
              </w:rPr>
            </w:pPr>
          </w:p>
        </w:tc>
        <w:tc>
          <w:tcPr>
            <w:tcW w:w="2570" w:type="dxa"/>
            <w:tcBorders>
              <w:top w:val="single" w:sz="6" w:space="0" w:color="000000"/>
              <w:left w:val="single" w:sz="6" w:space="0" w:color="000000"/>
              <w:bottom w:val="single" w:sz="6" w:space="0" w:color="000000"/>
              <w:right w:val="single" w:sz="6" w:space="0" w:color="000000"/>
            </w:tcBorders>
          </w:tcPr>
          <w:p>
            <w:pPr>
              <w:pStyle w:val="TableParagraph"/>
              <w:spacing w:before="114"/>
              <w:ind w:right="1136"/>
              <w:jc w:val="right"/>
              <w:rPr>
                <w:rFonts w:ascii="Times New Roman"/>
                <w:sz w:val="21"/>
              </w:rPr>
            </w:pPr>
            <w:r>
              <w:rPr>
                <w:rFonts w:ascii="Times New Roman"/>
                <w:w w:val="95"/>
                <w:sz w:val="21"/>
              </w:rPr>
              <w:t>5.0</w:t>
            </w:r>
          </w:p>
        </w:tc>
        <w:tc>
          <w:tcPr>
            <w:tcW w:w="2047" w:type="dxa"/>
            <w:tcBorders>
              <w:top w:val="single" w:sz="6" w:space="0" w:color="000000"/>
              <w:left w:val="single" w:sz="6" w:space="0" w:color="000000"/>
              <w:bottom w:val="single" w:sz="6" w:space="0" w:color="000000"/>
              <w:right w:val="nil"/>
            </w:tcBorders>
          </w:tcPr>
          <w:p>
            <w:pPr>
              <w:pStyle w:val="TableParagraph"/>
              <w:spacing w:before="100"/>
              <w:ind w:left="583" w:right="575"/>
              <w:jc w:val="center"/>
              <w:rPr>
                <w:sz w:val="21"/>
              </w:rPr>
            </w:pPr>
            <w:r>
              <w:rPr>
                <w:sz w:val="21"/>
              </w:rPr>
              <w:t>最大风偏</w:t>
            </w:r>
          </w:p>
        </w:tc>
        <w:tc>
          <w:tcPr>
            <w:tcW w:w="200" w:type="dxa"/>
            <w:vMerge/>
            <w:tcBorders>
              <w:top w:val="nil"/>
              <w:left w:val="nil"/>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470"/>
        </w:trPr>
        <w:tc>
          <w:tcPr>
            <w:tcW w:w="460" w:type="dxa"/>
            <w:vMerge/>
            <w:tcBorders>
              <w:top w:val="nil"/>
              <w:right w:val="single" w:sz="4" w:space="0" w:color="000000"/>
            </w:tcBorders>
          </w:tcPr>
          <w:p>
            <w:pPr>
              <w:rPr>
                <w:sz w:val="2"/>
                <w:szCs w:val="2"/>
              </w:rPr>
            </w:pPr>
          </w:p>
        </w:tc>
        <w:tc>
          <w:tcPr>
            <w:tcW w:w="199" w:type="dxa"/>
            <w:vMerge/>
            <w:tcBorders>
              <w:top w:val="nil"/>
              <w:left w:val="single" w:sz="4" w:space="0" w:color="000000"/>
              <w:bottom w:val="nil"/>
              <w:right w:val="nil"/>
            </w:tcBorders>
          </w:tcPr>
          <w:p>
            <w:pPr>
              <w:rPr>
                <w:sz w:val="2"/>
                <w:szCs w:val="2"/>
              </w:rPr>
            </w:pPr>
          </w:p>
        </w:tc>
        <w:tc>
          <w:tcPr>
            <w:tcW w:w="3963" w:type="dxa"/>
            <w:vMerge w:val="restart"/>
            <w:tcBorders>
              <w:top w:val="single" w:sz="6" w:space="0" w:color="000000"/>
              <w:left w:val="nil"/>
              <w:bottom w:val="single" w:sz="6" w:space="0" w:color="000000"/>
              <w:right w:val="single" w:sz="6" w:space="0" w:color="000000"/>
            </w:tcBorders>
          </w:tcPr>
          <w:p>
            <w:pPr>
              <w:pStyle w:val="TableParagraph"/>
              <w:spacing w:before="11"/>
              <w:rPr>
                <w:sz w:val="26"/>
              </w:rPr>
            </w:pPr>
          </w:p>
          <w:p>
            <w:pPr>
              <w:pStyle w:val="TableParagraph"/>
              <w:ind w:left="1150"/>
              <w:rPr>
                <w:sz w:val="21"/>
              </w:rPr>
            </w:pPr>
            <w:r>
              <w:rPr>
                <w:sz w:val="21"/>
              </w:rPr>
              <w:t>对树木自然生长高</w:t>
            </w:r>
          </w:p>
        </w:tc>
        <w:tc>
          <w:tcPr>
            <w:tcW w:w="2570" w:type="dxa"/>
            <w:tcBorders>
              <w:top w:val="single" w:sz="6" w:space="0" w:color="000000"/>
              <w:left w:val="single" w:sz="6" w:space="0" w:color="000000"/>
              <w:bottom w:val="single" w:sz="6" w:space="0" w:color="000000"/>
              <w:right w:val="single" w:sz="6" w:space="0" w:color="000000"/>
            </w:tcBorders>
          </w:tcPr>
          <w:p>
            <w:pPr>
              <w:pStyle w:val="TableParagraph"/>
              <w:spacing w:before="114"/>
              <w:ind w:right="1136"/>
              <w:jc w:val="right"/>
              <w:rPr>
                <w:rFonts w:ascii="Times New Roman"/>
                <w:sz w:val="21"/>
              </w:rPr>
            </w:pPr>
            <w:r>
              <w:rPr>
                <w:rFonts w:ascii="Times New Roman"/>
                <w:w w:val="95"/>
                <w:sz w:val="21"/>
              </w:rPr>
              <w:t>4.5</w:t>
            </w:r>
          </w:p>
        </w:tc>
        <w:tc>
          <w:tcPr>
            <w:tcW w:w="2047" w:type="dxa"/>
            <w:tcBorders>
              <w:top w:val="single" w:sz="6" w:space="0" w:color="000000"/>
              <w:left w:val="single" w:sz="6" w:space="0" w:color="000000"/>
              <w:bottom w:val="single" w:sz="6" w:space="0" w:color="000000"/>
              <w:right w:val="nil"/>
            </w:tcBorders>
          </w:tcPr>
          <w:p>
            <w:pPr>
              <w:pStyle w:val="TableParagraph"/>
              <w:spacing w:before="100"/>
              <w:ind w:left="583" w:right="575"/>
              <w:jc w:val="center"/>
              <w:rPr>
                <w:sz w:val="21"/>
              </w:rPr>
            </w:pPr>
            <w:r>
              <w:rPr>
                <w:sz w:val="21"/>
              </w:rPr>
              <w:t>最大弧垂</w:t>
            </w:r>
          </w:p>
        </w:tc>
        <w:tc>
          <w:tcPr>
            <w:tcW w:w="200" w:type="dxa"/>
            <w:vMerge/>
            <w:tcBorders>
              <w:top w:val="nil"/>
              <w:left w:val="nil"/>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470"/>
        </w:trPr>
        <w:tc>
          <w:tcPr>
            <w:tcW w:w="460" w:type="dxa"/>
            <w:vMerge/>
            <w:tcBorders>
              <w:top w:val="nil"/>
              <w:right w:val="single" w:sz="4" w:space="0" w:color="000000"/>
            </w:tcBorders>
          </w:tcPr>
          <w:p>
            <w:pPr>
              <w:rPr>
                <w:sz w:val="2"/>
                <w:szCs w:val="2"/>
              </w:rPr>
            </w:pPr>
          </w:p>
        </w:tc>
        <w:tc>
          <w:tcPr>
            <w:tcW w:w="199" w:type="dxa"/>
            <w:vMerge/>
            <w:tcBorders>
              <w:top w:val="nil"/>
              <w:left w:val="single" w:sz="4" w:space="0" w:color="000000"/>
              <w:bottom w:val="nil"/>
              <w:right w:val="nil"/>
            </w:tcBorders>
          </w:tcPr>
          <w:p>
            <w:pPr>
              <w:rPr>
                <w:sz w:val="2"/>
                <w:szCs w:val="2"/>
              </w:rPr>
            </w:pPr>
          </w:p>
        </w:tc>
        <w:tc>
          <w:tcPr>
            <w:tcW w:w="3963" w:type="dxa"/>
            <w:vMerge/>
            <w:tcBorders>
              <w:top w:val="nil"/>
              <w:left w:val="nil"/>
              <w:bottom w:val="single" w:sz="6" w:space="0" w:color="000000"/>
              <w:right w:val="single" w:sz="6" w:space="0" w:color="000000"/>
            </w:tcBorders>
          </w:tcPr>
          <w:p>
            <w:pPr>
              <w:rPr>
                <w:sz w:val="2"/>
                <w:szCs w:val="2"/>
              </w:rPr>
            </w:pPr>
          </w:p>
        </w:tc>
        <w:tc>
          <w:tcPr>
            <w:tcW w:w="2570" w:type="dxa"/>
            <w:tcBorders>
              <w:top w:val="single" w:sz="6" w:space="0" w:color="000000"/>
              <w:left w:val="single" w:sz="6" w:space="0" w:color="000000"/>
              <w:bottom w:val="single" w:sz="6" w:space="0" w:color="000000"/>
              <w:right w:val="single" w:sz="6" w:space="0" w:color="000000"/>
            </w:tcBorders>
          </w:tcPr>
          <w:p>
            <w:pPr>
              <w:pStyle w:val="TableParagraph"/>
              <w:spacing w:before="113"/>
              <w:ind w:right="1136"/>
              <w:jc w:val="right"/>
              <w:rPr>
                <w:rFonts w:ascii="Times New Roman"/>
                <w:sz w:val="21"/>
              </w:rPr>
            </w:pPr>
            <w:r>
              <w:rPr>
                <w:rFonts w:ascii="Times New Roman"/>
                <w:w w:val="95"/>
                <w:sz w:val="21"/>
              </w:rPr>
              <w:t>4.0</w:t>
            </w:r>
          </w:p>
        </w:tc>
        <w:tc>
          <w:tcPr>
            <w:tcW w:w="2047" w:type="dxa"/>
            <w:tcBorders>
              <w:top w:val="single" w:sz="6" w:space="0" w:color="000000"/>
              <w:left w:val="single" w:sz="6" w:space="0" w:color="000000"/>
              <w:bottom w:val="single" w:sz="6" w:space="0" w:color="000000"/>
              <w:right w:val="nil"/>
            </w:tcBorders>
          </w:tcPr>
          <w:p>
            <w:pPr>
              <w:pStyle w:val="TableParagraph"/>
              <w:spacing w:before="99"/>
              <w:ind w:left="583" w:right="575"/>
              <w:jc w:val="center"/>
              <w:rPr>
                <w:sz w:val="21"/>
              </w:rPr>
            </w:pPr>
            <w:r>
              <w:rPr>
                <w:sz w:val="21"/>
              </w:rPr>
              <w:t>最大风偏</w:t>
            </w:r>
          </w:p>
        </w:tc>
        <w:tc>
          <w:tcPr>
            <w:tcW w:w="200" w:type="dxa"/>
            <w:vMerge/>
            <w:tcBorders>
              <w:top w:val="nil"/>
              <w:left w:val="nil"/>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502"/>
        </w:trPr>
        <w:tc>
          <w:tcPr>
            <w:tcW w:w="460" w:type="dxa"/>
            <w:vMerge/>
            <w:tcBorders>
              <w:top w:val="nil"/>
              <w:right w:val="single" w:sz="4" w:space="0" w:color="000000"/>
            </w:tcBorders>
          </w:tcPr>
          <w:p>
            <w:pPr>
              <w:rPr>
                <w:sz w:val="2"/>
                <w:szCs w:val="2"/>
              </w:rPr>
            </w:pPr>
          </w:p>
        </w:tc>
        <w:tc>
          <w:tcPr>
            <w:tcW w:w="199" w:type="dxa"/>
            <w:vMerge/>
            <w:tcBorders>
              <w:top w:val="nil"/>
              <w:left w:val="single" w:sz="4" w:space="0" w:color="000000"/>
              <w:bottom w:val="nil"/>
              <w:right w:val="nil"/>
            </w:tcBorders>
          </w:tcPr>
          <w:p>
            <w:pPr>
              <w:rPr>
                <w:sz w:val="2"/>
                <w:szCs w:val="2"/>
              </w:rPr>
            </w:pPr>
          </w:p>
        </w:tc>
        <w:tc>
          <w:tcPr>
            <w:tcW w:w="3963" w:type="dxa"/>
            <w:tcBorders>
              <w:top w:val="single" w:sz="6" w:space="0" w:color="000000"/>
              <w:left w:val="nil"/>
              <w:bottom w:val="single" w:sz="12" w:space="0" w:color="000000"/>
              <w:right w:val="single" w:sz="6" w:space="0" w:color="000000"/>
            </w:tcBorders>
          </w:tcPr>
          <w:p>
            <w:pPr>
              <w:pStyle w:val="TableParagraph"/>
              <w:spacing w:before="113"/>
              <w:ind w:left="62" w:right="38"/>
              <w:jc w:val="center"/>
              <w:rPr>
                <w:sz w:val="21"/>
              </w:rPr>
            </w:pPr>
            <w:r>
              <w:rPr>
                <w:sz w:val="21"/>
              </w:rPr>
              <w:t>对果树、经济林及城市街道行道树</w:t>
            </w:r>
          </w:p>
        </w:tc>
        <w:tc>
          <w:tcPr>
            <w:tcW w:w="2570" w:type="dxa"/>
            <w:tcBorders>
              <w:top w:val="single" w:sz="6" w:space="0" w:color="000000"/>
              <w:left w:val="single" w:sz="6" w:space="0" w:color="000000"/>
              <w:bottom w:val="single" w:sz="12" w:space="0" w:color="000000"/>
              <w:right w:val="single" w:sz="6" w:space="0" w:color="000000"/>
            </w:tcBorders>
          </w:tcPr>
          <w:p>
            <w:pPr>
              <w:pStyle w:val="TableParagraph"/>
              <w:spacing w:before="127"/>
              <w:ind w:right="1136"/>
              <w:jc w:val="right"/>
              <w:rPr>
                <w:rFonts w:ascii="Times New Roman"/>
                <w:sz w:val="21"/>
              </w:rPr>
            </w:pPr>
            <w:r>
              <w:rPr>
                <w:rFonts w:ascii="Times New Roman"/>
                <w:w w:val="95"/>
                <w:sz w:val="21"/>
              </w:rPr>
              <w:t>3.5</w:t>
            </w:r>
          </w:p>
        </w:tc>
        <w:tc>
          <w:tcPr>
            <w:tcW w:w="2047" w:type="dxa"/>
            <w:tcBorders>
              <w:top w:val="single" w:sz="6" w:space="0" w:color="000000"/>
              <w:left w:val="single" w:sz="6" w:space="0" w:color="000000"/>
              <w:bottom w:val="single" w:sz="12" w:space="0" w:color="000000"/>
              <w:right w:val="nil"/>
            </w:tcBorders>
          </w:tcPr>
          <w:p>
            <w:pPr>
              <w:pStyle w:val="TableParagraph"/>
              <w:spacing w:before="113"/>
              <w:ind w:left="583" w:right="575"/>
              <w:jc w:val="center"/>
              <w:rPr>
                <w:sz w:val="21"/>
              </w:rPr>
            </w:pPr>
            <w:r>
              <w:rPr>
                <w:sz w:val="21"/>
              </w:rPr>
              <w:t>最大弧垂</w:t>
            </w:r>
          </w:p>
        </w:tc>
        <w:tc>
          <w:tcPr>
            <w:tcW w:w="200" w:type="dxa"/>
            <w:vMerge/>
            <w:tcBorders>
              <w:top w:val="nil"/>
              <w:left w:val="nil"/>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9922"/>
        </w:trPr>
        <w:tc>
          <w:tcPr>
            <w:tcW w:w="460" w:type="dxa"/>
            <w:vMerge/>
            <w:tcBorders>
              <w:top w:val="nil"/>
              <w:right w:val="single" w:sz="4" w:space="0" w:color="000000"/>
            </w:tcBorders>
          </w:tcPr>
          <w:p>
            <w:pPr>
              <w:rPr>
                <w:sz w:val="2"/>
                <w:szCs w:val="2"/>
              </w:rPr>
            </w:pPr>
          </w:p>
        </w:tc>
        <w:tc>
          <w:tcPr>
            <w:tcW w:w="8979" w:type="dxa"/>
            <w:gridSpan w:val="5"/>
            <w:tcBorders>
              <w:top w:val="nil"/>
              <w:left w:val="single" w:sz="4" w:space="0" w:color="000000"/>
            </w:tcBorders>
          </w:tcPr>
          <w:p>
            <w:pPr>
              <w:pStyle w:val="TableParagraph"/>
              <w:spacing w:before="122" w:line="364" w:lineRule="auto"/>
              <w:ind w:left="113" w:right="86" w:firstLine="480"/>
              <w:jc w:val="both"/>
              <w:rPr>
                <w:sz w:val="24"/>
              </w:rPr>
            </w:pPr>
            <w:r>
              <w:rPr>
                <w:spacing w:val="-6"/>
                <w:sz w:val="24"/>
              </w:rPr>
              <w:t>根据可研单位提供资料，本项目</w:t>
            </w:r>
            <w:r>
              <w:rPr>
                <w:rFonts w:ascii="Times New Roman" w:eastAsia="Times New Roman"/>
                <w:sz w:val="24"/>
              </w:rPr>
              <w:t xml:space="preserve">#35 </w:t>
            </w:r>
            <w:r>
              <w:rPr>
                <w:spacing w:val="-1"/>
                <w:sz w:val="24"/>
              </w:rPr>
              <w:t>塔至新建电缆终端塔段导线弧垂导线对地最</w:t>
            </w:r>
            <w:r>
              <w:rPr>
                <w:spacing w:val="-13"/>
                <w:sz w:val="24"/>
              </w:rPr>
              <w:t xml:space="preserve">低高度约 </w:t>
            </w:r>
            <w:r>
              <w:rPr>
                <w:rFonts w:ascii="Times New Roman" w:eastAsia="Times New Roman"/>
                <w:sz w:val="24"/>
              </w:rPr>
              <w:t>24m</w:t>
            </w:r>
            <w:r>
              <w:rPr>
                <w:sz w:val="24"/>
              </w:rPr>
              <w:t>，能满足《</w:t>
            </w:r>
            <w:r>
              <w:rPr>
                <w:rFonts w:ascii="Times New Roman" w:eastAsia="Times New Roman"/>
                <w:sz w:val="24"/>
              </w:rPr>
              <w:t xml:space="preserve">110kV~750kV </w:t>
            </w:r>
            <w:r>
              <w:rPr>
                <w:sz w:val="24"/>
              </w:rPr>
              <w:t>架空输电线路设计规范》（</w:t>
            </w:r>
            <w:r>
              <w:rPr>
                <w:rFonts w:ascii="Times New Roman" w:eastAsia="Times New Roman"/>
                <w:sz w:val="24"/>
              </w:rPr>
              <w:t>GB50545-2010</w:t>
            </w:r>
            <w:r>
              <w:rPr>
                <w:sz w:val="24"/>
              </w:rPr>
              <w:t>） 的要求。</w:t>
            </w:r>
          </w:p>
          <w:p>
            <w:pPr>
              <w:pStyle w:val="TableParagraph"/>
              <w:numPr>
                <w:ilvl w:val="0"/>
                <w:numId w:val="7"/>
              </w:numPr>
              <w:tabs>
                <w:tab w:val="left" w:pos="353"/>
              </w:tabs>
              <w:spacing w:before="0" w:after="0" w:line="304" w:lineRule="exact"/>
              <w:ind w:left="353" w:right="0" w:hanging="240"/>
              <w:jc w:val="both"/>
              <w:rPr>
                <w:b/>
                <w:sz w:val="24"/>
              </w:rPr>
            </w:pPr>
            <w:r>
              <w:rPr>
                <w:b/>
                <w:sz w:val="24"/>
              </w:rPr>
              <w:t>辅助工程</w:t>
            </w:r>
          </w:p>
          <w:p>
            <w:pPr>
              <w:pStyle w:val="TableParagraph"/>
              <w:numPr>
                <w:ilvl w:val="1"/>
                <w:numId w:val="7"/>
              </w:numPr>
              <w:tabs>
                <w:tab w:val="left" w:pos="533"/>
              </w:tabs>
              <w:spacing w:before="161" w:after="0" w:line="240" w:lineRule="auto"/>
              <w:ind w:left="533" w:right="0" w:hanging="420"/>
              <w:jc w:val="left"/>
              <w:rPr>
                <w:b/>
                <w:sz w:val="24"/>
              </w:rPr>
            </w:pPr>
            <w:r>
              <w:rPr>
                <w:b/>
                <w:sz w:val="24"/>
              </w:rPr>
              <w:t>附属设施</w:t>
            </w:r>
          </w:p>
          <w:p>
            <w:pPr>
              <w:pStyle w:val="TableParagraph"/>
              <w:spacing w:before="158" w:line="364" w:lineRule="auto"/>
              <w:ind w:left="113" w:right="86" w:firstLine="480"/>
              <w:rPr>
                <w:sz w:val="24"/>
              </w:rPr>
            </w:pPr>
            <w:r>
              <w:rPr>
                <w:spacing w:val="-7"/>
                <w:sz w:val="24"/>
              </w:rPr>
              <w:t>电缆全线配置电缆环流在线监测系统、高压电缆故障定位系统，电缆终端配置红</w:t>
            </w:r>
            <w:r>
              <w:rPr>
                <w:sz w:val="24"/>
              </w:rPr>
              <w:t>外在线监测装置，电缆转接塔上导线配置输电线路分布式故障精确定位装置。</w:t>
            </w:r>
          </w:p>
          <w:p>
            <w:pPr>
              <w:pStyle w:val="TableParagraph"/>
              <w:spacing w:before="1" w:line="362" w:lineRule="auto"/>
              <w:ind w:left="113" w:right="86" w:firstLine="480"/>
              <w:rPr>
                <w:sz w:val="24"/>
              </w:rPr>
            </w:pPr>
            <w:r>
              <w:rPr>
                <w:spacing w:val="-9"/>
                <w:sz w:val="24"/>
              </w:rPr>
              <w:t>配套建设环岛北路综合管廊照明、通风、给排水、通信、环境监控等附属设施长</w:t>
            </w:r>
            <w:r>
              <w:rPr>
                <w:sz w:val="24"/>
              </w:rPr>
              <w:t>约</w:t>
            </w:r>
            <w:r>
              <w:rPr>
                <w:rFonts w:ascii="Times New Roman" w:eastAsia="Times New Roman"/>
                <w:sz w:val="24"/>
              </w:rPr>
              <w:t>1.0km</w:t>
            </w:r>
            <w:r>
              <w:rPr>
                <w:sz w:val="24"/>
              </w:rPr>
              <w:t>。</w:t>
            </w:r>
          </w:p>
          <w:p>
            <w:pPr>
              <w:pStyle w:val="TableParagraph"/>
              <w:spacing w:before="3" w:line="364" w:lineRule="auto"/>
              <w:ind w:left="113" w:right="21" w:firstLine="480"/>
              <w:rPr>
                <w:sz w:val="24"/>
              </w:rPr>
            </w:pPr>
            <w:r>
              <w:rPr>
                <w:sz w:val="24"/>
              </w:rPr>
              <w:t>新建附属设施在线监测室拟选在</w:t>
            </w:r>
            <w:r>
              <w:rPr>
                <w:rFonts w:ascii="Times New Roman" w:eastAsia="Times New Roman" w:hAnsi="Times New Roman"/>
                <w:sz w:val="24"/>
              </w:rPr>
              <w:t>220kV</w:t>
            </w:r>
            <w:r>
              <w:rPr>
                <w:sz w:val="24"/>
              </w:rPr>
              <w:t>琴韵站内，为一单层框架结构，轴线面积为</w:t>
            </w:r>
            <w:r>
              <w:rPr>
                <w:rFonts w:ascii="Times New Roman" w:eastAsia="Times New Roman" w:hAnsi="Times New Roman"/>
                <w:sz w:val="24"/>
              </w:rPr>
              <w:t>4.6m</w:t>
            </w:r>
            <w:r>
              <w:rPr>
                <w:sz w:val="24"/>
              </w:rPr>
              <w:t>×</w:t>
            </w:r>
            <w:r>
              <w:rPr>
                <w:rFonts w:ascii="Times New Roman" w:eastAsia="Times New Roman" w:hAnsi="Times New Roman"/>
                <w:sz w:val="24"/>
              </w:rPr>
              <w:t>14.5m</w:t>
            </w:r>
            <w:r>
              <w:rPr>
                <w:sz w:val="24"/>
              </w:rPr>
              <w:t>。</w:t>
            </w:r>
          </w:p>
          <w:p>
            <w:pPr>
              <w:pStyle w:val="TableParagraph"/>
              <w:numPr>
                <w:ilvl w:val="1"/>
                <w:numId w:val="7"/>
              </w:numPr>
              <w:tabs>
                <w:tab w:val="left" w:pos="533"/>
              </w:tabs>
              <w:spacing w:before="1" w:after="0" w:line="240" w:lineRule="auto"/>
              <w:ind w:left="533" w:right="0" w:hanging="420"/>
              <w:jc w:val="left"/>
              <w:rPr>
                <w:b/>
                <w:sz w:val="24"/>
              </w:rPr>
            </w:pPr>
            <w:r>
              <w:rPr>
                <w:b/>
                <w:sz w:val="24"/>
              </w:rPr>
              <w:t>通信工程</w:t>
            </w:r>
          </w:p>
          <w:p>
            <w:pPr>
              <w:pStyle w:val="TableParagraph"/>
              <w:spacing w:before="158" w:line="364" w:lineRule="auto"/>
              <w:ind w:left="113" w:right="86" w:firstLine="480"/>
              <w:jc w:val="both"/>
              <w:rPr>
                <w:sz w:val="24"/>
              </w:rPr>
            </w:pPr>
            <w:r>
              <w:rPr>
                <w:sz w:val="24"/>
              </w:rPr>
              <w:t>沿</w:t>
            </w:r>
            <w:r>
              <w:rPr>
                <w:rFonts w:ascii="Times New Roman" w:eastAsia="Times New Roman" w:hAnsi="Times New Roman"/>
                <w:sz w:val="24"/>
              </w:rPr>
              <w:t>220kV</w:t>
            </w:r>
            <w:r>
              <w:rPr>
                <w:sz w:val="24"/>
              </w:rPr>
              <w:t>琴韵站至马骝洲水道以北新建的电缆线路建设</w:t>
            </w:r>
            <w:r>
              <w:rPr>
                <w:rFonts w:ascii="Times New Roman" w:eastAsia="Times New Roman" w:hAnsi="Times New Roman"/>
                <w:sz w:val="24"/>
              </w:rPr>
              <w:t>3</w:t>
            </w:r>
            <w:r>
              <w:rPr>
                <w:sz w:val="24"/>
              </w:rPr>
              <w:t>条</w:t>
            </w:r>
            <w:r>
              <w:rPr>
                <w:rFonts w:ascii="Times New Roman" w:eastAsia="Times New Roman" w:hAnsi="Times New Roman"/>
                <w:sz w:val="24"/>
              </w:rPr>
              <w:t>48</w:t>
            </w:r>
            <w:r>
              <w:rPr>
                <w:spacing w:val="-7"/>
                <w:sz w:val="24"/>
              </w:rPr>
              <w:t>芯管道光缆，其中</w:t>
            </w:r>
            <w:r>
              <w:rPr>
                <w:rFonts w:ascii="Times New Roman" w:eastAsia="Times New Roman" w:hAnsi="Times New Roman"/>
                <w:spacing w:val="-17"/>
                <w:sz w:val="24"/>
              </w:rPr>
              <w:t xml:space="preserve">1 </w:t>
            </w:r>
            <w:r>
              <w:rPr>
                <w:sz w:val="24"/>
              </w:rPr>
              <w:t>条管道光缆与现状加林站至琴韵站的</w:t>
            </w:r>
            <w:r>
              <w:rPr>
                <w:rFonts w:ascii="Times New Roman" w:eastAsia="Times New Roman" w:hAnsi="Times New Roman"/>
                <w:sz w:val="24"/>
              </w:rPr>
              <w:t>1</w:t>
            </w:r>
            <w:r>
              <w:rPr>
                <w:sz w:val="24"/>
              </w:rPr>
              <w:t>根</w:t>
            </w:r>
            <w:r>
              <w:rPr>
                <w:rFonts w:ascii="Times New Roman" w:eastAsia="Times New Roman" w:hAnsi="Times New Roman"/>
                <w:sz w:val="24"/>
              </w:rPr>
              <w:t>36</w:t>
            </w:r>
            <w:r>
              <w:rPr>
                <w:sz w:val="24"/>
              </w:rPr>
              <w:t>芯</w:t>
            </w:r>
            <w:r>
              <w:rPr>
                <w:rFonts w:ascii="Times New Roman" w:eastAsia="Times New Roman" w:hAnsi="Times New Roman"/>
                <w:sz w:val="24"/>
              </w:rPr>
              <w:t>OPGW</w:t>
            </w:r>
            <w:r>
              <w:rPr>
                <w:spacing w:val="-1"/>
                <w:sz w:val="24"/>
              </w:rPr>
              <w:t>光缆进行接续，形成加林站至琴</w:t>
            </w:r>
            <w:r>
              <w:rPr>
                <w:spacing w:val="1"/>
                <w:sz w:val="24"/>
              </w:rPr>
              <w:t>韵站的</w:t>
            </w:r>
            <w:r>
              <w:rPr>
                <w:rFonts w:ascii="Times New Roman" w:eastAsia="Times New Roman" w:hAnsi="Times New Roman"/>
                <w:sz w:val="24"/>
              </w:rPr>
              <w:t>1</w:t>
            </w:r>
            <w:r>
              <w:rPr>
                <w:sz w:val="24"/>
              </w:rPr>
              <w:t>根</w:t>
            </w:r>
            <w:r>
              <w:rPr>
                <w:rFonts w:ascii="Times New Roman" w:eastAsia="Times New Roman" w:hAnsi="Times New Roman"/>
                <w:sz w:val="24"/>
              </w:rPr>
              <w:t>36+48</w:t>
            </w:r>
            <w:r>
              <w:rPr>
                <w:spacing w:val="4"/>
                <w:sz w:val="24"/>
              </w:rPr>
              <w:t>芯</w:t>
            </w:r>
            <w:r>
              <w:rPr>
                <w:rFonts w:ascii="Times New Roman" w:eastAsia="Times New Roman" w:hAnsi="Times New Roman"/>
                <w:sz w:val="24"/>
              </w:rPr>
              <w:t>OPGW+</w:t>
            </w:r>
            <w:r>
              <w:rPr>
                <w:sz w:val="24"/>
              </w:rPr>
              <w:t>管道光缆，另外</w:t>
            </w:r>
            <w:r>
              <w:rPr>
                <w:rFonts w:ascii="Times New Roman" w:eastAsia="Times New Roman" w:hAnsi="Times New Roman"/>
                <w:sz w:val="24"/>
              </w:rPr>
              <w:t>2</w:t>
            </w:r>
            <w:r>
              <w:rPr>
                <w:sz w:val="24"/>
              </w:rPr>
              <w:t>条管道光缆本期敷设至宝琴路新建电缆隧道出线口，将与后续工程中敷设的光缆接续，形成加林站至琴韵站的</w:t>
            </w:r>
            <w:r>
              <w:rPr>
                <w:rFonts w:ascii="Times New Roman" w:eastAsia="Times New Roman" w:hAnsi="Times New Roman"/>
                <w:sz w:val="24"/>
              </w:rPr>
              <w:t>2</w:t>
            </w:r>
            <w:r>
              <w:rPr>
                <w:sz w:val="24"/>
              </w:rPr>
              <w:t>根</w:t>
            </w:r>
            <w:r>
              <w:rPr>
                <w:rFonts w:ascii="Times New Roman" w:eastAsia="Times New Roman" w:hAnsi="Times New Roman"/>
                <w:sz w:val="24"/>
              </w:rPr>
              <w:t>48</w:t>
            </w:r>
            <w:r>
              <w:rPr>
                <w:spacing w:val="-6"/>
                <w:sz w:val="24"/>
              </w:rPr>
              <w:t>芯管道</w:t>
            </w:r>
            <w:r>
              <w:rPr>
                <w:spacing w:val="-3"/>
                <w:sz w:val="24"/>
              </w:rPr>
              <w:t>光缆，新建光缆路径长约为</w:t>
            </w:r>
            <w:r>
              <w:rPr>
                <w:rFonts w:ascii="Times New Roman" w:eastAsia="Times New Roman" w:hAnsi="Times New Roman"/>
                <w:sz w:val="24"/>
              </w:rPr>
              <w:t>3×2.9km</w:t>
            </w:r>
            <w:r>
              <w:rPr>
                <w:spacing w:val="-4"/>
                <w:sz w:val="24"/>
              </w:rPr>
              <w:t>。线路改造完成后拆除本期加琴线改造段上断开</w:t>
            </w:r>
            <w:r>
              <w:rPr>
                <w:sz w:val="24"/>
              </w:rPr>
              <w:t>的</w:t>
            </w:r>
            <w:r>
              <w:rPr>
                <w:rFonts w:ascii="Times New Roman" w:eastAsia="Times New Roman" w:hAnsi="Times New Roman"/>
                <w:sz w:val="24"/>
              </w:rPr>
              <w:t>OPGW</w:t>
            </w:r>
            <w:r>
              <w:rPr>
                <w:sz w:val="24"/>
              </w:rPr>
              <w:t>光缆，拆除长度约</w:t>
            </w:r>
            <w:r>
              <w:rPr>
                <w:rFonts w:ascii="Times New Roman" w:eastAsia="Times New Roman" w:hAnsi="Times New Roman"/>
                <w:sz w:val="24"/>
              </w:rPr>
              <w:t>2.6km</w:t>
            </w:r>
            <w:r>
              <w:rPr>
                <w:sz w:val="24"/>
              </w:rPr>
              <w:t>。</w:t>
            </w:r>
          </w:p>
          <w:p>
            <w:pPr>
              <w:pStyle w:val="TableParagraph"/>
              <w:spacing w:line="304" w:lineRule="exact"/>
              <w:ind w:left="593"/>
              <w:rPr>
                <w:sz w:val="24"/>
              </w:rPr>
            </w:pPr>
            <w:r>
              <w:rPr>
                <w:sz w:val="24"/>
              </w:rPr>
              <w:t>配套建设相应的光通信设备。</w:t>
            </w:r>
          </w:p>
          <w:p>
            <w:pPr>
              <w:pStyle w:val="TableParagraph"/>
              <w:spacing w:before="160"/>
              <w:ind w:left="113"/>
              <w:jc w:val="both"/>
              <w:rPr>
                <w:b/>
                <w:sz w:val="24"/>
              </w:rPr>
            </w:pPr>
            <w:r>
              <w:rPr>
                <w:rFonts w:ascii="Times New Roman" w:eastAsia="Times New Roman"/>
                <w:b/>
                <w:sz w:val="24"/>
              </w:rPr>
              <w:t>5</w:t>
            </w:r>
            <w:r>
              <w:rPr>
                <w:rFonts w:ascii="Times New Roman" w:eastAsia="Times New Roman"/>
                <w:b/>
                <w:spacing w:val="59"/>
                <w:sz w:val="24"/>
              </w:rPr>
              <w:t xml:space="preserve"> </w:t>
            </w:r>
            <w:r>
              <w:rPr>
                <w:b/>
                <w:sz w:val="24"/>
              </w:rPr>
              <w:t>环保工程</w:t>
            </w:r>
          </w:p>
          <w:p>
            <w:pPr>
              <w:pStyle w:val="TableParagraph"/>
              <w:spacing w:before="159"/>
              <w:ind w:left="605"/>
              <w:rPr>
                <w:sz w:val="24"/>
              </w:rPr>
            </w:pPr>
            <w:r>
              <w:rPr>
                <w:sz w:val="24"/>
              </w:rPr>
              <w:t>对本项目新建的电缆沟及电缆终端塔开挖处及时复绿；对本项目拆除的电缆终</w:t>
            </w:r>
          </w:p>
        </w:tc>
      </w:tr>
    </w:tbl>
    <w:p>
      <w:pPr>
        <w:spacing w:after="0"/>
        <w:rPr>
          <w:sz w:val="24"/>
        </w:rPr>
        <w:sectPr>
          <w:footerReference w:type="default" r:id="rId27"/>
          <w:pgSz w:w="11910" w:h="16840"/>
          <w:pgMar w:top="1420" w:right="901" w:bottom="1160" w:left="920" w:header="0" w:footer="963" w:gutter="0"/>
          <w:pgNumType w:start="17"/>
          <w:cols w:num="1" w:space="720"/>
        </w:sect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0"/>
        <w:gridCol w:w="8979"/>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86"/>
        </w:trPr>
        <w:tc>
          <w:tcPr>
            <w:tcW w:w="460" w:type="dxa"/>
            <w:tcBorders>
              <w:bottom w:val="single" w:sz="4" w:space="0" w:color="000000"/>
              <w:right w:val="single" w:sz="4" w:space="0" w:color="000000"/>
            </w:tcBorders>
          </w:tcPr>
          <w:p>
            <w:pPr>
              <w:pStyle w:val="TableParagraph"/>
              <w:rPr>
                <w:rFonts w:ascii="Times New Roman"/>
                <w:sz w:val="22"/>
              </w:rPr>
            </w:pPr>
          </w:p>
        </w:tc>
        <w:tc>
          <w:tcPr>
            <w:tcW w:w="8979" w:type="dxa"/>
            <w:tcBorders>
              <w:left w:val="single" w:sz="4" w:space="0" w:color="000000"/>
              <w:bottom w:val="single" w:sz="4" w:space="0" w:color="000000"/>
            </w:tcBorders>
          </w:tcPr>
          <w:p>
            <w:pPr>
              <w:pStyle w:val="TableParagraph"/>
              <w:spacing w:line="299" w:lineRule="exact"/>
              <w:ind w:left="113"/>
              <w:rPr>
                <w:sz w:val="24"/>
              </w:rPr>
            </w:pPr>
            <w:r>
              <w:rPr>
                <w:sz w:val="24"/>
              </w:rPr>
              <w:t>端场和铁塔复绿。</w:t>
            </w:r>
          </w:p>
        </w:tc>
      </w:tr>
      <w:tr>
        <w:tblPrEx>
          <w:tblW w:w="0" w:type="auto"/>
          <w:tblInd w:w="324" w:type="dxa"/>
          <w:tblLayout w:type="fixed"/>
          <w:tblCellMar>
            <w:top w:w="0" w:type="dxa"/>
            <w:left w:w="0" w:type="dxa"/>
            <w:bottom w:w="0" w:type="dxa"/>
            <w:right w:w="0" w:type="dxa"/>
          </w:tblCellMar>
        </w:tblPrEx>
        <w:trPr>
          <w:trHeight w:val="13190"/>
        </w:trPr>
        <w:tc>
          <w:tcPr>
            <w:tcW w:w="460" w:type="dxa"/>
            <w:tcBorders>
              <w:top w:val="single" w:sz="4" w:space="0" w:color="000000"/>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9"/>
              <w:rPr>
                <w:sz w:val="33"/>
              </w:rPr>
            </w:pPr>
          </w:p>
          <w:p>
            <w:pPr>
              <w:pStyle w:val="TableParagraph"/>
              <w:spacing w:line="242" w:lineRule="auto"/>
              <w:ind w:left="109" w:right="93"/>
              <w:jc w:val="both"/>
              <w:rPr>
                <w:sz w:val="24"/>
              </w:rPr>
            </w:pPr>
            <w:r>
              <w:rPr>
                <w:sz w:val="24"/>
              </w:rPr>
              <w:t>总平面及现场布置</w:t>
            </w:r>
          </w:p>
        </w:tc>
        <w:tc>
          <w:tcPr>
            <w:tcW w:w="8979" w:type="dxa"/>
            <w:tcBorders>
              <w:top w:val="single" w:sz="4" w:space="0" w:color="000000"/>
              <w:left w:val="single" w:sz="4" w:space="0" w:color="000000"/>
            </w:tcBorders>
          </w:tcPr>
          <w:p>
            <w:pPr>
              <w:pStyle w:val="TableParagraph"/>
              <w:numPr>
                <w:ilvl w:val="0"/>
                <w:numId w:val="8"/>
              </w:numPr>
              <w:tabs>
                <w:tab w:val="left" w:pos="353"/>
              </w:tabs>
              <w:spacing w:before="2" w:after="0" w:line="240" w:lineRule="auto"/>
              <w:ind w:left="353" w:right="0" w:hanging="240"/>
              <w:jc w:val="left"/>
              <w:rPr>
                <w:b/>
                <w:sz w:val="24"/>
              </w:rPr>
            </w:pPr>
            <w:r>
              <w:rPr>
                <w:b/>
                <w:sz w:val="24"/>
              </w:rPr>
              <w:t>总平面布置</w:t>
            </w:r>
          </w:p>
          <w:p>
            <w:pPr>
              <w:pStyle w:val="TableParagraph"/>
              <w:spacing w:before="9"/>
              <w:rPr>
                <w:sz w:val="21"/>
              </w:rPr>
            </w:pPr>
          </w:p>
          <w:p>
            <w:pPr>
              <w:pStyle w:val="TableParagraph"/>
              <w:numPr>
                <w:ilvl w:val="1"/>
                <w:numId w:val="8"/>
              </w:numPr>
              <w:tabs>
                <w:tab w:val="left" w:pos="533"/>
              </w:tabs>
              <w:spacing w:before="0" w:after="0" w:line="240" w:lineRule="auto"/>
              <w:ind w:left="533" w:right="0" w:hanging="420"/>
              <w:jc w:val="left"/>
              <w:rPr>
                <w:b/>
                <w:sz w:val="24"/>
              </w:rPr>
            </w:pPr>
            <w:r>
              <w:rPr>
                <w:b/>
                <w:sz w:val="24"/>
              </w:rPr>
              <w:t>输电线路路径方案</w:t>
            </w:r>
          </w:p>
          <w:p>
            <w:pPr>
              <w:pStyle w:val="TableParagraph"/>
              <w:spacing w:before="161" w:line="364" w:lineRule="auto"/>
              <w:ind w:left="113" w:right="-44" w:firstLine="480"/>
              <w:rPr>
                <w:sz w:val="24"/>
              </w:rPr>
            </w:pPr>
            <w:r>
              <w:rPr>
                <w:spacing w:val="-11"/>
                <w:sz w:val="24"/>
              </w:rPr>
              <w:t xml:space="preserve">本工程新建 </w:t>
            </w:r>
            <w:r>
              <w:rPr>
                <w:rFonts w:ascii="Times New Roman" w:eastAsia="Times New Roman" w:hAnsi="Times New Roman"/>
                <w:sz w:val="24"/>
              </w:rPr>
              <w:t>220kV</w:t>
            </w:r>
            <w:r>
              <w:rPr>
                <w:rFonts w:ascii="Times New Roman" w:eastAsia="Times New Roman" w:hAnsi="Times New Roman"/>
                <w:spacing w:val="-2"/>
                <w:sz w:val="24"/>
              </w:rPr>
              <w:t xml:space="preserve"> </w:t>
            </w:r>
            <w:r>
              <w:rPr>
                <w:spacing w:val="-10"/>
                <w:sz w:val="24"/>
              </w:rPr>
              <w:t xml:space="preserve">加琴甲乙线双回电缆线路，线路起点为琴韵站站内 </w:t>
            </w:r>
            <w:r>
              <w:rPr>
                <w:rFonts w:ascii="Times New Roman" w:eastAsia="Times New Roman" w:hAnsi="Times New Roman"/>
                <w:sz w:val="24"/>
              </w:rPr>
              <w:t>GIS</w:t>
            </w:r>
            <w:r>
              <w:rPr>
                <w:rFonts w:ascii="Times New Roman" w:eastAsia="Times New Roman" w:hAnsi="Times New Roman"/>
                <w:spacing w:val="2"/>
                <w:sz w:val="24"/>
              </w:rPr>
              <w:t xml:space="preserve"> </w:t>
            </w:r>
            <w:r>
              <w:rPr>
                <w:sz w:val="24"/>
              </w:rPr>
              <w:t>间隔， 终点为加琴甲线</w:t>
            </w:r>
            <w:r>
              <w:rPr>
                <w:rFonts w:ascii="Times New Roman" w:eastAsia="Times New Roman" w:hAnsi="Times New Roman"/>
                <w:sz w:val="24"/>
              </w:rPr>
              <w:t>#36</w:t>
            </w:r>
            <w:r>
              <w:rPr>
                <w:rFonts w:ascii="Times New Roman" w:eastAsia="Times New Roman" w:hAnsi="Times New Roman"/>
                <w:spacing w:val="10"/>
                <w:sz w:val="24"/>
              </w:rPr>
              <w:t xml:space="preserve"> </w:t>
            </w:r>
            <w:r>
              <w:rPr>
                <w:spacing w:val="-3"/>
                <w:sz w:val="24"/>
              </w:rPr>
              <w:t xml:space="preserve">塔小号侧新建电缆终端塔，新建电缆线路路径长约 </w:t>
            </w:r>
            <w:r>
              <w:rPr>
                <w:rFonts w:ascii="Times New Roman" w:eastAsia="Times New Roman" w:hAnsi="Times New Roman"/>
                <w:sz w:val="24"/>
              </w:rPr>
              <w:t>2</w:t>
            </w:r>
            <w:r>
              <w:rPr>
                <w:sz w:val="24"/>
              </w:rPr>
              <w:t>×</w:t>
            </w:r>
            <w:r>
              <w:rPr>
                <w:rFonts w:ascii="Times New Roman" w:eastAsia="Times New Roman" w:hAnsi="Times New Roman"/>
                <w:sz w:val="24"/>
              </w:rPr>
              <w:t>2.8km</w:t>
            </w:r>
            <w:r>
              <w:rPr>
                <w:sz w:val="24"/>
              </w:rPr>
              <w:t>。</w:t>
            </w:r>
            <w:r>
              <w:rPr>
                <w:spacing w:val="-7"/>
                <w:sz w:val="24"/>
              </w:rPr>
              <w:t>新建电缆沿环岛北路综合管廊、横琴隧道电力舱、宝琴路电缆隧道走线。具体实施路径方案如下：</w:t>
            </w:r>
          </w:p>
          <w:p>
            <w:pPr>
              <w:pStyle w:val="TableParagraph"/>
              <w:spacing w:line="364" w:lineRule="auto"/>
              <w:ind w:left="113" w:right="-44" w:firstLine="480"/>
              <w:rPr>
                <w:sz w:val="24"/>
              </w:rPr>
            </w:pPr>
            <w:r>
              <w:rPr>
                <w:sz w:val="24"/>
              </w:rPr>
              <w:t>在加琴甲线</w:t>
            </w:r>
            <w:r>
              <w:rPr>
                <w:rFonts w:ascii="Times New Roman" w:eastAsia="Times New Roman"/>
                <w:sz w:val="24"/>
              </w:rPr>
              <w:t>#36</w:t>
            </w:r>
            <w:r>
              <w:rPr>
                <w:rFonts w:ascii="Times New Roman" w:eastAsia="Times New Roman"/>
                <w:spacing w:val="-1"/>
                <w:sz w:val="24"/>
              </w:rPr>
              <w:t xml:space="preserve"> </w:t>
            </w:r>
            <w:r>
              <w:rPr>
                <w:spacing w:val="-12"/>
                <w:sz w:val="24"/>
              </w:rPr>
              <w:t xml:space="preserve">塔小号侧 </w:t>
            </w:r>
            <w:r>
              <w:rPr>
                <w:rFonts w:ascii="Times New Roman" w:eastAsia="Times New Roman"/>
                <w:sz w:val="24"/>
              </w:rPr>
              <w:t>A0</w:t>
            </w:r>
            <w:r>
              <w:rPr>
                <w:rFonts w:ascii="Times New Roman" w:eastAsia="Times New Roman"/>
                <w:spacing w:val="-2"/>
                <w:sz w:val="24"/>
              </w:rPr>
              <w:t xml:space="preserve"> </w:t>
            </w:r>
            <w:r>
              <w:rPr>
                <w:spacing w:val="-7"/>
                <w:sz w:val="24"/>
              </w:rPr>
              <w:t xml:space="preserve">点新建一基电缆终端塔，新建电缆线路起于 </w:t>
            </w:r>
            <w:r>
              <w:rPr>
                <w:rFonts w:ascii="Times New Roman" w:eastAsia="Times New Roman"/>
                <w:sz w:val="24"/>
              </w:rPr>
              <w:t xml:space="preserve">A5 </w:t>
            </w:r>
            <w:r>
              <w:rPr>
                <w:sz w:val="24"/>
              </w:rPr>
              <w:t xml:space="preserve">点， </w:t>
            </w:r>
            <w:r>
              <w:rPr>
                <w:spacing w:val="-11"/>
                <w:sz w:val="24"/>
              </w:rPr>
              <w:t xml:space="preserve">随后左转沿 </w:t>
            </w:r>
            <w:r>
              <w:rPr>
                <w:rFonts w:ascii="Times New Roman" w:eastAsia="Times New Roman"/>
                <w:sz w:val="24"/>
              </w:rPr>
              <w:t>220kV</w:t>
            </w:r>
            <w:r>
              <w:rPr>
                <w:rFonts w:ascii="Times New Roman" w:eastAsia="Times New Roman"/>
                <w:spacing w:val="-1"/>
                <w:sz w:val="24"/>
              </w:rPr>
              <w:t xml:space="preserve"> </w:t>
            </w:r>
            <w:r>
              <w:rPr>
                <w:spacing w:val="-5"/>
                <w:sz w:val="24"/>
              </w:rPr>
              <w:t xml:space="preserve">琴韵站西侧电缆隧道接入 </w:t>
            </w:r>
            <w:r>
              <w:rPr>
                <w:rFonts w:ascii="Times New Roman" w:eastAsia="Times New Roman"/>
                <w:sz w:val="24"/>
              </w:rPr>
              <w:t xml:space="preserve">A4 </w:t>
            </w:r>
            <w:r>
              <w:rPr>
                <w:spacing w:val="-11"/>
                <w:sz w:val="24"/>
              </w:rPr>
              <w:t>点，后沿环岛北路综合管廊至横琴隧</w:t>
            </w:r>
            <w:r>
              <w:rPr>
                <w:spacing w:val="-20"/>
                <w:sz w:val="24"/>
              </w:rPr>
              <w:t xml:space="preserve">道南工作井 </w:t>
            </w:r>
            <w:r>
              <w:rPr>
                <w:rFonts w:ascii="Times New Roman" w:eastAsia="Times New Roman"/>
                <w:sz w:val="24"/>
              </w:rPr>
              <w:t>A3</w:t>
            </w:r>
            <w:r>
              <w:rPr>
                <w:rFonts w:ascii="Times New Roman" w:eastAsia="Times New Roman"/>
                <w:spacing w:val="-1"/>
                <w:sz w:val="24"/>
              </w:rPr>
              <w:t xml:space="preserve"> </w:t>
            </w:r>
            <w:r>
              <w:rPr>
                <w:spacing w:val="-8"/>
                <w:sz w:val="24"/>
              </w:rPr>
              <w:t>点，随后转入横琴隧道电力舱向北穿过马骝洲水道接至一体化区域宝</w:t>
            </w:r>
            <w:r>
              <w:rPr>
                <w:spacing w:val="-14"/>
                <w:sz w:val="24"/>
              </w:rPr>
              <w:t xml:space="preserve">琴路在建电缆隧道 </w:t>
            </w:r>
            <w:r>
              <w:rPr>
                <w:rFonts w:ascii="Times New Roman" w:eastAsia="Times New Roman"/>
                <w:sz w:val="24"/>
              </w:rPr>
              <w:t>A2</w:t>
            </w:r>
            <w:r>
              <w:rPr>
                <w:rFonts w:ascii="Times New Roman" w:eastAsia="Times New Roman"/>
                <w:spacing w:val="4"/>
                <w:sz w:val="24"/>
              </w:rPr>
              <w:t xml:space="preserve"> </w:t>
            </w:r>
            <w:r>
              <w:rPr>
                <w:spacing w:val="-5"/>
                <w:sz w:val="24"/>
              </w:rPr>
              <w:t xml:space="preserve">点，继续向北沿走线接至 </w:t>
            </w:r>
            <w:r>
              <w:rPr>
                <w:rFonts w:ascii="Times New Roman" w:eastAsia="Times New Roman"/>
                <w:sz w:val="24"/>
              </w:rPr>
              <w:t>A1</w:t>
            </w:r>
            <w:r>
              <w:rPr>
                <w:rFonts w:ascii="Times New Roman" w:eastAsia="Times New Roman"/>
                <w:spacing w:val="2"/>
                <w:sz w:val="24"/>
              </w:rPr>
              <w:t xml:space="preserve"> </w:t>
            </w:r>
            <w:r>
              <w:rPr>
                <w:sz w:val="24"/>
              </w:rPr>
              <w:t>点，接加琴甲乙线新建电缆终端</w:t>
            </w:r>
            <w:r>
              <w:rPr>
                <w:spacing w:val="-31"/>
                <w:sz w:val="24"/>
              </w:rPr>
              <w:t xml:space="preserve">塔 </w:t>
            </w:r>
            <w:r>
              <w:rPr>
                <w:rFonts w:ascii="Times New Roman" w:eastAsia="Times New Roman"/>
                <w:sz w:val="24"/>
              </w:rPr>
              <w:t>A0</w:t>
            </w:r>
            <w:r>
              <w:rPr>
                <w:spacing w:val="-6"/>
                <w:sz w:val="24"/>
              </w:rPr>
              <w:t xml:space="preserve">。线路路径图见附图 </w:t>
            </w:r>
            <w:r>
              <w:rPr>
                <w:rFonts w:ascii="Times New Roman" w:eastAsia="Times New Roman"/>
                <w:sz w:val="24"/>
              </w:rPr>
              <w:t>2</w:t>
            </w:r>
            <w:r>
              <w:rPr>
                <w:sz w:val="24"/>
              </w:rPr>
              <w:t>。</w:t>
            </w:r>
          </w:p>
          <w:p>
            <w:pPr>
              <w:pStyle w:val="TableParagraph"/>
              <w:numPr>
                <w:ilvl w:val="0"/>
                <w:numId w:val="9"/>
              </w:numPr>
              <w:tabs>
                <w:tab w:val="left" w:pos="353"/>
              </w:tabs>
              <w:spacing w:before="0" w:after="0" w:line="303" w:lineRule="exact"/>
              <w:ind w:left="353" w:right="0" w:hanging="240"/>
              <w:jc w:val="left"/>
              <w:rPr>
                <w:b/>
                <w:sz w:val="24"/>
              </w:rPr>
            </w:pPr>
            <w:r>
              <w:rPr>
                <w:b/>
                <w:sz w:val="24"/>
              </w:rPr>
              <w:t>施工布置情况</w:t>
            </w:r>
          </w:p>
          <w:p>
            <w:pPr>
              <w:pStyle w:val="TableParagraph"/>
              <w:numPr>
                <w:ilvl w:val="1"/>
                <w:numId w:val="9"/>
              </w:numPr>
              <w:tabs>
                <w:tab w:val="left" w:pos="1194"/>
              </w:tabs>
              <w:spacing w:before="158" w:after="0" w:line="240" w:lineRule="auto"/>
              <w:ind w:left="1194" w:right="0" w:hanging="601"/>
              <w:jc w:val="left"/>
              <w:rPr>
                <w:sz w:val="24"/>
              </w:rPr>
            </w:pPr>
            <w:r>
              <w:rPr>
                <w:sz w:val="24"/>
              </w:rPr>
              <w:t>施工营地</w:t>
            </w:r>
          </w:p>
          <w:p>
            <w:pPr>
              <w:pStyle w:val="TableParagraph"/>
              <w:spacing w:before="160" w:line="362" w:lineRule="auto"/>
              <w:ind w:left="113" w:right="86" w:firstLine="480"/>
              <w:rPr>
                <w:sz w:val="24"/>
              </w:rPr>
            </w:pPr>
            <w:r>
              <w:rPr>
                <w:spacing w:val="-8"/>
                <w:sz w:val="24"/>
              </w:rPr>
              <w:t>本工程线路均位于市政道路附近，施工时各施工点人数少，且施工时间短，施工</w:t>
            </w:r>
            <w:r>
              <w:rPr>
                <w:sz w:val="24"/>
              </w:rPr>
              <w:t>人员一般就近租用民房，不另行设置施工营地。</w:t>
            </w:r>
          </w:p>
          <w:p>
            <w:pPr>
              <w:pStyle w:val="TableParagraph"/>
              <w:numPr>
                <w:ilvl w:val="1"/>
                <w:numId w:val="9"/>
              </w:numPr>
              <w:tabs>
                <w:tab w:val="left" w:pos="1194"/>
              </w:tabs>
              <w:spacing w:before="5" w:after="0" w:line="240" w:lineRule="auto"/>
              <w:ind w:left="1194" w:right="0" w:hanging="601"/>
              <w:jc w:val="left"/>
              <w:rPr>
                <w:sz w:val="24"/>
              </w:rPr>
            </w:pPr>
            <w:r>
              <w:rPr>
                <w:sz w:val="24"/>
              </w:rPr>
              <w:t>临时施工场地</w:t>
            </w:r>
          </w:p>
          <w:p>
            <w:pPr>
              <w:pStyle w:val="TableParagraph"/>
              <w:spacing w:before="158" w:line="364" w:lineRule="auto"/>
              <w:ind w:left="113" w:right="-44" w:firstLine="480"/>
              <w:rPr>
                <w:sz w:val="24"/>
              </w:rPr>
            </w:pPr>
            <w:r>
              <w:rPr>
                <w:spacing w:val="-5"/>
                <w:sz w:val="24"/>
              </w:rPr>
              <w:t xml:space="preserve">本项目电缆线路只需新建 </w:t>
            </w:r>
            <w:r>
              <w:rPr>
                <w:rFonts w:ascii="Times New Roman" w:eastAsia="Times New Roman"/>
                <w:sz w:val="24"/>
              </w:rPr>
              <w:t>30m</w:t>
            </w:r>
            <w:r>
              <w:rPr>
                <w:rFonts w:ascii="Times New Roman" w:eastAsia="Times New Roman"/>
                <w:spacing w:val="-2"/>
                <w:sz w:val="24"/>
              </w:rPr>
              <w:t xml:space="preserve"> </w:t>
            </w:r>
            <w:r>
              <w:rPr>
                <w:spacing w:val="-8"/>
                <w:sz w:val="24"/>
              </w:rPr>
              <w:t xml:space="preserve">的电缆沟，其余均在已经建好的电缆通道内铺设； </w:t>
            </w:r>
            <w:r>
              <w:rPr>
                <w:spacing w:val="-11"/>
                <w:sz w:val="24"/>
              </w:rPr>
              <w:t>此外，本项目新建电缆终端塔的施工场地均在征地红线范围内，新建附属设施在线监</w:t>
            </w:r>
            <w:r>
              <w:rPr>
                <w:spacing w:val="-20"/>
                <w:sz w:val="24"/>
              </w:rPr>
              <w:t xml:space="preserve">测室拟选在 </w:t>
            </w:r>
            <w:r>
              <w:rPr>
                <w:rFonts w:ascii="Times New Roman" w:eastAsia="Times New Roman"/>
                <w:sz w:val="24"/>
              </w:rPr>
              <w:t>220kV</w:t>
            </w:r>
            <w:r>
              <w:rPr>
                <w:rFonts w:ascii="Times New Roman" w:eastAsia="Times New Roman"/>
                <w:spacing w:val="-1"/>
                <w:sz w:val="24"/>
              </w:rPr>
              <w:t xml:space="preserve"> </w:t>
            </w:r>
            <w:r>
              <w:rPr>
                <w:sz w:val="24"/>
              </w:rPr>
              <w:t>琴韵站内，无需设置临时施工场地。</w:t>
            </w:r>
          </w:p>
          <w:p>
            <w:pPr>
              <w:pStyle w:val="TableParagraph"/>
              <w:spacing w:line="364" w:lineRule="auto"/>
              <w:ind w:left="113" w:right="86" w:firstLine="480"/>
              <w:jc w:val="both"/>
              <w:rPr>
                <w:sz w:val="24"/>
              </w:rPr>
            </w:pPr>
            <w:r>
              <w:rPr>
                <w:spacing w:val="-6"/>
                <w:sz w:val="24"/>
              </w:rPr>
              <w:t xml:space="preserve">电缆沟敷设采取沿路布设，电缆通道宽约 </w:t>
            </w:r>
            <w:r>
              <w:rPr>
                <w:rFonts w:ascii="Times New Roman" w:eastAsia="Times New Roman"/>
                <w:sz w:val="24"/>
              </w:rPr>
              <w:t>1.2m~1.7m</w:t>
            </w:r>
            <w:r>
              <w:rPr>
                <w:spacing w:val="-9"/>
                <w:sz w:val="24"/>
              </w:rPr>
              <w:t xml:space="preserve">，在一侧外扩约 </w:t>
            </w:r>
            <w:r>
              <w:rPr>
                <w:rFonts w:ascii="Times New Roman" w:eastAsia="Times New Roman"/>
                <w:sz w:val="24"/>
              </w:rPr>
              <w:t xml:space="preserve">1m </w:t>
            </w:r>
            <w:r>
              <w:rPr>
                <w:spacing w:val="-5"/>
                <w:sz w:val="24"/>
              </w:rPr>
              <w:t>的范围</w:t>
            </w:r>
            <w:r>
              <w:rPr>
                <w:spacing w:val="-9"/>
                <w:sz w:val="24"/>
              </w:rPr>
              <w:t>作为施工临时用地，用来临时堆置土方、砂石料、水、材料和工具等，主要占用道路</w:t>
            </w:r>
            <w:r>
              <w:rPr>
                <w:spacing w:val="-5"/>
                <w:sz w:val="24"/>
              </w:rPr>
              <w:t xml:space="preserve">绿化带，临时占地面积约为 </w:t>
            </w:r>
            <w:r>
              <w:rPr>
                <w:rFonts w:ascii="Times New Roman" w:eastAsia="Times New Roman"/>
                <w:sz w:val="24"/>
              </w:rPr>
              <w:t>30m</w:t>
            </w:r>
            <w:r>
              <w:rPr>
                <w:rFonts w:ascii="Times New Roman" w:eastAsia="Times New Roman"/>
                <w:position w:val="8"/>
                <w:sz w:val="15"/>
              </w:rPr>
              <w:t>2</w:t>
            </w:r>
            <w:r>
              <w:rPr>
                <w:sz w:val="24"/>
              </w:rPr>
              <w:t>。施工结束后对临时占地进行恢复。</w:t>
            </w:r>
          </w:p>
          <w:p>
            <w:pPr>
              <w:pStyle w:val="TableParagraph"/>
              <w:numPr>
                <w:ilvl w:val="1"/>
                <w:numId w:val="9"/>
              </w:numPr>
              <w:tabs>
                <w:tab w:val="left" w:pos="1194"/>
              </w:tabs>
              <w:spacing w:before="0" w:after="0" w:line="305" w:lineRule="exact"/>
              <w:ind w:left="1194" w:right="0" w:hanging="601"/>
              <w:jc w:val="left"/>
              <w:rPr>
                <w:sz w:val="24"/>
              </w:rPr>
            </w:pPr>
            <w:r>
              <w:rPr>
                <w:sz w:val="24"/>
              </w:rPr>
              <w:t>施工道路</w:t>
            </w:r>
          </w:p>
          <w:p>
            <w:pPr>
              <w:pStyle w:val="TableParagraph"/>
              <w:spacing w:before="160" w:line="364" w:lineRule="auto"/>
              <w:ind w:left="113" w:right="86" w:firstLine="480"/>
              <w:rPr>
                <w:sz w:val="24"/>
              </w:rPr>
            </w:pPr>
            <w:r>
              <w:rPr>
                <w:spacing w:val="-8"/>
                <w:sz w:val="24"/>
              </w:rPr>
              <w:t>新建电缆沿环岛北路综合管廊、横琴隧道电力舱、宝琴路电缆隧道走线；项目拟</w:t>
            </w:r>
            <w:r>
              <w:rPr>
                <w:sz w:val="24"/>
              </w:rPr>
              <w:t>拆除塔基均位于市政道路附近。因此，本项目施工无需新建施工道路。</w:t>
            </w:r>
          </w:p>
          <w:p>
            <w:pPr>
              <w:pStyle w:val="TableParagraph"/>
              <w:numPr>
                <w:ilvl w:val="0"/>
                <w:numId w:val="9"/>
              </w:numPr>
              <w:tabs>
                <w:tab w:val="left" w:pos="353"/>
              </w:tabs>
              <w:spacing w:before="0" w:after="0" w:line="306" w:lineRule="exact"/>
              <w:ind w:left="353" w:right="0" w:hanging="240"/>
              <w:jc w:val="left"/>
              <w:rPr>
                <w:b/>
                <w:sz w:val="24"/>
              </w:rPr>
            </w:pPr>
            <w:r>
              <w:rPr>
                <w:b/>
                <w:sz w:val="24"/>
              </w:rPr>
              <w:t>工程占地及土石方平衡</w:t>
            </w:r>
          </w:p>
          <w:p>
            <w:pPr>
              <w:pStyle w:val="TableParagraph"/>
              <w:spacing w:before="158"/>
              <w:ind w:left="593"/>
              <w:rPr>
                <w:sz w:val="24"/>
              </w:rPr>
            </w:pPr>
            <w:r>
              <w:rPr>
                <w:sz w:val="24"/>
              </w:rPr>
              <w:t>（</w:t>
            </w:r>
            <w:r>
              <w:rPr>
                <w:rFonts w:ascii="Times New Roman" w:eastAsia="Times New Roman"/>
                <w:sz w:val="24"/>
              </w:rPr>
              <w:t>1</w:t>
            </w:r>
            <w:r>
              <w:rPr>
                <w:sz w:val="24"/>
              </w:rPr>
              <w:t>）工程占地</w:t>
            </w:r>
          </w:p>
          <w:p>
            <w:pPr>
              <w:pStyle w:val="TableParagraph"/>
              <w:spacing w:before="161"/>
              <w:ind w:left="593" w:right="-44"/>
              <w:rPr>
                <w:sz w:val="24"/>
              </w:rPr>
            </w:pPr>
            <w:r>
              <w:rPr>
                <w:spacing w:val="-14"/>
                <w:sz w:val="24"/>
              </w:rPr>
              <w:t xml:space="preserve">本项目新建一个电缆终端场，位于宝琴路，用地性质为交通用地，占地约 </w:t>
            </w:r>
            <w:r>
              <w:rPr>
                <w:rFonts w:ascii="Times New Roman" w:eastAsia="Times New Roman"/>
                <w:sz w:val="24"/>
              </w:rPr>
              <w:t>360m</w:t>
            </w:r>
            <w:r>
              <w:rPr>
                <w:rFonts w:ascii="Times New Roman" w:eastAsia="Times New Roman"/>
                <w:position w:val="8"/>
                <w:sz w:val="15"/>
              </w:rPr>
              <w:t>2</w:t>
            </w:r>
            <w:r>
              <w:rPr>
                <w:sz w:val="24"/>
              </w:rPr>
              <w:t>。</w:t>
            </w:r>
          </w:p>
        </w:tc>
      </w:tr>
    </w:tbl>
    <w:p>
      <w:pPr>
        <w:spacing w:after="0"/>
        <w:rPr>
          <w:sz w:val="24"/>
        </w:rPr>
        <w:sectPr>
          <w:footerReference w:type="default" r:id="rId28"/>
          <w:pgSz w:w="11910" w:h="16840"/>
          <w:pgMar w:top="1420" w:right="901" w:bottom="1160" w:left="920" w:header="0" w:footer="963" w:gutter="0"/>
          <w:pgNumType w:start="18"/>
          <w:cols w:num="1" w:space="720"/>
        </w:sect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0"/>
        <w:gridCol w:w="8979"/>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8220"/>
        </w:trPr>
        <w:tc>
          <w:tcPr>
            <w:tcW w:w="460" w:type="dxa"/>
            <w:tcBorders>
              <w:bottom w:val="single" w:sz="4" w:space="0" w:color="000000"/>
              <w:right w:val="single" w:sz="4" w:space="0" w:color="000000"/>
            </w:tcBorders>
          </w:tcPr>
          <w:p>
            <w:pPr>
              <w:pStyle w:val="TableParagraph"/>
              <w:rPr>
                <w:rFonts w:ascii="Times New Roman"/>
                <w:sz w:val="22"/>
              </w:rPr>
            </w:pPr>
          </w:p>
        </w:tc>
        <w:tc>
          <w:tcPr>
            <w:tcW w:w="8979" w:type="dxa"/>
            <w:tcBorders>
              <w:left w:val="single" w:sz="4" w:space="0" w:color="000000"/>
              <w:bottom w:val="single" w:sz="4" w:space="0" w:color="000000"/>
            </w:tcBorders>
          </w:tcPr>
          <w:p>
            <w:pPr>
              <w:pStyle w:val="TableParagraph"/>
              <w:spacing w:line="299" w:lineRule="exact"/>
              <w:ind w:left="113"/>
              <w:jc w:val="both"/>
              <w:rPr>
                <w:sz w:val="24"/>
              </w:rPr>
            </w:pPr>
            <w:r>
              <w:rPr>
                <w:rFonts w:ascii="Times New Roman" w:eastAsia="Times New Roman"/>
                <w:sz w:val="24"/>
              </w:rPr>
              <w:t xml:space="preserve">220 </w:t>
            </w:r>
            <w:r>
              <w:rPr>
                <w:sz w:val="24"/>
              </w:rPr>
              <w:t>千伏电缆埋于地下，无永久占地。</w:t>
            </w:r>
          </w:p>
          <w:p>
            <w:pPr>
              <w:pStyle w:val="TableParagraph"/>
              <w:spacing w:before="160" w:line="364" w:lineRule="auto"/>
              <w:ind w:left="113" w:right="-44" w:firstLine="480"/>
              <w:jc w:val="both"/>
              <w:rPr>
                <w:sz w:val="24"/>
              </w:rPr>
            </w:pPr>
            <w:r>
              <w:rPr>
                <w:sz w:val="24"/>
              </w:rPr>
              <w:t>本项目新建电缆终端塔的施工场地均在征地红线永久占地范围内，无临时占地</w:t>
            </w:r>
            <w:r>
              <w:rPr>
                <w:spacing w:val="-10"/>
                <w:sz w:val="24"/>
              </w:rPr>
              <w:t xml:space="preserve">面。电缆通道宽约 </w:t>
            </w:r>
            <w:r>
              <w:rPr>
                <w:rFonts w:ascii="Times New Roman" w:eastAsia="Times New Roman"/>
                <w:sz w:val="24"/>
              </w:rPr>
              <w:t>1.2m~1.7m</w:t>
            </w:r>
            <w:r>
              <w:rPr>
                <w:spacing w:val="-8"/>
                <w:sz w:val="24"/>
              </w:rPr>
              <w:t xml:space="preserve">，在一侧外扩约 </w:t>
            </w:r>
            <w:r>
              <w:rPr>
                <w:rFonts w:ascii="Times New Roman" w:eastAsia="Times New Roman"/>
                <w:sz w:val="24"/>
              </w:rPr>
              <w:t xml:space="preserve">1m </w:t>
            </w:r>
            <w:r>
              <w:rPr>
                <w:spacing w:val="-1"/>
                <w:sz w:val="24"/>
              </w:rPr>
              <w:t>的范围作为施工临时用地，用来临</w:t>
            </w:r>
            <w:r>
              <w:rPr>
                <w:spacing w:val="-22"/>
                <w:sz w:val="24"/>
              </w:rPr>
              <w:t xml:space="preserve">时堆置土方、砂石料、材料和工具等，主要占用道路绿化带，临时占地面积约为 </w:t>
            </w:r>
            <w:r>
              <w:rPr>
                <w:rFonts w:ascii="Times New Roman" w:eastAsia="Times New Roman"/>
                <w:sz w:val="24"/>
              </w:rPr>
              <w:t>30m</w:t>
            </w:r>
            <w:r>
              <w:rPr>
                <w:rFonts w:ascii="Times New Roman" w:eastAsia="Times New Roman"/>
                <w:position w:val="8"/>
                <w:sz w:val="15"/>
              </w:rPr>
              <w:t>2</w:t>
            </w:r>
            <w:r>
              <w:rPr>
                <w:sz w:val="24"/>
              </w:rPr>
              <w:t>。</w:t>
            </w:r>
          </w:p>
          <w:p>
            <w:pPr>
              <w:pStyle w:val="TableParagraph"/>
              <w:spacing w:line="364" w:lineRule="auto"/>
              <w:ind w:left="593" w:right="1356"/>
              <w:jc w:val="both"/>
              <w:rPr>
                <w:sz w:val="24"/>
              </w:rPr>
            </w:pPr>
            <w:r>
              <w:rPr>
                <w:spacing w:val="-4"/>
                <w:sz w:val="24"/>
              </w:rPr>
              <w:t xml:space="preserve">新建附属设施在线监测室拟选在 </w:t>
            </w:r>
            <w:r>
              <w:rPr>
                <w:rFonts w:ascii="Times New Roman" w:eastAsia="Times New Roman"/>
                <w:sz w:val="24"/>
              </w:rPr>
              <w:t xml:space="preserve">220kV </w:t>
            </w:r>
            <w:r>
              <w:rPr>
                <w:spacing w:val="-2"/>
                <w:sz w:val="24"/>
              </w:rPr>
              <w:t>琴韵站内，无需新增占地。</w:t>
            </w:r>
            <w:r>
              <w:rPr>
                <w:spacing w:val="-9"/>
                <w:sz w:val="24"/>
              </w:rPr>
              <w:t xml:space="preserve">工程占地见表 </w:t>
            </w:r>
            <w:r>
              <w:rPr>
                <w:rFonts w:ascii="Times New Roman" w:eastAsia="Times New Roman"/>
                <w:sz w:val="24"/>
              </w:rPr>
              <w:t xml:space="preserve">2-8 </w:t>
            </w:r>
            <w:r>
              <w:rPr>
                <w:sz w:val="24"/>
              </w:rPr>
              <w:t>所示。</w:t>
            </w:r>
          </w:p>
          <w:p>
            <w:pPr>
              <w:pStyle w:val="TableParagraph"/>
              <w:tabs>
                <w:tab w:val="left" w:pos="8011"/>
              </w:tabs>
              <w:ind w:left="3576"/>
              <w:jc w:val="both"/>
              <w:rPr>
                <w:rFonts w:ascii="Times New Roman" w:eastAsia="Times New Roman"/>
                <w:sz w:val="13"/>
              </w:rPr>
            </w:pPr>
            <w:r>
              <w:rPr>
                <w:b/>
                <w:sz w:val="21"/>
              </w:rPr>
              <w:t>表</w:t>
            </w:r>
            <w:r>
              <w:rPr>
                <w:b/>
                <w:spacing w:val="-52"/>
                <w:sz w:val="21"/>
              </w:rPr>
              <w:t xml:space="preserve"> </w:t>
            </w:r>
            <w:r>
              <w:rPr>
                <w:rFonts w:ascii="Times New Roman" w:eastAsia="Times New Roman"/>
                <w:b/>
                <w:sz w:val="21"/>
              </w:rPr>
              <w:t>2-8</w:t>
            </w:r>
            <w:r>
              <w:rPr>
                <w:rFonts w:ascii="Times New Roman" w:eastAsia="Times New Roman"/>
                <w:b/>
                <w:spacing w:val="49"/>
                <w:sz w:val="21"/>
              </w:rPr>
              <w:t xml:space="preserve"> </w:t>
            </w:r>
            <w:r>
              <w:rPr>
                <w:b/>
                <w:sz w:val="21"/>
              </w:rPr>
              <w:t>工程占地面积一览表</w:t>
            </w:r>
            <w:r>
              <w:rPr>
                <w:b/>
                <w:sz w:val="21"/>
              </w:rPr>
              <w:tab/>
            </w:r>
            <w:r>
              <w:rPr>
                <w:b/>
                <w:sz w:val="21"/>
              </w:rPr>
              <w:t>单位：</w:t>
            </w:r>
            <w:r>
              <w:rPr>
                <w:rFonts w:ascii="Times New Roman" w:eastAsia="Times New Roman"/>
                <w:sz w:val="21"/>
              </w:rPr>
              <w:t>m</w:t>
            </w:r>
            <w:r>
              <w:rPr>
                <w:rFonts w:ascii="Times New Roman" w:eastAsia="Times New Roman"/>
                <w:position w:val="7"/>
                <w:sz w:val="13"/>
              </w:rPr>
              <w:t>2</w:t>
            </w: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91"/>
              <w:ind w:left="593"/>
              <w:rPr>
                <w:sz w:val="24"/>
              </w:rPr>
            </w:pPr>
            <w:r>
              <w:rPr>
                <w:sz w:val="24"/>
              </w:rPr>
              <w:t xml:space="preserve">因此，本项目永久占地约 </w:t>
            </w:r>
            <w:r>
              <w:rPr>
                <w:rFonts w:ascii="Times New Roman" w:eastAsia="Times New Roman"/>
                <w:sz w:val="24"/>
              </w:rPr>
              <w:t>360m</w:t>
            </w:r>
            <w:r>
              <w:rPr>
                <w:rFonts w:ascii="Times New Roman" w:eastAsia="Times New Roman"/>
                <w:position w:val="8"/>
                <w:sz w:val="15"/>
              </w:rPr>
              <w:t>2</w:t>
            </w:r>
            <w:r>
              <w:rPr>
                <w:sz w:val="24"/>
              </w:rPr>
              <w:t xml:space="preserve">，临时占地为 </w:t>
            </w:r>
            <w:r>
              <w:rPr>
                <w:rFonts w:ascii="Times New Roman" w:eastAsia="Times New Roman"/>
                <w:sz w:val="24"/>
              </w:rPr>
              <w:t>30m</w:t>
            </w:r>
            <w:r>
              <w:rPr>
                <w:rFonts w:ascii="Times New Roman" w:eastAsia="Times New Roman"/>
                <w:position w:val="8"/>
                <w:sz w:val="15"/>
              </w:rPr>
              <w:t>2</w:t>
            </w:r>
            <w:r>
              <w:rPr>
                <w:sz w:val="24"/>
              </w:rPr>
              <w:t xml:space="preserve">，总用地面积 </w:t>
            </w:r>
            <w:r>
              <w:rPr>
                <w:rFonts w:ascii="Times New Roman" w:eastAsia="Times New Roman"/>
                <w:sz w:val="24"/>
              </w:rPr>
              <w:t>390m</w:t>
            </w:r>
            <w:r>
              <w:rPr>
                <w:rFonts w:ascii="Times New Roman" w:eastAsia="Times New Roman"/>
                <w:position w:val="8"/>
                <w:sz w:val="15"/>
              </w:rPr>
              <w:t>2</w:t>
            </w:r>
            <w:r>
              <w:rPr>
                <w:sz w:val="24"/>
              </w:rPr>
              <w:t>。</w:t>
            </w:r>
          </w:p>
          <w:p>
            <w:pPr>
              <w:pStyle w:val="TableParagraph"/>
              <w:spacing w:before="161"/>
              <w:ind w:left="593"/>
              <w:rPr>
                <w:sz w:val="24"/>
              </w:rPr>
            </w:pPr>
            <w:r>
              <w:rPr>
                <w:sz w:val="24"/>
              </w:rPr>
              <w:t>（</w:t>
            </w:r>
            <w:r>
              <w:rPr>
                <w:rFonts w:ascii="Times New Roman" w:eastAsia="Times New Roman"/>
                <w:sz w:val="24"/>
              </w:rPr>
              <w:t>2</w:t>
            </w:r>
            <w:r>
              <w:rPr>
                <w:sz w:val="24"/>
              </w:rPr>
              <w:t>）土石方平衡</w:t>
            </w:r>
          </w:p>
          <w:p>
            <w:pPr>
              <w:pStyle w:val="TableParagraph"/>
              <w:spacing w:before="158" w:line="364" w:lineRule="auto"/>
              <w:ind w:left="113" w:right="86" w:firstLine="480"/>
              <w:jc w:val="both"/>
              <w:rPr>
                <w:sz w:val="24"/>
              </w:rPr>
            </w:pPr>
            <w:r>
              <w:rPr>
                <w:spacing w:val="-5"/>
                <w:sz w:val="24"/>
              </w:rPr>
              <w:t>本项目电缆终端场建设的土石方工程主要是电缆终端塔的基础开挖。本工程新建</w:t>
            </w:r>
            <w:r>
              <w:rPr>
                <w:spacing w:val="-9"/>
                <w:sz w:val="24"/>
              </w:rPr>
              <w:t xml:space="preserve">一个电缆终端塔，挖方约 </w:t>
            </w:r>
            <w:r>
              <w:rPr>
                <w:rFonts w:ascii="Times New Roman" w:eastAsia="Times New Roman"/>
                <w:sz w:val="24"/>
              </w:rPr>
              <w:t>100m</w:t>
            </w:r>
            <w:r>
              <w:rPr>
                <w:rFonts w:ascii="Times New Roman" w:eastAsia="Times New Roman"/>
                <w:position w:val="8"/>
                <w:sz w:val="15"/>
              </w:rPr>
              <w:t>3</w:t>
            </w:r>
            <w:r>
              <w:rPr>
                <w:spacing w:val="-9"/>
                <w:sz w:val="24"/>
              </w:rPr>
              <w:t>。挖方可用于电缆终端塔基础的回填，剩余土方用于</w:t>
            </w:r>
            <w:r>
              <w:rPr>
                <w:sz w:val="24"/>
              </w:rPr>
              <w:t>周边绿化或周边工地回填。无土石方外运。</w:t>
            </w:r>
          </w:p>
          <w:p>
            <w:pPr>
              <w:pStyle w:val="TableParagraph"/>
              <w:spacing w:line="362" w:lineRule="auto"/>
              <w:ind w:left="113" w:right="86" w:firstLine="480"/>
              <w:jc w:val="both"/>
              <w:rPr>
                <w:sz w:val="24"/>
              </w:rPr>
            </w:pPr>
            <w:r>
              <w:rPr>
                <w:spacing w:val="-4"/>
                <w:sz w:val="24"/>
              </w:rPr>
              <w:t xml:space="preserve">本工程电缆线路的土建工程只有 </w:t>
            </w:r>
            <w:r>
              <w:rPr>
                <w:rFonts w:ascii="Times New Roman" w:eastAsia="Times New Roman"/>
                <w:sz w:val="24"/>
              </w:rPr>
              <w:t xml:space="preserve">30m </w:t>
            </w:r>
            <w:r>
              <w:rPr>
                <w:spacing w:val="-11"/>
                <w:sz w:val="24"/>
              </w:rPr>
              <w:t xml:space="preserve">电缆沟，挖方约 </w:t>
            </w:r>
            <w:r>
              <w:rPr>
                <w:rFonts w:ascii="Times New Roman" w:eastAsia="Times New Roman"/>
                <w:spacing w:val="-3"/>
                <w:sz w:val="24"/>
              </w:rPr>
              <w:t>30m</w:t>
            </w:r>
            <w:r>
              <w:rPr>
                <w:rFonts w:ascii="Times New Roman" w:eastAsia="Times New Roman"/>
                <w:spacing w:val="-3"/>
                <w:position w:val="8"/>
                <w:sz w:val="15"/>
              </w:rPr>
              <w:t>3</w:t>
            </w:r>
            <w:r>
              <w:rPr>
                <w:spacing w:val="-4"/>
                <w:sz w:val="24"/>
              </w:rPr>
              <w:t>，且之后对开挖部分</w:t>
            </w:r>
            <w:r>
              <w:rPr>
                <w:spacing w:val="-10"/>
                <w:sz w:val="24"/>
              </w:rPr>
              <w:t>需要回填。土石方工程主要为电缆通道的开挖，挖方主要用于电缆沟的回填，剩余土</w:t>
            </w:r>
          </w:p>
          <w:p>
            <w:pPr>
              <w:pStyle w:val="TableParagraph"/>
              <w:spacing w:before="4"/>
              <w:ind w:left="113"/>
              <w:rPr>
                <w:sz w:val="24"/>
              </w:rPr>
            </w:pPr>
            <w:r>
              <w:rPr>
                <w:sz w:val="24"/>
              </w:rPr>
              <w:t>方用于周边绿化或周边工地回填。无土石方外运。</w:t>
            </w:r>
          </w:p>
        </w:tc>
      </w:tr>
      <w:tr>
        <w:tblPrEx>
          <w:tblW w:w="0" w:type="auto"/>
          <w:tblInd w:w="324" w:type="dxa"/>
          <w:tblLayout w:type="fixed"/>
          <w:tblCellMar>
            <w:top w:w="0" w:type="dxa"/>
            <w:left w:w="0" w:type="dxa"/>
            <w:bottom w:w="0" w:type="dxa"/>
            <w:right w:w="0" w:type="dxa"/>
          </w:tblCellMar>
        </w:tblPrEx>
        <w:trPr>
          <w:trHeight w:val="4199"/>
        </w:trPr>
        <w:tc>
          <w:tcPr>
            <w:tcW w:w="460" w:type="dxa"/>
            <w:tcBorders>
              <w:top w:val="single" w:sz="4" w:space="0" w:color="000000"/>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7"/>
              <w:rPr>
                <w:sz w:val="19"/>
              </w:rPr>
            </w:pPr>
          </w:p>
          <w:p>
            <w:pPr>
              <w:pStyle w:val="TableParagraph"/>
              <w:spacing w:line="242" w:lineRule="auto"/>
              <w:ind w:left="109" w:right="93"/>
              <w:jc w:val="both"/>
              <w:rPr>
                <w:sz w:val="24"/>
              </w:rPr>
            </w:pPr>
            <w:r>
              <w:rPr>
                <w:sz w:val="24"/>
              </w:rPr>
              <w:t>施工方案</w:t>
            </w:r>
          </w:p>
        </w:tc>
        <w:tc>
          <w:tcPr>
            <w:tcW w:w="8979" w:type="dxa"/>
            <w:tcBorders>
              <w:top w:val="single" w:sz="4" w:space="0" w:color="000000"/>
              <w:left w:val="single" w:sz="4" w:space="0" w:color="000000"/>
            </w:tcBorders>
          </w:tcPr>
          <w:p>
            <w:pPr>
              <w:pStyle w:val="TableParagraph"/>
              <w:numPr>
                <w:ilvl w:val="0"/>
                <w:numId w:val="10"/>
              </w:numPr>
              <w:tabs>
                <w:tab w:val="left" w:pos="353"/>
              </w:tabs>
              <w:spacing w:before="2" w:after="0" w:line="240" w:lineRule="auto"/>
              <w:ind w:left="353" w:right="0" w:hanging="240"/>
              <w:jc w:val="left"/>
              <w:rPr>
                <w:b/>
                <w:sz w:val="24"/>
              </w:rPr>
            </w:pPr>
            <w:r>
              <w:rPr>
                <w:b/>
                <w:sz w:val="24"/>
              </w:rPr>
              <w:t>施工工艺</w:t>
            </w:r>
          </w:p>
          <w:p>
            <w:pPr>
              <w:pStyle w:val="TableParagraph"/>
              <w:numPr>
                <w:ilvl w:val="1"/>
                <w:numId w:val="10"/>
              </w:numPr>
              <w:tabs>
                <w:tab w:val="left" w:pos="533"/>
              </w:tabs>
              <w:spacing w:before="159" w:after="0" w:line="240" w:lineRule="auto"/>
              <w:ind w:left="533" w:right="0" w:hanging="420"/>
              <w:jc w:val="both"/>
              <w:rPr>
                <w:b/>
                <w:sz w:val="24"/>
              </w:rPr>
            </w:pPr>
            <w:r>
              <w:rPr>
                <w:b/>
                <w:sz w:val="24"/>
              </w:rPr>
              <w:t>施工期工艺流程简述</w:t>
            </w:r>
          </w:p>
          <w:p>
            <w:pPr>
              <w:pStyle w:val="TableParagraph"/>
              <w:spacing w:before="158" w:line="364" w:lineRule="auto"/>
              <w:ind w:left="113" w:right="86" w:firstLine="480"/>
              <w:jc w:val="both"/>
              <w:rPr>
                <w:sz w:val="24"/>
              </w:rPr>
            </w:pPr>
            <w:r>
              <w:rPr>
                <w:spacing w:val="-6"/>
                <w:sz w:val="24"/>
              </w:rPr>
              <w:t>本工程施工准备阶段主要是施工备料及施工临时场地的布置，之后进行主体工程</w:t>
            </w:r>
            <w:r>
              <w:rPr>
                <w:spacing w:val="-11"/>
                <w:sz w:val="24"/>
              </w:rPr>
              <w:t>的基础施工。包括电缆终端塔基础及电缆沟开挖、回填等，基础开挖完成后进行架线</w:t>
            </w:r>
            <w:r>
              <w:rPr>
                <w:spacing w:val="-13"/>
                <w:sz w:val="24"/>
              </w:rPr>
              <w:t>施工、电缆敷设、线路对接，施工完成后，对基面进行防护和绿化。工程竣工后进行</w:t>
            </w:r>
            <w:r>
              <w:rPr>
                <w:sz w:val="24"/>
              </w:rPr>
              <w:t>工程验收，最后投入运营。</w:t>
            </w:r>
          </w:p>
          <w:p>
            <w:pPr>
              <w:pStyle w:val="TableParagraph"/>
              <w:spacing w:line="362" w:lineRule="auto"/>
              <w:ind w:left="113" w:right="86" w:firstLine="480"/>
              <w:rPr>
                <w:sz w:val="24"/>
              </w:rPr>
            </w:pPr>
            <w:r>
              <w:rPr>
                <w:spacing w:val="-7"/>
                <w:sz w:val="24"/>
              </w:rPr>
              <w:t>施工准备阶段以及施工过程中会产生施工噪声、扬尘、施工废污水、固体废弃物</w:t>
            </w:r>
            <w:r>
              <w:rPr>
                <w:sz w:val="24"/>
              </w:rPr>
              <w:t>等污染，会造成土地占用、植被破坏和水土流失等情况。</w:t>
            </w:r>
          </w:p>
          <w:p>
            <w:pPr>
              <w:pStyle w:val="TableParagraph"/>
              <w:spacing w:before="5"/>
              <w:ind w:left="593"/>
              <w:rPr>
                <w:sz w:val="24"/>
              </w:rPr>
            </w:pPr>
            <w:r>
              <w:rPr>
                <w:sz w:val="24"/>
              </w:rPr>
              <w:t xml:space="preserve">本工程工艺流程及产污环节见图 </w:t>
            </w:r>
            <w:r>
              <w:rPr>
                <w:rFonts w:ascii="Times New Roman" w:eastAsia="Times New Roman"/>
                <w:sz w:val="24"/>
              </w:rPr>
              <w:t>2-4</w:t>
            </w:r>
            <w:r>
              <w:rPr>
                <w:sz w:val="24"/>
              </w:rPr>
              <w:t>。</w:t>
            </w:r>
          </w:p>
        </w:tc>
      </w:tr>
    </w:tbl>
    <w:p>
      <w:pPr>
        <w:rPr>
          <w:sz w:val="2"/>
          <w:szCs w:val="2"/>
        </w:rPr>
      </w:pPr>
      <w:r>
        <w:pict>
          <v:shape id="_x0000_s1203" o:spid="_x0000_s1062" type="#_x0000_t202" style="width:408.15pt;height:71.05pt;margin-top:225.1pt;margin-left:105.05pt;mso-height-relative:page;mso-position-horizontal-relative:page;mso-position-vertical-relative:page;mso-width-relative:page;position:absolute;z-index:251666432" coordsize="21600,21600" filled="f" stroked="f">
            <v:stroke joinstyle="miter"/>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54"/>
                    <w:gridCol w:w="1503"/>
                    <w:gridCol w:w="2268"/>
                    <w:gridCol w:w="2410"/>
                    <w:gridCol w:w="1328"/>
                  </w:tblGrid>
                  <w:tr>
                    <w:tblPrEx>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72"/>
                    </w:trPr>
                    <w:tc>
                      <w:tcPr>
                        <w:tcW w:w="654" w:type="dxa"/>
                        <w:tcBorders>
                          <w:left w:val="nil"/>
                        </w:tcBorders>
                        <w:shd w:val="clear" w:color="auto" w:fill="F1F1F1"/>
                      </w:tcPr>
                      <w:p>
                        <w:pPr>
                          <w:pStyle w:val="TableParagraph"/>
                          <w:spacing w:line="252" w:lineRule="exact"/>
                          <w:ind w:left="97" w:right="90"/>
                          <w:jc w:val="center"/>
                          <w:rPr>
                            <w:b/>
                            <w:sz w:val="21"/>
                          </w:rPr>
                        </w:pPr>
                        <w:r>
                          <w:rPr>
                            <w:b/>
                            <w:sz w:val="21"/>
                          </w:rPr>
                          <w:t>序号</w:t>
                        </w:r>
                      </w:p>
                    </w:tc>
                    <w:tc>
                      <w:tcPr>
                        <w:tcW w:w="1503" w:type="dxa"/>
                        <w:shd w:val="clear" w:color="auto" w:fill="F1F1F1"/>
                      </w:tcPr>
                      <w:p>
                        <w:pPr>
                          <w:pStyle w:val="TableParagraph"/>
                          <w:spacing w:line="252" w:lineRule="exact"/>
                          <w:ind w:left="200" w:right="202"/>
                          <w:jc w:val="center"/>
                          <w:rPr>
                            <w:b/>
                            <w:sz w:val="21"/>
                          </w:rPr>
                        </w:pPr>
                        <w:r>
                          <w:rPr>
                            <w:b/>
                            <w:sz w:val="21"/>
                          </w:rPr>
                          <w:t>项目</w:t>
                        </w:r>
                      </w:p>
                    </w:tc>
                    <w:tc>
                      <w:tcPr>
                        <w:tcW w:w="2268" w:type="dxa"/>
                        <w:shd w:val="clear" w:color="auto" w:fill="F1F1F1"/>
                      </w:tcPr>
                      <w:p>
                        <w:pPr>
                          <w:pStyle w:val="TableParagraph"/>
                          <w:spacing w:line="252" w:lineRule="exact"/>
                          <w:ind w:left="158" w:right="158"/>
                          <w:jc w:val="center"/>
                          <w:rPr>
                            <w:b/>
                            <w:sz w:val="21"/>
                          </w:rPr>
                        </w:pPr>
                        <w:r>
                          <w:rPr>
                            <w:b/>
                            <w:sz w:val="21"/>
                          </w:rPr>
                          <w:t>永久占地</w:t>
                        </w:r>
                      </w:p>
                    </w:tc>
                    <w:tc>
                      <w:tcPr>
                        <w:tcW w:w="2410" w:type="dxa"/>
                        <w:shd w:val="clear" w:color="auto" w:fill="F1F1F1"/>
                      </w:tcPr>
                      <w:p>
                        <w:pPr>
                          <w:pStyle w:val="TableParagraph"/>
                          <w:spacing w:line="252" w:lineRule="exact"/>
                          <w:ind w:left="678" w:right="678"/>
                          <w:jc w:val="center"/>
                          <w:rPr>
                            <w:b/>
                            <w:sz w:val="21"/>
                          </w:rPr>
                        </w:pPr>
                        <w:r>
                          <w:rPr>
                            <w:b/>
                            <w:sz w:val="21"/>
                          </w:rPr>
                          <w:t>临时占地</w:t>
                        </w:r>
                      </w:p>
                    </w:tc>
                    <w:tc>
                      <w:tcPr>
                        <w:tcW w:w="1328" w:type="dxa"/>
                        <w:tcBorders>
                          <w:right w:val="nil"/>
                        </w:tcBorders>
                        <w:shd w:val="clear" w:color="auto" w:fill="F1F1F1"/>
                      </w:tcPr>
                      <w:p>
                        <w:pPr>
                          <w:pStyle w:val="TableParagraph"/>
                          <w:spacing w:line="252" w:lineRule="exact"/>
                          <w:ind w:left="427" w:right="434"/>
                          <w:jc w:val="center"/>
                          <w:rPr>
                            <w:b/>
                            <w:sz w:val="21"/>
                          </w:rPr>
                        </w:pPr>
                        <w:r>
                          <w:rPr>
                            <w:b/>
                            <w:sz w:val="21"/>
                          </w:rPr>
                          <w:t>小计</w:t>
                        </w:r>
                      </w:p>
                    </w:tc>
                  </w:tr>
                  <w:tr>
                    <w:tblPrEx>
                      <w:tblW w:w="0" w:type="auto"/>
                      <w:tblInd w:w="7" w:type="dxa"/>
                      <w:tblLayout w:type="fixed"/>
                      <w:tblCellMar>
                        <w:top w:w="0" w:type="dxa"/>
                        <w:left w:w="0" w:type="dxa"/>
                        <w:bottom w:w="0" w:type="dxa"/>
                        <w:right w:w="0" w:type="dxa"/>
                      </w:tblCellMar>
                    </w:tblPrEx>
                    <w:trPr>
                      <w:trHeight w:val="271"/>
                    </w:trPr>
                    <w:tc>
                      <w:tcPr>
                        <w:tcW w:w="654" w:type="dxa"/>
                        <w:tcBorders>
                          <w:left w:val="nil"/>
                        </w:tcBorders>
                      </w:tcPr>
                      <w:p>
                        <w:pPr>
                          <w:pStyle w:val="TableParagraph"/>
                          <w:spacing w:before="15" w:line="237" w:lineRule="exact"/>
                          <w:ind w:left="3"/>
                          <w:jc w:val="center"/>
                          <w:rPr>
                            <w:rFonts w:ascii="Times New Roman"/>
                            <w:sz w:val="21"/>
                          </w:rPr>
                        </w:pPr>
                        <w:r>
                          <w:rPr>
                            <w:rFonts w:ascii="Times New Roman"/>
                            <w:w w:val="99"/>
                            <w:sz w:val="21"/>
                          </w:rPr>
                          <w:t>1</w:t>
                        </w:r>
                      </w:p>
                    </w:tc>
                    <w:tc>
                      <w:tcPr>
                        <w:tcW w:w="1503" w:type="dxa"/>
                      </w:tcPr>
                      <w:p>
                        <w:pPr>
                          <w:pStyle w:val="TableParagraph"/>
                          <w:spacing w:before="1" w:line="251" w:lineRule="exact"/>
                          <w:ind w:left="200" w:right="202"/>
                          <w:jc w:val="center"/>
                          <w:rPr>
                            <w:sz w:val="21"/>
                          </w:rPr>
                        </w:pPr>
                        <w:r>
                          <w:rPr>
                            <w:sz w:val="21"/>
                          </w:rPr>
                          <w:t>电缆终端场</w:t>
                        </w:r>
                      </w:p>
                    </w:tc>
                    <w:tc>
                      <w:tcPr>
                        <w:tcW w:w="2268" w:type="dxa"/>
                      </w:tcPr>
                      <w:p>
                        <w:pPr>
                          <w:pStyle w:val="TableParagraph"/>
                          <w:spacing w:before="15" w:line="237" w:lineRule="exact"/>
                          <w:ind w:left="157" w:right="158"/>
                          <w:jc w:val="center"/>
                          <w:rPr>
                            <w:rFonts w:ascii="Times New Roman"/>
                            <w:sz w:val="21"/>
                          </w:rPr>
                        </w:pPr>
                        <w:r>
                          <w:rPr>
                            <w:rFonts w:ascii="Times New Roman"/>
                            <w:sz w:val="21"/>
                          </w:rPr>
                          <w:t>360</w:t>
                        </w:r>
                      </w:p>
                    </w:tc>
                    <w:tc>
                      <w:tcPr>
                        <w:tcW w:w="2410" w:type="dxa"/>
                      </w:tcPr>
                      <w:p>
                        <w:pPr>
                          <w:pStyle w:val="TableParagraph"/>
                          <w:spacing w:before="15" w:line="237" w:lineRule="exact"/>
                          <w:jc w:val="center"/>
                          <w:rPr>
                            <w:rFonts w:ascii="Times New Roman"/>
                            <w:sz w:val="21"/>
                          </w:rPr>
                        </w:pPr>
                        <w:r>
                          <w:rPr>
                            <w:rFonts w:ascii="Times New Roman"/>
                            <w:w w:val="99"/>
                            <w:sz w:val="21"/>
                          </w:rPr>
                          <w:t>0</w:t>
                        </w:r>
                      </w:p>
                    </w:tc>
                    <w:tc>
                      <w:tcPr>
                        <w:tcW w:w="1328" w:type="dxa"/>
                        <w:tcBorders>
                          <w:right w:val="nil"/>
                        </w:tcBorders>
                      </w:tcPr>
                      <w:p>
                        <w:pPr>
                          <w:pStyle w:val="TableParagraph"/>
                          <w:spacing w:before="15" w:line="237" w:lineRule="exact"/>
                          <w:ind w:left="427" w:right="433"/>
                          <w:jc w:val="center"/>
                          <w:rPr>
                            <w:rFonts w:ascii="Times New Roman"/>
                            <w:sz w:val="21"/>
                          </w:rPr>
                        </w:pPr>
                        <w:r>
                          <w:rPr>
                            <w:rFonts w:ascii="Times New Roman"/>
                            <w:sz w:val="21"/>
                          </w:rPr>
                          <w:t>360</w:t>
                        </w:r>
                      </w:p>
                    </w:tc>
                  </w:tr>
                  <w:tr>
                    <w:tblPrEx>
                      <w:tblW w:w="0" w:type="auto"/>
                      <w:tblInd w:w="7" w:type="dxa"/>
                      <w:tblLayout w:type="fixed"/>
                      <w:tblCellMar>
                        <w:top w:w="0" w:type="dxa"/>
                        <w:left w:w="0" w:type="dxa"/>
                        <w:bottom w:w="0" w:type="dxa"/>
                        <w:right w:w="0" w:type="dxa"/>
                      </w:tblCellMar>
                    </w:tblPrEx>
                    <w:trPr>
                      <w:trHeight w:val="273"/>
                    </w:trPr>
                    <w:tc>
                      <w:tcPr>
                        <w:tcW w:w="654" w:type="dxa"/>
                        <w:tcBorders>
                          <w:left w:val="nil"/>
                        </w:tcBorders>
                      </w:tcPr>
                      <w:p>
                        <w:pPr>
                          <w:pStyle w:val="TableParagraph"/>
                          <w:rPr>
                            <w:rFonts w:ascii="Times New Roman"/>
                            <w:sz w:val="20"/>
                          </w:rPr>
                        </w:pPr>
                      </w:p>
                    </w:tc>
                    <w:tc>
                      <w:tcPr>
                        <w:tcW w:w="1503" w:type="dxa"/>
                      </w:tcPr>
                      <w:p>
                        <w:pPr>
                          <w:pStyle w:val="TableParagraph"/>
                          <w:spacing w:line="253" w:lineRule="exact"/>
                          <w:ind w:left="200" w:right="202"/>
                          <w:jc w:val="center"/>
                          <w:rPr>
                            <w:sz w:val="21"/>
                          </w:rPr>
                        </w:pPr>
                        <w:r>
                          <w:rPr>
                            <w:sz w:val="21"/>
                          </w:rPr>
                          <w:t>电缆通道</w:t>
                        </w:r>
                      </w:p>
                    </w:tc>
                    <w:tc>
                      <w:tcPr>
                        <w:tcW w:w="2268" w:type="dxa"/>
                      </w:tcPr>
                      <w:p>
                        <w:pPr>
                          <w:pStyle w:val="TableParagraph"/>
                          <w:spacing w:before="14" w:line="239" w:lineRule="exact"/>
                          <w:ind w:right="1"/>
                          <w:jc w:val="center"/>
                          <w:rPr>
                            <w:rFonts w:ascii="Times New Roman"/>
                            <w:sz w:val="21"/>
                          </w:rPr>
                        </w:pPr>
                        <w:r>
                          <w:rPr>
                            <w:rFonts w:ascii="Times New Roman"/>
                            <w:w w:val="99"/>
                            <w:sz w:val="21"/>
                          </w:rPr>
                          <w:t>0</w:t>
                        </w:r>
                      </w:p>
                    </w:tc>
                    <w:tc>
                      <w:tcPr>
                        <w:tcW w:w="2410" w:type="dxa"/>
                      </w:tcPr>
                      <w:p>
                        <w:pPr>
                          <w:pStyle w:val="TableParagraph"/>
                          <w:spacing w:before="14" w:line="239" w:lineRule="exact"/>
                          <w:ind w:left="678" w:right="678"/>
                          <w:jc w:val="center"/>
                          <w:rPr>
                            <w:rFonts w:ascii="Times New Roman"/>
                            <w:sz w:val="21"/>
                          </w:rPr>
                        </w:pPr>
                        <w:r>
                          <w:rPr>
                            <w:rFonts w:ascii="Times New Roman"/>
                            <w:sz w:val="21"/>
                          </w:rPr>
                          <w:t>30</w:t>
                        </w:r>
                      </w:p>
                    </w:tc>
                    <w:tc>
                      <w:tcPr>
                        <w:tcW w:w="1328" w:type="dxa"/>
                        <w:tcBorders>
                          <w:right w:val="nil"/>
                        </w:tcBorders>
                      </w:tcPr>
                      <w:p>
                        <w:pPr>
                          <w:pStyle w:val="TableParagraph"/>
                          <w:spacing w:before="14" w:line="239" w:lineRule="exact"/>
                          <w:ind w:left="427" w:right="433"/>
                          <w:jc w:val="center"/>
                          <w:rPr>
                            <w:rFonts w:ascii="Times New Roman"/>
                            <w:sz w:val="21"/>
                          </w:rPr>
                        </w:pPr>
                        <w:r>
                          <w:rPr>
                            <w:rFonts w:ascii="Times New Roman"/>
                            <w:sz w:val="21"/>
                          </w:rPr>
                          <w:t>30</w:t>
                        </w:r>
                      </w:p>
                    </w:tc>
                  </w:tr>
                  <w:tr>
                    <w:tblPrEx>
                      <w:tblW w:w="0" w:type="auto"/>
                      <w:tblInd w:w="7" w:type="dxa"/>
                      <w:tblLayout w:type="fixed"/>
                      <w:tblCellMar>
                        <w:top w:w="0" w:type="dxa"/>
                        <w:left w:w="0" w:type="dxa"/>
                        <w:bottom w:w="0" w:type="dxa"/>
                        <w:right w:w="0" w:type="dxa"/>
                      </w:tblCellMar>
                    </w:tblPrEx>
                    <w:trPr>
                      <w:trHeight w:val="271"/>
                    </w:trPr>
                    <w:tc>
                      <w:tcPr>
                        <w:tcW w:w="654" w:type="dxa"/>
                        <w:tcBorders>
                          <w:left w:val="nil"/>
                        </w:tcBorders>
                      </w:tcPr>
                      <w:p>
                        <w:pPr>
                          <w:pStyle w:val="TableParagraph"/>
                          <w:spacing w:before="14" w:line="238" w:lineRule="exact"/>
                          <w:ind w:left="3"/>
                          <w:jc w:val="center"/>
                          <w:rPr>
                            <w:rFonts w:ascii="Times New Roman"/>
                            <w:sz w:val="21"/>
                          </w:rPr>
                        </w:pPr>
                        <w:r>
                          <w:rPr>
                            <w:rFonts w:ascii="Times New Roman"/>
                            <w:w w:val="99"/>
                            <w:sz w:val="21"/>
                          </w:rPr>
                          <w:t>2</w:t>
                        </w:r>
                      </w:p>
                    </w:tc>
                    <w:tc>
                      <w:tcPr>
                        <w:tcW w:w="1503" w:type="dxa"/>
                      </w:tcPr>
                      <w:p>
                        <w:pPr>
                          <w:pStyle w:val="TableParagraph"/>
                          <w:spacing w:line="252" w:lineRule="exact"/>
                          <w:ind w:left="200" w:right="202"/>
                          <w:jc w:val="center"/>
                          <w:rPr>
                            <w:sz w:val="21"/>
                          </w:rPr>
                        </w:pPr>
                        <w:r>
                          <w:rPr>
                            <w:sz w:val="21"/>
                          </w:rPr>
                          <w:t>在线监测室</w:t>
                        </w:r>
                      </w:p>
                    </w:tc>
                    <w:tc>
                      <w:tcPr>
                        <w:tcW w:w="2268" w:type="dxa"/>
                      </w:tcPr>
                      <w:p>
                        <w:pPr>
                          <w:pStyle w:val="TableParagraph"/>
                          <w:spacing w:before="14" w:line="238" w:lineRule="exact"/>
                          <w:ind w:right="1"/>
                          <w:jc w:val="center"/>
                          <w:rPr>
                            <w:rFonts w:ascii="Times New Roman"/>
                            <w:sz w:val="21"/>
                          </w:rPr>
                        </w:pPr>
                        <w:r>
                          <w:rPr>
                            <w:rFonts w:ascii="Times New Roman"/>
                            <w:w w:val="99"/>
                            <w:sz w:val="21"/>
                          </w:rPr>
                          <w:t>0</w:t>
                        </w:r>
                      </w:p>
                    </w:tc>
                    <w:tc>
                      <w:tcPr>
                        <w:tcW w:w="2410" w:type="dxa"/>
                      </w:tcPr>
                      <w:p>
                        <w:pPr>
                          <w:pStyle w:val="TableParagraph"/>
                          <w:spacing w:before="14" w:line="238" w:lineRule="exact"/>
                          <w:jc w:val="center"/>
                          <w:rPr>
                            <w:rFonts w:ascii="Times New Roman"/>
                            <w:sz w:val="21"/>
                          </w:rPr>
                        </w:pPr>
                        <w:r>
                          <w:rPr>
                            <w:rFonts w:ascii="Times New Roman"/>
                            <w:w w:val="99"/>
                            <w:sz w:val="21"/>
                          </w:rPr>
                          <w:t>0</w:t>
                        </w:r>
                      </w:p>
                    </w:tc>
                    <w:tc>
                      <w:tcPr>
                        <w:tcW w:w="1328" w:type="dxa"/>
                        <w:tcBorders>
                          <w:right w:val="nil"/>
                        </w:tcBorders>
                      </w:tcPr>
                      <w:p>
                        <w:pPr>
                          <w:pStyle w:val="TableParagraph"/>
                          <w:spacing w:before="14" w:line="238" w:lineRule="exact"/>
                          <w:ind w:right="6"/>
                          <w:jc w:val="center"/>
                          <w:rPr>
                            <w:rFonts w:ascii="Times New Roman"/>
                            <w:sz w:val="21"/>
                          </w:rPr>
                        </w:pPr>
                        <w:r>
                          <w:rPr>
                            <w:rFonts w:ascii="Times New Roman"/>
                            <w:w w:val="99"/>
                            <w:sz w:val="21"/>
                          </w:rPr>
                          <w:t>0</w:t>
                        </w:r>
                      </w:p>
                    </w:tc>
                  </w:tr>
                  <w:tr>
                    <w:tblPrEx>
                      <w:tblW w:w="0" w:type="auto"/>
                      <w:tblInd w:w="7" w:type="dxa"/>
                      <w:tblLayout w:type="fixed"/>
                      <w:tblCellMar>
                        <w:top w:w="0" w:type="dxa"/>
                        <w:left w:w="0" w:type="dxa"/>
                        <w:bottom w:w="0" w:type="dxa"/>
                        <w:right w:w="0" w:type="dxa"/>
                      </w:tblCellMar>
                    </w:tblPrEx>
                    <w:trPr>
                      <w:trHeight w:val="272"/>
                    </w:trPr>
                    <w:tc>
                      <w:tcPr>
                        <w:tcW w:w="2157" w:type="dxa"/>
                        <w:gridSpan w:val="2"/>
                        <w:tcBorders>
                          <w:left w:val="nil"/>
                        </w:tcBorders>
                      </w:tcPr>
                      <w:p>
                        <w:pPr>
                          <w:pStyle w:val="TableParagraph"/>
                          <w:spacing w:line="252" w:lineRule="exact"/>
                          <w:ind w:left="848" w:right="844"/>
                          <w:jc w:val="center"/>
                          <w:rPr>
                            <w:sz w:val="21"/>
                          </w:rPr>
                        </w:pPr>
                        <w:r>
                          <w:rPr>
                            <w:sz w:val="21"/>
                          </w:rPr>
                          <w:t>合计</w:t>
                        </w:r>
                      </w:p>
                    </w:tc>
                    <w:tc>
                      <w:tcPr>
                        <w:tcW w:w="2268" w:type="dxa"/>
                      </w:tcPr>
                      <w:p>
                        <w:pPr>
                          <w:pStyle w:val="TableParagraph"/>
                          <w:spacing w:before="13" w:line="239" w:lineRule="exact"/>
                          <w:ind w:left="157" w:right="158"/>
                          <w:jc w:val="center"/>
                          <w:rPr>
                            <w:rFonts w:ascii="Times New Roman"/>
                            <w:sz w:val="21"/>
                          </w:rPr>
                        </w:pPr>
                        <w:r>
                          <w:rPr>
                            <w:rFonts w:ascii="Times New Roman"/>
                            <w:sz w:val="21"/>
                          </w:rPr>
                          <w:t>360</w:t>
                        </w:r>
                      </w:p>
                    </w:tc>
                    <w:tc>
                      <w:tcPr>
                        <w:tcW w:w="2410" w:type="dxa"/>
                      </w:tcPr>
                      <w:p>
                        <w:pPr>
                          <w:pStyle w:val="TableParagraph"/>
                          <w:spacing w:before="13" w:line="239" w:lineRule="exact"/>
                          <w:ind w:left="678" w:right="678"/>
                          <w:jc w:val="center"/>
                          <w:rPr>
                            <w:rFonts w:ascii="Times New Roman"/>
                            <w:sz w:val="21"/>
                          </w:rPr>
                        </w:pPr>
                        <w:r>
                          <w:rPr>
                            <w:rFonts w:ascii="Times New Roman"/>
                            <w:sz w:val="21"/>
                          </w:rPr>
                          <w:t>30</w:t>
                        </w:r>
                      </w:p>
                    </w:tc>
                    <w:tc>
                      <w:tcPr>
                        <w:tcW w:w="1328" w:type="dxa"/>
                        <w:tcBorders>
                          <w:right w:val="nil"/>
                        </w:tcBorders>
                      </w:tcPr>
                      <w:p>
                        <w:pPr>
                          <w:pStyle w:val="TableParagraph"/>
                          <w:spacing w:before="13" w:line="239" w:lineRule="exact"/>
                          <w:ind w:left="427" w:right="433"/>
                          <w:jc w:val="center"/>
                          <w:rPr>
                            <w:rFonts w:ascii="Times New Roman"/>
                            <w:sz w:val="21"/>
                          </w:rPr>
                        </w:pPr>
                        <w:r>
                          <w:rPr>
                            <w:rFonts w:ascii="Times New Roman"/>
                            <w:sz w:val="21"/>
                          </w:rPr>
                          <w:t>390</w:t>
                        </w:r>
                      </w:p>
                    </w:tc>
                  </w:tr>
                </w:tbl>
                <w:p>
                  <w:pPr>
                    <w:pStyle w:val="BodyText"/>
                  </w:pPr>
                </w:p>
              </w:txbxContent>
            </v:textbox>
          </v:shape>
        </w:pict>
      </w:r>
    </w:p>
    <w:p>
      <w:pPr>
        <w:spacing w:after="0"/>
        <w:rPr>
          <w:sz w:val="2"/>
          <w:szCs w:val="2"/>
        </w:rPr>
        <w:sectPr>
          <w:footerReference w:type="default" r:id="rId29"/>
          <w:pgSz w:w="11910" w:h="16840"/>
          <w:pgMar w:top="1420" w:right="901" w:bottom="1160" w:left="920" w:header="0" w:footer="963" w:gutter="0"/>
          <w:pgNumType w:start="19"/>
          <w:cols w:num="1" w:space="720"/>
        </w:sect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0"/>
        <w:gridCol w:w="8979"/>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3523"/>
        </w:trPr>
        <w:tc>
          <w:tcPr>
            <w:tcW w:w="460" w:type="dxa"/>
            <w:tcBorders>
              <w:right w:val="single" w:sz="4" w:space="0" w:color="000000"/>
            </w:tcBorders>
          </w:tcPr>
          <w:p>
            <w:pPr>
              <w:pStyle w:val="TableParagraph"/>
              <w:rPr>
                <w:rFonts w:ascii="Times New Roman"/>
                <w:sz w:val="22"/>
              </w:rPr>
            </w:pPr>
          </w:p>
        </w:tc>
        <w:tc>
          <w:tcPr>
            <w:tcW w:w="8979" w:type="dxa"/>
            <w:tcBorders>
              <w:left w:val="single" w:sz="4" w:space="0" w:color="000000"/>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1"/>
              <w:rPr>
                <w:sz w:val="30"/>
              </w:rPr>
            </w:pPr>
          </w:p>
          <w:p>
            <w:pPr>
              <w:pStyle w:val="TableParagraph"/>
              <w:ind w:left="5810"/>
              <w:rPr>
                <w:rFonts w:ascii="等线" w:eastAsia="等线" w:hint="eastAsia"/>
                <w:sz w:val="21"/>
              </w:rPr>
            </w:pPr>
            <w:r>
              <w:rPr>
                <w:rFonts w:ascii="等线" w:eastAsia="等线" w:hint="eastAsia"/>
                <w:sz w:val="21"/>
              </w:rPr>
              <w:t>拆除线路、</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9"/>
              <w:rPr>
                <w:sz w:val="25"/>
              </w:rPr>
            </w:pPr>
          </w:p>
          <w:p>
            <w:pPr>
              <w:pStyle w:val="TableParagraph"/>
              <w:ind w:left="2798"/>
              <w:rPr>
                <w:b/>
                <w:sz w:val="21"/>
              </w:rPr>
            </w:pPr>
            <w:r>
              <w:rPr>
                <w:b/>
                <w:spacing w:val="-26"/>
                <w:sz w:val="21"/>
              </w:rPr>
              <w:t xml:space="preserve">图 </w:t>
            </w:r>
            <w:r>
              <w:rPr>
                <w:rFonts w:ascii="Times New Roman" w:eastAsia="Times New Roman"/>
                <w:b/>
                <w:sz w:val="21"/>
              </w:rPr>
              <w:t>2-4</w:t>
            </w:r>
            <w:r>
              <w:rPr>
                <w:rFonts w:ascii="Times New Roman" w:eastAsia="Times New Roman"/>
                <w:b/>
                <w:spacing w:val="52"/>
                <w:sz w:val="21"/>
              </w:rPr>
              <w:t xml:space="preserve"> </w:t>
            </w:r>
            <w:r>
              <w:rPr>
                <w:b/>
                <w:sz w:val="21"/>
              </w:rPr>
              <w:t>本工程工艺流程及产污环节图</w:t>
            </w:r>
          </w:p>
          <w:p>
            <w:pPr>
              <w:pStyle w:val="TableParagraph"/>
              <w:numPr>
                <w:ilvl w:val="1"/>
                <w:numId w:val="11"/>
              </w:numPr>
              <w:tabs>
                <w:tab w:val="left" w:pos="533"/>
              </w:tabs>
              <w:spacing w:before="126" w:after="0" w:line="240" w:lineRule="auto"/>
              <w:ind w:left="533" w:right="0" w:hanging="420"/>
              <w:jc w:val="left"/>
              <w:rPr>
                <w:b/>
                <w:sz w:val="24"/>
              </w:rPr>
            </w:pPr>
            <w:r>
              <w:rPr>
                <w:b/>
                <w:sz w:val="24"/>
              </w:rPr>
              <w:t>线路工程</w:t>
            </w:r>
          </w:p>
          <w:p>
            <w:pPr>
              <w:pStyle w:val="TableParagraph"/>
              <w:numPr>
                <w:ilvl w:val="2"/>
                <w:numId w:val="11"/>
              </w:numPr>
              <w:tabs>
                <w:tab w:val="left" w:pos="1313"/>
              </w:tabs>
              <w:spacing w:before="158" w:after="0" w:line="240" w:lineRule="auto"/>
              <w:ind w:left="1313" w:right="0" w:hanging="720"/>
              <w:jc w:val="left"/>
              <w:rPr>
                <w:sz w:val="24"/>
              </w:rPr>
            </w:pPr>
            <w:r>
              <w:rPr>
                <w:sz w:val="24"/>
              </w:rPr>
              <w:t>电缆终端塔基础施工</w:t>
            </w:r>
          </w:p>
          <w:p>
            <w:pPr>
              <w:pStyle w:val="TableParagraph"/>
              <w:spacing w:before="161" w:line="364" w:lineRule="auto"/>
              <w:ind w:left="113" w:right="-44" w:firstLine="480"/>
              <w:rPr>
                <w:sz w:val="24"/>
              </w:rPr>
            </w:pPr>
            <w:r>
              <w:rPr>
                <w:sz w:val="24"/>
              </w:rPr>
              <w:t>场地平整</w:t>
            </w:r>
            <w:r>
              <w:rPr>
                <w:rFonts w:ascii="Times New Roman" w:eastAsia="Times New Roman" w:hAnsi="Times New Roman"/>
                <w:sz w:val="24"/>
              </w:rPr>
              <w:t>→</w:t>
            </w:r>
            <w:r>
              <w:rPr>
                <w:sz w:val="24"/>
              </w:rPr>
              <w:t>桩位放线</w:t>
            </w:r>
            <w:r>
              <w:rPr>
                <w:rFonts w:ascii="Times New Roman" w:eastAsia="Times New Roman" w:hAnsi="Times New Roman"/>
                <w:sz w:val="24"/>
              </w:rPr>
              <w:t>→</w:t>
            </w:r>
            <w:r>
              <w:rPr>
                <w:spacing w:val="-18"/>
                <w:sz w:val="24"/>
              </w:rPr>
              <w:t>开挖浆池、浆沟</w:t>
            </w:r>
            <w:r>
              <w:rPr>
                <w:rFonts w:ascii="Times New Roman" w:eastAsia="Times New Roman" w:hAnsi="Times New Roman"/>
                <w:sz w:val="24"/>
              </w:rPr>
              <w:t>→</w:t>
            </w:r>
            <w:r>
              <w:rPr>
                <w:sz w:val="24"/>
              </w:rPr>
              <w:t>护筒埋设</w:t>
            </w:r>
            <w:r>
              <w:rPr>
                <w:rFonts w:ascii="Times New Roman" w:eastAsia="Times New Roman" w:hAnsi="Times New Roman"/>
                <w:sz w:val="24"/>
              </w:rPr>
              <w:t>→</w:t>
            </w:r>
            <w:r>
              <w:rPr>
                <w:spacing w:val="-15"/>
                <w:sz w:val="24"/>
              </w:rPr>
              <w:t>钻机就位、孔位校正</w:t>
            </w:r>
            <w:r>
              <w:rPr>
                <w:rFonts w:ascii="Times New Roman" w:eastAsia="Times New Roman" w:hAnsi="Times New Roman"/>
                <w:sz w:val="24"/>
              </w:rPr>
              <w:t>→</w:t>
            </w:r>
            <w:r>
              <w:rPr>
                <w:sz w:val="24"/>
              </w:rPr>
              <w:t>成孔、泥浆循环、清除废浆、泥渣</w:t>
            </w:r>
            <w:r>
              <w:rPr>
                <w:rFonts w:ascii="Times New Roman" w:eastAsia="Times New Roman" w:hAnsi="Times New Roman"/>
                <w:sz w:val="24"/>
              </w:rPr>
              <w:t>→</w:t>
            </w:r>
            <w:r>
              <w:rPr>
                <w:sz w:val="24"/>
              </w:rPr>
              <w:t>清孔换浆</w:t>
            </w:r>
            <w:r>
              <w:rPr>
                <w:rFonts w:ascii="Times New Roman" w:eastAsia="Times New Roman" w:hAnsi="Times New Roman"/>
                <w:sz w:val="24"/>
              </w:rPr>
              <w:t>→</w:t>
            </w:r>
            <w:r>
              <w:rPr>
                <w:sz w:val="24"/>
              </w:rPr>
              <w:t>终孔验收</w:t>
            </w:r>
            <w:r>
              <w:rPr>
                <w:rFonts w:ascii="Times New Roman" w:eastAsia="Times New Roman" w:hAnsi="Times New Roman"/>
                <w:sz w:val="24"/>
              </w:rPr>
              <w:t>→</w:t>
            </w:r>
            <w:r>
              <w:rPr>
                <w:sz w:val="24"/>
              </w:rPr>
              <w:t>下钢筋笼和钢导管</w:t>
            </w:r>
            <w:r>
              <w:rPr>
                <w:rFonts w:ascii="Times New Roman" w:eastAsia="Times New Roman" w:hAnsi="Times New Roman"/>
                <w:sz w:val="24"/>
              </w:rPr>
              <w:t xml:space="preserve">→ </w:t>
            </w:r>
            <w:r>
              <w:rPr>
                <w:sz w:val="24"/>
              </w:rPr>
              <w:t>浇筑混凝土</w:t>
            </w:r>
            <w:r>
              <w:rPr>
                <w:rFonts w:ascii="Times New Roman" w:eastAsia="Times New Roman" w:hAnsi="Times New Roman"/>
                <w:sz w:val="24"/>
              </w:rPr>
              <w:t>→</w:t>
            </w:r>
            <w:r>
              <w:rPr>
                <w:sz w:val="24"/>
              </w:rPr>
              <w:t>验桩</w:t>
            </w:r>
            <w:r>
              <w:rPr>
                <w:rFonts w:ascii="Times New Roman" w:eastAsia="Times New Roman" w:hAnsi="Times New Roman"/>
                <w:sz w:val="24"/>
              </w:rPr>
              <w:t>→</w:t>
            </w:r>
            <w:r>
              <w:rPr>
                <w:sz w:val="24"/>
              </w:rPr>
              <w:t>承台及连梁浇筑。</w:t>
            </w:r>
          </w:p>
          <w:p>
            <w:pPr>
              <w:pStyle w:val="TableParagraph"/>
              <w:numPr>
                <w:ilvl w:val="2"/>
                <w:numId w:val="11"/>
              </w:numPr>
              <w:tabs>
                <w:tab w:val="left" w:pos="1313"/>
              </w:tabs>
              <w:spacing w:before="0" w:after="0" w:line="305" w:lineRule="exact"/>
              <w:ind w:left="1313" w:right="0" w:hanging="720"/>
              <w:jc w:val="left"/>
              <w:rPr>
                <w:sz w:val="24"/>
              </w:rPr>
            </w:pPr>
            <w:r>
              <w:rPr>
                <w:sz w:val="24"/>
              </w:rPr>
              <w:t>电缆终端塔施工</w:t>
            </w:r>
          </w:p>
          <w:p>
            <w:pPr>
              <w:pStyle w:val="TableParagraph"/>
              <w:spacing w:before="160" w:line="362" w:lineRule="auto"/>
              <w:ind w:left="113" w:right="86" w:firstLine="480"/>
              <w:rPr>
                <w:sz w:val="24"/>
              </w:rPr>
            </w:pPr>
            <w:r>
              <w:rPr>
                <w:spacing w:val="-6"/>
                <w:sz w:val="24"/>
              </w:rPr>
              <w:t xml:space="preserve">每基铁塔所用塔材均为 </w:t>
            </w:r>
            <w:r>
              <w:rPr>
                <w:rFonts w:ascii="Times New Roman" w:eastAsia="Times New Roman" w:hAnsi="Times New Roman"/>
                <w:sz w:val="24"/>
              </w:rPr>
              <w:t xml:space="preserve">3~5m </w:t>
            </w:r>
            <w:r>
              <w:rPr>
                <w:spacing w:val="-6"/>
                <w:sz w:val="24"/>
              </w:rPr>
              <w:t>长的杆材和组立杆材的螺栓等配件，由汽车从现有</w:t>
            </w:r>
            <w:r>
              <w:rPr>
                <w:spacing w:val="-10"/>
                <w:sz w:val="24"/>
              </w:rPr>
              <w:t>公路运至塔基附近，用人工从塔底处依次向上组立。施工准备</w:t>
            </w:r>
            <w:r>
              <w:rPr>
                <w:rFonts w:ascii="Times New Roman" w:eastAsia="Times New Roman" w:hAnsi="Times New Roman"/>
                <w:sz w:val="24"/>
              </w:rPr>
              <w:t>→</w:t>
            </w:r>
            <w:r>
              <w:rPr>
                <w:sz w:val="24"/>
              </w:rPr>
              <w:t>现场布置</w:t>
            </w:r>
            <w:r>
              <w:rPr>
                <w:rFonts w:ascii="Times New Roman" w:eastAsia="Times New Roman" w:hAnsi="Times New Roman"/>
                <w:sz w:val="24"/>
              </w:rPr>
              <w:t>→</w:t>
            </w:r>
            <w:r>
              <w:rPr>
                <w:spacing w:val="-5"/>
                <w:sz w:val="24"/>
              </w:rPr>
              <w:t>起立抱杆</w:t>
            </w:r>
          </w:p>
          <w:p>
            <w:pPr>
              <w:pStyle w:val="TableParagraph"/>
              <w:spacing w:before="5"/>
              <w:ind w:left="113"/>
              <w:rPr>
                <w:sz w:val="24"/>
              </w:rPr>
            </w:pPr>
            <w:r>
              <w:rPr>
                <w:rFonts w:ascii="Times New Roman" w:eastAsia="Times New Roman" w:hAnsi="Times New Roman"/>
                <w:sz w:val="24"/>
              </w:rPr>
              <w:t>→</w:t>
            </w:r>
            <w:r>
              <w:rPr>
                <w:sz w:val="24"/>
              </w:rPr>
              <w:t>塔腿吊装</w:t>
            </w:r>
            <w:r>
              <w:rPr>
                <w:rFonts w:ascii="Times New Roman" w:eastAsia="Times New Roman" w:hAnsi="Times New Roman"/>
                <w:sz w:val="24"/>
              </w:rPr>
              <w:t>→</w:t>
            </w:r>
            <w:r>
              <w:rPr>
                <w:sz w:val="24"/>
              </w:rPr>
              <w:t>抱杆的提升</w:t>
            </w:r>
            <w:r>
              <w:rPr>
                <w:rFonts w:ascii="Times New Roman" w:eastAsia="Times New Roman" w:hAnsi="Times New Roman"/>
                <w:sz w:val="24"/>
              </w:rPr>
              <w:t>→</w:t>
            </w:r>
            <w:r>
              <w:rPr>
                <w:sz w:val="24"/>
              </w:rPr>
              <w:t>吊装塔段</w:t>
            </w:r>
            <w:r>
              <w:rPr>
                <w:rFonts w:ascii="Times New Roman" w:eastAsia="Times New Roman" w:hAnsi="Times New Roman"/>
                <w:sz w:val="24"/>
              </w:rPr>
              <w:t>→</w:t>
            </w:r>
            <w:r>
              <w:rPr>
                <w:sz w:val="24"/>
              </w:rPr>
              <w:t>拆除抱杆</w:t>
            </w:r>
            <w:r>
              <w:rPr>
                <w:rFonts w:ascii="Times New Roman" w:eastAsia="Times New Roman" w:hAnsi="Times New Roman"/>
                <w:sz w:val="24"/>
              </w:rPr>
              <w:t>→</w:t>
            </w:r>
            <w:r>
              <w:rPr>
                <w:sz w:val="24"/>
              </w:rPr>
              <w:t>整塔。</w:t>
            </w:r>
          </w:p>
          <w:p>
            <w:pPr>
              <w:pStyle w:val="TableParagraph"/>
              <w:numPr>
                <w:ilvl w:val="2"/>
                <w:numId w:val="11"/>
              </w:numPr>
              <w:tabs>
                <w:tab w:val="left" w:pos="1313"/>
              </w:tabs>
              <w:spacing w:before="161" w:after="0" w:line="240" w:lineRule="auto"/>
              <w:ind w:left="1313" w:right="0" w:hanging="720"/>
              <w:jc w:val="left"/>
              <w:rPr>
                <w:sz w:val="24"/>
              </w:rPr>
            </w:pPr>
            <w:r>
              <w:rPr>
                <w:sz w:val="24"/>
              </w:rPr>
              <w:t>导线施工</w:t>
            </w:r>
          </w:p>
          <w:p>
            <w:pPr>
              <w:pStyle w:val="TableParagraph"/>
              <w:spacing w:before="158" w:line="362" w:lineRule="auto"/>
              <w:ind w:left="113" w:right="18" w:firstLine="480"/>
              <w:rPr>
                <w:sz w:val="24"/>
              </w:rPr>
            </w:pPr>
            <w:r>
              <w:rPr>
                <w:sz w:val="24"/>
              </w:rPr>
              <w:t>调整</w:t>
            </w:r>
            <w:r>
              <w:rPr>
                <w:rFonts w:ascii="Times New Roman" w:eastAsia="Times New Roman"/>
                <w:sz w:val="24"/>
              </w:rPr>
              <w:t xml:space="preserve">#35 </w:t>
            </w:r>
            <w:r>
              <w:rPr>
                <w:sz w:val="24"/>
              </w:rPr>
              <w:t>塔至新建电缆终端塔段导线弧垂：由于该段架空线路较短，采用人力展放。</w:t>
            </w:r>
          </w:p>
          <w:p>
            <w:pPr>
              <w:pStyle w:val="TableParagraph"/>
              <w:numPr>
                <w:ilvl w:val="2"/>
                <w:numId w:val="11"/>
              </w:numPr>
              <w:tabs>
                <w:tab w:val="left" w:pos="1313"/>
              </w:tabs>
              <w:spacing w:before="5" w:after="0" w:line="240" w:lineRule="auto"/>
              <w:ind w:left="1313" w:right="0" w:hanging="720"/>
              <w:jc w:val="left"/>
              <w:rPr>
                <w:sz w:val="24"/>
              </w:rPr>
            </w:pPr>
            <w:r>
              <w:rPr>
                <w:sz w:val="24"/>
              </w:rPr>
              <w:t>电缆沟施工</w:t>
            </w:r>
          </w:p>
          <w:p>
            <w:pPr>
              <w:pStyle w:val="TableParagraph"/>
              <w:spacing w:before="158" w:line="364" w:lineRule="auto"/>
              <w:ind w:left="113" w:right="-44" w:firstLine="480"/>
              <w:rPr>
                <w:sz w:val="24"/>
              </w:rPr>
            </w:pPr>
            <w:r>
              <w:rPr>
                <w:spacing w:val="-8"/>
                <w:sz w:val="24"/>
              </w:rPr>
              <w:t>第一步进行基坑开挖，然后利用混凝土进行基础施工，堆砌电缆沟侧壁，第二部回填侧壁，第三部进行电缆敷设，最后进行对电缆沟盖板进行施工。施工结束之后， 多余的土方用于电缆沟周边回填和绿化。</w:t>
            </w:r>
          </w:p>
          <w:p>
            <w:pPr>
              <w:pStyle w:val="TableParagraph"/>
              <w:numPr>
                <w:ilvl w:val="1"/>
                <w:numId w:val="11"/>
              </w:numPr>
              <w:tabs>
                <w:tab w:val="left" w:pos="533"/>
              </w:tabs>
              <w:spacing w:before="119" w:after="0" w:line="240" w:lineRule="auto"/>
              <w:ind w:left="533" w:right="0" w:hanging="420"/>
              <w:jc w:val="left"/>
              <w:rPr>
                <w:b/>
                <w:sz w:val="24"/>
              </w:rPr>
            </w:pPr>
            <w:r>
              <w:rPr>
                <w:b/>
                <w:sz w:val="24"/>
              </w:rPr>
              <w:t>原有架空线路拆除</w:t>
            </w:r>
          </w:p>
          <w:p>
            <w:pPr>
              <w:pStyle w:val="TableParagraph"/>
              <w:spacing w:before="161"/>
              <w:ind w:left="593"/>
              <w:rPr>
                <w:sz w:val="24"/>
              </w:rPr>
            </w:pPr>
            <w:r>
              <w:rPr>
                <w:sz w:val="24"/>
              </w:rPr>
              <w:t>原有线路拆除分为导、地线拆除和杆塔拆除两部分。</w:t>
            </w:r>
          </w:p>
          <w:p>
            <w:pPr>
              <w:pStyle w:val="TableParagraph"/>
              <w:spacing w:before="158"/>
              <w:ind w:left="593"/>
              <w:rPr>
                <w:sz w:val="24"/>
              </w:rPr>
            </w:pPr>
            <w:r>
              <w:rPr>
                <w:spacing w:val="-8"/>
                <w:sz w:val="24"/>
              </w:rPr>
              <w:t>原有输电线路拆除时，先拆除导地线，然后再拆除铁塔。导、地线采用耐张段放</w:t>
            </w:r>
          </w:p>
        </w:tc>
      </w:tr>
    </w:tbl>
    <w:p>
      <w:pPr>
        <w:rPr>
          <w:sz w:val="2"/>
          <w:szCs w:val="2"/>
        </w:rPr>
      </w:pPr>
      <w:r>
        <w:drawing>
          <wp:anchor distT="0" distB="0" distL="0" distR="0" simplePos="0" relativeHeight="251667456" behindDoc="1" locked="0" layoutInCell="1" allowOverlap="1">
            <wp:simplePos x="0" y="0"/>
            <wp:positionH relativeFrom="page">
              <wp:posOffset>1144270</wp:posOffset>
            </wp:positionH>
            <wp:positionV relativeFrom="page">
              <wp:posOffset>906780</wp:posOffset>
            </wp:positionV>
            <wp:extent cx="5323205" cy="2630805"/>
            <wp:effectExtent l="0" t="0" r="0" b="0"/>
            <wp:wrapNone/>
            <wp:docPr id="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8.jpeg"/>
                    <pic:cNvPicPr>
                      <a:picLocks noChangeAspect="1"/>
                    </pic:cNvPicPr>
                  </pic:nvPicPr>
                  <pic:blipFill>
                    <a:blip xmlns:r="http://schemas.openxmlformats.org/officeDocument/2006/relationships" r:embed="rId30" cstate="print"/>
                    <a:stretch>
                      <a:fillRect/>
                    </a:stretch>
                  </pic:blipFill>
                  <pic:spPr>
                    <a:xfrm>
                      <a:off x="0" y="0"/>
                      <a:ext cx="5322948" cy="2630900"/>
                    </a:xfrm>
                    <a:prstGeom prst="rect">
                      <a:avLst/>
                    </a:prstGeom>
                  </pic:spPr>
                </pic:pic>
              </a:graphicData>
            </a:graphic>
          </wp:anchor>
        </w:drawing>
      </w:r>
    </w:p>
    <w:p>
      <w:pPr>
        <w:spacing w:after="0"/>
        <w:rPr>
          <w:sz w:val="2"/>
          <w:szCs w:val="2"/>
        </w:rPr>
        <w:sectPr>
          <w:footerReference w:type="default" r:id="rId31"/>
          <w:pgSz w:w="11910" w:h="16840"/>
          <w:pgMar w:top="1420" w:right="901" w:bottom="1160" w:left="920" w:header="0" w:footer="963" w:gutter="0"/>
          <w:pgNumType w:start="20"/>
          <w:cols w:num="1" w:space="720"/>
        </w:sect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0"/>
        <w:gridCol w:w="8979"/>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8916"/>
        </w:trPr>
        <w:tc>
          <w:tcPr>
            <w:tcW w:w="460" w:type="dxa"/>
            <w:tcBorders>
              <w:right w:val="single" w:sz="4" w:space="0" w:color="000000"/>
            </w:tcBorders>
          </w:tcPr>
          <w:p>
            <w:pPr>
              <w:pStyle w:val="TableParagraph"/>
              <w:rPr>
                <w:rFonts w:ascii="Times New Roman"/>
                <w:sz w:val="22"/>
              </w:rPr>
            </w:pPr>
          </w:p>
        </w:tc>
        <w:tc>
          <w:tcPr>
            <w:tcW w:w="8979" w:type="dxa"/>
            <w:tcBorders>
              <w:left w:val="single" w:sz="4" w:space="0" w:color="000000"/>
            </w:tcBorders>
          </w:tcPr>
          <w:p>
            <w:pPr>
              <w:pStyle w:val="TableParagraph"/>
              <w:spacing w:line="364" w:lineRule="auto"/>
              <w:ind w:left="113" w:right="86"/>
              <w:jc w:val="both"/>
              <w:rPr>
                <w:sz w:val="24"/>
              </w:rPr>
            </w:pPr>
            <w:r>
              <w:rPr>
                <w:spacing w:val="-8"/>
                <w:sz w:val="24"/>
              </w:rPr>
              <w:t>松驰度后分段拆除的方法拆除。本工程停电后先对导线加挂接地线进行放电。将线路上的感应电全部放完后才开始施工。待导、地线拆除后，再对绝缘子等其他金具进行</w:t>
            </w:r>
            <w:r>
              <w:rPr>
                <w:sz w:val="24"/>
              </w:rPr>
              <w:t>拆除。</w:t>
            </w:r>
          </w:p>
          <w:p>
            <w:pPr>
              <w:pStyle w:val="TableParagraph"/>
              <w:spacing w:line="364" w:lineRule="auto"/>
              <w:ind w:left="113" w:right="86" w:firstLine="480"/>
              <w:jc w:val="both"/>
              <w:rPr>
                <w:sz w:val="24"/>
              </w:rPr>
            </w:pPr>
            <w:r>
              <w:rPr>
                <w:spacing w:val="-8"/>
                <w:sz w:val="24"/>
              </w:rPr>
              <w:t>拆除铁塔与铁塔组立的程序相反，采用自上而下逐段拆除。首先利用地线横担作</w:t>
            </w:r>
            <w:r>
              <w:rPr>
                <w:spacing w:val="-9"/>
                <w:sz w:val="24"/>
              </w:rPr>
              <w:t>为吊点拆除导线横担，然后拆除地线横担、自上而下的拆除整基铁塔。拆塔方法可根</w:t>
            </w:r>
            <w:r>
              <w:rPr>
                <w:sz w:val="24"/>
              </w:rPr>
              <w:t>据现场实际地形情况，采用内或外拉线悬浮抱杆方法拆除。</w:t>
            </w:r>
          </w:p>
          <w:p>
            <w:pPr>
              <w:pStyle w:val="TableParagraph"/>
              <w:spacing w:line="364" w:lineRule="auto"/>
              <w:ind w:left="113" w:right="86" w:firstLine="480"/>
              <w:jc w:val="both"/>
              <w:rPr>
                <w:sz w:val="24"/>
              </w:rPr>
            </w:pPr>
            <w:r>
              <w:rPr>
                <w:spacing w:val="-12"/>
                <w:sz w:val="24"/>
              </w:rPr>
              <w:t>原有线路拆除时，严格按照施工规范进行，禁止将施工废弃物及废弃绝缘子等随</w:t>
            </w:r>
            <w:r>
              <w:rPr>
                <w:spacing w:val="-11"/>
                <w:sz w:val="24"/>
              </w:rPr>
              <w:t>意弃置，原有输电线路拆除产生的固体废物由建设单位进行回收处置，拆除活动结束后，对遗留的塔基基础进行拆除处理，施工结束后，对施工场地进行清理，并对施工</w:t>
            </w:r>
            <w:r>
              <w:rPr>
                <w:sz w:val="24"/>
              </w:rPr>
              <w:t>裸露面进行绿化。</w:t>
            </w:r>
          </w:p>
          <w:p>
            <w:pPr>
              <w:pStyle w:val="TableParagraph"/>
              <w:spacing w:before="105"/>
              <w:ind w:left="113"/>
              <w:jc w:val="both"/>
              <w:rPr>
                <w:b/>
                <w:sz w:val="24"/>
              </w:rPr>
            </w:pPr>
            <w:r>
              <w:rPr>
                <w:rFonts w:ascii="Times New Roman" w:eastAsia="Times New Roman"/>
                <w:b/>
                <w:sz w:val="24"/>
              </w:rPr>
              <w:t>9.4</w:t>
            </w:r>
            <w:r>
              <w:rPr>
                <w:rFonts w:ascii="Times New Roman" w:eastAsia="Times New Roman"/>
                <w:b/>
                <w:spacing w:val="59"/>
                <w:sz w:val="24"/>
              </w:rPr>
              <w:t xml:space="preserve"> </w:t>
            </w:r>
            <w:r>
              <w:rPr>
                <w:b/>
                <w:sz w:val="24"/>
              </w:rPr>
              <w:t>在线监测室</w:t>
            </w:r>
          </w:p>
          <w:p>
            <w:pPr>
              <w:pStyle w:val="TableParagraph"/>
              <w:spacing w:before="161" w:line="364" w:lineRule="auto"/>
              <w:ind w:left="113" w:right="86" w:firstLine="480"/>
              <w:jc w:val="both"/>
              <w:rPr>
                <w:sz w:val="24"/>
              </w:rPr>
            </w:pPr>
            <w:r>
              <w:rPr>
                <w:spacing w:val="-3"/>
                <w:sz w:val="24"/>
              </w:rPr>
              <w:t xml:space="preserve">新建附属设施在线监测室拟选在 </w:t>
            </w:r>
            <w:r>
              <w:rPr>
                <w:rFonts w:ascii="Times New Roman" w:eastAsia="Times New Roman" w:hAnsi="Times New Roman"/>
                <w:sz w:val="24"/>
              </w:rPr>
              <w:t xml:space="preserve">220kV </w:t>
            </w:r>
            <w:r>
              <w:rPr>
                <w:sz w:val="24"/>
              </w:rPr>
              <w:t>琴韵站内，为一单层框架结构，轴线面</w:t>
            </w:r>
            <w:r>
              <w:rPr>
                <w:spacing w:val="-21"/>
                <w:sz w:val="24"/>
              </w:rPr>
              <w:t xml:space="preserve">积为 </w:t>
            </w:r>
            <w:r>
              <w:rPr>
                <w:rFonts w:ascii="Times New Roman" w:eastAsia="Times New Roman" w:hAnsi="Times New Roman"/>
                <w:sz w:val="24"/>
              </w:rPr>
              <w:t>4.6m×14.5m</w:t>
            </w:r>
            <w:r>
              <w:rPr>
                <w:spacing w:val="-7"/>
                <w:sz w:val="24"/>
              </w:rPr>
              <w:t xml:space="preserve">。本项目在线监测室建设施工期生活废水依托 </w:t>
            </w:r>
            <w:r>
              <w:rPr>
                <w:rFonts w:ascii="Times New Roman" w:eastAsia="Times New Roman" w:hAnsi="Times New Roman"/>
                <w:sz w:val="24"/>
              </w:rPr>
              <w:t xml:space="preserve">220kV </w:t>
            </w:r>
            <w:r>
              <w:rPr>
                <w:spacing w:val="-3"/>
                <w:sz w:val="24"/>
              </w:rPr>
              <w:t>琴韵站内原有</w:t>
            </w:r>
            <w:r>
              <w:rPr>
                <w:spacing w:val="-9"/>
                <w:sz w:val="24"/>
              </w:rPr>
              <w:t>生活污水处理设施处理；施工废水采用修筑临时沉淀池的方法进行处理，经沉淀后可</w:t>
            </w:r>
            <w:r>
              <w:rPr>
                <w:spacing w:val="-2"/>
                <w:sz w:val="24"/>
              </w:rPr>
              <w:t xml:space="preserve">回用于施工工艺，不外排；施工人员活动产生生活垃圾依托 </w:t>
            </w:r>
            <w:r>
              <w:rPr>
                <w:rFonts w:ascii="Times New Roman" w:eastAsia="Times New Roman" w:hAnsi="Times New Roman"/>
                <w:sz w:val="24"/>
              </w:rPr>
              <w:t xml:space="preserve">220kV </w:t>
            </w:r>
            <w:r>
              <w:rPr>
                <w:sz w:val="24"/>
              </w:rPr>
              <w:t>琴韵站内设施处理，收集于站内垃圾桶，然后交由环卫部门处理。</w:t>
            </w:r>
          </w:p>
          <w:p>
            <w:pPr>
              <w:pStyle w:val="TableParagraph"/>
              <w:spacing w:before="4"/>
              <w:rPr>
                <w:sz w:val="31"/>
              </w:rPr>
            </w:pPr>
          </w:p>
          <w:p>
            <w:pPr>
              <w:pStyle w:val="TableParagraph"/>
              <w:ind w:left="113"/>
              <w:jc w:val="both"/>
              <w:rPr>
                <w:b/>
                <w:sz w:val="24"/>
              </w:rPr>
            </w:pPr>
            <w:r>
              <w:rPr>
                <w:rFonts w:ascii="Times New Roman" w:eastAsia="Times New Roman"/>
                <w:b/>
                <w:sz w:val="24"/>
              </w:rPr>
              <w:t>10</w:t>
            </w:r>
            <w:r>
              <w:rPr>
                <w:rFonts w:ascii="Times New Roman" w:eastAsia="Times New Roman"/>
                <w:b/>
                <w:spacing w:val="59"/>
                <w:sz w:val="24"/>
              </w:rPr>
              <w:t xml:space="preserve"> </w:t>
            </w:r>
            <w:r>
              <w:rPr>
                <w:b/>
                <w:sz w:val="24"/>
              </w:rPr>
              <w:t>建设周期</w:t>
            </w:r>
          </w:p>
          <w:p>
            <w:pPr>
              <w:pStyle w:val="TableParagraph"/>
              <w:spacing w:before="160"/>
              <w:ind w:left="593"/>
              <w:rPr>
                <w:sz w:val="24"/>
              </w:rPr>
            </w:pPr>
            <w:r>
              <w:rPr>
                <w:sz w:val="24"/>
              </w:rPr>
              <w:t xml:space="preserve">本工程计划 </w:t>
            </w:r>
            <w:r>
              <w:rPr>
                <w:rFonts w:ascii="Times New Roman" w:eastAsia="Times New Roman"/>
                <w:sz w:val="24"/>
              </w:rPr>
              <w:t xml:space="preserve">2024 </w:t>
            </w:r>
            <w:r>
              <w:rPr>
                <w:sz w:val="24"/>
              </w:rPr>
              <w:t xml:space="preserve">年 </w:t>
            </w:r>
            <w:r>
              <w:rPr>
                <w:rFonts w:ascii="Times New Roman" w:eastAsia="Times New Roman"/>
                <w:sz w:val="24"/>
              </w:rPr>
              <w:t xml:space="preserve">10 </w:t>
            </w:r>
            <w:r>
              <w:rPr>
                <w:sz w:val="24"/>
              </w:rPr>
              <w:t>月动工，</w:t>
            </w:r>
            <w:r>
              <w:rPr>
                <w:rFonts w:ascii="Times New Roman" w:eastAsia="Times New Roman"/>
                <w:sz w:val="24"/>
              </w:rPr>
              <w:t xml:space="preserve">2025 </w:t>
            </w:r>
            <w:r>
              <w:rPr>
                <w:sz w:val="24"/>
              </w:rPr>
              <w:t xml:space="preserve">年 </w:t>
            </w:r>
            <w:r>
              <w:rPr>
                <w:rFonts w:ascii="Times New Roman" w:eastAsia="Times New Roman"/>
                <w:sz w:val="24"/>
              </w:rPr>
              <w:t xml:space="preserve">4 </w:t>
            </w:r>
            <w:r>
              <w:rPr>
                <w:sz w:val="24"/>
              </w:rPr>
              <w:t xml:space="preserve">月投产，施工工期约为 </w:t>
            </w:r>
            <w:r>
              <w:rPr>
                <w:rFonts w:ascii="Times New Roman" w:eastAsia="Times New Roman"/>
                <w:sz w:val="24"/>
              </w:rPr>
              <w:t xml:space="preserve">6 </w:t>
            </w:r>
            <w:r>
              <w:rPr>
                <w:sz w:val="24"/>
              </w:rPr>
              <w:t>个月。</w:t>
            </w:r>
          </w:p>
        </w:tc>
      </w:tr>
    </w:tbl>
    <w:p>
      <w:pPr>
        <w:spacing w:after="0"/>
        <w:rPr>
          <w:sz w:val="24"/>
        </w:rPr>
        <w:sectPr>
          <w:footerReference w:type="default" r:id="rId32"/>
          <w:pgSz w:w="11910" w:h="16840"/>
          <w:pgMar w:top="1420" w:right="901" w:bottom="1240" w:left="920" w:header="0" w:footer="963" w:gutter="0"/>
          <w:pgNumType w:start="21"/>
          <w:cols w:num="1" w:space="720"/>
        </w:sect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0"/>
        <w:gridCol w:w="8979"/>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6041"/>
        </w:trPr>
        <w:tc>
          <w:tcPr>
            <w:tcW w:w="460" w:type="dxa"/>
            <w:tcBorders>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7"/>
              <w:rPr>
                <w:sz w:val="19"/>
              </w:rPr>
            </w:pPr>
          </w:p>
          <w:p>
            <w:pPr>
              <w:pStyle w:val="TableParagraph"/>
              <w:spacing w:line="242" w:lineRule="auto"/>
              <w:ind w:left="109" w:right="93"/>
              <w:rPr>
                <w:sz w:val="24"/>
              </w:rPr>
            </w:pPr>
            <w:r>
              <w:rPr>
                <w:sz w:val="24"/>
              </w:rPr>
              <w:t>其他</w:t>
            </w:r>
          </w:p>
        </w:tc>
        <w:tc>
          <w:tcPr>
            <w:tcW w:w="8979" w:type="dxa"/>
            <w:tcBorders>
              <w:lef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
              <w:rPr>
                <w:sz w:val="35"/>
              </w:rPr>
            </w:pPr>
          </w:p>
          <w:p>
            <w:pPr>
              <w:pStyle w:val="TableParagraph"/>
              <w:ind w:left="502"/>
              <w:jc w:val="center"/>
              <w:rPr>
                <w:sz w:val="24"/>
              </w:rPr>
            </w:pPr>
            <w:r>
              <w:rPr>
                <w:sz w:val="24"/>
              </w:rPr>
              <w:t>无</w:t>
            </w:r>
          </w:p>
        </w:tc>
      </w:tr>
    </w:tbl>
    <w:p>
      <w:pPr>
        <w:spacing w:after="0"/>
        <w:jc w:val="center"/>
        <w:rPr>
          <w:sz w:val="24"/>
        </w:rPr>
        <w:sectPr>
          <w:footerReference w:type="default" r:id="rId33"/>
          <w:pgSz w:w="11910" w:h="16840"/>
          <w:pgMar w:top="1420" w:right="901" w:bottom="1240" w:left="920" w:header="0" w:footer="963" w:gutter="0"/>
          <w:pgNumType w:start="22"/>
          <w:cols w:num="1" w:space="720"/>
        </w:sectPr>
      </w:pPr>
    </w:p>
    <w:p>
      <w:pPr>
        <w:pStyle w:val="Heading1"/>
        <w:spacing w:before="40"/>
        <w:ind w:left="464"/>
      </w:pPr>
      <w:r>
        <w:pict>
          <v:group id="_x0000_s1204" o:spid="_x0000_s1063" style="width:465.35pt;height:677.65pt;margin-top:89.05pt;margin-left:65pt;mso-height-relative:page;mso-position-horizontal-relative:page;mso-position-vertical-relative:page;mso-width-relative:page;position:absolute;z-index:-251648000" coordorigin="1300,1781" coordsize="9307,13553">
            <v:shape id="_x0000_s1205" o:spid="_x0000_s1064" style="width:9307;height:13553;left:1300;position:absolute;top:1506" coordorigin="1300,1507" coordsize="9307,13553" path="m1300,1791l10607,1791m1300,15324l10607,15324m1310,1781l1310,15333m10597,1800l10597,15333e" filled="f" stroked="t" strokecolor="black">
              <v:path arrowok="t"/>
            </v:shape>
            <v:line id="_x0000_s1206" o:spid="_x0000_s1065" style="position:absolute" from="1752,1800" to="1752,15314" coordsize="21600,21600" stroked="t" strokecolor="black"/>
          </v:group>
        </w:pict>
      </w:r>
      <w:bookmarkStart w:id="7" w:name="三、生态环境现状、保护目标及评价标准"/>
      <w:bookmarkEnd w:id="7"/>
      <w:bookmarkStart w:id="8" w:name="_bookmark2"/>
      <w:bookmarkEnd w:id="8"/>
      <w:r>
        <w:t>三、生态环境现状、保护目标及评价标准</w:t>
      </w:r>
    </w:p>
    <w:p>
      <w:pPr>
        <w:pStyle w:val="Heading3"/>
        <w:numPr>
          <w:ilvl w:val="0"/>
          <w:numId w:val="12"/>
        </w:numPr>
        <w:tabs>
          <w:tab w:val="left" w:pos="1180"/>
        </w:tabs>
        <w:spacing w:before="24" w:after="0" w:line="240" w:lineRule="auto"/>
        <w:ind w:left="1180" w:right="6519" w:hanging="1180"/>
        <w:jc w:val="left"/>
      </w:pPr>
      <w:r>
        <w:t>环境功能区划</w:t>
      </w:r>
    </w:p>
    <w:p>
      <w:pPr>
        <w:pStyle w:val="BodyText"/>
        <w:spacing w:before="158"/>
        <w:ind w:left="965" w:right="3927"/>
        <w:jc w:val="center"/>
      </w:pPr>
      <w:r>
        <w:t xml:space="preserve">本工程项目所在地环境功能区划见表 </w:t>
      </w:r>
      <w:r>
        <w:rPr>
          <w:rFonts w:ascii="Times New Roman" w:eastAsia="Times New Roman"/>
        </w:rPr>
        <w:t>3-1</w:t>
      </w:r>
      <w:r>
        <w:t>。</w:t>
      </w:r>
    </w:p>
    <w:p>
      <w:pPr>
        <w:tabs>
          <w:tab w:val="left" w:pos="1170"/>
        </w:tabs>
        <w:spacing w:before="4"/>
        <w:ind w:left="419" w:right="0" w:firstLine="0"/>
        <w:jc w:val="center"/>
        <w:rPr>
          <w:b/>
          <w:sz w:val="21"/>
        </w:rPr>
      </w:pPr>
      <w:r>
        <w:rPr>
          <w:b/>
          <w:sz w:val="21"/>
        </w:rPr>
        <w:t>表</w:t>
      </w:r>
      <w:r>
        <w:rPr>
          <w:b/>
          <w:spacing w:val="-55"/>
          <w:sz w:val="21"/>
        </w:rPr>
        <w:t xml:space="preserve"> </w:t>
      </w:r>
      <w:r>
        <w:rPr>
          <w:rFonts w:ascii="Times New Roman" w:eastAsia="Times New Roman"/>
          <w:b/>
          <w:sz w:val="21"/>
        </w:rPr>
        <w:t>3-1</w:t>
      </w:r>
      <w:r>
        <w:rPr>
          <w:rFonts w:ascii="Times New Roman" w:eastAsia="Times New Roman"/>
          <w:b/>
          <w:sz w:val="21"/>
        </w:rPr>
        <w:tab/>
      </w:r>
      <w:r>
        <w:rPr>
          <w:b/>
          <w:sz w:val="21"/>
        </w:rPr>
        <w:t>建设项目所在地环境功能属性</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7"/>
        </w:rPr>
      </w:pPr>
    </w:p>
    <w:p>
      <w:pPr>
        <w:pStyle w:val="BodyText"/>
        <w:spacing w:before="67" w:line="242" w:lineRule="auto"/>
        <w:ind w:left="498" w:right="9345"/>
      </w:pPr>
      <w:r>
        <w:pict>
          <v:shape id="_x0000_s1207" o:spid="_x0000_s1066" type="#_x0000_t202" style="width:419.55pt;height:273.05pt;margin-top:-235.35pt;margin-left:98.9pt;mso-height-relative:page;mso-position-horizontal-relative:page;mso-width-relative:page;position:absolute;z-index:251669504" coordsize="21600,21600" filled="f" stroked="f">
            <v:stroke joinstyle="miter"/>
            <v:textbox inset="0,0,0,0">
              <w:txbxContent>
                <w:tbl>
                  <w:tblPr>
                    <w:tblStyle w:val="TableNormal"/>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1314"/>
                    <w:gridCol w:w="3505"/>
                    <w:gridCol w:w="3572"/>
                  </w:tblGrid>
                  <w:tr>
                    <w:tblPrEx>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454"/>
                    </w:trPr>
                    <w:tc>
                      <w:tcPr>
                        <w:tcW w:w="1314" w:type="dxa"/>
                        <w:tcBorders>
                          <w:left w:val="nil"/>
                          <w:bottom w:val="single" w:sz="6" w:space="0" w:color="000000"/>
                          <w:right w:val="single" w:sz="6" w:space="0" w:color="000000"/>
                        </w:tcBorders>
                        <w:shd w:val="clear" w:color="auto" w:fill="F1F1F1"/>
                      </w:tcPr>
                      <w:p>
                        <w:pPr>
                          <w:pStyle w:val="TableParagraph"/>
                          <w:spacing w:before="90"/>
                          <w:ind w:left="426" w:right="418"/>
                          <w:jc w:val="center"/>
                          <w:rPr>
                            <w:b/>
                            <w:sz w:val="21"/>
                          </w:rPr>
                        </w:pPr>
                        <w:r>
                          <w:rPr>
                            <w:b/>
                            <w:sz w:val="21"/>
                          </w:rPr>
                          <w:t>编号</w:t>
                        </w:r>
                      </w:p>
                    </w:tc>
                    <w:tc>
                      <w:tcPr>
                        <w:tcW w:w="3505" w:type="dxa"/>
                        <w:tcBorders>
                          <w:left w:val="single" w:sz="6" w:space="0" w:color="000000"/>
                          <w:bottom w:val="single" w:sz="6" w:space="0" w:color="000000"/>
                          <w:right w:val="single" w:sz="6" w:space="0" w:color="000000"/>
                        </w:tcBorders>
                        <w:shd w:val="clear" w:color="auto" w:fill="F1F1F1"/>
                      </w:tcPr>
                      <w:p>
                        <w:pPr>
                          <w:pStyle w:val="TableParagraph"/>
                          <w:spacing w:before="90"/>
                          <w:ind w:left="622" w:right="623"/>
                          <w:jc w:val="center"/>
                          <w:rPr>
                            <w:b/>
                            <w:sz w:val="21"/>
                          </w:rPr>
                        </w:pPr>
                        <w:r>
                          <w:rPr>
                            <w:b/>
                            <w:sz w:val="21"/>
                          </w:rPr>
                          <w:t>项目</w:t>
                        </w:r>
                      </w:p>
                    </w:tc>
                    <w:tc>
                      <w:tcPr>
                        <w:tcW w:w="3572" w:type="dxa"/>
                        <w:tcBorders>
                          <w:left w:val="single" w:sz="6" w:space="0" w:color="000000"/>
                          <w:bottom w:val="single" w:sz="6" w:space="0" w:color="000000"/>
                          <w:right w:val="nil"/>
                        </w:tcBorders>
                        <w:shd w:val="clear" w:color="auto" w:fill="F1F1F1"/>
                      </w:tcPr>
                      <w:p>
                        <w:pPr>
                          <w:pStyle w:val="TableParagraph"/>
                          <w:spacing w:before="90"/>
                          <w:ind w:left="99" w:right="109"/>
                          <w:jc w:val="center"/>
                          <w:rPr>
                            <w:b/>
                            <w:sz w:val="21"/>
                          </w:rPr>
                        </w:pPr>
                        <w:r>
                          <w:rPr>
                            <w:b/>
                            <w:sz w:val="21"/>
                          </w:rPr>
                          <w:t>类别</w:t>
                        </w:r>
                      </w:p>
                    </w:tc>
                  </w:tr>
                  <w:tr>
                    <w:tblPrEx>
                      <w:tblW w:w="0" w:type="auto"/>
                      <w:tblInd w:w="7" w:type="dxa"/>
                      <w:tblLayout w:type="fixed"/>
                      <w:tblCellMar>
                        <w:top w:w="0" w:type="dxa"/>
                        <w:left w:w="0" w:type="dxa"/>
                        <w:bottom w:w="0" w:type="dxa"/>
                        <w:right w:w="0" w:type="dxa"/>
                      </w:tblCellMar>
                    </w:tblPrEx>
                    <w:trPr>
                      <w:trHeight w:val="453"/>
                    </w:trPr>
                    <w:tc>
                      <w:tcPr>
                        <w:tcW w:w="1314" w:type="dxa"/>
                        <w:tcBorders>
                          <w:top w:val="single" w:sz="6" w:space="0" w:color="000000"/>
                          <w:left w:val="nil"/>
                          <w:bottom w:val="single" w:sz="6" w:space="0" w:color="000000"/>
                          <w:right w:val="single" w:sz="6" w:space="0" w:color="000000"/>
                        </w:tcBorders>
                      </w:tcPr>
                      <w:p>
                        <w:pPr>
                          <w:pStyle w:val="TableParagraph"/>
                          <w:spacing w:before="105"/>
                          <w:ind w:left="9"/>
                          <w:jc w:val="center"/>
                          <w:rPr>
                            <w:rFonts w:ascii="Times New Roman"/>
                            <w:sz w:val="21"/>
                          </w:rPr>
                        </w:pPr>
                        <w:r>
                          <w:rPr>
                            <w:rFonts w:ascii="Times New Roman"/>
                            <w:w w:val="99"/>
                            <w:sz w:val="21"/>
                          </w:rPr>
                          <w:t>1</w:t>
                        </w:r>
                      </w:p>
                    </w:tc>
                    <w:tc>
                      <w:tcPr>
                        <w:tcW w:w="3505" w:type="dxa"/>
                        <w:tcBorders>
                          <w:top w:val="single" w:sz="6" w:space="0" w:color="000000"/>
                          <w:left w:val="single" w:sz="6" w:space="0" w:color="000000"/>
                          <w:bottom w:val="single" w:sz="6" w:space="0" w:color="000000"/>
                          <w:right w:val="single" w:sz="6" w:space="0" w:color="000000"/>
                        </w:tcBorders>
                      </w:tcPr>
                      <w:p>
                        <w:pPr>
                          <w:pStyle w:val="TableParagraph"/>
                          <w:spacing w:before="91"/>
                          <w:ind w:left="622" w:right="623"/>
                          <w:jc w:val="center"/>
                          <w:rPr>
                            <w:sz w:val="21"/>
                          </w:rPr>
                        </w:pPr>
                        <w:r>
                          <w:rPr>
                            <w:sz w:val="21"/>
                          </w:rPr>
                          <w:t>环境空气质量功能区划</w:t>
                        </w:r>
                      </w:p>
                    </w:tc>
                    <w:tc>
                      <w:tcPr>
                        <w:tcW w:w="3572" w:type="dxa"/>
                        <w:tcBorders>
                          <w:top w:val="single" w:sz="6" w:space="0" w:color="000000"/>
                          <w:left w:val="single" w:sz="6" w:space="0" w:color="000000"/>
                          <w:bottom w:val="single" w:sz="6" w:space="0" w:color="000000"/>
                          <w:right w:val="nil"/>
                        </w:tcBorders>
                      </w:tcPr>
                      <w:p>
                        <w:pPr>
                          <w:pStyle w:val="TableParagraph"/>
                          <w:spacing w:before="91"/>
                          <w:ind w:left="99" w:right="107"/>
                          <w:jc w:val="center"/>
                          <w:rPr>
                            <w:sz w:val="21"/>
                          </w:rPr>
                        </w:pPr>
                        <w:r>
                          <w:rPr>
                            <w:sz w:val="21"/>
                          </w:rPr>
                          <w:t>二类区</w:t>
                        </w:r>
                      </w:p>
                    </w:tc>
                  </w:tr>
                  <w:tr>
                    <w:tblPrEx>
                      <w:tblW w:w="0" w:type="auto"/>
                      <w:tblInd w:w="7" w:type="dxa"/>
                      <w:tblLayout w:type="fixed"/>
                      <w:tblCellMar>
                        <w:top w:w="0" w:type="dxa"/>
                        <w:left w:w="0" w:type="dxa"/>
                        <w:bottom w:w="0" w:type="dxa"/>
                        <w:right w:w="0" w:type="dxa"/>
                      </w:tblCellMar>
                    </w:tblPrEx>
                    <w:trPr>
                      <w:trHeight w:val="454"/>
                    </w:trPr>
                    <w:tc>
                      <w:tcPr>
                        <w:tcW w:w="1314" w:type="dxa"/>
                        <w:tcBorders>
                          <w:top w:val="single" w:sz="6" w:space="0" w:color="000000"/>
                          <w:left w:val="nil"/>
                          <w:bottom w:val="single" w:sz="6" w:space="0" w:color="000000"/>
                          <w:right w:val="single" w:sz="6" w:space="0" w:color="000000"/>
                        </w:tcBorders>
                      </w:tcPr>
                      <w:p>
                        <w:pPr>
                          <w:pStyle w:val="TableParagraph"/>
                          <w:spacing w:before="107"/>
                          <w:ind w:left="9"/>
                          <w:jc w:val="center"/>
                          <w:rPr>
                            <w:rFonts w:ascii="Times New Roman"/>
                            <w:sz w:val="21"/>
                          </w:rPr>
                        </w:pPr>
                        <w:r>
                          <w:rPr>
                            <w:rFonts w:ascii="Times New Roman"/>
                            <w:w w:val="99"/>
                            <w:sz w:val="21"/>
                          </w:rPr>
                          <w:t>2</w:t>
                        </w:r>
                      </w:p>
                    </w:tc>
                    <w:tc>
                      <w:tcPr>
                        <w:tcW w:w="3505" w:type="dxa"/>
                        <w:tcBorders>
                          <w:top w:val="single" w:sz="6" w:space="0" w:color="000000"/>
                          <w:left w:val="single" w:sz="6" w:space="0" w:color="000000"/>
                          <w:bottom w:val="single" w:sz="6" w:space="0" w:color="000000"/>
                          <w:right w:val="single" w:sz="6" w:space="0" w:color="000000"/>
                        </w:tcBorders>
                      </w:tcPr>
                      <w:p>
                        <w:pPr>
                          <w:pStyle w:val="TableParagraph"/>
                          <w:spacing w:before="90"/>
                          <w:ind w:left="622" w:right="623"/>
                          <w:jc w:val="center"/>
                          <w:rPr>
                            <w:sz w:val="21"/>
                          </w:rPr>
                        </w:pPr>
                        <w:r>
                          <w:rPr>
                            <w:sz w:val="21"/>
                          </w:rPr>
                          <w:t>声环境功能区划</w:t>
                        </w:r>
                      </w:p>
                    </w:tc>
                    <w:tc>
                      <w:tcPr>
                        <w:tcW w:w="3572" w:type="dxa"/>
                        <w:tcBorders>
                          <w:top w:val="single" w:sz="6" w:space="0" w:color="000000"/>
                          <w:left w:val="single" w:sz="6" w:space="0" w:color="000000"/>
                          <w:bottom w:val="single" w:sz="6" w:space="0" w:color="000000"/>
                          <w:right w:val="nil"/>
                        </w:tcBorders>
                      </w:tcPr>
                      <w:p>
                        <w:pPr>
                          <w:pStyle w:val="TableParagraph"/>
                          <w:spacing w:before="90"/>
                          <w:ind w:left="99" w:right="107"/>
                          <w:jc w:val="center"/>
                          <w:rPr>
                            <w:sz w:val="21"/>
                          </w:rPr>
                        </w:pPr>
                        <w:r>
                          <w:rPr>
                            <w:rFonts w:ascii="Times New Roman" w:eastAsia="Times New Roman"/>
                            <w:sz w:val="21"/>
                          </w:rPr>
                          <w:t xml:space="preserve">2 </w:t>
                        </w:r>
                        <w:r>
                          <w:rPr>
                            <w:sz w:val="21"/>
                          </w:rPr>
                          <w:t>类、</w:t>
                        </w:r>
                        <w:r>
                          <w:rPr>
                            <w:rFonts w:ascii="Times New Roman" w:eastAsia="Times New Roman"/>
                            <w:sz w:val="21"/>
                          </w:rPr>
                          <w:t xml:space="preserve">4a </w:t>
                        </w:r>
                        <w:r>
                          <w:rPr>
                            <w:sz w:val="21"/>
                          </w:rPr>
                          <w:t>类</w:t>
                        </w:r>
                      </w:p>
                    </w:tc>
                  </w:tr>
                  <w:tr>
                    <w:tblPrEx>
                      <w:tblW w:w="0" w:type="auto"/>
                      <w:tblInd w:w="7" w:type="dxa"/>
                      <w:tblLayout w:type="fixed"/>
                      <w:tblCellMar>
                        <w:top w:w="0" w:type="dxa"/>
                        <w:left w:w="0" w:type="dxa"/>
                        <w:bottom w:w="0" w:type="dxa"/>
                        <w:right w:w="0" w:type="dxa"/>
                      </w:tblCellMar>
                    </w:tblPrEx>
                    <w:trPr>
                      <w:trHeight w:val="817"/>
                    </w:trPr>
                    <w:tc>
                      <w:tcPr>
                        <w:tcW w:w="1314" w:type="dxa"/>
                        <w:tcBorders>
                          <w:top w:val="single" w:sz="6" w:space="0" w:color="000000"/>
                          <w:left w:val="nil"/>
                          <w:bottom w:val="single" w:sz="6" w:space="0" w:color="000000"/>
                          <w:right w:val="single" w:sz="6" w:space="0" w:color="000000"/>
                        </w:tcBorders>
                      </w:tcPr>
                      <w:p>
                        <w:pPr>
                          <w:pStyle w:val="TableParagraph"/>
                          <w:spacing w:before="4"/>
                          <w:rPr>
                            <w:sz w:val="22"/>
                          </w:rPr>
                        </w:pPr>
                      </w:p>
                      <w:p>
                        <w:pPr>
                          <w:pStyle w:val="TableParagraph"/>
                          <w:ind w:left="9"/>
                          <w:jc w:val="center"/>
                          <w:rPr>
                            <w:rFonts w:ascii="Times New Roman"/>
                            <w:sz w:val="21"/>
                          </w:rPr>
                        </w:pPr>
                        <w:r>
                          <w:rPr>
                            <w:rFonts w:ascii="Times New Roman"/>
                            <w:w w:val="99"/>
                            <w:sz w:val="21"/>
                          </w:rPr>
                          <w:t>3</w:t>
                        </w:r>
                      </w:p>
                    </w:tc>
                    <w:tc>
                      <w:tcPr>
                        <w:tcW w:w="3505" w:type="dxa"/>
                        <w:tcBorders>
                          <w:top w:val="single" w:sz="6" w:space="0" w:color="000000"/>
                          <w:left w:val="single" w:sz="6" w:space="0" w:color="000000"/>
                          <w:bottom w:val="single" w:sz="6" w:space="0" w:color="000000"/>
                          <w:right w:val="single" w:sz="6" w:space="0" w:color="000000"/>
                        </w:tcBorders>
                      </w:tcPr>
                      <w:p>
                        <w:pPr>
                          <w:pStyle w:val="TableParagraph"/>
                          <w:spacing w:before="3"/>
                          <w:rPr>
                            <w:sz w:val="21"/>
                          </w:rPr>
                        </w:pPr>
                      </w:p>
                      <w:p>
                        <w:pPr>
                          <w:pStyle w:val="TableParagraph"/>
                          <w:ind w:left="622" w:right="623"/>
                          <w:jc w:val="center"/>
                          <w:rPr>
                            <w:sz w:val="21"/>
                          </w:rPr>
                        </w:pPr>
                        <w:r>
                          <w:rPr>
                            <w:sz w:val="21"/>
                          </w:rPr>
                          <w:t>海洋功能区划</w:t>
                        </w:r>
                      </w:p>
                    </w:tc>
                    <w:tc>
                      <w:tcPr>
                        <w:tcW w:w="3572" w:type="dxa"/>
                        <w:tcBorders>
                          <w:top w:val="single" w:sz="6" w:space="0" w:color="000000"/>
                          <w:left w:val="single" w:sz="6" w:space="0" w:color="000000"/>
                          <w:bottom w:val="single" w:sz="6" w:space="0" w:color="000000"/>
                          <w:right w:val="nil"/>
                        </w:tcBorders>
                      </w:tcPr>
                      <w:p>
                        <w:pPr>
                          <w:pStyle w:val="TableParagraph"/>
                          <w:spacing w:before="1" w:line="242" w:lineRule="auto"/>
                          <w:ind w:left="99" w:right="110"/>
                          <w:jc w:val="center"/>
                          <w:rPr>
                            <w:sz w:val="21"/>
                          </w:rPr>
                        </w:pPr>
                        <w:r>
                          <w:rPr>
                            <w:w w:val="95"/>
                            <w:sz w:val="21"/>
                          </w:rPr>
                          <w:t>项目所在海域的海洋功能区划为“横琴岛港口航运区”，执行海水水质四</w:t>
                        </w:r>
                      </w:p>
                      <w:p>
                        <w:pPr>
                          <w:pStyle w:val="TableParagraph"/>
                          <w:spacing w:before="1" w:line="252" w:lineRule="exact"/>
                          <w:ind w:left="99" w:right="107"/>
                          <w:jc w:val="center"/>
                          <w:rPr>
                            <w:sz w:val="21"/>
                          </w:rPr>
                        </w:pPr>
                        <w:r>
                          <w:rPr>
                            <w:sz w:val="21"/>
                          </w:rPr>
                          <w:t>类标准</w:t>
                        </w:r>
                      </w:p>
                    </w:tc>
                  </w:tr>
                  <w:tr>
                    <w:tblPrEx>
                      <w:tblW w:w="0" w:type="auto"/>
                      <w:tblInd w:w="7" w:type="dxa"/>
                      <w:tblLayout w:type="fixed"/>
                      <w:tblCellMar>
                        <w:top w:w="0" w:type="dxa"/>
                        <w:left w:w="0" w:type="dxa"/>
                        <w:bottom w:w="0" w:type="dxa"/>
                        <w:right w:w="0" w:type="dxa"/>
                      </w:tblCellMar>
                    </w:tblPrEx>
                    <w:trPr>
                      <w:trHeight w:val="817"/>
                    </w:trPr>
                    <w:tc>
                      <w:tcPr>
                        <w:tcW w:w="1314" w:type="dxa"/>
                        <w:tcBorders>
                          <w:top w:val="single" w:sz="6" w:space="0" w:color="000000"/>
                          <w:left w:val="nil"/>
                          <w:bottom w:val="single" w:sz="6" w:space="0" w:color="000000"/>
                          <w:right w:val="single" w:sz="6" w:space="0" w:color="000000"/>
                        </w:tcBorders>
                      </w:tcPr>
                      <w:p>
                        <w:pPr>
                          <w:pStyle w:val="TableParagraph"/>
                          <w:spacing w:before="3"/>
                          <w:rPr>
                            <w:sz w:val="22"/>
                          </w:rPr>
                        </w:pPr>
                      </w:p>
                      <w:p>
                        <w:pPr>
                          <w:pStyle w:val="TableParagraph"/>
                          <w:spacing w:before="1"/>
                          <w:ind w:left="9"/>
                          <w:jc w:val="center"/>
                          <w:rPr>
                            <w:rFonts w:ascii="Times New Roman"/>
                            <w:sz w:val="21"/>
                          </w:rPr>
                        </w:pPr>
                        <w:r>
                          <w:rPr>
                            <w:rFonts w:ascii="Times New Roman"/>
                            <w:w w:val="99"/>
                            <w:sz w:val="21"/>
                          </w:rPr>
                          <w:t>4</w:t>
                        </w:r>
                      </w:p>
                    </w:tc>
                    <w:tc>
                      <w:tcPr>
                        <w:tcW w:w="3505" w:type="dxa"/>
                        <w:tcBorders>
                          <w:top w:val="single" w:sz="6" w:space="0" w:color="000000"/>
                          <w:left w:val="single" w:sz="6" w:space="0" w:color="000000"/>
                          <w:bottom w:val="single" w:sz="6" w:space="0" w:color="000000"/>
                          <w:right w:val="single" w:sz="6" w:space="0" w:color="000000"/>
                        </w:tcBorders>
                      </w:tcPr>
                      <w:p>
                        <w:pPr>
                          <w:pStyle w:val="TableParagraph"/>
                          <w:spacing w:before="2"/>
                          <w:rPr>
                            <w:sz w:val="21"/>
                          </w:rPr>
                        </w:pPr>
                      </w:p>
                      <w:p>
                        <w:pPr>
                          <w:pStyle w:val="TableParagraph"/>
                          <w:spacing w:before="1"/>
                          <w:ind w:left="674" w:right="570"/>
                          <w:jc w:val="center"/>
                          <w:rPr>
                            <w:sz w:val="21"/>
                          </w:rPr>
                        </w:pPr>
                        <w:r>
                          <w:rPr>
                            <w:sz w:val="21"/>
                          </w:rPr>
                          <w:t>近岸海域环境功能区划</w:t>
                        </w:r>
                      </w:p>
                    </w:tc>
                    <w:tc>
                      <w:tcPr>
                        <w:tcW w:w="3572" w:type="dxa"/>
                        <w:tcBorders>
                          <w:top w:val="single" w:sz="6" w:space="0" w:color="000000"/>
                          <w:left w:val="single" w:sz="6" w:space="0" w:color="000000"/>
                          <w:bottom w:val="single" w:sz="6" w:space="0" w:color="000000"/>
                          <w:right w:val="nil"/>
                        </w:tcBorders>
                      </w:tcPr>
                      <w:p>
                        <w:pPr>
                          <w:pStyle w:val="TableParagraph"/>
                          <w:ind w:left="99" w:firstLine="50"/>
                          <w:rPr>
                            <w:sz w:val="21"/>
                          </w:rPr>
                        </w:pPr>
                        <w:r>
                          <w:rPr>
                            <w:sz w:val="21"/>
                          </w:rPr>
                          <w:t xml:space="preserve">洪湾三类功能区（标识号 </w:t>
                        </w:r>
                        <w:r>
                          <w:rPr>
                            <w:rFonts w:ascii="Times New Roman" w:eastAsia="Times New Roman"/>
                            <w:sz w:val="21"/>
                          </w:rPr>
                          <w:t>1003</w:t>
                        </w:r>
                        <w:r>
                          <w:rPr>
                            <w:sz w:val="21"/>
                          </w:rPr>
                          <w:t>），</w:t>
                        </w:r>
                      </w:p>
                      <w:p>
                        <w:pPr>
                          <w:pStyle w:val="TableParagraph"/>
                          <w:spacing w:before="2" w:line="270" w:lineRule="atLeast"/>
                          <w:ind w:left="936" w:right="110" w:hanging="838"/>
                          <w:rPr>
                            <w:sz w:val="21"/>
                          </w:rPr>
                        </w:pPr>
                        <w:r>
                          <w:rPr>
                            <w:w w:val="95"/>
                            <w:sz w:val="21"/>
                          </w:rPr>
                          <w:t>主导功能为“港口、工业区”，执行</w:t>
                        </w:r>
                        <w:r>
                          <w:rPr>
                            <w:sz w:val="21"/>
                          </w:rPr>
                          <w:t>海水水质三类标准</w:t>
                        </w:r>
                      </w:p>
                    </w:tc>
                  </w:tr>
                  <w:tr>
                    <w:tblPrEx>
                      <w:tblW w:w="0" w:type="auto"/>
                      <w:tblInd w:w="7" w:type="dxa"/>
                      <w:tblLayout w:type="fixed"/>
                      <w:tblCellMar>
                        <w:top w:w="0" w:type="dxa"/>
                        <w:left w:w="0" w:type="dxa"/>
                        <w:bottom w:w="0" w:type="dxa"/>
                        <w:right w:w="0" w:type="dxa"/>
                      </w:tblCellMar>
                    </w:tblPrEx>
                    <w:trPr>
                      <w:trHeight w:val="454"/>
                    </w:trPr>
                    <w:tc>
                      <w:tcPr>
                        <w:tcW w:w="1314" w:type="dxa"/>
                        <w:tcBorders>
                          <w:top w:val="single" w:sz="6" w:space="0" w:color="000000"/>
                          <w:left w:val="nil"/>
                          <w:bottom w:val="single" w:sz="6" w:space="0" w:color="000000"/>
                          <w:right w:val="single" w:sz="6" w:space="0" w:color="000000"/>
                        </w:tcBorders>
                      </w:tcPr>
                      <w:p>
                        <w:pPr>
                          <w:pStyle w:val="TableParagraph"/>
                          <w:spacing w:before="104"/>
                          <w:ind w:left="9"/>
                          <w:jc w:val="center"/>
                          <w:rPr>
                            <w:rFonts w:ascii="Times New Roman"/>
                            <w:sz w:val="21"/>
                          </w:rPr>
                        </w:pPr>
                        <w:r>
                          <w:rPr>
                            <w:rFonts w:ascii="Times New Roman"/>
                            <w:w w:val="99"/>
                            <w:sz w:val="21"/>
                          </w:rPr>
                          <w:t>5</w:t>
                        </w:r>
                      </w:p>
                    </w:tc>
                    <w:tc>
                      <w:tcPr>
                        <w:tcW w:w="3505" w:type="dxa"/>
                        <w:tcBorders>
                          <w:top w:val="single" w:sz="6" w:space="0" w:color="000000"/>
                          <w:left w:val="single" w:sz="6" w:space="0" w:color="000000"/>
                          <w:bottom w:val="single" w:sz="6" w:space="0" w:color="000000"/>
                          <w:right w:val="single" w:sz="6" w:space="0" w:color="000000"/>
                        </w:tcBorders>
                      </w:tcPr>
                      <w:p>
                        <w:pPr>
                          <w:pStyle w:val="TableParagraph"/>
                          <w:spacing w:before="90"/>
                          <w:ind w:left="622" w:right="623"/>
                          <w:jc w:val="center"/>
                          <w:rPr>
                            <w:sz w:val="21"/>
                          </w:rPr>
                        </w:pPr>
                        <w:r>
                          <w:rPr>
                            <w:sz w:val="21"/>
                          </w:rPr>
                          <w:t>是否涉及风景名胜区</w:t>
                        </w:r>
                      </w:p>
                    </w:tc>
                    <w:tc>
                      <w:tcPr>
                        <w:tcW w:w="3572" w:type="dxa"/>
                        <w:tcBorders>
                          <w:top w:val="single" w:sz="6" w:space="0" w:color="000000"/>
                          <w:left w:val="single" w:sz="6" w:space="0" w:color="000000"/>
                          <w:bottom w:val="single" w:sz="6" w:space="0" w:color="000000"/>
                          <w:right w:val="nil"/>
                        </w:tcBorders>
                      </w:tcPr>
                      <w:p>
                        <w:pPr>
                          <w:pStyle w:val="TableParagraph"/>
                          <w:spacing w:before="90"/>
                          <w:ind w:right="10"/>
                          <w:jc w:val="center"/>
                          <w:rPr>
                            <w:sz w:val="21"/>
                          </w:rPr>
                        </w:pPr>
                        <w:r>
                          <w:rPr>
                            <w:w w:val="99"/>
                            <w:sz w:val="21"/>
                          </w:rPr>
                          <w:t>否</w:t>
                        </w:r>
                      </w:p>
                    </w:tc>
                  </w:tr>
                  <w:tr>
                    <w:tblPrEx>
                      <w:tblW w:w="0" w:type="auto"/>
                      <w:tblInd w:w="7" w:type="dxa"/>
                      <w:tblLayout w:type="fixed"/>
                      <w:tblCellMar>
                        <w:top w:w="0" w:type="dxa"/>
                        <w:left w:w="0" w:type="dxa"/>
                        <w:bottom w:w="0" w:type="dxa"/>
                        <w:right w:w="0" w:type="dxa"/>
                      </w:tblCellMar>
                    </w:tblPrEx>
                    <w:trPr>
                      <w:trHeight w:val="453"/>
                    </w:trPr>
                    <w:tc>
                      <w:tcPr>
                        <w:tcW w:w="1314" w:type="dxa"/>
                        <w:tcBorders>
                          <w:top w:val="single" w:sz="6" w:space="0" w:color="000000"/>
                          <w:left w:val="nil"/>
                          <w:bottom w:val="single" w:sz="6" w:space="0" w:color="000000"/>
                          <w:right w:val="single" w:sz="6" w:space="0" w:color="000000"/>
                        </w:tcBorders>
                      </w:tcPr>
                      <w:p>
                        <w:pPr>
                          <w:pStyle w:val="TableParagraph"/>
                          <w:spacing w:before="105"/>
                          <w:ind w:left="9"/>
                          <w:jc w:val="center"/>
                          <w:rPr>
                            <w:rFonts w:ascii="Times New Roman"/>
                            <w:sz w:val="21"/>
                          </w:rPr>
                        </w:pPr>
                        <w:r>
                          <w:rPr>
                            <w:rFonts w:ascii="Times New Roman"/>
                            <w:w w:val="99"/>
                            <w:sz w:val="21"/>
                          </w:rPr>
                          <w:t>6</w:t>
                        </w:r>
                      </w:p>
                    </w:tc>
                    <w:tc>
                      <w:tcPr>
                        <w:tcW w:w="3505" w:type="dxa"/>
                        <w:tcBorders>
                          <w:top w:val="single" w:sz="6" w:space="0" w:color="000000"/>
                          <w:left w:val="single" w:sz="6" w:space="0" w:color="000000"/>
                          <w:bottom w:val="single" w:sz="6" w:space="0" w:color="000000"/>
                          <w:right w:val="single" w:sz="6" w:space="0" w:color="000000"/>
                        </w:tcBorders>
                      </w:tcPr>
                      <w:p>
                        <w:pPr>
                          <w:pStyle w:val="TableParagraph"/>
                          <w:spacing w:before="89"/>
                          <w:ind w:left="622" w:right="623"/>
                          <w:jc w:val="center"/>
                          <w:rPr>
                            <w:sz w:val="21"/>
                          </w:rPr>
                        </w:pPr>
                        <w:r>
                          <w:rPr>
                            <w:sz w:val="21"/>
                          </w:rPr>
                          <w:t>是否涉及水源保护区</w:t>
                        </w:r>
                      </w:p>
                    </w:tc>
                    <w:tc>
                      <w:tcPr>
                        <w:tcW w:w="3572" w:type="dxa"/>
                        <w:tcBorders>
                          <w:top w:val="single" w:sz="6" w:space="0" w:color="000000"/>
                          <w:left w:val="single" w:sz="6" w:space="0" w:color="000000"/>
                          <w:bottom w:val="single" w:sz="6" w:space="0" w:color="000000"/>
                          <w:right w:val="nil"/>
                        </w:tcBorders>
                      </w:tcPr>
                      <w:p>
                        <w:pPr>
                          <w:pStyle w:val="TableParagraph"/>
                          <w:spacing w:before="89"/>
                          <w:ind w:right="10"/>
                          <w:jc w:val="center"/>
                          <w:rPr>
                            <w:sz w:val="21"/>
                          </w:rPr>
                        </w:pPr>
                        <w:r>
                          <w:rPr>
                            <w:w w:val="99"/>
                            <w:sz w:val="21"/>
                          </w:rPr>
                          <w:t>否</w:t>
                        </w:r>
                      </w:p>
                    </w:tc>
                  </w:tr>
                  <w:tr>
                    <w:tblPrEx>
                      <w:tblW w:w="0" w:type="auto"/>
                      <w:tblInd w:w="7" w:type="dxa"/>
                      <w:tblLayout w:type="fixed"/>
                      <w:tblCellMar>
                        <w:top w:w="0" w:type="dxa"/>
                        <w:left w:w="0" w:type="dxa"/>
                        <w:bottom w:w="0" w:type="dxa"/>
                        <w:right w:w="0" w:type="dxa"/>
                      </w:tblCellMar>
                    </w:tblPrEx>
                    <w:trPr>
                      <w:trHeight w:val="453"/>
                    </w:trPr>
                    <w:tc>
                      <w:tcPr>
                        <w:tcW w:w="1314" w:type="dxa"/>
                        <w:tcBorders>
                          <w:top w:val="single" w:sz="6" w:space="0" w:color="000000"/>
                          <w:left w:val="nil"/>
                          <w:bottom w:val="single" w:sz="6" w:space="0" w:color="000000"/>
                          <w:right w:val="single" w:sz="6" w:space="0" w:color="000000"/>
                        </w:tcBorders>
                      </w:tcPr>
                      <w:p>
                        <w:pPr>
                          <w:pStyle w:val="TableParagraph"/>
                          <w:spacing w:before="104"/>
                          <w:ind w:left="9"/>
                          <w:jc w:val="center"/>
                          <w:rPr>
                            <w:rFonts w:ascii="Times New Roman"/>
                            <w:sz w:val="21"/>
                          </w:rPr>
                        </w:pPr>
                        <w:r>
                          <w:rPr>
                            <w:rFonts w:ascii="Times New Roman"/>
                            <w:w w:val="99"/>
                            <w:sz w:val="21"/>
                          </w:rPr>
                          <w:t>7</w:t>
                        </w:r>
                      </w:p>
                    </w:tc>
                    <w:tc>
                      <w:tcPr>
                        <w:tcW w:w="3505" w:type="dxa"/>
                        <w:tcBorders>
                          <w:top w:val="single" w:sz="6" w:space="0" w:color="000000"/>
                          <w:left w:val="single" w:sz="6" w:space="0" w:color="000000"/>
                          <w:bottom w:val="single" w:sz="6" w:space="0" w:color="000000"/>
                          <w:right w:val="single" w:sz="6" w:space="0" w:color="000000"/>
                        </w:tcBorders>
                      </w:tcPr>
                      <w:p>
                        <w:pPr>
                          <w:pStyle w:val="TableParagraph"/>
                          <w:spacing w:before="90"/>
                          <w:ind w:left="622" w:right="623"/>
                          <w:jc w:val="center"/>
                          <w:rPr>
                            <w:sz w:val="21"/>
                          </w:rPr>
                        </w:pPr>
                        <w:r>
                          <w:rPr>
                            <w:sz w:val="21"/>
                          </w:rPr>
                          <w:t>是否涉及自然保护区</w:t>
                        </w:r>
                      </w:p>
                    </w:tc>
                    <w:tc>
                      <w:tcPr>
                        <w:tcW w:w="3572" w:type="dxa"/>
                        <w:tcBorders>
                          <w:top w:val="single" w:sz="6" w:space="0" w:color="000000"/>
                          <w:left w:val="single" w:sz="6" w:space="0" w:color="000000"/>
                          <w:bottom w:val="single" w:sz="6" w:space="0" w:color="000000"/>
                          <w:right w:val="nil"/>
                        </w:tcBorders>
                      </w:tcPr>
                      <w:p>
                        <w:pPr>
                          <w:pStyle w:val="TableParagraph"/>
                          <w:spacing w:before="90"/>
                          <w:ind w:right="10"/>
                          <w:jc w:val="center"/>
                          <w:rPr>
                            <w:sz w:val="21"/>
                          </w:rPr>
                        </w:pPr>
                        <w:r>
                          <w:rPr>
                            <w:w w:val="99"/>
                            <w:sz w:val="21"/>
                          </w:rPr>
                          <w:t>否</w:t>
                        </w:r>
                      </w:p>
                    </w:tc>
                  </w:tr>
                  <w:tr>
                    <w:tblPrEx>
                      <w:tblW w:w="0" w:type="auto"/>
                      <w:tblInd w:w="7" w:type="dxa"/>
                      <w:tblLayout w:type="fixed"/>
                      <w:tblCellMar>
                        <w:top w:w="0" w:type="dxa"/>
                        <w:left w:w="0" w:type="dxa"/>
                        <w:bottom w:w="0" w:type="dxa"/>
                        <w:right w:w="0" w:type="dxa"/>
                      </w:tblCellMar>
                    </w:tblPrEx>
                    <w:trPr>
                      <w:trHeight w:val="453"/>
                    </w:trPr>
                    <w:tc>
                      <w:tcPr>
                        <w:tcW w:w="1314" w:type="dxa"/>
                        <w:tcBorders>
                          <w:top w:val="single" w:sz="6" w:space="0" w:color="000000"/>
                          <w:left w:val="nil"/>
                          <w:bottom w:val="single" w:sz="6" w:space="0" w:color="000000"/>
                          <w:right w:val="single" w:sz="6" w:space="0" w:color="000000"/>
                        </w:tcBorders>
                      </w:tcPr>
                      <w:p>
                        <w:pPr>
                          <w:pStyle w:val="TableParagraph"/>
                          <w:spacing w:before="106"/>
                          <w:ind w:left="9"/>
                          <w:jc w:val="center"/>
                          <w:rPr>
                            <w:rFonts w:ascii="Times New Roman"/>
                            <w:sz w:val="21"/>
                          </w:rPr>
                        </w:pPr>
                        <w:r>
                          <w:rPr>
                            <w:rFonts w:ascii="Times New Roman"/>
                            <w:w w:val="99"/>
                            <w:sz w:val="21"/>
                          </w:rPr>
                          <w:t>8</w:t>
                        </w:r>
                      </w:p>
                    </w:tc>
                    <w:tc>
                      <w:tcPr>
                        <w:tcW w:w="3505" w:type="dxa"/>
                        <w:tcBorders>
                          <w:top w:val="single" w:sz="6" w:space="0" w:color="000000"/>
                          <w:left w:val="single" w:sz="6" w:space="0" w:color="000000"/>
                          <w:bottom w:val="single" w:sz="6" w:space="0" w:color="000000"/>
                          <w:right w:val="single" w:sz="6" w:space="0" w:color="000000"/>
                        </w:tcBorders>
                      </w:tcPr>
                      <w:p>
                        <w:pPr>
                          <w:pStyle w:val="TableParagraph"/>
                          <w:spacing w:before="89"/>
                          <w:ind w:left="622" w:right="623"/>
                          <w:jc w:val="center"/>
                          <w:rPr>
                            <w:sz w:val="21"/>
                          </w:rPr>
                        </w:pPr>
                        <w:r>
                          <w:rPr>
                            <w:sz w:val="21"/>
                          </w:rPr>
                          <w:t>是否涉及生态保护红线</w:t>
                        </w:r>
                      </w:p>
                    </w:tc>
                    <w:tc>
                      <w:tcPr>
                        <w:tcW w:w="3572" w:type="dxa"/>
                        <w:tcBorders>
                          <w:top w:val="single" w:sz="6" w:space="0" w:color="000000"/>
                          <w:left w:val="single" w:sz="6" w:space="0" w:color="000000"/>
                          <w:bottom w:val="single" w:sz="6" w:space="0" w:color="000000"/>
                          <w:right w:val="nil"/>
                        </w:tcBorders>
                      </w:tcPr>
                      <w:p>
                        <w:pPr>
                          <w:pStyle w:val="TableParagraph"/>
                          <w:spacing w:before="89"/>
                          <w:ind w:right="10"/>
                          <w:jc w:val="center"/>
                          <w:rPr>
                            <w:sz w:val="21"/>
                          </w:rPr>
                        </w:pPr>
                        <w:r>
                          <w:rPr>
                            <w:w w:val="99"/>
                            <w:sz w:val="21"/>
                          </w:rPr>
                          <w:t>否</w:t>
                        </w:r>
                      </w:p>
                    </w:tc>
                  </w:tr>
                  <w:tr>
                    <w:tblPrEx>
                      <w:tblW w:w="0" w:type="auto"/>
                      <w:tblInd w:w="7" w:type="dxa"/>
                      <w:tblLayout w:type="fixed"/>
                      <w:tblCellMar>
                        <w:top w:w="0" w:type="dxa"/>
                        <w:left w:w="0" w:type="dxa"/>
                        <w:bottom w:w="0" w:type="dxa"/>
                        <w:right w:w="0" w:type="dxa"/>
                      </w:tblCellMar>
                    </w:tblPrEx>
                    <w:trPr>
                      <w:trHeight w:val="453"/>
                    </w:trPr>
                    <w:tc>
                      <w:tcPr>
                        <w:tcW w:w="1314" w:type="dxa"/>
                        <w:tcBorders>
                          <w:top w:val="single" w:sz="6" w:space="0" w:color="000000"/>
                          <w:left w:val="nil"/>
                          <w:right w:val="single" w:sz="6" w:space="0" w:color="000000"/>
                        </w:tcBorders>
                      </w:tcPr>
                      <w:p>
                        <w:pPr>
                          <w:pStyle w:val="TableParagraph"/>
                          <w:spacing w:before="105"/>
                          <w:ind w:left="9"/>
                          <w:jc w:val="center"/>
                          <w:rPr>
                            <w:rFonts w:ascii="Times New Roman"/>
                            <w:sz w:val="21"/>
                          </w:rPr>
                        </w:pPr>
                        <w:r>
                          <w:rPr>
                            <w:rFonts w:ascii="Times New Roman"/>
                            <w:w w:val="99"/>
                            <w:sz w:val="21"/>
                          </w:rPr>
                          <w:t>9</w:t>
                        </w:r>
                      </w:p>
                    </w:tc>
                    <w:tc>
                      <w:tcPr>
                        <w:tcW w:w="3505" w:type="dxa"/>
                        <w:tcBorders>
                          <w:top w:val="single" w:sz="6" w:space="0" w:color="000000"/>
                          <w:left w:val="single" w:sz="6" w:space="0" w:color="000000"/>
                          <w:right w:val="single" w:sz="6" w:space="0" w:color="000000"/>
                        </w:tcBorders>
                      </w:tcPr>
                      <w:p>
                        <w:pPr>
                          <w:pStyle w:val="TableParagraph"/>
                          <w:spacing w:before="91"/>
                          <w:ind w:left="622" w:right="623"/>
                          <w:jc w:val="center"/>
                          <w:rPr>
                            <w:sz w:val="21"/>
                          </w:rPr>
                        </w:pPr>
                        <w:r>
                          <w:rPr>
                            <w:sz w:val="21"/>
                          </w:rPr>
                          <w:t>是否涉及森林公园</w:t>
                        </w:r>
                      </w:p>
                    </w:tc>
                    <w:tc>
                      <w:tcPr>
                        <w:tcW w:w="3572" w:type="dxa"/>
                        <w:tcBorders>
                          <w:top w:val="single" w:sz="6" w:space="0" w:color="000000"/>
                          <w:left w:val="single" w:sz="6" w:space="0" w:color="000000"/>
                          <w:right w:val="nil"/>
                        </w:tcBorders>
                      </w:tcPr>
                      <w:p>
                        <w:pPr>
                          <w:pStyle w:val="TableParagraph"/>
                          <w:spacing w:before="91"/>
                          <w:ind w:right="10"/>
                          <w:jc w:val="center"/>
                          <w:rPr>
                            <w:sz w:val="21"/>
                          </w:rPr>
                        </w:pPr>
                        <w:r>
                          <w:rPr>
                            <w:w w:val="99"/>
                            <w:sz w:val="21"/>
                          </w:rPr>
                          <w:t>否</w:t>
                        </w:r>
                      </w:p>
                    </w:tc>
                  </w:tr>
                </w:tbl>
                <w:p>
                  <w:pPr>
                    <w:pStyle w:val="BodyText"/>
                  </w:pPr>
                </w:p>
              </w:txbxContent>
            </v:textbox>
          </v:shape>
        </w:pict>
      </w:r>
      <w:r>
        <w:t>生态</w:t>
      </w:r>
    </w:p>
    <w:p>
      <w:pPr>
        <w:pStyle w:val="Heading3"/>
        <w:tabs>
          <w:tab w:val="left" w:pos="939"/>
        </w:tabs>
        <w:spacing w:before="45" w:line="192" w:lineRule="auto"/>
        <w:ind w:left="498" w:right="6796" w:firstLine="0"/>
        <w:rPr>
          <w:b w:val="0"/>
        </w:rPr>
      </w:pPr>
      <w:r>
        <w:rPr>
          <w:b w:val="0"/>
          <w:position w:val="7"/>
        </w:rPr>
        <w:t>环</w:t>
      </w:r>
      <w:r>
        <w:rPr>
          <w:b w:val="0"/>
          <w:position w:val="7"/>
        </w:rPr>
        <w:tab/>
      </w:r>
      <w:r>
        <w:rPr>
          <w:rFonts w:ascii="Times New Roman" w:eastAsia="Times New Roman"/>
        </w:rPr>
        <w:t>1.1</w:t>
      </w:r>
      <w:r>
        <w:rPr>
          <w:rFonts w:ascii="Times New Roman" w:eastAsia="Times New Roman"/>
          <w:spacing w:val="58"/>
        </w:rPr>
        <w:t xml:space="preserve"> </w:t>
      </w:r>
      <w:r>
        <w:t>大气环境功能区</w:t>
      </w:r>
      <w:r>
        <w:rPr>
          <w:spacing w:val="-15"/>
        </w:rPr>
        <w:t>划</w:t>
      </w:r>
      <w:r>
        <w:rPr>
          <w:b w:val="0"/>
        </w:rPr>
        <w:t>境</w:t>
      </w:r>
    </w:p>
    <w:p>
      <w:pPr>
        <w:pStyle w:val="BodyText"/>
        <w:spacing w:line="165" w:lineRule="auto"/>
        <w:ind w:left="498"/>
        <w:jc w:val="both"/>
      </w:pPr>
      <w:r>
        <w:rPr>
          <w:position w:val="-8"/>
        </w:rPr>
        <w:t xml:space="preserve">现 </w:t>
      </w:r>
      <w:r>
        <w:t>根据《珠海市生态环境局关于印发</w:t>
      </w:r>
      <w:r>
        <w:rPr>
          <w:rFonts w:ascii="Times New Roman" w:eastAsia="Times New Roman"/>
        </w:rPr>
        <w:t>&lt;</w:t>
      </w:r>
      <w:r>
        <w:t>珠海市环境空气质量功能区划分（</w:t>
      </w:r>
      <w:r>
        <w:rPr>
          <w:rFonts w:ascii="Times New Roman" w:eastAsia="Times New Roman"/>
        </w:rPr>
        <w:t xml:space="preserve">2022 </w:t>
      </w:r>
      <w:r>
        <w:t>年</w:t>
      </w:r>
    </w:p>
    <w:p>
      <w:pPr>
        <w:pStyle w:val="BodyText"/>
        <w:spacing w:before="22" w:line="364" w:lineRule="auto"/>
        <w:ind w:left="940" w:right="571" w:hanging="442"/>
        <w:jc w:val="both"/>
      </w:pPr>
      <w:r>
        <w:rPr>
          <w:position w:val="7"/>
        </w:rPr>
        <w:t xml:space="preserve">状 </w:t>
      </w:r>
      <w:r>
        <w:t>修订）</w:t>
      </w:r>
      <w:r>
        <w:rPr>
          <w:rFonts w:ascii="Times New Roman" w:eastAsia="Times New Roman"/>
        </w:rPr>
        <w:t>&gt;</w:t>
      </w:r>
      <w:r>
        <w:t>的通知》（珠环〔</w:t>
      </w:r>
      <w:r>
        <w:rPr>
          <w:rFonts w:ascii="Times New Roman" w:eastAsia="Times New Roman"/>
        </w:rPr>
        <w:t>2022</w:t>
      </w:r>
      <w:r>
        <w:t>〕</w:t>
      </w:r>
      <w:r>
        <w:rPr>
          <w:rFonts w:ascii="Times New Roman" w:eastAsia="Times New Roman"/>
        </w:rPr>
        <w:t xml:space="preserve">197  </w:t>
      </w:r>
      <w:r>
        <w:t>号）有关规定，项目所在区域属二类环境空气质量功能区，执行《环境空气质量标准》（</w:t>
      </w:r>
      <w:r>
        <w:rPr>
          <w:rFonts w:ascii="Times New Roman" w:eastAsia="Times New Roman"/>
        </w:rPr>
        <w:t>GB3095-2012</w:t>
      </w:r>
      <w:r>
        <w:t xml:space="preserve">）及其修改单（生态环境部公告 </w:t>
      </w:r>
      <w:r>
        <w:rPr>
          <w:rFonts w:ascii="Times New Roman" w:eastAsia="Times New Roman"/>
        </w:rPr>
        <w:t xml:space="preserve">2018 </w:t>
      </w:r>
      <w:r>
        <w:t xml:space="preserve">年第 </w:t>
      </w:r>
      <w:r>
        <w:rPr>
          <w:rFonts w:ascii="Times New Roman" w:eastAsia="Times New Roman"/>
        </w:rPr>
        <w:t xml:space="preserve">29 </w:t>
      </w:r>
      <w:r>
        <w:t>号）中的二级标准。</w:t>
      </w:r>
    </w:p>
    <w:p>
      <w:pPr>
        <w:pStyle w:val="Heading3"/>
        <w:spacing w:line="305" w:lineRule="exact"/>
        <w:ind w:left="940" w:firstLine="0"/>
        <w:jc w:val="both"/>
      </w:pPr>
      <w:r>
        <w:rPr>
          <w:rFonts w:ascii="Times New Roman" w:eastAsia="Times New Roman"/>
        </w:rPr>
        <w:t>1.2</w:t>
      </w:r>
      <w:r>
        <w:rPr>
          <w:rFonts w:ascii="Times New Roman" w:eastAsia="Times New Roman"/>
          <w:spacing w:val="59"/>
        </w:rPr>
        <w:t xml:space="preserve"> </w:t>
      </w:r>
      <w:r>
        <w:t>地表水环境功能区划</w:t>
      </w:r>
    </w:p>
    <w:p>
      <w:pPr>
        <w:pStyle w:val="BodyText"/>
        <w:spacing w:before="160" w:line="364" w:lineRule="auto"/>
        <w:ind w:left="940" w:right="517" w:firstLine="480"/>
        <w:jc w:val="both"/>
      </w:pPr>
      <w:r>
        <w:rPr>
          <w:spacing w:val="-4"/>
        </w:rPr>
        <w:t>新建电缆沿环岛北路综合管廊、横琴隧道电力舱、宝琴路电缆隧道走线，且项</w:t>
      </w:r>
      <w:r>
        <w:rPr>
          <w:spacing w:val="-3"/>
        </w:rPr>
        <w:t>目建成后不会产生污水，项目与周围地表水无水力联系。项目附近的地表水为马骝</w:t>
      </w:r>
      <w:r>
        <w:t>洲水道。</w:t>
      </w:r>
    </w:p>
    <w:p>
      <w:pPr>
        <w:pStyle w:val="BodyText"/>
        <w:spacing w:line="364" w:lineRule="auto"/>
        <w:ind w:left="940" w:right="517" w:firstLine="480"/>
        <w:jc w:val="both"/>
      </w:pPr>
      <w:r>
        <w:t>根据《广东省海洋功能区划（</w:t>
      </w:r>
      <w:r>
        <w:rPr>
          <w:rFonts w:ascii="Times New Roman" w:eastAsia="Times New Roman" w:hAnsi="Times New Roman"/>
        </w:rPr>
        <w:t xml:space="preserve">2011-2020 </w:t>
      </w:r>
      <w:r>
        <w:t>年）》（国函﹝</w:t>
      </w:r>
      <w:r>
        <w:rPr>
          <w:rFonts w:ascii="Times New Roman" w:eastAsia="Times New Roman" w:hAnsi="Times New Roman"/>
        </w:rPr>
        <w:t>2012</w:t>
      </w:r>
      <w:r>
        <w:t>〕</w:t>
      </w:r>
      <w:r>
        <w:rPr>
          <w:rFonts w:ascii="Times New Roman" w:eastAsia="Times New Roman" w:hAnsi="Times New Roman"/>
        </w:rPr>
        <w:t xml:space="preserve">182 </w:t>
      </w:r>
      <w:r>
        <w:t>号）</w:t>
      </w:r>
      <w:r>
        <w:rPr>
          <w:spacing w:val="-7"/>
        </w:rPr>
        <w:t>，本</w:t>
      </w:r>
      <w:r>
        <w:rPr>
          <w:spacing w:val="-5"/>
        </w:rPr>
        <w:t>项目所在马骝洲水道的海洋功能区划为“横琴岛港口航运区”，执行海水水质四类</w:t>
      </w:r>
      <w:r>
        <w:t>标准。</w:t>
      </w:r>
    </w:p>
    <w:p>
      <w:pPr>
        <w:pStyle w:val="BodyText"/>
        <w:spacing w:line="362" w:lineRule="auto"/>
        <w:ind w:left="940" w:right="516" w:firstLine="480"/>
        <w:jc w:val="both"/>
      </w:pPr>
      <w:r>
        <w:t>根据《广东省近岸海域环境功能区划》（粤府办</w:t>
      </w:r>
      <w:r>
        <w:rPr>
          <w:rFonts w:ascii="Times New Roman" w:eastAsia="Times New Roman"/>
        </w:rPr>
        <w:t xml:space="preserve">[1999]68 </w:t>
      </w:r>
      <w:r>
        <w:t>号），马骝洲水道属于第三类海水功能区，执行《海水水质标准》</w:t>
      </w:r>
      <w:r>
        <w:rPr>
          <w:rFonts w:ascii="Times New Roman" w:eastAsia="Times New Roman"/>
        </w:rPr>
        <w:t>(GB3097-1997)</w:t>
      </w:r>
      <w:r>
        <w:t>第三类标准。</w:t>
      </w:r>
    </w:p>
    <w:p>
      <w:pPr>
        <w:pStyle w:val="BodyText"/>
        <w:spacing w:before="1"/>
        <w:ind w:left="1420"/>
      </w:pPr>
      <w:r>
        <w:t>因此，项目附近的马骝洲水道执行海洋功能区划与近岸海域环境功能区划之间</w:t>
      </w:r>
    </w:p>
    <w:p>
      <w:pPr>
        <w:spacing w:after="0"/>
        <w:sectPr>
          <w:footerReference w:type="default" r:id="rId34"/>
          <w:pgSz w:w="11910" w:h="16840"/>
          <w:pgMar w:top="1380" w:right="901" w:bottom="1160" w:left="920" w:header="0" w:footer="963" w:gutter="0"/>
          <w:pgNumType w:start="20"/>
          <w:cols w:num="1" w:space="720"/>
        </w:sectPr>
      </w:pPr>
    </w:p>
    <w:tbl>
      <w:tblPr>
        <w:tblStyle w:val="TableNormal"/>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2"/>
        <w:gridCol w:w="8845"/>
      </w:tblGrid>
      <w:tr>
        <w:tblPrEx>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8459"/>
        </w:trPr>
        <w:tc>
          <w:tcPr>
            <w:tcW w:w="442" w:type="dxa"/>
            <w:tcBorders>
              <w:right w:val="single" w:sz="4" w:space="0" w:color="000000"/>
            </w:tcBorders>
          </w:tcPr>
          <w:p>
            <w:pPr>
              <w:pStyle w:val="TableParagraph"/>
              <w:rPr>
                <w:rFonts w:ascii="Times New Roman"/>
                <w:sz w:val="22"/>
              </w:rPr>
            </w:pPr>
          </w:p>
        </w:tc>
        <w:tc>
          <w:tcPr>
            <w:tcW w:w="8845" w:type="dxa"/>
            <w:tcBorders>
              <w:left w:val="single" w:sz="4" w:space="0" w:color="000000"/>
            </w:tcBorders>
          </w:tcPr>
          <w:p>
            <w:pPr>
              <w:pStyle w:val="TableParagraph"/>
              <w:spacing w:before="3"/>
              <w:ind w:left="112"/>
              <w:rPr>
                <w:sz w:val="24"/>
              </w:rPr>
            </w:pPr>
            <w:r>
              <w:rPr>
                <w:sz w:val="24"/>
              </w:rPr>
              <w:t>规定更严格者，执行《海水水质标准》</w:t>
            </w:r>
            <w:r>
              <w:rPr>
                <w:rFonts w:ascii="Times New Roman" w:eastAsia="Times New Roman"/>
                <w:sz w:val="24"/>
              </w:rPr>
              <w:t>(GB3097-1997)</w:t>
            </w:r>
            <w:r>
              <w:rPr>
                <w:sz w:val="24"/>
              </w:rPr>
              <w:t>第三类标准。</w:t>
            </w:r>
          </w:p>
          <w:p>
            <w:pPr>
              <w:pStyle w:val="TableParagraph"/>
              <w:spacing w:before="158"/>
              <w:ind w:left="112"/>
              <w:jc w:val="both"/>
              <w:rPr>
                <w:b/>
                <w:sz w:val="24"/>
              </w:rPr>
            </w:pPr>
            <w:r>
              <w:rPr>
                <w:rFonts w:ascii="Times New Roman" w:eastAsia="Times New Roman"/>
                <w:b/>
                <w:sz w:val="24"/>
              </w:rPr>
              <w:t>1.3</w:t>
            </w:r>
            <w:r>
              <w:rPr>
                <w:rFonts w:ascii="Times New Roman" w:eastAsia="Times New Roman"/>
                <w:b/>
                <w:spacing w:val="59"/>
                <w:sz w:val="24"/>
              </w:rPr>
              <w:t xml:space="preserve"> </w:t>
            </w:r>
            <w:r>
              <w:rPr>
                <w:b/>
                <w:sz w:val="24"/>
              </w:rPr>
              <w:t>声环境功能区划</w:t>
            </w:r>
          </w:p>
          <w:p>
            <w:pPr>
              <w:pStyle w:val="TableParagraph"/>
              <w:spacing w:before="158" w:line="364" w:lineRule="auto"/>
              <w:ind w:left="112" w:right="87" w:firstLine="487"/>
              <w:jc w:val="both"/>
              <w:rPr>
                <w:sz w:val="24"/>
              </w:rPr>
            </w:pPr>
            <w:r>
              <w:rPr>
                <w:sz w:val="24"/>
              </w:rPr>
              <w:t>根据《珠海市声环境功能区区划》（</w:t>
            </w:r>
            <w:r>
              <w:rPr>
                <w:rFonts w:ascii="Times New Roman" w:eastAsia="Times New Roman"/>
                <w:sz w:val="24"/>
              </w:rPr>
              <w:t xml:space="preserve">2020 </w:t>
            </w:r>
            <w:r>
              <w:rPr>
                <w:spacing w:val="4"/>
                <w:sz w:val="24"/>
              </w:rPr>
              <w:t>年</w:t>
            </w:r>
            <w:r>
              <w:rPr>
                <w:spacing w:val="3"/>
                <w:sz w:val="24"/>
              </w:rPr>
              <w:t>）</w:t>
            </w:r>
            <w:r>
              <w:rPr>
                <w:spacing w:val="-8"/>
                <w:sz w:val="24"/>
              </w:rPr>
              <w:t xml:space="preserve">，本项目位于 </w:t>
            </w:r>
            <w:r>
              <w:rPr>
                <w:rFonts w:ascii="Times New Roman" w:eastAsia="Times New Roman"/>
                <w:sz w:val="24"/>
              </w:rPr>
              <w:t xml:space="preserve">2 </w:t>
            </w:r>
            <w:r>
              <w:rPr>
                <w:spacing w:val="2"/>
                <w:sz w:val="24"/>
              </w:rPr>
              <w:t>类、</w:t>
            </w:r>
            <w:r>
              <w:rPr>
                <w:rFonts w:ascii="Times New Roman" w:eastAsia="Times New Roman"/>
                <w:sz w:val="24"/>
              </w:rPr>
              <w:t xml:space="preserve">4a </w:t>
            </w:r>
            <w:r>
              <w:rPr>
                <w:spacing w:val="1"/>
                <w:sz w:val="24"/>
              </w:rPr>
              <w:t>声环境功能区（</w:t>
            </w:r>
            <w:r>
              <w:rPr>
                <w:spacing w:val="-20"/>
                <w:sz w:val="24"/>
              </w:rPr>
              <w:t xml:space="preserve">见图 </w:t>
            </w:r>
            <w:r>
              <w:rPr>
                <w:rFonts w:ascii="Times New Roman" w:eastAsia="Times New Roman"/>
                <w:sz w:val="24"/>
              </w:rPr>
              <w:t>3-1</w:t>
            </w:r>
            <w:r>
              <w:rPr>
                <w:spacing w:val="-21"/>
                <w:sz w:val="24"/>
              </w:rPr>
              <w:t xml:space="preserve">、图 </w:t>
            </w:r>
            <w:r>
              <w:rPr>
                <w:rFonts w:ascii="Times New Roman" w:eastAsia="Times New Roman"/>
                <w:sz w:val="24"/>
              </w:rPr>
              <w:t>3-2</w:t>
            </w:r>
            <w:r>
              <w:rPr>
                <w:sz w:val="24"/>
              </w:rPr>
              <w:t>），执行《声环境质量标准》（</w:t>
            </w:r>
            <w:r>
              <w:rPr>
                <w:rFonts w:ascii="Times New Roman" w:eastAsia="Times New Roman"/>
                <w:sz w:val="24"/>
              </w:rPr>
              <w:t>GB3096-2008</w:t>
            </w:r>
            <w:r>
              <w:rPr>
                <w:sz w:val="24"/>
              </w:rPr>
              <w:t>）所规定的</w:t>
            </w:r>
            <w:r>
              <w:rPr>
                <w:rFonts w:ascii="Times New Roman" w:eastAsia="Times New Roman"/>
                <w:sz w:val="24"/>
              </w:rPr>
              <w:t xml:space="preserve">2 </w:t>
            </w:r>
            <w:r>
              <w:rPr>
                <w:sz w:val="24"/>
              </w:rPr>
              <w:t>类标准、</w:t>
            </w:r>
            <w:r>
              <w:rPr>
                <w:rFonts w:ascii="Times New Roman" w:eastAsia="Times New Roman"/>
                <w:sz w:val="24"/>
              </w:rPr>
              <w:t xml:space="preserve">4a </w:t>
            </w:r>
            <w:r>
              <w:rPr>
                <w:sz w:val="24"/>
              </w:rPr>
              <w:t>类标准。</w:t>
            </w: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7"/>
              <w:rPr>
                <w:sz w:val="38"/>
              </w:rPr>
            </w:pPr>
          </w:p>
          <w:p>
            <w:pPr>
              <w:pStyle w:val="TableParagraph"/>
              <w:ind w:left="2180"/>
              <w:jc w:val="center"/>
              <w:rPr>
                <w:rFonts w:ascii="等线" w:eastAsia="等线" w:hint="eastAsia"/>
                <w:sz w:val="21"/>
              </w:rPr>
            </w:pPr>
            <w:r>
              <w:rPr>
                <w:rFonts w:ascii="等线" w:eastAsia="等线" w:hint="eastAsia"/>
                <w:sz w:val="21"/>
              </w:rPr>
              <w:t>本项目</w:t>
            </w:r>
          </w:p>
          <w:p>
            <w:pPr>
              <w:pStyle w:val="TableParagraph"/>
              <w:rPr>
                <w:sz w:val="22"/>
              </w:rPr>
            </w:pPr>
          </w:p>
          <w:p>
            <w:pPr>
              <w:pStyle w:val="TableParagraph"/>
              <w:rPr>
                <w:sz w:val="22"/>
              </w:rPr>
            </w:pPr>
          </w:p>
          <w:p>
            <w:pPr>
              <w:pStyle w:val="TableParagraph"/>
              <w:rPr>
                <w:sz w:val="22"/>
              </w:rPr>
            </w:pPr>
          </w:p>
          <w:p>
            <w:pPr>
              <w:pStyle w:val="TableParagraph"/>
              <w:spacing w:before="3"/>
              <w:rPr>
                <w:sz w:val="28"/>
              </w:rPr>
            </w:pPr>
          </w:p>
          <w:p>
            <w:pPr>
              <w:pStyle w:val="TableParagraph"/>
              <w:spacing w:before="1"/>
              <w:ind w:left="25"/>
              <w:jc w:val="center"/>
              <w:rPr>
                <w:rFonts w:ascii="等线" w:eastAsia="等线" w:hint="eastAsia"/>
                <w:b/>
                <w:sz w:val="21"/>
              </w:rPr>
            </w:pPr>
            <w:r>
              <w:rPr>
                <w:rFonts w:ascii="等线" w:eastAsia="等线" w:hint="eastAsia"/>
                <w:b/>
                <w:spacing w:val="-2"/>
                <w:sz w:val="21"/>
              </w:rPr>
              <w:t xml:space="preserve">图 </w:t>
            </w:r>
            <w:r>
              <w:rPr>
                <w:rFonts w:ascii="Times New Roman" w:eastAsia="Times New Roman"/>
                <w:b/>
                <w:sz w:val="21"/>
              </w:rPr>
              <w:t>3-1</w:t>
            </w:r>
            <w:r>
              <w:rPr>
                <w:rFonts w:ascii="Times New Roman" w:eastAsia="Times New Roman"/>
                <w:b/>
                <w:spacing w:val="51"/>
                <w:sz w:val="21"/>
              </w:rPr>
              <w:t xml:space="preserve"> </w:t>
            </w:r>
            <w:r>
              <w:rPr>
                <w:rFonts w:ascii="等线" w:eastAsia="等线" w:hint="eastAsia"/>
                <w:b/>
                <w:sz w:val="21"/>
              </w:rPr>
              <w:t>珠海市中心城区声环境功能区划图</w:t>
            </w:r>
          </w:p>
        </w:tc>
      </w:tr>
    </w:tbl>
    <w:p>
      <w:pPr>
        <w:rPr>
          <w:sz w:val="2"/>
          <w:szCs w:val="2"/>
        </w:rPr>
      </w:pPr>
      <w:r>
        <w:pict>
          <v:group id="_x0000_s1208" o:spid="_x0000_s1067" style="width:430.6pt;height:284.9pt;margin-top:188.6pt;margin-left:93pt;mso-height-relative:page;mso-position-horizontal-relative:page;mso-position-vertical-relative:page;mso-width-relative:page;position:absolute;z-index:-251645952" coordorigin="1860,3773" coordsize="8612,5698">
            <v:shape id="_x0000_s1209" o:spid="_x0000_s1068" type="#_x0000_t75" style="width:8612;height:5698;left:1860;position:absolute;top:3772" coordsize="21600,21600" filled="f" stroked="f">
              <v:imagedata r:id="rId35" o:title=""/>
              <o:lock v:ext="edit" aspectratio="t"/>
            </v:shape>
            <v:shape id="_x0000_s1210" o:spid="_x0000_s1069" style="width:2206;height:816;left:5856;position:absolute;top:7864" coordorigin="5856,7865" coordsize="2206,816" path="m8062,8263l6444,8263,6444,7865,8062,7865,8062,8263xm5856,8681l6715,8263,7118,8263,5856,8681xe" filled="t" fillcolor="white" stroked="f">
              <v:fill opacity="39321f"/>
              <v:path arrowok="t"/>
            </v:shape>
            <v:shape id="_x0000_s1211" o:spid="_x0000_s1070" style="width:2314;height:872;left:5761;position:absolute;top:7851" coordorigin="5761,7851" coordsize="2314,872" path="m6660,8276l6432,8276,6432,7851,8074,7851,8074,7864,6457,7864,6445,7876,6457,7876,6457,8251,6445,8251,6457,8264,6686,8264,6660,8276xm6457,7876l6445,7876,6457,7864,6457,7876xm8049,7876l6457,7876,6457,7864,8049,7864,8049,7876xm8049,8264l8049,7864,8062,7876,8074,7876,8074,8251,8062,8251,8049,8264xm8074,7876l8062,7876,8049,7864,8074,7864,8074,7876xm6457,8264l6445,8251,6457,8251,6457,8264xm6686,8264l6457,8264,6457,8251,6769,8251,6766,8253,6709,8253,6686,8264xm5862,8691l5861,8691,6030,8609,7117,8251,8049,8251,8049,8264,8074,8264,8074,8276,7123,8276,7119,8276,7121,8276,5862,8691xm8074,8264l8049,8264,8062,8251,8074,8251,8074,8264xm5765,8723l5761,8712,6709,8253,6714,8276,6717,8276,6030,8609,5852,8668,5861,8691,5862,8691,5765,8723xm6717,8276l6714,8276,6709,8253,6766,8253,6717,8276xm7121,8276l7119,8276,7123,8276,7121,8276xm8074,8276l7121,8276,7123,8276,8074,8276,8074,8276xm5861,8691l5852,8668,6030,8609,5861,8691xe" filled="t" fillcolor="black" stroked="f">
              <v:path arrowok="t"/>
            </v:shape>
            <v:shape id="_x0000_s1212" o:spid="_x0000_s1071" type="#_x0000_t75" style="width:183;height:183;left:6838;position:absolute;top:4951" coordsize="21600,21600" filled="f" stroked="f">
              <v:imagedata r:id="rId36" o:title=""/>
              <o:lock v:ext="edit" aspectratio="t"/>
            </v:shape>
          </v:group>
        </w:pict>
      </w:r>
    </w:p>
    <w:p>
      <w:pPr>
        <w:spacing w:after="0"/>
        <w:rPr>
          <w:sz w:val="2"/>
          <w:szCs w:val="2"/>
        </w:rPr>
        <w:sectPr>
          <w:footerReference w:type="default" r:id="rId37"/>
          <w:pgSz w:w="11910" w:h="16840"/>
          <w:pgMar w:top="1420" w:right="901" w:bottom="1240" w:left="920" w:header="0" w:footer="963" w:gutter="0"/>
          <w:pgNumType w:start="21"/>
          <w:cols w:num="1" w:space="720"/>
        </w:sectPr>
      </w:pPr>
    </w:p>
    <w:p>
      <w:pPr>
        <w:pStyle w:val="BodyText"/>
        <w:rPr>
          <w:sz w:val="20"/>
        </w:rPr>
      </w:pPr>
      <w:r>
        <w:pict>
          <v:group id="_x0000_s1213" o:spid="_x0000_s1072" style="width:465.35pt;height:692.45pt;margin-top:70.9pt;margin-left:65pt;mso-height-relative:page;mso-position-horizontal-relative:page;mso-position-vertical-relative:page;mso-width-relative:page;position:absolute;z-index:-251644928" coordorigin="1300,1418" coordsize="9307,13849">
            <v:shape id="_x0000_s1214" o:spid="_x0000_s1073" type="#_x0000_t75" style="width:8504;height:5667;left:1860;position:absolute;top:1437" coordsize="21600,21600" filled="f" stroked="f">
              <v:imagedata r:id="rId38" o:title=""/>
              <o:lock v:ext="edit" aspectratio="t"/>
            </v:shape>
            <v:shape id="_x0000_s1215" o:spid="_x0000_s1074" style="width:9307;height:13849;left:1300;position:absolute;top:1573" coordorigin="1300,1574" coordsize="9307,13849" path="m1300,1428l10607,1428m1300,15257l10607,15257m1310,1418l1310,15266m10597,1437l10597,15266e" filled="f" stroked="t" strokecolor="black">
              <v:path arrowok="t"/>
            </v:shape>
            <v:line id="_x0000_s1216" o:spid="_x0000_s1075" style="position:absolute" from="1752,1437" to="1752,15247" coordsize="21600,21600" stroked="t" strokecolor="black"/>
            <v:shape id="_x0000_s1217" o:spid="_x0000_s1076" style="width:2194;height:401;left:6364;position:absolute;top:2656" coordorigin="6365,2657" coordsize="2194,401" path="m6365,2827l6941,2724,6941,2657,8558,2657,8558,2825,6941,2825,6365,2827xm8558,3058l6941,3058,6941,2825,8558,2825,8558,3058xe" filled="t" fillcolor="white" stroked="f">
              <v:fill opacity="39321f"/>
              <v:path arrowok="t"/>
            </v:shape>
            <v:shape id="_x0000_s1218" o:spid="_x0000_s1077" style="width:2307;height:425;left:6264;position:absolute;top:2644" coordorigin="6264,2645" coordsize="2307,425" path="m6928,2713l6928,2645,8570,2645,8570,2657,6953,2657,6941,2670,6953,2670,6953,2711,6939,2711,6928,2713xm6953,2670l6941,2670,6953,2657,6953,2670xm8545,2670l6953,2670,6953,2657,8545,2657,8545,2670xm8545,3057l8545,2657,8558,2670,8570,2670,8570,3045,8558,3045,8545,3057xm8570,2670l8558,2670,8545,2657,8570,2657,8570,2670xm6928,2724l6928,2713,6939,2711,6928,2724xm6953,2724l6928,2724,6939,2711,6953,2711,6953,2724xm6265,2839l6264,2831,6928,2713,6928,2724,6953,2724,6953,2734,6509,2813,6364,2814,6366,2838,6413,2838,6265,2839xm6413,2838l6366,2838,6509,2813,6953,2811,6953,2824,6928,2824,6928,2836,6413,2838xm6366,2838l6364,2814,6509,2813,6366,2838xm6928,2836l6928,2824,6941,2836,6928,2836xm8570,3070l6928,3070,6928,2836,6941,2836,6928,2824,6953,2824,6953,3045,6941,3045,6953,3057,8570,3057,8570,3070xm6953,3057l6941,3045,6953,3045,6953,3057xm8545,3057l6953,3057,6953,3045,8545,3045,8545,3057xm8570,3057l8545,3057,8558,3045,8570,3045,8570,3057xe" filled="t" fillcolor="black" stroked="f">
              <v:path arrowok="t"/>
            </v:shape>
          </v:group>
        </w:pict>
      </w:r>
    </w:p>
    <w:p>
      <w:pPr>
        <w:pStyle w:val="BodyText"/>
        <w:rPr>
          <w:sz w:val="20"/>
        </w:rPr>
      </w:pPr>
    </w:p>
    <w:p>
      <w:pPr>
        <w:pStyle w:val="BodyText"/>
        <w:rPr>
          <w:sz w:val="20"/>
        </w:rPr>
      </w:pPr>
    </w:p>
    <w:p>
      <w:pPr>
        <w:pStyle w:val="BodyText"/>
        <w:rPr>
          <w:sz w:val="20"/>
        </w:rPr>
      </w:pPr>
    </w:p>
    <w:p>
      <w:pPr>
        <w:pStyle w:val="BodyText"/>
        <w:rPr>
          <w:sz w:val="18"/>
        </w:rPr>
      </w:pPr>
    </w:p>
    <w:p>
      <w:pPr>
        <w:spacing w:before="51"/>
        <w:ind w:left="6515" w:right="0" w:firstLine="0"/>
        <w:jc w:val="left"/>
        <w:rPr>
          <w:rFonts w:ascii="等线" w:eastAsia="等线" w:hint="eastAsia"/>
          <w:sz w:val="21"/>
        </w:rPr>
      </w:pPr>
      <w:r>
        <w:rPr>
          <w:rFonts w:ascii="等线" w:eastAsia="等线" w:hint="eastAsia"/>
          <w:sz w:val="21"/>
        </w:rPr>
        <w:t>本项目</w:t>
      </w: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rPr>
          <w:rFonts w:ascii="等线"/>
          <w:sz w:val="20"/>
        </w:rPr>
      </w:pPr>
    </w:p>
    <w:p>
      <w:pPr>
        <w:pStyle w:val="BodyText"/>
        <w:spacing w:before="13"/>
        <w:rPr>
          <w:rFonts w:ascii="等线"/>
          <w:sz w:val="12"/>
        </w:rPr>
      </w:pPr>
    </w:p>
    <w:p>
      <w:pPr>
        <w:tabs>
          <w:tab w:val="left" w:pos="1178"/>
        </w:tabs>
        <w:spacing w:before="77"/>
        <w:ind w:left="427" w:right="0" w:firstLine="0"/>
        <w:jc w:val="center"/>
        <w:rPr>
          <w:b/>
          <w:sz w:val="21"/>
        </w:rPr>
      </w:pPr>
      <w:r>
        <w:rPr>
          <w:b/>
          <w:sz w:val="21"/>
        </w:rPr>
        <w:t>图</w:t>
      </w:r>
      <w:r>
        <w:rPr>
          <w:b/>
          <w:spacing w:val="-55"/>
          <w:sz w:val="21"/>
        </w:rPr>
        <w:t xml:space="preserve"> </w:t>
      </w:r>
      <w:r>
        <w:rPr>
          <w:rFonts w:ascii="Times New Roman" w:eastAsia="Times New Roman"/>
          <w:b/>
          <w:sz w:val="21"/>
        </w:rPr>
        <w:t>3-2</w:t>
      </w:r>
      <w:r>
        <w:rPr>
          <w:rFonts w:ascii="Times New Roman" w:eastAsia="Times New Roman"/>
          <w:b/>
          <w:sz w:val="21"/>
        </w:rPr>
        <w:tab/>
      </w:r>
      <w:r>
        <w:rPr>
          <w:b/>
          <w:sz w:val="21"/>
        </w:rPr>
        <w:t>横琴新区声环境功能区</w:t>
      </w:r>
      <w:r>
        <w:rPr>
          <w:b/>
          <w:spacing w:val="4"/>
          <w:sz w:val="21"/>
        </w:rPr>
        <w:t>划</w:t>
      </w:r>
      <w:r>
        <w:rPr>
          <w:b/>
          <w:sz w:val="21"/>
        </w:rPr>
        <w:t>图</w:t>
      </w:r>
    </w:p>
    <w:p>
      <w:pPr>
        <w:pStyle w:val="Heading3"/>
        <w:numPr>
          <w:ilvl w:val="0"/>
          <w:numId w:val="12"/>
        </w:numPr>
        <w:tabs>
          <w:tab w:val="left" w:pos="1180"/>
        </w:tabs>
        <w:spacing w:before="140" w:after="0" w:line="240" w:lineRule="auto"/>
        <w:ind w:left="1180" w:right="6519" w:hanging="1180"/>
        <w:jc w:val="left"/>
      </w:pPr>
      <w:r>
        <w:t>环境质量现状</w:t>
      </w:r>
    </w:p>
    <w:p>
      <w:pPr>
        <w:pStyle w:val="Heading3"/>
        <w:numPr>
          <w:ilvl w:val="1"/>
          <w:numId w:val="12"/>
        </w:numPr>
        <w:tabs>
          <w:tab w:val="left" w:pos="1360"/>
        </w:tabs>
        <w:spacing w:before="160" w:after="0" w:line="240" w:lineRule="auto"/>
        <w:ind w:left="1360" w:right="0" w:hanging="420"/>
        <w:jc w:val="left"/>
      </w:pPr>
      <w:r>
        <w:t>大气环境质量现状</w:t>
      </w:r>
    </w:p>
    <w:p>
      <w:pPr>
        <w:pStyle w:val="BodyText"/>
        <w:spacing w:before="158" w:line="364" w:lineRule="auto"/>
        <w:ind w:left="940" w:right="516" w:firstLine="480"/>
      </w:pPr>
      <w:r>
        <w:t>本次评价通过珠海市生态环境局网站公开发布的《</w:t>
      </w:r>
      <w:r>
        <w:rPr>
          <w:rFonts w:ascii="Times New Roman" w:eastAsia="Times New Roman"/>
        </w:rPr>
        <w:t xml:space="preserve">2022 </w:t>
      </w:r>
      <w:r>
        <w:t xml:space="preserve">年珠海市环境质量状况》中的数据进行统计，详见表 </w:t>
      </w:r>
      <w:r>
        <w:rPr>
          <w:rFonts w:ascii="Times New Roman" w:eastAsia="Times New Roman"/>
        </w:rPr>
        <w:t>3-2</w:t>
      </w:r>
      <w:r>
        <w:t>。</w:t>
      </w:r>
    </w:p>
    <w:p>
      <w:pPr>
        <w:spacing w:before="0" w:after="4" w:line="267" w:lineRule="exact"/>
        <w:ind w:left="2980" w:right="0" w:firstLine="0"/>
        <w:jc w:val="left"/>
        <w:rPr>
          <w:b/>
          <w:sz w:val="21"/>
        </w:rPr>
      </w:pPr>
      <w:r>
        <w:rPr>
          <w:b/>
          <w:spacing w:val="-26"/>
          <w:sz w:val="21"/>
        </w:rPr>
        <w:t xml:space="preserve">表 </w:t>
      </w:r>
      <w:r>
        <w:rPr>
          <w:rFonts w:ascii="Times New Roman" w:eastAsia="Times New Roman"/>
          <w:b/>
          <w:sz w:val="21"/>
        </w:rPr>
        <w:t>3-2</w:t>
      </w:r>
      <w:r>
        <w:rPr>
          <w:rFonts w:ascii="Times New Roman" w:eastAsia="Times New Roman"/>
          <w:b/>
          <w:spacing w:val="51"/>
          <w:sz w:val="21"/>
        </w:rPr>
        <w:t xml:space="preserve"> </w:t>
      </w:r>
      <w:r>
        <w:rPr>
          <w:b/>
          <w:spacing w:val="-8"/>
          <w:sz w:val="21"/>
        </w:rPr>
        <w:t xml:space="preserve">项目所在区域 </w:t>
      </w:r>
      <w:r>
        <w:rPr>
          <w:rFonts w:ascii="Times New Roman" w:eastAsia="Times New Roman"/>
          <w:b/>
          <w:sz w:val="21"/>
        </w:rPr>
        <w:t xml:space="preserve">2022 </w:t>
      </w:r>
      <w:r>
        <w:rPr>
          <w:b/>
          <w:sz w:val="21"/>
        </w:rPr>
        <w:t>年空气质量现状评价表</w:t>
      </w:r>
    </w:p>
    <w:tbl>
      <w:tblPr>
        <w:tblStyle w:val="TableNormal"/>
        <w:tblW w:w="0" w:type="auto"/>
        <w:tblInd w:w="15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918"/>
        <w:gridCol w:w="3291"/>
        <w:gridCol w:w="1185"/>
        <w:gridCol w:w="1314"/>
        <w:gridCol w:w="749"/>
      </w:tblGrid>
      <w:tr>
        <w:tblPrEx>
          <w:tblW w:w="0" w:type="auto"/>
          <w:tblInd w:w="15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545"/>
        </w:trPr>
        <w:tc>
          <w:tcPr>
            <w:tcW w:w="918" w:type="dxa"/>
            <w:tcBorders>
              <w:left w:val="nil"/>
              <w:bottom w:val="single" w:sz="4" w:space="0" w:color="000000"/>
              <w:right w:val="single" w:sz="4" w:space="0" w:color="000000"/>
            </w:tcBorders>
            <w:shd w:val="clear" w:color="auto" w:fill="F1F1F1"/>
          </w:tcPr>
          <w:p>
            <w:pPr>
              <w:pStyle w:val="TableParagraph"/>
              <w:spacing w:before="137"/>
              <w:ind w:left="122" w:right="117"/>
              <w:jc w:val="center"/>
              <w:rPr>
                <w:b/>
                <w:sz w:val="21"/>
              </w:rPr>
            </w:pPr>
            <w:r>
              <w:rPr>
                <w:b/>
                <w:sz w:val="21"/>
              </w:rPr>
              <w:t>污染物</w:t>
            </w:r>
          </w:p>
        </w:tc>
        <w:tc>
          <w:tcPr>
            <w:tcW w:w="3291" w:type="dxa"/>
            <w:tcBorders>
              <w:left w:val="single" w:sz="4" w:space="0" w:color="000000"/>
              <w:bottom w:val="single" w:sz="4" w:space="0" w:color="000000"/>
              <w:right w:val="single" w:sz="4" w:space="0" w:color="000000"/>
            </w:tcBorders>
            <w:shd w:val="clear" w:color="auto" w:fill="F1F1F1"/>
          </w:tcPr>
          <w:p>
            <w:pPr>
              <w:pStyle w:val="TableParagraph"/>
              <w:spacing w:before="137"/>
              <w:ind w:left="67" w:right="71"/>
              <w:jc w:val="center"/>
              <w:rPr>
                <w:b/>
                <w:sz w:val="21"/>
              </w:rPr>
            </w:pPr>
            <w:r>
              <w:rPr>
                <w:b/>
                <w:sz w:val="21"/>
              </w:rPr>
              <w:t>年评价指标</w:t>
            </w:r>
          </w:p>
        </w:tc>
        <w:tc>
          <w:tcPr>
            <w:tcW w:w="1185" w:type="dxa"/>
            <w:tcBorders>
              <w:left w:val="single" w:sz="4" w:space="0" w:color="000000"/>
              <w:bottom w:val="single" w:sz="4" w:space="0" w:color="000000"/>
              <w:right w:val="single" w:sz="4" w:space="0" w:color="000000"/>
            </w:tcBorders>
            <w:shd w:val="clear" w:color="auto" w:fill="F1F1F1"/>
          </w:tcPr>
          <w:p>
            <w:pPr>
              <w:pStyle w:val="TableParagraph"/>
              <w:spacing w:before="17"/>
              <w:ind w:left="165"/>
              <w:rPr>
                <w:b/>
                <w:sz w:val="21"/>
              </w:rPr>
            </w:pPr>
            <w:r>
              <w:rPr>
                <w:b/>
                <w:sz w:val="21"/>
              </w:rPr>
              <w:t>现状浓度</w:t>
            </w:r>
          </w:p>
          <w:p>
            <w:pPr>
              <w:pStyle w:val="TableParagraph"/>
              <w:spacing w:before="2" w:line="237" w:lineRule="exact"/>
              <w:ind w:left="225"/>
              <w:rPr>
                <w:rFonts w:ascii="Times New Roman" w:hAnsi="Times New Roman"/>
                <w:b/>
                <w:sz w:val="21"/>
              </w:rPr>
            </w:pPr>
            <w:r>
              <w:rPr>
                <w:rFonts w:ascii="Times New Roman" w:hAnsi="Times New Roman"/>
                <w:b/>
                <w:sz w:val="21"/>
              </w:rPr>
              <w:t>/(μg/m</w:t>
            </w:r>
            <w:r>
              <w:rPr>
                <w:rFonts w:ascii="Times New Roman" w:hAnsi="Times New Roman"/>
                <w:b/>
                <w:position w:val="7"/>
                <w:sz w:val="13"/>
              </w:rPr>
              <w:t>3</w:t>
            </w:r>
            <w:r>
              <w:rPr>
                <w:rFonts w:ascii="Times New Roman" w:hAnsi="Times New Roman"/>
                <w:b/>
                <w:sz w:val="21"/>
              </w:rPr>
              <w:t>)</w:t>
            </w:r>
          </w:p>
        </w:tc>
        <w:tc>
          <w:tcPr>
            <w:tcW w:w="1314" w:type="dxa"/>
            <w:tcBorders>
              <w:left w:val="single" w:sz="4" w:space="0" w:color="000000"/>
              <w:bottom w:val="single" w:sz="4" w:space="0" w:color="000000"/>
              <w:right w:val="single" w:sz="4" w:space="0" w:color="000000"/>
            </w:tcBorders>
            <w:shd w:val="clear" w:color="auto" w:fill="F1F1F1"/>
          </w:tcPr>
          <w:p>
            <w:pPr>
              <w:pStyle w:val="TableParagraph"/>
              <w:spacing w:before="17"/>
              <w:ind w:left="104" w:right="105"/>
              <w:jc w:val="center"/>
              <w:rPr>
                <w:b/>
                <w:sz w:val="21"/>
              </w:rPr>
            </w:pPr>
            <w:r>
              <w:rPr>
                <w:b/>
                <w:sz w:val="21"/>
              </w:rPr>
              <w:t>二级标准值</w:t>
            </w:r>
          </w:p>
          <w:p>
            <w:pPr>
              <w:pStyle w:val="TableParagraph"/>
              <w:spacing w:before="2" w:line="237" w:lineRule="exact"/>
              <w:ind w:left="104" w:right="104"/>
              <w:jc w:val="center"/>
              <w:rPr>
                <w:rFonts w:ascii="Times New Roman" w:hAnsi="Times New Roman"/>
                <w:b/>
                <w:sz w:val="21"/>
              </w:rPr>
            </w:pPr>
            <w:r>
              <w:rPr>
                <w:rFonts w:ascii="Times New Roman" w:hAnsi="Times New Roman"/>
                <w:b/>
                <w:sz w:val="21"/>
              </w:rPr>
              <w:t>/(μg/m</w:t>
            </w:r>
            <w:r>
              <w:rPr>
                <w:rFonts w:ascii="Times New Roman" w:hAnsi="Times New Roman"/>
                <w:b/>
                <w:position w:val="7"/>
                <w:sz w:val="13"/>
              </w:rPr>
              <w:t>3</w:t>
            </w:r>
            <w:r>
              <w:rPr>
                <w:rFonts w:ascii="Times New Roman" w:hAnsi="Times New Roman"/>
                <w:b/>
                <w:sz w:val="21"/>
              </w:rPr>
              <w:t>)</w:t>
            </w:r>
          </w:p>
        </w:tc>
        <w:tc>
          <w:tcPr>
            <w:tcW w:w="749" w:type="dxa"/>
            <w:tcBorders>
              <w:left w:val="single" w:sz="4" w:space="0" w:color="000000"/>
              <w:bottom w:val="single" w:sz="4" w:space="0" w:color="000000"/>
              <w:right w:val="nil"/>
            </w:tcBorders>
            <w:shd w:val="clear" w:color="auto" w:fill="F1F1F1"/>
          </w:tcPr>
          <w:p>
            <w:pPr>
              <w:pStyle w:val="TableParagraph"/>
              <w:ind w:left="157"/>
              <w:rPr>
                <w:b/>
                <w:sz w:val="21"/>
              </w:rPr>
            </w:pPr>
            <w:r>
              <w:rPr>
                <w:b/>
                <w:w w:val="95"/>
                <w:sz w:val="21"/>
              </w:rPr>
              <w:t>达标</w:t>
            </w:r>
          </w:p>
          <w:p>
            <w:pPr>
              <w:pStyle w:val="TableParagraph"/>
              <w:spacing w:before="5" w:line="251" w:lineRule="exact"/>
              <w:ind w:left="157"/>
              <w:rPr>
                <w:b/>
                <w:sz w:val="21"/>
              </w:rPr>
            </w:pPr>
            <w:r>
              <w:rPr>
                <w:b/>
                <w:w w:val="95"/>
                <w:sz w:val="21"/>
              </w:rPr>
              <w:t>情况</w:t>
            </w:r>
          </w:p>
        </w:tc>
      </w:tr>
      <w:tr>
        <w:tblPrEx>
          <w:tblW w:w="0" w:type="auto"/>
          <w:tblInd w:w="1533" w:type="dxa"/>
          <w:tblLayout w:type="fixed"/>
          <w:tblCellMar>
            <w:top w:w="0" w:type="dxa"/>
            <w:left w:w="0" w:type="dxa"/>
            <w:bottom w:w="0" w:type="dxa"/>
            <w:right w:w="0" w:type="dxa"/>
          </w:tblCellMar>
        </w:tblPrEx>
        <w:trPr>
          <w:trHeight w:val="272"/>
        </w:trPr>
        <w:tc>
          <w:tcPr>
            <w:tcW w:w="918" w:type="dxa"/>
            <w:tcBorders>
              <w:top w:val="single" w:sz="4" w:space="0" w:color="000000"/>
              <w:left w:val="nil"/>
              <w:bottom w:val="single" w:sz="4" w:space="0" w:color="000000"/>
              <w:right w:val="single" w:sz="4" w:space="0" w:color="000000"/>
            </w:tcBorders>
          </w:tcPr>
          <w:p>
            <w:pPr>
              <w:pStyle w:val="TableParagraph"/>
              <w:spacing w:before="13" w:line="239" w:lineRule="exact"/>
              <w:ind w:left="122" w:right="116"/>
              <w:jc w:val="center"/>
              <w:rPr>
                <w:rFonts w:ascii="Times New Roman"/>
                <w:sz w:val="21"/>
              </w:rPr>
            </w:pPr>
            <w:r>
              <w:rPr>
                <w:rFonts w:ascii="Times New Roman"/>
                <w:position w:val="2"/>
                <w:sz w:val="21"/>
              </w:rPr>
              <w:t>SO</w:t>
            </w:r>
            <w:r>
              <w:rPr>
                <w:rFonts w:ascii="Times New Roman"/>
                <w:position w:val="2"/>
                <w:sz w:val="21"/>
                <w:vertAlign w:val="subscript"/>
              </w:rPr>
              <w:t>2</w:t>
            </w:r>
          </w:p>
        </w:tc>
        <w:tc>
          <w:tcPr>
            <w:tcW w:w="3291" w:type="dxa"/>
            <w:tcBorders>
              <w:top w:val="single" w:sz="4" w:space="0" w:color="000000"/>
              <w:left w:val="single" w:sz="4" w:space="0" w:color="000000"/>
              <w:bottom w:val="single" w:sz="4" w:space="0" w:color="000000"/>
              <w:right w:val="single" w:sz="4" w:space="0" w:color="000000"/>
            </w:tcBorders>
          </w:tcPr>
          <w:p>
            <w:pPr>
              <w:pStyle w:val="TableParagraph"/>
              <w:spacing w:before="2" w:line="250" w:lineRule="exact"/>
              <w:ind w:left="70" w:right="71"/>
              <w:jc w:val="center"/>
              <w:rPr>
                <w:sz w:val="21"/>
              </w:rPr>
            </w:pPr>
            <w:r>
              <w:rPr>
                <w:sz w:val="21"/>
              </w:rPr>
              <w:t>年平均质量浓度</w:t>
            </w:r>
          </w:p>
        </w:tc>
        <w:tc>
          <w:tcPr>
            <w:tcW w:w="1185" w:type="dxa"/>
            <w:tcBorders>
              <w:top w:val="single" w:sz="4" w:space="0" w:color="000000"/>
              <w:left w:val="single" w:sz="4" w:space="0" w:color="000000"/>
              <w:bottom w:val="single" w:sz="4" w:space="0" w:color="000000"/>
              <w:right w:val="single" w:sz="4" w:space="0" w:color="000000"/>
            </w:tcBorders>
          </w:tcPr>
          <w:p>
            <w:pPr>
              <w:pStyle w:val="TableParagraph"/>
              <w:spacing w:before="16" w:line="236" w:lineRule="exact"/>
              <w:ind w:left="535"/>
              <w:rPr>
                <w:rFonts w:ascii="Times New Roman"/>
                <w:sz w:val="21"/>
              </w:rPr>
            </w:pPr>
            <w:r>
              <w:rPr>
                <w:rFonts w:ascii="Times New Roman"/>
                <w:w w:val="99"/>
                <w:sz w:val="21"/>
              </w:rPr>
              <w:t>8</w:t>
            </w:r>
          </w:p>
        </w:tc>
        <w:tc>
          <w:tcPr>
            <w:tcW w:w="1314" w:type="dxa"/>
            <w:tcBorders>
              <w:top w:val="single" w:sz="4" w:space="0" w:color="000000"/>
              <w:left w:val="single" w:sz="4" w:space="0" w:color="000000"/>
              <w:bottom w:val="single" w:sz="4" w:space="0" w:color="000000"/>
              <w:right w:val="single" w:sz="4" w:space="0" w:color="000000"/>
            </w:tcBorders>
          </w:tcPr>
          <w:p>
            <w:pPr>
              <w:pStyle w:val="TableParagraph"/>
              <w:spacing w:before="16" w:line="236" w:lineRule="exact"/>
              <w:ind w:left="104" w:right="103"/>
              <w:jc w:val="center"/>
              <w:rPr>
                <w:rFonts w:ascii="Times New Roman"/>
                <w:sz w:val="21"/>
              </w:rPr>
            </w:pPr>
            <w:r>
              <w:rPr>
                <w:rFonts w:ascii="Times New Roman"/>
                <w:sz w:val="21"/>
              </w:rPr>
              <w:t>60</w:t>
            </w:r>
          </w:p>
        </w:tc>
        <w:tc>
          <w:tcPr>
            <w:tcW w:w="749" w:type="dxa"/>
            <w:tcBorders>
              <w:top w:val="single" w:sz="4" w:space="0" w:color="000000"/>
              <w:left w:val="single" w:sz="4" w:space="0" w:color="000000"/>
              <w:bottom w:val="single" w:sz="4" w:space="0" w:color="000000"/>
              <w:right w:val="nil"/>
            </w:tcBorders>
          </w:tcPr>
          <w:p>
            <w:pPr>
              <w:pStyle w:val="TableParagraph"/>
              <w:spacing w:before="2" w:line="250" w:lineRule="exact"/>
              <w:ind w:left="138" w:right="146"/>
              <w:jc w:val="center"/>
              <w:rPr>
                <w:sz w:val="21"/>
              </w:rPr>
            </w:pPr>
            <w:r>
              <w:rPr>
                <w:sz w:val="21"/>
              </w:rPr>
              <w:t>达标</w:t>
            </w:r>
          </w:p>
        </w:tc>
      </w:tr>
      <w:tr>
        <w:tblPrEx>
          <w:tblW w:w="0" w:type="auto"/>
          <w:tblInd w:w="1533" w:type="dxa"/>
          <w:tblLayout w:type="fixed"/>
          <w:tblCellMar>
            <w:top w:w="0" w:type="dxa"/>
            <w:left w:w="0" w:type="dxa"/>
            <w:bottom w:w="0" w:type="dxa"/>
            <w:right w:w="0" w:type="dxa"/>
          </w:tblCellMar>
        </w:tblPrEx>
        <w:trPr>
          <w:trHeight w:val="272"/>
        </w:trPr>
        <w:tc>
          <w:tcPr>
            <w:tcW w:w="918" w:type="dxa"/>
            <w:tcBorders>
              <w:top w:val="single" w:sz="4" w:space="0" w:color="000000"/>
              <w:left w:val="nil"/>
              <w:bottom w:val="single" w:sz="4" w:space="0" w:color="000000"/>
              <w:right w:val="single" w:sz="4" w:space="0" w:color="000000"/>
            </w:tcBorders>
          </w:tcPr>
          <w:p>
            <w:pPr>
              <w:pStyle w:val="TableParagraph"/>
              <w:spacing w:before="11" w:line="241" w:lineRule="exact"/>
              <w:ind w:left="122" w:right="116"/>
              <w:jc w:val="center"/>
              <w:rPr>
                <w:rFonts w:ascii="Times New Roman"/>
                <w:sz w:val="21"/>
              </w:rPr>
            </w:pPr>
            <w:r>
              <w:rPr>
                <w:rFonts w:ascii="Times New Roman"/>
                <w:position w:val="2"/>
                <w:sz w:val="21"/>
              </w:rPr>
              <w:t>NO</w:t>
            </w:r>
            <w:r>
              <w:rPr>
                <w:rFonts w:ascii="Times New Roman"/>
                <w:position w:val="2"/>
                <w:sz w:val="21"/>
                <w:vertAlign w:val="subscript"/>
              </w:rPr>
              <w:t>2</w:t>
            </w:r>
          </w:p>
        </w:tc>
        <w:tc>
          <w:tcPr>
            <w:tcW w:w="3291" w:type="dxa"/>
            <w:tcBorders>
              <w:top w:val="single" w:sz="4" w:space="0" w:color="000000"/>
              <w:left w:val="single" w:sz="4" w:space="0" w:color="000000"/>
              <w:bottom w:val="single" w:sz="4" w:space="0" w:color="000000"/>
              <w:right w:val="single" w:sz="4" w:space="0" w:color="000000"/>
            </w:tcBorders>
          </w:tcPr>
          <w:p>
            <w:pPr>
              <w:pStyle w:val="TableParagraph"/>
              <w:spacing w:before="1" w:line="252" w:lineRule="exact"/>
              <w:ind w:left="70" w:right="71"/>
              <w:jc w:val="center"/>
              <w:rPr>
                <w:sz w:val="21"/>
              </w:rPr>
            </w:pPr>
            <w:r>
              <w:rPr>
                <w:sz w:val="21"/>
              </w:rPr>
              <w:t>年平均质量浓度</w:t>
            </w:r>
          </w:p>
        </w:tc>
        <w:tc>
          <w:tcPr>
            <w:tcW w:w="1185" w:type="dxa"/>
            <w:tcBorders>
              <w:top w:val="single" w:sz="4" w:space="0" w:color="000000"/>
              <w:left w:val="single" w:sz="4" w:space="0" w:color="000000"/>
              <w:bottom w:val="single" w:sz="4" w:space="0" w:color="000000"/>
              <w:right w:val="single" w:sz="4" w:space="0" w:color="000000"/>
            </w:tcBorders>
          </w:tcPr>
          <w:p>
            <w:pPr>
              <w:pStyle w:val="TableParagraph"/>
              <w:spacing w:before="15" w:line="238" w:lineRule="exact"/>
              <w:ind w:left="482"/>
              <w:rPr>
                <w:rFonts w:ascii="Times New Roman"/>
                <w:sz w:val="21"/>
              </w:rPr>
            </w:pPr>
            <w:r>
              <w:rPr>
                <w:rFonts w:ascii="Times New Roman"/>
                <w:sz w:val="21"/>
              </w:rPr>
              <w:t>19</w:t>
            </w:r>
          </w:p>
        </w:tc>
        <w:tc>
          <w:tcPr>
            <w:tcW w:w="1314" w:type="dxa"/>
            <w:tcBorders>
              <w:top w:val="single" w:sz="4" w:space="0" w:color="000000"/>
              <w:left w:val="single" w:sz="4" w:space="0" w:color="000000"/>
              <w:bottom w:val="single" w:sz="4" w:space="0" w:color="000000"/>
              <w:right w:val="single" w:sz="4" w:space="0" w:color="000000"/>
            </w:tcBorders>
          </w:tcPr>
          <w:p>
            <w:pPr>
              <w:pStyle w:val="TableParagraph"/>
              <w:spacing w:before="15" w:line="238" w:lineRule="exact"/>
              <w:ind w:left="104" w:right="103"/>
              <w:jc w:val="center"/>
              <w:rPr>
                <w:rFonts w:ascii="Times New Roman"/>
                <w:sz w:val="21"/>
              </w:rPr>
            </w:pPr>
            <w:r>
              <w:rPr>
                <w:rFonts w:ascii="Times New Roman"/>
                <w:sz w:val="21"/>
              </w:rPr>
              <w:t>40</w:t>
            </w:r>
          </w:p>
        </w:tc>
        <w:tc>
          <w:tcPr>
            <w:tcW w:w="749" w:type="dxa"/>
            <w:tcBorders>
              <w:top w:val="single" w:sz="4" w:space="0" w:color="000000"/>
              <w:left w:val="single" w:sz="4" w:space="0" w:color="000000"/>
              <w:bottom w:val="single" w:sz="4" w:space="0" w:color="000000"/>
              <w:right w:val="nil"/>
            </w:tcBorders>
          </w:tcPr>
          <w:p>
            <w:pPr>
              <w:pStyle w:val="TableParagraph"/>
              <w:spacing w:before="1" w:line="252" w:lineRule="exact"/>
              <w:ind w:left="138" w:right="146"/>
              <w:jc w:val="center"/>
              <w:rPr>
                <w:sz w:val="21"/>
              </w:rPr>
            </w:pPr>
            <w:r>
              <w:rPr>
                <w:sz w:val="21"/>
              </w:rPr>
              <w:t>达标</w:t>
            </w:r>
          </w:p>
        </w:tc>
      </w:tr>
      <w:tr>
        <w:tblPrEx>
          <w:tblW w:w="0" w:type="auto"/>
          <w:tblInd w:w="1533" w:type="dxa"/>
          <w:tblLayout w:type="fixed"/>
          <w:tblCellMar>
            <w:top w:w="0" w:type="dxa"/>
            <w:left w:w="0" w:type="dxa"/>
            <w:bottom w:w="0" w:type="dxa"/>
            <w:right w:w="0" w:type="dxa"/>
          </w:tblCellMar>
        </w:tblPrEx>
        <w:trPr>
          <w:trHeight w:val="272"/>
        </w:trPr>
        <w:tc>
          <w:tcPr>
            <w:tcW w:w="918" w:type="dxa"/>
            <w:tcBorders>
              <w:top w:val="single" w:sz="4" w:space="0" w:color="000000"/>
              <w:left w:val="nil"/>
              <w:bottom w:val="single" w:sz="4" w:space="0" w:color="000000"/>
              <w:right w:val="single" w:sz="4" w:space="0" w:color="000000"/>
            </w:tcBorders>
          </w:tcPr>
          <w:p>
            <w:pPr>
              <w:pStyle w:val="TableParagraph"/>
              <w:spacing w:before="12" w:line="240" w:lineRule="exact"/>
              <w:ind w:left="122" w:right="116"/>
              <w:jc w:val="center"/>
              <w:rPr>
                <w:rFonts w:ascii="Times New Roman"/>
                <w:sz w:val="21"/>
              </w:rPr>
            </w:pPr>
            <w:r>
              <w:rPr>
                <w:rFonts w:ascii="Times New Roman"/>
                <w:position w:val="2"/>
                <w:sz w:val="21"/>
              </w:rPr>
              <w:t>PM</w:t>
            </w:r>
            <w:r>
              <w:rPr>
                <w:rFonts w:ascii="Times New Roman"/>
                <w:position w:val="2"/>
                <w:sz w:val="21"/>
                <w:vertAlign w:val="subscript"/>
              </w:rPr>
              <w:t>10</w:t>
            </w:r>
          </w:p>
        </w:tc>
        <w:tc>
          <w:tcPr>
            <w:tcW w:w="3291" w:type="dxa"/>
            <w:tcBorders>
              <w:top w:val="single" w:sz="4" w:space="0" w:color="000000"/>
              <w:left w:val="single" w:sz="4" w:space="0" w:color="000000"/>
              <w:bottom w:val="single" w:sz="4" w:space="0" w:color="000000"/>
              <w:right w:val="single" w:sz="4" w:space="0" w:color="000000"/>
            </w:tcBorders>
          </w:tcPr>
          <w:p>
            <w:pPr>
              <w:pStyle w:val="TableParagraph"/>
              <w:spacing w:before="1" w:line="251" w:lineRule="exact"/>
              <w:ind w:left="70" w:right="71"/>
              <w:jc w:val="center"/>
              <w:rPr>
                <w:sz w:val="21"/>
              </w:rPr>
            </w:pPr>
            <w:r>
              <w:rPr>
                <w:sz w:val="21"/>
              </w:rPr>
              <w:t>年平均质量浓度</w:t>
            </w:r>
          </w:p>
        </w:tc>
        <w:tc>
          <w:tcPr>
            <w:tcW w:w="1185" w:type="dxa"/>
            <w:tcBorders>
              <w:top w:val="single" w:sz="4" w:space="0" w:color="000000"/>
              <w:left w:val="single" w:sz="4" w:space="0" w:color="000000"/>
              <w:bottom w:val="single" w:sz="4" w:space="0" w:color="000000"/>
              <w:right w:val="single" w:sz="4" w:space="0" w:color="000000"/>
            </w:tcBorders>
          </w:tcPr>
          <w:p>
            <w:pPr>
              <w:pStyle w:val="TableParagraph"/>
              <w:spacing w:before="15" w:line="237" w:lineRule="exact"/>
              <w:ind w:left="482"/>
              <w:rPr>
                <w:rFonts w:ascii="Times New Roman"/>
                <w:sz w:val="21"/>
              </w:rPr>
            </w:pPr>
            <w:r>
              <w:rPr>
                <w:rFonts w:ascii="Times New Roman"/>
                <w:sz w:val="21"/>
              </w:rPr>
              <w:t>30</w:t>
            </w:r>
          </w:p>
        </w:tc>
        <w:tc>
          <w:tcPr>
            <w:tcW w:w="1314" w:type="dxa"/>
            <w:tcBorders>
              <w:top w:val="single" w:sz="4" w:space="0" w:color="000000"/>
              <w:left w:val="single" w:sz="4" w:space="0" w:color="000000"/>
              <w:bottom w:val="single" w:sz="4" w:space="0" w:color="000000"/>
              <w:right w:val="single" w:sz="4" w:space="0" w:color="000000"/>
            </w:tcBorders>
          </w:tcPr>
          <w:p>
            <w:pPr>
              <w:pStyle w:val="TableParagraph"/>
              <w:spacing w:before="15" w:line="237" w:lineRule="exact"/>
              <w:ind w:left="104" w:right="103"/>
              <w:jc w:val="center"/>
              <w:rPr>
                <w:rFonts w:ascii="Times New Roman"/>
                <w:sz w:val="21"/>
              </w:rPr>
            </w:pPr>
            <w:r>
              <w:rPr>
                <w:rFonts w:ascii="Times New Roman"/>
                <w:sz w:val="21"/>
              </w:rPr>
              <w:t>70</w:t>
            </w:r>
          </w:p>
        </w:tc>
        <w:tc>
          <w:tcPr>
            <w:tcW w:w="749" w:type="dxa"/>
            <w:tcBorders>
              <w:top w:val="single" w:sz="4" w:space="0" w:color="000000"/>
              <w:left w:val="single" w:sz="4" w:space="0" w:color="000000"/>
              <w:bottom w:val="single" w:sz="4" w:space="0" w:color="000000"/>
              <w:right w:val="nil"/>
            </w:tcBorders>
          </w:tcPr>
          <w:p>
            <w:pPr>
              <w:pStyle w:val="TableParagraph"/>
              <w:spacing w:before="1" w:line="251" w:lineRule="exact"/>
              <w:ind w:left="138" w:right="146"/>
              <w:jc w:val="center"/>
              <w:rPr>
                <w:sz w:val="21"/>
              </w:rPr>
            </w:pPr>
            <w:r>
              <w:rPr>
                <w:sz w:val="21"/>
              </w:rPr>
              <w:t>达标</w:t>
            </w:r>
          </w:p>
        </w:tc>
      </w:tr>
      <w:tr>
        <w:tblPrEx>
          <w:tblW w:w="0" w:type="auto"/>
          <w:tblInd w:w="1533" w:type="dxa"/>
          <w:tblLayout w:type="fixed"/>
          <w:tblCellMar>
            <w:top w:w="0" w:type="dxa"/>
            <w:left w:w="0" w:type="dxa"/>
            <w:bottom w:w="0" w:type="dxa"/>
            <w:right w:w="0" w:type="dxa"/>
          </w:tblCellMar>
        </w:tblPrEx>
        <w:trPr>
          <w:trHeight w:val="272"/>
        </w:trPr>
        <w:tc>
          <w:tcPr>
            <w:tcW w:w="918" w:type="dxa"/>
            <w:tcBorders>
              <w:top w:val="single" w:sz="4" w:space="0" w:color="000000"/>
              <w:left w:val="nil"/>
              <w:bottom w:val="single" w:sz="4" w:space="0" w:color="000000"/>
              <w:right w:val="single" w:sz="4" w:space="0" w:color="000000"/>
            </w:tcBorders>
          </w:tcPr>
          <w:p>
            <w:pPr>
              <w:pStyle w:val="TableParagraph"/>
              <w:spacing w:before="13" w:line="239" w:lineRule="exact"/>
              <w:ind w:left="122" w:right="116"/>
              <w:jc w:val="center"/>
              <w:rPr>
                <w:rFonts w:ascii="Times New Roman"/>
                <w:sz w:val="13"/>
              </w:rPr>
            </w:pPr>
            <w:r>
              <w:rPr>
                <w:rFonts w:ascii="Times New Roman"/>
                <w:w w:val="105"/>
                <w:position w:val="2"/>
                <w:sz w:val="21"/>
              </w:rPr>
              <w:t>PM</w:t>
            </w:r>
            <w:r>
              <w:rPr>
                <w:rFonts w:ascii="Times New Roman"/>
                <w:w w:val="105"/>
                <w:sz w:val="13"/>
              </w:rPr>
              <w:t>2.5</w:t>
            </w:r>
          </w:p>
        </w:tc>
        <w:tc>
          <w:tcPr>
            <w:tcW w:w="3291"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70" w:right="71"/>
              <w:jc w:val="center"/>
              <w:rPr>
                <w:sz w:val="21"/>
              </w:rPr>
            </w:pPr>
            <w:r>
              <w:rPr>
                <w:sz w:val="21"/>
              </w:rPr>
              <w:t>年平均质量浓度</w:t>
            </w:r>
          </w:p>
        </w:tc>
        <w:tc>
          <w:tcPr>
            <w:tcW w:w="1185" w:type="dxa"/>
            <w:tcBorders>
              <w:top w:val="single" w:sz="4" w:space="0" w:color="000000"/>
              <w:left w:val="single" w:sz="4" w:space="0" w:color="000000"/>
              <w:bottom w:val="single" w:sz="4" w:space="0" w:color="000000"/>
              <w:right w:val="single" w:sz="4" w:space="0" w:color="000000"/>
            </w:tcBorders>
          </w:tcPr>
          <w:p>
            <w:pPr>
              <w:pStyle w:val="TableParagraph"/>
              <w:spacing w:before="14" w:line="238" w:lineRule="exact"/>
              <w:ind w:left="482"/>
              <w:rPr>
                <w:rFonts w:ascii="Times New Roman"/>
                <w:sz w:val="21"/>
              </w:rPr>
            </w:pPr>
            <w:r>
              <w:rPr>
                <w:rFonts w:ascii="Times New Roman"/>
                <w:sz w:val="21"/>
              </w:rPr>
              <w:t>17</w:t>
            </w:r>
          </w:p>
        </w:tc>
        <w:tc>
          <w:tcPr>
            <w:tcW w:w="1314" w:type="dxa"/>
            <w:tcBorders>
              <w:top w:val="single" w:sz="4" w:space="0" w:color="000000"/>
              <w:left w:val="single" w:sz="4" w:space="0" w:color="000000"/>
              <w:bottom w:val="single" w:sz="4" w:space="0" w:color="000000"/>
              <w:right w:val="single" w:sz="4" w:space="0" w:color="000000"/>
            </w:tcBorders>
          </w:tcPr>
          <w:p>
            <w:pPr>
              <w:pStyle w:val="TableParagraph"/>
              <w:spacing w:before="14" w:line="238" w:lineRule="exact"/>
              <w:ind w:left="104" w:right="103"/>
              <w:jc w:val="center"/>
              <w:rPr>
                <w:rFonts w:ascii="Times New Roman"/>
                <w:sz w:val="21"/>
              </w:rPr>
            </w:pPr>
            <w:r>
              <w:rPr>
                <w:rFonts w:ascii="Times New Roman"/>
                <w:sz w:val="21"/>
              </w:rPr>
              <w:t>35</w:t>
            </w:r>
          </w:p>
        </w:tc>
        <w:tc>
          <w:tcPr>
            <w:tcW w:w="749" w:type="dxa"/>
            <w:tcBorders>
              <w:top w:val="single" w:sz="4" w:space="0" w:color="000000"/>
              <w:left w:val="single" w:sz="4" w:space="0" w:color="000000"/>
              <w:bottom w:val="single" w:sz="4" w:space="0" w:color="000000"/>
              <w:right w:val="nil"/>
            </w:tcBorders>
          </w:tcPr>
          <w:p>
            <w:pPr>
              <w:pStyle w:val="TableParagraph"/>
              <w:spacing w:line="252" w:lineRule="exact"/>
              <w:ind w:left="138" w:right="146"/>
              <w:jc w:val="center"/>
              <w:rPr>
                <w:sz w:val="21"/>
              </w:rPr>
            </w:pPr>
            <w:r>
              <w:rPr>
                <w:sz w:val="21"/>
              </w:rPr>
              <w:t>达标</w:t>
            </w:r>
          </w:p>
        </w:tc>
      </w:tr>
      <w:tr>
        <w:tblPrEx>
          <w:tblW w:w="0" w:type="auto"/>
          <w:tblInd w:w="1533" w:type="dxa"/>
          <w:tblLayout w:type="fixed"/>
          <w:tblCellMar>
            <w:top w:w="0" w:type="dxa"/>
            <w:left w:w="0" w:type="dxa"/>
            <w:bottom w:w="0" w:type="dxa"/>
            <w:right w:w="0" w:type="dxa"/>
          </w:tblCellMar>
        </w:tblPrEx>
        <w:trPr>
          <w:trHeight w:val="272"/>
        </w:trPr>
        <w:tc>
          <w:tcPr>
            <w:tcW w:w="918" w:type="dxa"/>
            <w:tcBorders>
              <w:top w:val="single" w:sz="4" w:space="0" w:color="000000"/>
              <w:left w:val="nil"/>
              <w:bottom w:val="single" w:sz="4" w:space="0" w:color="000000"/>
              <w:right w:val="single" w:sz="4" w:space="0" w:color="000000"/>
            </w:tcBorders>
          </w:tcPr>
          <w:p>
            <w:pPr>
              <w:pStyle w:val="TableParagraph"/>
              <w:spacing w:before="15" w:line="238" w:lineRule="exact"/>
              <w:ind w:left="122" w:right="117"/>
              <w:jc w:val="center"/>
              <w:rPr>
                <w:rFonts w:ascii="Times New Roman"/>
                <w:sz w:val="21"/>
              </w:rPr>
            </w:pPr>
            <w:r>
              <w:rPr>
                <w:rFonts w:ascii="Times New Roman"/>
                <w:sz w:val="21"/>
              </w:rPr>
              <w:t>CO</w:t>
            </w:r>
          </w:p>
        </w:tc>
        <w:tc>
          <w:tcPr>
            <w:tcW w:w="3291" w:type="dxa"/>
            <w:tcBorders>
              <w:top w:val="single" w:sz="4" w:space="0" w:color="000000"/>
              <w:left w:val="single" w:sz="4" w:space="0" w:color="000000"/>
              <w:bottom w:val="single" w:sz="4" w:space="0" w:color="000000"/>
              <w:right w:val="single" w:sz="4" w:space="0" w:color="000000"/>
            </w:tcBorders>
          </w:tcPr>
          <w:p>
            <w:pPr>
              <w:pStyle w:val="TableParagraph"/>
              <w:spacing w:before="1" w:line="252" w:lineRule="exact"/>
              <w:ind w:left="67" w:right="71"/>
              <w:jc w:val="center"/>
              <w:rPr>
                <w:sz w:val="21"/>
              </w:rPr>
            </w:pPr>
            <w:r>
              <w:rPr>
                <w:rFonts w:ascii="Times New Roman" w:eastAsia="Times New Roman"/>
                <w:sz w:val="21"/>
              </w:rPr>
              <w:t xml:space="preserve">24 </w:t>
            </w:r>
            <w:r>
              <w:rPr>
                <w:sz w:val="21"/>
              </w:rPr>
              <w:t xml:space="preserve">小时平均第 </w:t>
            </w:r>
            <w:r>
              <w:rPr>
                <w:rFonts w:ascii="Times New Roman" w:eastAsia="Times New Roman"/>
                <w:sz w:val="21"/>
              </w:rPr>
              <w:t xml:space="preserve">95 </w:t>
            </w:r>
            <w:r>
              <w:rPr>
                <w:sz w:val="21"/>
              </w:rPr>
              <w:t>百分位数浓度</w:t>
            </w:r>
          </w:p>
        </w:tc>
        <w:tc>
          <w:tcPr>
            <w:tcW w:w="1185" w:type="dxa"/>
            <w:tcBorders>
              <w:top w:val="single" w:sz="4" w:space="0" w:color="000000"/>
              <w:left w:val="single" w:sz="4" w:space="0" w:color="000000"/>
              <w:bottom w:val="single" w:sz="4" w:space="0" w:color="000000"/>
              <w:right w:val="single" w:sz="4" w:space="0" w:color="000000"/>
            </w:tcBorders>
          </w:tcPr>
          <w:p>
            <w:pPr>
              <w:pStyle w:val="TableParagraph"/>
              <w:spacing w:before="15" w:line="238" w:lineRule="exact"/>
              <w:ind w:left="429"/>
              <w:rPr>
                <w:rFonts w:ascii="Times New Roman"/>
                <w:sz w:val="21"/>
              </w:rPr>
            </w:pPr>
            <w:r>
              <w:rPr>
                <w:rFonts w:ascii="Times New Roman"/>
                <w:sz w:val="21"/>
              </w:rPr>
              <w:t>800</w:t>
            </w:r>
          </w:p>
        </w:tc>
        <w:tc>
          <w:tcPr>
            <w:tcW w:w="1314" w:type="dxa"/>
            <w:tcBorders>
              <w:top w:val="single" w:sz="4" w:space="0" w:color="000000"/>
              <w:left w:val="single" w:sz="4" w:space="0" w:color="000000"/>
              <w:bottom w:val="single" w:sz="4" w:space="0" w:color="000000"/>
              <w:right w:val="single" w:sz="4" w:space="0" w:color="000000"/>
            </w:tcBorders>
          </w:tcPr>
          <w:p>
            <w:pPr>
              <w:pStyle w:val="TableParagraph"/>
              <w:spacing w:before="15" w:line="238" w:lineRule="exact"/>
              <w:ind w:left="104" w:right="103"/>
              <w:jc w:val="center"/>
              <w:rPr>
                <w:rFonts w:ascii="Times New Roman"/>
                <w:sz w:val="21"/>
              </w:rPr>
            </w:pPr>
            <w:r>
              <w:rPr>
                <w:rFonts w:ascii="Times New Roman"/>
                <w:sz w:val="21"/>
              </w:rPr>
              <w:t>4000</w:t>
            </w:r>
          </w:p>
        </w:tc>
        <w:tc>
          <w:tcPr>
            <w:tcW w:w="749" w:type="dxa"/>
            <w:tcBorders>
              <w:top w:val="single" w:sz="4" w:space="0" w:color="000000"/>
              <w:left w:val="single" w:sz="4" w:space="0" w:color="000000"/>
              <w:bottom w:val="single" w:sz="4" w:space="0" w:color="000000"/>
              <w:right w:val="nil"/>
            </w:tcBorders>
          </w:tcPr>
          <w:p>
            <w:pPr>
              <w:pStyle w:val="TableParagraph"/>
              <w:spacing w:before="1" w:line="252" w:lineRule="exact"/>
              <w:ind w:left="138" w:right="146"/>
              <w:jc w:val="center"/>
              <w:rPr>
                <w:sz w:val="21"/>
              </w:rPr>
            </w:pPr>
            <w:r>
              <w:rPr>
                <w:sz w:val="21"/>
              </w:rPr>
              <w:t>达标</w:t>
            </w:r>
          </w:p>
        </w:tc>
      </w:tr>
      <w:tr>
        <w:tblPrEx>
          <w:tblW w:w="0" w:type="auto"/>
          <w:tblInd w:w="1533" w:type="dxa"/>
          <w:tblLayout w:type="fixed"/>
          <w:tblCellMar>
            <w:top w:w="0" w:type="dxa"/>
            <w:left w:w="0" w:type="dxa"/>
            <w:bottom w:w="0" w:type="dxa"/>
            <w:right w:w="0" w:type="dxa"/>
          </w:tblCellMar>
        </w:tblPrEx>
        <w:trPr>
          <w:trHeight w:val="544"/>
        </w:trPr>
        <w:tc>
          <w:tcPr>
            <w:tcW w:w="918" w:type="dxa"/>
            <w:tcBorders>
              <w:top w:val="single" w:sz="4" w:space="0" w:color="000000"/>
              <w:left w:val="nil"/>
              <w:bottom w:val="single" w:sz="4" w:space="0" w:color="000000"/>
              <w:right w:val="single" w:sz="4" w:space="0" w:color="000000"/>
            </w:tcBorders>
          </w:tcPr>
          <w:p>
            <w:pPr>
              <w:pStyle w:val="TableParagraph"/>
              <w:spacing w:before="146"/>
              <w:ind w:left="122" w:right="116"/>
              <w:jc w:val="center"/>
              <w:rPr>
                <w:rFonts w:ascii="Times New Roman"/>
                <w:sz w:val="21"/>
              </w:rPr>
            </w:pPr>
            <w:r>
              <w:rPr>
                <w:rFonts w:ascii="Times New Roman"/>
                <w:position w:val="2"/>
                <w:sz w:val="21"/>
              </w:rPr>
              <w:t>O</w:t>
            </w:r>
            <w:r>
              <w:rPr>
                <w:rFonts w:ascii="Times New Roman"/>
                <w:position w:val="2"/>
                <w:sz w:val="21"/>
                <w:vertAlign w:val="subscript"/>
              </w:rPr>
              <w:t>3</w:t>
            </w:r>
          </w:p>
        </w:tc>
        <w:tc>
          <w:tcPr>
            <w:tcW w:w="3291"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71" w:right="71"/>
              <w:jc w:val="center"/>
              <w:rPr>
                <w:rFonts w:ascii="Times New Roman" w:eastAsia="Times New Roman"/>
                <w:sz w:val="21"/>
              </w:rPr>
            </w:pPr>
            <w:r>
              <w:rPr>
                <w:sz w:val="21"/>
              </w:rPr>
              <w:t xml:space="preserve">日最大 </w:t>
            </w:r>
            <w:r>
              <w:rPr>
                <w:rFonts w:ascii="Times New Roman" w:eastAsia="Times New Roman"/>
                <w:sz w:val="21"/>
              </w:rPr>
              <w:t xml:space="preserve">8 </w:t>
            </w:r>
            <w:r>
              <w:rPr>
                <w:sz w:val="21"/>
              </w:rPr>
              <w:t xml:space="preserve">小时滑动平均值的第 </w:t>
            </w:r>
            <w:r>
              <w:rPr>
                <w:rFonts w:ascii="Times New Roman" w:eastAsia="Times New Roman"/>
                <w:sz w:val="21"/>
              </w:rPr>
              <w:t>90</w:t>
            </w:r>
          </w:p>
          <w:p>
            <w:pPr>
              <w:pStyle w:val="TableParagraph"/>
              <w:spacing w:before="4" w:line="251" w:lineRule="exact"/>
              <w:ind w:left="70" w:right="71"/>
              <w:jc w:val="center"/>
              <w:rPr>
                <w:sz w:val="21"/>
              </w:rPr>
            </w:pPr>
            <w:r>
              <w:rPr>
                <w:sz w:val="21"/>
              </w:rPr>
              <w:t>百分位数浓度</w:t>
            </w:r>
          </w:p>
        </w:tc>
        <w:tc>
          <w:tcPr>
            <w:tcW w:w="1185" w:type="dxa"/>
            <w:tcBorders>
              <w:top w:val="single" w:sz="4" w:space="0" w:color="000000"/>
              <w:left w:val="single" w:sz="4" w:space="0" w:color="000000"/>
              <w:bottom w:val="single" w:sz="4" w:space="0" w:color="000000"/>
              <w:right w:val="single" w:sz="4" w:space="0" w:color="000000"/>
            </w:tcBorders>
          </w:tcPr>
          <w:p>
            <w:pPr>
              <w:pStyle w:val="TableParagraph"/>
              <w:spacing w:before="149"/>
              <w:ind w:left="429"/>
              <w:rPr>
                <w:rFonts w:ascii="Times New Roman"/>
                <w:sz w:val="21"/>
              </w:rPr>
            </w:pPr>
            <w:r>
              <w:rPr>
                <w:rFonts w:ascii="Times New Roman"/>
                <w:sz w:val="21"/>
              </w:rPr>
              <w:t>160</w:t>
            </w:r>
          </w:p>
        </w:tc>
        <w:tc>
          <w:tcPr>
            <w:tcW w:w="1314" w:type="dxa"/>
            <w:tcBorders>
              <w:top w:val="single" w:sz="4" w:space="0" w:color="000000"/>
              <w:left w:val="single" w:sz="4" w:space="0" w:color="000000"/>
              <w:bottom w:val="single" w:sz="4" w:space="0" w:color="000000"/>
              <w:right w:val="single" w:sz="4" w:space="0" w:color="000000"/>
            </w:tcBorders>
          </w:tcPr>
          <w:p>
            <w:pPr>
              <w:pStyle w:val="TableParagraph"/>
              <w:spacing w:before="149"/>
              <w:ind w:left="104" w:right="103"/>
              <w:jc w:val="center"/>
              <w:rPr>
                <w:rFonts w:ascii="Times New Roman"/>
                <w:sz w:val="21"/>
              </w:rPr>
            </w:pPr>
            <w:r>
              <w:rPr>
                <w:rFonts w:ascii="Times New Roman"/>
                <w:sz w:val="21"/>
              </w:rPr>
              <w:t>160</w:t>
            </w:r>
          </w:p>
        </w:tc>
        <w:tc>
          <w:tcPr>
            <w:tcW w:w="749" w:type="dxa"/>
            <w:tcBorders>
              <w:top w:val="single" w:sz="4" w:space="0" w:color="000000"/>
              <w:left w:val="single" w:sz="4" w:space="0" w:color="000000"/>
              <w:bottom w:val="single" w:sz="4" w:space="0" w:color="000000"/>
              <w:right w:val="nil"/>
            </w:tcBorders>
          </w:tcPr>
          <w:p>
            <w:pPr>
              <w:pStyle w:val="TableParagraph"/>
              <w:spacing w:before="135"/>
              <w:ind w:left="138" w:right="146"/>
              <w:jc w:val="center"/>
              <w:rPr>
                <w:sz w:val="21"/>
              </w:rPr>
            </w:pPr>
            <w:r>
              <w:rPr>
                <w:sz w:val="21"/>
              </w:rPr>
              <w:t>达标</w:t>
            </w:r>
          </w:p>
        </w:tc>
      </w:tr>
    </w:tbl>
    <w:p>
      <w:pPr>
        <w:pStyle w:val="BodyText"/>
        <w:spacing w:before="120" w:line="362" w:lineRule="auto"/>
        <w:ind w:left="940" w:right="397" w:firstLine="600"/>
      </w:pPr>
      <w:r>
        <w:rPr>
          <w:spacing w:val="-2"/>
          <w:position w:val="2"/>
        </w:rPr>
        <w:t>根据上表统计的数据判断，</w:t>
      </w:r>
      <w:r>
        <w:rPr>
          <w:rFonts w:ascii="Times New Roman" w:eastAsia="Times New Roman"/>
          <w:spacing w:val="-16"/>
          <w:position w:val="2"/>
        </w:rPr>
        <w:t xml:space="preserve">2022 </w:t>
      </w:r>
      <w:r>
        <w:rPr>
          <w:spacing w:val="-6"/>
          <w:position w:val="2"/>
        </w:rPr>
        <w:t xml:space="preserve">年珠海市环境空气中 </w:t>
      </w:r>
      <w:r>
        <w:rPr>
          <w:rFonts w:ascii="Times New Roman" w:eastAsia="Times New Roman"/>
          <w:position w:val="2"/>
        </w:rPr>
        <w:t>SO</w:t>
      </w:r>
      <w:r>
        <w:rPr>
          <w:rFonts w:ascii="Times New Roman" w:eastAsia="Times New Roman"/>
          <w:position w:val="2"/>
          <w:vertAlign w:val="subscript"/>
        </w:rPr>
        <w:t>2</w:t>
      </w:r>
      <w:r>
        <w:rPr>
          <w:spacing w:val="-75"/>
          <w:position w:val="2"/>
          <w:vertAlign w:val="baseline"/>
        </w:rPr>
        <w:t>、</w:t>
      </w:r>
      <w:r>
        <w:rPr>
          <w:rFonts w:ascii="Times New Roman" w:eastAsia="Times New Roman"/>
          <w:position w:val="2"/>
          <w:vertAlign w:val="baseline"/>
        </w:rPr>
        <w:t>NO</w:t>
      </w:r>
      <w:r>
        <w:rPr>
          <w:rFonts w:ascii="Times New Roman" w:eastAsia="Times New Roman"/>
          <w:position w:val="2"/>
          <w:vertAlign w:val="subscript"/>
        </w:rPr>
        <w:t>2</w:t>
      </w:r>
      <w:r>
        <w:rPr>
          <w:spacing w:val="-77"/>
          <w:position w:val="2"/>
          <w:vertAlign w:val="baseline"/>
        </w:rPr>
        <w:t>、</w:t>
      </w:r>
      <w:r>
        <w:rPr>
          <w:rFonts w:ascii="Times New Roman" w:eastAsia="Times New Roman"/>
          <w:position w:val="2"/>
          <w:vertAlign w:val="baseline"/>
        </w:rPr>
        <w:t>PM</w:t>
      </w:r>
      <w:r>
        <w:rPr>
          <w:rFonts w:ascii="Times New Roman" w:eastAsia="Times New Roman"/>
          <w:position w:val="2"/>
          <w:vertAlign w:val="subscript"/>
        </w:rPr>
        <w:t>10</w:t>
      </w:r>
      <w:r>
        <w:rPr>
          <w:spacing w:val="-75"/>
          <w:position w:val="2"/>
          <w:vertAlign w:val="baseline"/>
        </w:rPr>
        <w:t>、</w:t>
      </w:r>
      <w:r>
        <w:rPr>
          <w:rFonts w:ascii="Times New Roman" w:eastAsia="Times New Roman"/>
          <w:position w:val="2"/>
          <w:vertAlign w:val="baseline"/>
        </w:rPr>
        <w:t>PM</w:t>
      </w:r>
      <w:r>
        <w:rPr>
          <w:rFonts w:ascii="Times New Roman" w:eastAsia="Times New Roman"/>
          <w:position w:val="2"/>
          <w:vertAlign w:val="subscript"/>
        </w:rPr>
        <w:t>2.5</w:t>
      </w:r>
      <w:r>
        <w:rPr>
          <w:spacing w:val="-29"/>
          <w:position w:val="2"/>
          <w:vertAlign w:val="baseline"/>
        </w:rPr>
        <w:t>、</w:t>
      </w:r>
      <w:r>
        <w:rPr>
          <w:rFonts w:ascii="Times New Roman" w:eastAsia="Times New Roman"/>
          <w:position w:val="2"/>
          <w:vertAlign w:val="baseline"/>
        </w:rPr>
        <w:t xml:space="preserve">CO </w:t>
      </w:r>
      <w:r>
        <w:rPr>
          <w:spacing w:val="-30"/>
          <w:position w:val="2"/>
          <w:vertAlign w:val="baseline"/>
        </w:rPr>
        <w:t xml:space="preserve">和 </w:t>
      </w:r>
      <w:r>
        <w:rPr>
          <w:rFonts w:ascii="Times New Roman" w:eastAsia="Times New Roman"/>
          <w:position w:val="2"/>
          <w:vertAlign w:val="baseline"/>
        </w:rPr>
        <w:t>O</w:t>
      </w:r>
      <w:r>
        <w:rPr>
          <w:rFonts w:ascii="Times New Roman" w:eastAsia="Times New Roman"/>
          <w:position w:val="2"/>
          <w:vertAlign w:val="subscript"/>
        </w:rPr>
        <w:t>3</w:t>
      </w:r>
      <w:r>
        <w:rPr>
          <w:rFonts w:ascii="Times New Roman" w:eastAsia="Times New Roman"/>
          <w:position w:val="2"/>
          <w:vertAlign w:val="baseline"/>
        </w:rPr>
        <w:t xml:space="preserve"> </w:t>
      </w:r>
      <w:r>
        <w:rPr>
          <w:spacing w:val="-2"/>
          <w:position w:val="2"/>
          <w:vertAlign w:val="baseline"/>
        </w:rPr>
        <w:t>均达到《环境空气质量标准》</w:t>
      </w:r>
      <w:r>
        <w:rPr>
          <w:rFonts w:ascii="Times New Roman" w:eastAsia="Times New Roman"/>
          <w:position w:val="2"/>
          <w:vertAlign w:val="baseline"/>
        </w:rPr>
        <w:t>(GB3095-2012)</w:t>
      </w:r>
      <w:r>
        <w:rPr>
          <w:spacing w:val="-20"/>
          <w:position w:val="2"/>
          <w:vertAlign w:val="baseline"/>
        </w:rPr>
        <w:t xml:space="preserve">及其 </w:t>
      </w:r>
      <w:r>
        <w:rPr>
          <w:rFonts w:ascii="Times New Roman" w:eastAsia="Times New Roman"/>
          <w:position w:val="2"/>
          <w:vertAlign w:val="baseline"/>
        </w:rPr>
        <w:t xml:space="preserve">2018 </w:t>
      </w:r>
      <w:r>
        <w:rPr>
          <w:position w:val="2"/>
          <w:vertAlign w:val="baseline"/>
        </w:rPr>
        <w:t>年修改单中二级标</w:t>
      </w:r>
      <w:r>
        <w:rPr>
          <w:vertAlign w:val="baseline"/>
        </w:rPr>
        <w:t>准。</w:t>
      </w:r>
    </w:p>
    <w:p>
      <w:pPr>
        <w:pStyle w:val="BodyText"/>
        <w:ind w:left="1540"/>
      </w:pPr>
      <w:r>
        <w:t>项目选址选线所在区域环境空气良好，属达标区。</w:t>
      </w:r>
    </w:p>
    <w:p>
      <w:pPr>
        <w:pStyle w:val="Heading3"/>
        <w:numPr>
          <w:ilvl w:val="1"/>
          <w:numId w:val="12"/>
        </w:numPr>
        <w:tabs>
          <w:tab w:val="left" w:pos="1360"/>
        </w:tabs>
        <w:spacing w:before="161" w:after="0" w:line="240" w:lineRule="auto"/>
        <w:ind w:left="1360" w:right="0" w:hanging="420"/>
        <w:jc w:val="left"/>
        <w:sectPr>
          <w:footerReference w:type="default" r:id="rId39"/>
          <w:pgSz w:w="11910" w:h="16840"/>
          <w:pgMar w:top="1420" w:right="901" w:bottom="1240" w:left="920" w:header="0" w:footer="963" w:gutter="0"/>
          <w:pgNumType w:start="22"/>
          <w:cols w:num="1" w:space="720"/>
        </w:sectPr>
      </w:pPr>
      <w:r>
        <w:t>地表水环境质量现状</w:t>
      </w:r>
    </w:p>
    <w:p>
      <w:pPr>
        <w:pStyle w:val="BodyText"/>
        <w:spacing w:before="158"/>
        <w:ind w:left="1420"/>
      </w:pPr>
      <w:r>
        <w:t>本项目附近水体为马骝洲水道，执行海洋功能区划与近岸海域环境功能区划之</w:t>
      </w:r>
    </w:p>
    <w:p>
      <w:pPr>
        <w:spacing w:after="0"/>
        <w:sectPr>
          <w:footerReference w:type="default" r:id="rId40"/>
          <w:type w:val="nextPage"/>
          <w:pgSz w:w="11910" w:h="16840"/>
          <w:pgMar w:top="1420" w:right="901" w:bottom="1240" w:left="920" w:header="0" w:footer="963" w:gutter="0"/>
          <w:pgNumType w:start="23"/>
          <w:cols w:num="1" w:space="720"/>
          <w:titlePg w:val="0"/>
        </w:sectPr>
      </w:pPr>
    </w:p>
    <w:p>
      <w:pPr>
        <w:pStyle w:val="BodyText"/>
        <w:spacing w:before="61"/>
        <w:ind w:left="940"/>
      </w:pPr>
      <w:r>
        <w:pict>
          <v:group id="_x0000_s1219" o:spid="_x0000_s1078" style="width:465.35pt;height:693.9pt;margin-top:70.9pt;margin-left:65pt;mso-height-relative:page;mso-position-horizontal-relative:page;mso-position-vertical-relative:page;mso-width-relative:page;position:absolute;z-index:-251643904" coordorigin="1300,1418" coordsize="9307,13878">
            <v:shape id="_x0000_s1220" o:spid="_x0000_s1079" style="width:9307;height:13878;left:1300;position:absolute;top:1544" coordorigin="1300,1545" coordsize="9307,13878" path="m1300,1428l10607,1428m1300,15286l10607,15286m1310,1418l1310,15295m10597,1437l10597,15295e" filled="f" stroked="t" strokecolor="black">
              <v:path arrowok="t"/>
            </v:shape>
            <v:line id="_x0000_s1221" o:spid="_x0000_s1080" style="position:absolute" from="1752,1437" to="1752,15276" coordsize="21600,21600" stroked="t" strokecolor="black"/>
          </v:group>
        </w:pict>
      </w:r>
      <w:r>
        <w:t>间规定更严格者，执行《海水水质标准》</w:t>
      </w:r>
      <w:r>
        <w:rPr>
          <w:rFonts w:ascii="Times New Roman" w:eastAsia="Times New Roman"/>
        </w:rPr>
        <w:t>(GB3097-1997)</w:t>
      </w:r>
      <w:r>
        <w:t>第三类标准。</w:t>
      </w:r>
    </w:p>
    <w:p>
      <w:pPr>
        <w:pStyle w:val="BodyText"/>
        <w:spacing w:before="158" w:line="364" w:lineRule="auto"/>
        <w:ind w:left="940" w:right="517" w:firstLine="480"/>
        <w:jc w:val="both"/>
      </w:pPr>
      <w:r>
        <w:rPr>
          <w:spacing w:val="-2"/>
        </w:rPr>
        <w:t>为了解项目所在区域水环境质量现状，本项目引用珠海京工检测技术有限公司</w:t>
      </w:r>
      <w:r>
        <w:rPr>
          <w:spacing w:val="20"/>
        </w:rPr>
        <w:t xml:space="preserve">出具的《马骝洲水道水环境质量现状监测项目检测报告》， 报告编号为： </w:t>
      </w:r>
      <w:r>
        <w:rPr>
          <w:rFonts w:ascii="Times New Roman" w:eastAsia="Times New Roman"/>
          <w:spacing w:val="20"/>
        </w:rPr>
        <w:t>202215701-01</w:t>
      </w:r>
      <w:r>
        <w:rPr>
          <w:spacing w:val="20"/>
        </w:rPr>
        <w:t>，采样时间：</w:t>
      </w:r>
      <w:r>
        <w:rPr>
          <w:rFonts w:ascii="Times New Roman" w:eastAsia="Times New Roman"/>
          <w:spacing w:val="20"/>
        </w:rPr>
        <w:t xml:space="preserve">2022 </w:t>
      </w:r>
      <w:r>
        <w:rPr>
          <w:spacing w:val="-31"/>
        </w:rPr>
        <w:t xml:space="preserve">年 </w:t>
      </w:r>
      <w:r>
        <w:rPr>
          <w:rFonts w:ascii="Times New Roman" w:eastAsia="Times New Roman"/>
        </w:rPr>
        <w:t xml:space="preserve">6 </w:t>
      </w:r>
      <w:r>
        <w:rPr>
          <w:spacing w:val="-32"/>
        </w:rPr>
        <w:t xml:space="preserve">月 </w:t>
      </w:r>
      <w:r>
        <w:rPr>
          <w:rFonts w:ascii="Times New Roman" w:eastAsia="Times New Roman"/>
        </w:rPr>
        <w:t xml:space="preserve">28 </w:t>
      </w:r>
      <w:r>
        <w:rPr>
          <w:spacing w:val="-21"/>
        </w:rPr>
        <w:t xml:space="preserve">日至 </w:t>
      </w:r>
      <w:r>
        <w:rPr>
          <w:rFonts w:ascii="Times New Roman" w:eastAsia="Times New Roman"/>
        </w:rPr>
        <w:t xml:space="preserve">30 </w:t>
      </w:r>
      <w:r>
        <w:rPr>
          <w:spacing w:val="-5"/>
        </w:rPr>
        <w:t>日，采样点位：南区水质净化厂</w:t>
      </w:r>
      <w:r>
        <w:rPr>
          <w:spacing w:val="-7"/>
        </w:rPr>
        <w:t xml:space="preserve">二期排放口上游约 </w:t>
      </w:r>
      <w:r>
        <w:rPr>
          <w:rFonts w:ascii="Times New Roman" w:eastAsia="Times New Roman"/>
        </w:rPr>
        <w:t xml:space="preserve">170m </w:t>
      </w:r>
      <w:r>
        <w:rPr>
          <w:spacing w:val="-12"/>
        </w:rPr>
        <w:t xml:space="preserve">处采样点 </w:t>
      </w:r>
      <w:r>
        <w:rPr>
          <w:rFonts w:ascii="Times New Roman" w:eastAsia="Times New Roman"/>
        </w:rPr>
        <w:t>W1</w:t>
      </w:r>
      <w:r>
        <w:rPr>
          <w:spacing w:val="-19"/>
        </w:rPr>
        <w:t xml:space="preserve">、下游约 </w:t>
      </w:r>
      <w:r>
        <w:rPr>
          <w:rFonts w:ascii="Times New Roman" w:eastAsia="Times New Roman"/>
        </w:rPr>
        <w:t xml:space="preserve">620m </w:t>
      </w:r>
      <w:r>
        <w:rPr>
          <w:spacing w:val="-12"/>
        </w:rPr>
        <w:t xml:space="preserve">处采样点 </w:t>
      </w:r>
      <w:r>
        <w:rPr>
          <w:rFonts w:ascii="Times New Roman" w:eastAsia="Times New Roman"/>
          <w:spacing w:val="-11"/>
        </w:rPr>
        <w:t>W2</w:t>
      </w:r>
      <w:r>
        <w:rPr>
          <w:spacing w:val="-5"/>
        </w:rPr>
        <w:t>，水质具体监测</w:t>
      </w:r>
      <w:r>
        <w:t>结果详见下表：</w:t>
      </w:r>
    </w:p>
    <w:p>
      <w:pPr>
        <w:spacing w:before="0" w:line="266" w:lineRule="exact"/>
        <w:ind w:left="2610" w:right="0" w:firstLine="0"/>
        <w:jc w:val="both"/>
        <w:rPr>
          <w:b/>
          <w:sz w:val="21"/>
        </w:rPr>
      </w:pPr>
      <w:r>
        <w:rPr>
          <w:b/>
          <w:spacing w:val="-26"/>
          <w:sz w:val="21"/>
        </w:rPr>
        <w:t xml:space="preserve">表 </w:t>
      </w:r>
      <w:r>
        <w:rPr>
          <w:rFonts w:ascii="Times New Roman" w:eastAsia="Times New Roman"/>
          <w:b/>
          <w:sz w:val="21"/>
        </w:rPr>
        <w:t>3-3</w:t>
      </w:r>
      <w:r>
        <w:rPr>
          <w:rFonts w:ascii="Times New Roman" w:eastAsia="Times New Roman"/>
          <w:b/>
          <w:spacing w:val="51"/>
          <w:sz w:val="21"/>
        </w:rPr>
        <w:t xml:space="preserve"> </w:t>
      </w:r>
      <w:r>
        <w:rPr>
          <w:b/>
          <w:sz w:val="21"/>
        </w:rPr>
        <w:t>马骝洲水道水环境质量现状监测结果一览表（摘录）</w:t>
      </w:r>
    </w:p>
    <w:p>
      <w:pPr>
        <w:pStyle w:val="BodyText"/>
        <w:spacing w:before="7"/>
        <w:rPr>
          <w:b/>
          <w:sz w:val="9"/>
        </w:rPr>
      </w:pPr>
    </w:p>
    <w:tbl>
      <w:tblPr>
        <w:tblStyle w:val="TableNormal"/>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01"/>
        <w:gridCol w:w="671"/>
        <w:gridCol w:w="840"/>
        <w:gridCol w:w="840"/>
        <w:gridCol w:w="840"/>
        <w:gridCol w:w="840"/>
        <w:gridCol w:w="840"/>
        <w:gridCol w:w="840"/>
        <w:gridCol w:w="901"/>
        <w:gridCol w:w="1006"/>
      </w:tblGrid>
      <w:tr>
        <w:tblPrEx>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72"/>
        </w:trPr>
        <w:tc>
          <w:tcPr>
            <w:tcW w:w="1672" w:type="dxa"/>
            <w:gridSpan w:val="2"/>
            <w:vMerge w:val="restart"/>
          </w:tcPr>
          <w:p>
            <w:pPr>
              <w:pStyle w:val="TableParagraph"/>
              <w:spacing w:before="3" w:line="270" w:lineRule="atLeast"/>
              <w:ind w:left="340" w:right="481"/>
              <w:rPr>
                <w:sz w:val="21"/>
              </w:rPr>
            </w:pPr>
            <w:r>
              <w:rPr>
                <w:sz w:val="21"/>
              </w:rPr>
              <w:t>检测项目采样位置</w:t>
            </w:r>
          </w:p>
        </w:tc>
        <w:tc>
          <w:tcPr>
            <w:tcW w:w="1680" w:type="dxa"/>
            <w:gridSpan w:val="2"/>
          </w:tcPr>
          <w:p>
            <w:pPr>
              <w:pStyle w:val="TableParagraph"/>
              <w:spacing w:line="252" w:lineRule="exact"/>
              <w:ind w:left="317"/>
              <w:rPr>
                <w:sz w:val="21"/>
              </w:rPr>
            </w:pPr>
            <w:r>
              <w:rPr>
                <w:rFonts w:ascii="Times New Roman" w:eastAsia="Times New Roman"/>
                <w:sz w:val="21"/>
              </w:rPr>
              <w:t xml:space="preserve">6 </w:t>
            </w:r>
            <w:r>
              <w:rPr>
                <w:sz w:val="21"/>
              </w:rPr>
              <w:t xml:space="preserve">月 </w:t>
            </w:r>
            <w:r>
              <w:rPr>
                <w:rFonts w:ascii="Times New Roman" w:eastAsia="Times New Roman"/>
                <w:sz w:val="21"/>
              </w:rPr>
              <w:t xml:space="preserve">28 </w:t>
            </w:r>
            <w:r>
              <w:rPr>
                <w:sz w:val="21"/>
              </w:rPr>
              <w:t>日</w:t>
            </w:r>
          </w:p>
        </w:tc>
        <w:tc>
          <w:tcPr>
            <w:tcW w:w="1680" w:type="dxa"/>
            <w:gridSpan w:val="2"/>
          </w:tcPr>
          <w:p>
            <w:pPr>
              <w:pStyle w:val="TableParagraph"/>
              <w:spacing w:line="252" w:lineRule="exact"/>
              <w:ind w:left="317"/>
              <w:rPr>
                <w:sz w:val="21"/>
              </w:rPr>
            </w:pPr>
            <w:r>
              <w:rPr>
                <w:rFonts w:ascii="Times New Roman" w:eastAsia="Times New Roman"/>
                <w:sz w:val="21"/>
              </w:rPr>
              <w:t xml:space="preserve">6 </w:t>
            </w:r>
            <w:r>
              <w:rPr>
                <w:sz w:val="21"/>
              </w:rPr>
              <w:t xml:space="preserve">月 </w:t>
            </w:r>
            <w:r>
              <w:rPr>
                <w:rFonts w:ascii="Times New Roman" w:eastAsia="Times New Roman"/>
                <w:sz w:val="21"/>
              </w:rPr>
              <w:t xml:space="preserve">29 </w:t>
            </w:r>
            <w:r>
              <w:rPr>
                <w:sz w:val="21"/>
              </w:rPr>
              <w:t>日</w:t>
            </w:r>
          </w:p>
        </w:tc>
        <w:tc>
          <w:tcPr>
            <w:tcW w:w="1680" w:type="dxa"/>
            <w:gridSpan w:val="2"/>
          </w:tcPr>
          <w:p>
            <w:pPr>
              <w:pStyle w:val="TableParagraph"/>
              <w:spacing w:line="252" w:lineRule="exact"/>
              <w:ind w:left="317"/>
              <w:rPr>
                <w:sz w:val="21"/>
              </w:rPr>
            </w:pPr>
            <w:r>
              <w:rPr>
                <w:rFonts w:ascii="Times New Roman" w:eastAsia="Times New Roman"/>
                <w:sz w:val="21"/>
              </w:rPr>
              <w:t xml:space="preserve">6 </w:t>
            </w:r>
            <w:r>
              <w:rPr>
                <w:sz w:val="21"/>
              </w:rPr>
              <w:t xml:space="preserve">月 </w:t>
            </w:r>
            <w:r>
              <w:rPr>
                <w:rFonts w:ascii="Times New Roman" w:eastAsia="Times New Roman"/>
                <w:sz w:val="21"/>
              </w:rPr>
              <w:t xml:space="preserve">30 </w:t>
            </w:r>
            <w:r>
              <w:rPr>
                <w:sz w:val="21"/>
              </w:rPr>
              <w:t>日</w:t>
            </w:r>
          </w:p>
        </w:tc>
        <w:tc>
          <w:tcPr>
            <w:tcW w:w="901" w:type="dxa"/>
            <w:vMerge w:val="restart"/>
          </w:tcPr>
          <w:p>
            <w:pPr>
              <w:pStyle w:val="TableParagraph"/>
              <w:spacing w:before="141"/>
              <w:ind w:left="163"/>
              <w:rPr>
                <w:sz w:val="21"/>
              </w:rPr>
            </w:pPr>
            <w:r>
              <w:rPr>
                <w:sz w:val="21"/>
              </w:rPr>
              <w:t>单位</w:t>
            </w:r>
          </w:p>
        </w:tc>
        <w:tc>
          <w:tcPr>
            <w:tcW w:w="1006" w:type="dxa"/>
            <w:vMerge w:val="restart"/>
          </w:tcPr>
          <w:p>
            <w:pPr>
              <w:pStyle w:val="TableParagraph"/>
              <w:spacing w:before="141"/>
              <w:ind w:left="217"/>
              <w:rPr>
                <w:sz w:val="21"/>
              </w:rPr>
            </w:pPr>
            <w:r>
              <w:rPr>
                <w:sz w:val="21"/>
              </w:rPr>
              <w:t>标准</w:t>
            </w:r>
          </w:p>
        </w:tc>
      </w:tr>
      <w:tr>
        <w:tblPrEx>
          <w:tblW w:w="0" w:type="auto"/>
          <w:tblInd w:w="950" w:type="dxa"/>
          <w:tblLayout w:type="fixed"/>
          <w:tblCellMar>
            <w:top w:w="0" w:type="dxa"/>
            <w:left w:w="0" w:type="dxa"/>
            <w:bottom w:w="0" w:type="dxa"/>
            <w:right w:w="0" w:type="dxa"/>
          </w:tblCellMar>
        </w:tblPrEx>
        <w:trPr>
          <w:trHeight w:val="271"/>
        </w:trPr>
        <w:tc>
          <w:tcPr>
            <w:tcW w:w="1672" w:type="dxa"/>
            <w:gridSpan w:val="2"/>
            <w:vMerge/>
            <w:tcBorders>
              <w:top w:val="nil"/>
            </w:tcBorders>
          </w:tcPr>
          <w:p>
            <w:pPr>
              <w:rPr>
                <w:sz w:val="2"/>
                <w:szCs w:val="2"/>
              </w:rPr>
            </w:pPr>
          </w:p>
        </w:tc>
        <w:tc>
          <w:tcPr>
            <w:tcW w:w="840" w:type="dxa"/>
          </w:tcPr>
          <w:p>
            <w:pPr>
              <w:pStyle w:val="TableParagraph"/>
              <w:spacing w:line="251" w:lineRule="exact"/>
              <w:ind w:left="134"/>
              <w:rPr>
                <w:sz w:val="21"/>
              </w:rPr>
            </w:pPr>
            <w:r>
              <w:rPr>
                <w:sz w:val="21"/>
              </w:rPr>
              <w:t>涨潮</w:t>
            </w:r>
          </w:p>
        </w:tc>
        <w:tc>
          <w:tcPr>
            <w:tcW w:w="840" w:type="dxa"/>
          </w:tcPr>
          <w:p>
            <w:pPr>
              <w:pStyle w:val="TableParagraph"/>
              <w:spacing w:line="251" w:lineRule="exact"/>
              <w:ind w:right="275"/>
              <w:jc w:val="right"/>
              <w:rPr>
                <w:sz w:val="21"/>
              </w:rPr>
            </w:pPr>
            <w:r>
              <w:rPr>
                <w:w w:val="95"/>
                <w:sz w:val="21"/>
              </w:rPr>
              <w:t>退潮</w:t>
            </w:r>
          </w:p>
        </w:tc>
        <w:tc>
          <w:tcPr>
            <w:tcW w:w="840" w:type="dxa"/>
          </w:tcPr>
          <w:p>
            <w:pPr>
              <w:pStyle w:val="TableParagraph"/>
              <w:spacing w:line="251" w:lineRule="exact"/>
              <w:ind w:left="134"/>
              <w:rPr>
                <w:sz w:val="21"/>
              </w:rPr>
            </w:pPr>
            <w:r>
              <w:rPr>
                <w:sz w:val="21"/>
              </w:rPr>
              <w:t>涨潮</w:t>
            </w:r>
          </w:p>
        </w:tc>
        <w:tc>
          <w:tcPr>
            <w:tcW w:w="840" w:type="dxa"/>
          </w:tcPr>
          <w:p>
            <w:pPr>
              <w:pStyle w:val="TableParagraph"/>
              <w:spacing w:line="251" w:lineRule="exact"/>
              <w:ind w:right="275"/>
              <w:jc w:val="right"/>
              <w:rPr>
                <w:sz w:val="21"/>
              </w:rPr>
            </w:pPr>
            <w:r>
              <w:rPr>
                <w:w w:val="95"/>
                <w:sz w:val="21"/>
              </w:rPr>
              <w:t>退潮</w:t>
            </w:r>
          </w:p>
        </w:tc>
        <w:tc>
          <w:tcPr>
            <w:tcW w:w="840" w:type="dxa"/>
          </w:tcPr>
          <w:p>
            <w:pPr>
              <w:pStyle w:val="TableParagraph"/>
              <w:spacing w:line="251" w:lineRule="exact"/>
              <w:ind w:left="134"/>
              <w:rPr>
                <w:sz w:val="21"/>
              </w:rPr>
            </w:pPr>
            <w:r>
              <w:rPr>
                <w:sz w:val="21"/>
              </w:rPr>
              <w:t>涨潮</w:t>
            </w:r>
          </w:p>
        </w:tc>
        <w:tc>
          <w:tcPr>
            <w:tcW w:w="840" w:type="dxa"/>
          </w:tcPr>
          <w:p>
            <w:pPr>
              <w:pStyle w:val="TableParagraph"/>
              <w:spacing w:line="251" w:lineRule="exact"/>
              <w:ind w:right="275"/>
              <w:jc w:val="right"/>
              <w:rPr>
                <w:sz w:val="21"/>
              </w:rPr>
            </w:pPr>
            <w:r>
              <w:rPr>
                <w:w w:val="95"/>
                <w:sz w:val="21"/>
              </w:rPr>
              <w:t>退潮</w:t>
            </w:r>
          </w:p>
        </w:tc>
        <w:tc>
          <w:tcPr>
            <w:tcW w:w="901" w:type="dxa"/>
            <w:vMerge/>
            <w:tcBorders>
              <w:top w:val="nil"/>
            </w:tcBorders>
          </w:tcPr>
          <w:p>
            <w:pPr>
              <w:rPr>
                <w:sz w:val="2"/>
                <w:szCs w:val="2"/>
              </w:rPr>
            </w:pPr>
          </w:p>
        </w:tc>
        <w:tc>
          <w:tcPr>
            <w:tcW w:w="1006" w:type="dxa"/>
            <w:vMerge/>
            <w:tcBorders>
              <w:top w:val="nil"/>
            </w:tcBorders>
          </w:tcPr>
          <w:p>
            <w:pPr>
              <w:rPr>
                <w:sz w:val="2"/>
                <w:szCs w:val="2"/>
              </w:rPr>
            </w:pPr>
          </w:p>
        </w:tc>
      </w:tr>
      <w:tr>
        <w:tblPrEx>
          <w:tblW w:w="0" w:type="auto"/>
          <w:tblInd w:w="950" w:type="dxa"/>
          <w:tblLayout w:type="fixed"/>
          <w:tblCellMar>
            <w:top w:w="0" w:type="dxa"/>
            <w:left w:w="0" w:type="dxa"/>
            <w:bottom w:w="0" w:type="dxa"/>
            <w:right w:w="0" w:type="dxa"/>
          </w:tblCellMar>
        </w:tblPrEx>
        <w:trPr>
          <w:trHeight w:val="242"/>
        </w:trPr>
        <w:tc>
          <w:tcPr>
            <w:tcW w:w="1001" w:type="dxa"/>
            <w:vMerge w:val="restart"/>
          </w:tcPr>
          <w:p>
            <w:pPr>
              <w:pStyle w:val="TableParagraph"/>
              <w:spacing w:before="124"/>
              <w:ind w:left="203"/>
              <w:rPr>
                <w:rFonts w:ascii="Times New Roman"/>
                <w:sz w:val="21"/>
              </w:rPr>
            </w:pPr>
            <w:r>
              <w:rPr>
                <w:rFonts w:ascii="Times New Roman"/>
                <w:sz w:val="21"/>
              </w:rPr>
              <w:t>COD</w:t>
            </w:r>
          </w:p>
        </w:tc>
        <w:tc>
          <w:tcPr>
            <w:tcW w:w="671" w:type="dxa"/>
          </w:tcPr>
          <w:p>
            <w:pPr>
              <w:pStyle w:val="TableParagraph"/>
              <w:spacing w:line="222" w:lineRule="exact"/>
              <w:ind w:left="107"/>
              <w:rPr>
                <w:rFonts w:ascii="Times New Roman"/>
                <w:sz w:val="21"/>
              </w:rPr>
            </w:pPr>
            <w:r>
              <w:rPr>
                <w:rFonts w:ascii="Times New Roman"/>
                <w:sz w:val="21"/>
              </w:rPr>
              <w:t>W1</w:t>
            </w:r>
          </w:p>
        </w:tc>
        <w:tc>
          <w:tcPr>
            <w:tcW w:w="840" w:type="dxa"/>
          </w:tcPr>
          <w:p>
            <w:pPr>
              <w:pStyle w:val="TableParagraph"/>
              <w:spacing w:line="222" w:lineRule="exact"/>
              <w:ind w:left="158"/>
              <w:rPr>
                <w:rFonts w:ascii="Times New Roman"/>
                <w:sz w:val="21"/>
              </w:rPr>
            </w:pPr>
            <w:r>
              <w:rPr>
                <w:rFonts w:ascii="Times New Roman"/>
                <w:sz w:val="21"/>
              </w:rPr>
              <w:t>3.14</w:t>
            </w:r>
          </w:p>
        </w:tc>
        <w:tc>
          <w:tcPr>
            <w:tcW w:w="840" w:type="dxa"/>
          </w:tcPr>
          <w:p>
            <w:pPr>
              <w:pStyle w:val="TableParagraph"/>
              <w:spacing w:line="222" w:lineRule="exact"/>
              <w:ind w:right="300"/>
              <w:jc w:val="right"/>
              <w:rPr>
                <w:rFonts w:ascii="Times New Roman"/>
                <w:sz w:val="21"/>
              </w:rPr>
            </w:pPr>
            <w:r>
              <w:rPr>
                <w:rFonts w:ascii="Times New Roman"/>
                <w:sz w:val="21"/>
              </w:rPr>
              <w:t>2.04</w:t>
            </w:r>
          </w:p>
        </w:tc>
        <w:tc>
          <w:tcPr>
            <w:tcW w:w="840" w:type="dxa"/>
          </w:tcPr>
          <w:p>
            <w:pPr>
              <w:pStyle w:val="TableParagraph"/>
              <w:spacing w:line="222" w:lineRule="exact"/>
              <w:ind w:left="158"/>
              <w:rPr>
                <w:rFonts w:ascii="Times New Roman"/>
                <w:sz w:val="21"/>
              </w:rPr>
            </w:pPr>
            <w:r>
              <w:rPr>
                <w:rFonts w:ascii="Times New Roman"/>
                <w:sz w:val="21"/>
              </w:rPr>
              <w:t>1.59</w:t>
            </w:r>
          </w:p>
        </w:tc>
        <w:tc>
          <w:tcPr>
            <w:tcW w:w="840" w:type="dxa"/>
          </w:tcPr>
          <w:p>
            <w:pPr>
              <w:pStyle w:val="TableParagraph"/>
              <w:spacing w:line="222" w:lineRule="exact"/>
              <w:ind w:right="300"/>
              <w:jc w:val="right"/>
              <w:rPr>
                <w:rFonts w:ascii="Times New Roman"/>
                <w:sz w:val="21"/>
              </w:rPr>
            </w:pPr>
            <w:r>
              <w:rPr>
                <w:rFonts w:ascii="Times New Roman"/>
                <w:sz w:val="21"/>
              </w:rPr>
              <w:t>1.23</w:t>
            </w:r>
          </w:p>
        </w:tc>
        <w:tc>
          <w:tcPr>
            <w:tcW w:w="840" w:type="dxa"/>
          </w:tcPr>
          <w:p>
            <w:pPr>
              <w:pStyle w:val="TableParagraph"/>
              <w:spacing w:line="222" w:lineRule="exact"/>
              <w:ind w:left="158"/>
              <w:rPr>
                <w:rFonts w:ascii="Times New Roman"/>
                <w:sz w:val="21"/>
              </w:rPr>
            </w:pPr>
            <w:r>
              <w:rPr>
                <w:rFonts w:ascii="Times New Roman"/>
                <w:sz w:val="21"/>
              </w:rPr>
              <w:t>1.80</w:t>
            </w:r>
          </w:p>
        </w:tc>
        <w:tc>
          <w:tcPr>
            <w:tcW w:w="840" w:type="dxa"/>
          </w:tcPr>
          <w:p>
            <w:pPr>
              <w:pStyle w:val="TableParagraph"/>
              <w:spacing w:line="222" w:lineRule="exact"/>
              <w:ind w:right="300"/>
              <w:jc w:val="right"/>
              <w:rPr>
                <w:rFonts w:ascii="Times New Roman"/>
                <w:sz w:val="21"/>
              </w:rPr>
            </w:pPr>
            <w:r>
              <w:rPr>
                <w:rFonts w:ascii="Times New Roman"/>
                <w:sz w:val="21"/>
              </w:rPr>
              <w:t>1.41</w:t>
            </w:r>
          </w:p>
        </w:tc>
        <w:tc>
          <w:tcPr>
            <w:tcW w:w="901" w:type="dxa"/>
            <w:vMerge w:val="restart"/>
          </w:tcPr>
          <w:p>
            <w:pPr>
              <w:pStyle w:val="TableParagraph"/>
              <w:spacing w:before="124"/>
              <w:ind w:left="146"/>
              <w:rPr>
                <w:rFonts w:ascii="Times New Roman"/>
                <w:sz w:val="21"/>
              </w:rPr>
            </w:pPr>
            <w:r>
              <w:rPr>
                <w:rFonts w:ascii="Times New Roman"/>
                <w:sz w:val="21"/>
              </w:rPr>
              <w:t>mg/L</w:t>
            </w:r>
          </w:p>
        </w:tc>
        <w:tc>
          <w:tcPr>
            <w:tcW w:w="1006" w:type="dxa"/>
            <w:vMerge w:val="restart"/>
          </w:tcPr>
          <w:p>
            <w:pPr>
              <w:pStyle w:val="TableParagraph"/>
              <w:spacing w:before="124"/>
              <w:ind w:right="141"/>
              <w:jc w:val="center"/>
              <w:rPr>
                <w:rFonts w:ascii="Times New Roman"/>
                <w:sz w:val="21"/>
              </w:rPr>
            </w:pPr>
            <w:r>
              <w:rPr>
                <w:rFonts w:ascii="Times New Roman"/>
                <w:w w:val="99"/>
                <w:sz w:val="21"/>
              </w:rPr>
              <w:t>4</w:t>
            </w:r>
          </w:p>
        </w:tc>
      </w:tr>
      <w:tr>
        <w:tblPrEx>
          <w:tblW w:w="0" w:type="auto"/>
          <w:tblInd w:w="950" w:type="dxa"/>
          <w:tblLayout w:type="fixed"/>
          <w:tblCellMar>
            <w:top w:w="0" w:type="dxa"/>
            <w:left w:w="0" w:type="dxa"/>
            <w:bottom w:w="0" w:type="dxa"/>
            <w:right w:w="0" w:type="dxa"/>
          </w:tblCellMar>
        </w:tblPrEx>
        <w:trPr>
          <w:trHeight w:val="241"/>
        </w:trPr>
        <w:tc>
          <w:tcPr>
            <w:tcW w:w="1001" w:type="dxa"/>
            <w:vMerge/>
            <w:tcBorders>
              <w:top w:val="nil"/>
            </w:tcBorders>
          </w:tcPr>
          <w:p>
            <w:pPr>
              <w:rPr>
                <w:sz w:val="2"/>
                <w:szCs w:val="2"/>
              </w:rPr>
            </w:pPr>
          </w:p>
        </w:tc>
        <w:tc>
          <w:tcPr>
            <w:tcW w:w="671" w:type="dxa"/>
          </w:tcPr>
          <w:p>
            <w:pPr>
              <w:pStyle w:val="TableParagraph"/>
              <w:spacing w:line="221" w:lineRule="exact"/>
              <w:ind w:left="107"/>
              <w:rPr>
                <w:rFonts w:ascii="Times New Roman"/>
                <w:sz w:val="21"/>
              </w:rPr>
            </w:pPr>
            <w:r>
              <w:rPr>
                <w:rFonts w:ascii="Times New Roman"/>
                <w:sz w:val="21"/>
              </w:rPr>
              <w:t>W2</w:t>
            </w:r>
          </w:p>
        </w:tc>
        <w:tc>
          <w:tcPr>
            <w:tcW w:w="840" w:type="dxa"/>
          </w:tcPr>
          <w:p>
            <w:pPr>
              <w:pStyle w:val="TableParagraph"/>
              <w:spacing w:line="221" w:lineRule="exact"/>
              <w:ind w:left="158"/>
              <w:rPr>
                <w:rFonts w:ascii="Times New Roman"/>
                <w:sz w:val="21"/>
              </w:rPr>
            </w:pPr>
            <w:r>
              <w:rPr>
                <w:rFonts w:ascii="Times New Roman"/>
                <w:sz w:val="21"/>
              </w:rPr>
              <w:t>2.30</w:t>
            </w:r>
          </w:p>
        </w:tc>
        <w:tc>
          <w:tcPr>
            <w:tcW w:w="840" w:type="dxa"/>
          </w:tcPr>
          <w:p>
            <w:pPr>
              <w:pStyle w:val="TableParagraph"/>
              <w:spacing w:line="221" w:lineRule="exact"/>
              <w:ind w:right="300"/>
              <w:jc w:val="right"/>
              <w:rPr>
                <w:rFonts w:ascii="Times New Roman"/>
                <w:sz w:val="21"/>
              </w:rPr>
            </w:pPr>
            <w:r>
              <w:rPr>
                <w:rFonts w:ascii="Times New Roman"/>
                <w:sz w:val="21"/>
              </w:rPr>
              <w:t>1.30</w:t>
            </w:r>
          </w:p>
        </w:tc>
        <w:tc>
          <w:tcPr>
            <w:tcW w:w="840" w:type="dxa"/>
          </w:tcPr>
          <w:p>
            <w:pPr>
              <w:pStyle w:val="TableParagraph"/>
              <w:spacing w:line="221" w:lineRule="exact"/>
              <w:ind w:left="158"/>
              <w:rPr>
                <w:rFonts w:ascii="Times New Roman"/>
                <w:sz w:val="21"/>
              </w:rPr>
            </w:pPr>
            <w:r>
              <w:rPr>
                <w:rFonts w:ascii="Times New Roman"/>
                <w:sz w:val="21"/>
              </w:rPr>
              <w:t>1.51</w:t>
            </w:r>
          </w:p>
        </w:tc>
        <w:tc>
          <w:tcPr>
            <w:tcW w:w="840" w:type="dxa"/>
          </w:tcPr>
          <w:p>
            <w:pPr>
              <w:pStyle w:val="TableParagraph"/>
              <w:spacing w:line="221" w:lineRule="exact"/>
              <w:ind w:right="300"/>
              <w:jc w:val="right"/>
              <w:rPr>
                <w:rFonts w:ascii="Times New Roman"/>
                <w:sz w:val="21"/>
              </w:rPr>
            </w:pPr>
            <w:r>
              <w:rPr>
                <w:rFonts w:ascii="Times New Roman"/>
                <w:sz w:val="21"/>
              </w:rPr>
              <w:t>1.39</w:t>
            </w:r>
          </w:p>
        </w:tc>
        <w:tc>
          <w:tcPr>
            <w:tcW w:w="840" w:type="dxa"/>
          </w:tcPr>
          <w:p>
            <w:pPr>
              <w:pStyle w:val="TableParagraph"/>
              <w:spacing w:line="221" w:lineRule="exact"/>
              <w:ind w:left="158"/>
              <w:rPr>
                <w:rFonts w:ascii="Times New Roman"/>
                <w:sz w:val="21"/>
              </w:rPr>
            </w:pPr>
            <w:r>
              <w:rPr>
                <w:rFonts w:ascii="Times New Roman"/>
                <w:sz w:val="21"/>
              </w:rPr>
              <w:t>1.79</w:t>
            </w:r>
          </w:p>
        </w:tc>
        <w:tc>
          <w:tcPr>
            <w:tcW w:w="840" w:type="dxa"/>
          </w:tcPr>
          <w:p>
            <w:pPr>
              <w:pStyle w:val="TableParagraph"/>
              <w:spacing w:line="221" w:lineRule="exact"/>
              <w:ind w:right="300"/>
              <w:jc w:val="right"/>
              <w:rPr>
                <w:rFonts w:ascii="Times New Roman"/>
                <w:sz w:val="21"/>
              </w:rPr>
            </w:pPr>
            <w:r>
              <w:rPr>
                <w:rFonts w:ascii="Times New Roman"/>
                <w:sz w:val="21"/>
              </w:rPr>
              <w:t>1.66</w:t>
            </w:r>
          </w:p>
        </w:tc>
        <w:tc>
          <w:tcPr>
            <w:tcW w:w="901" w:type="dxa"/>
            <w:vMerge/>
            <w:tcBorders>
              <w:top w:val="nil"/>
            </w:tcBorders>
          </w:tcPr>
          <w:p>
            <w:pPr>
              <w:rPr>
                <w:sz w:val="2"/>
                <w:szCs w:val="2"/>
              </w:rPr>
            </w:pPr>
          </w:p>
        </w:tc>
        <w:tc>
          <w:tcPr>
            <w:tcW w:w="1006" w:type="dxa"/>
            <w:vMerge/>
            <w:tcBorders>
              <w:top w:val="nil"/>
            </w:tcBorders>
          </w:tcPr>
          <w:p>
            <w:pPr>
              <w:rPr>
                <w:sz w:val="2"/>
                <w:szCs w:val="2"/>
              </w:rPr>
            </w:pPr>
          </w:p>
        </w:tc>
      </w:tr>
      <w:tr>
        <w:tblPrEx>
          <w:tblW w:w="0" w:type="auto"/>
          <w:tblInd w:w="950" w:type="dxa"/>
          <w:tblLayout w:type="fixed"/>
          <w:tblCellMar>
            <w:top w:w="0" w:type="dxa"/>
            <w:left w:w="0" w:type="dxa"/>
            <w:bottom w:w="0" w:type="dxa"/>
            <w:right w:w="0" w:type="dxa"/>
          </w:tblCellMar>
        </w:tblPrEx>
        <w:trPr>
          <w:trHeight w:val="241"/>
        </w:trPr>
        <w:tc>
          <w:tcPr>
            <w:tcW w:w="1001" w:type="dxa"/>
            <w:vMerge w:val="restart"/>
          </w:tcPr>
          <w:p>
            <w:pPr>
              <w:pStyle w:val="TableParagraph"/>
              <w:spacing w:before="111"/>
              <w:ind w:left="318"/>
              <w:rPr>
                <w:sz w:val="21"/>
              </w:rPr>
            </w:pPr>
            <w:r>
              <w:rPr>
                <w:w w:val="99"/>
                <w:sz w:val="21"/>
              </w:rPr>
              <w:t>氨</w:t>
            </w:r>
          </w:p>
        </w:tc>
        <w:tc>
          <w:tcPr>
            <w:tcW w:w="671" w:type="dxa"/>
          </w:tcPr>
          <w:p>
            <w:pPr>
              <w:pStyle w:val="TableParagraph"/>
              <w:spacing w:line="222" w:lineRule="exact"/>
              <w:ind w:left="107"/>
              <w:rPr>
                <w:rFonts w:ascii="Times New Roman"/>
                <w:sz w:val="21"/>
              </w:rPr>
            </w:pPr>
            <w:r>
              <w:rPr>
                <w:rFonts w:ascii="Times New Roman"/>
                <w:sz w:val="21"/>
              </w:rPr>
              <w:t>W1</w:t>
            </w:r>
          </w:p>
        </w:tc>
        <w:tc>
          <w:tcPr>
            <w:tcW w:w="840" w:type="dxa"/>
          </w:tcPr>
          <w:p>
            <w:pPr>
              <w:pStyle w:val="TableParagraph"/>
              <w:spacing w:line="222" w:lineRule="exact"/>
              <w:ind w:left="110"/>
              <w:rPr>
                <w:rFonts w:ascii="Times New Roman"/>
                <w:sz w:val="21"/>
              </w:rPr>
            </w:pPr>
            <w:r>
              <w:rPr>
                <w:rFonts w:ascii="Times New Roman"/>
                <w:sz w:val="21"/>
              </w:rPr>
              <w:t>0.110</w:t>
            </w:r>
          </w:p>
        </w:tc>
        <w:tc>
          <w:tcPr>
            <w:tcW w:w="840" w:type="dxa"/>
          </w:tcPr>
          <w:p>
            <w:pPr>
              <w:pStyle w:val="TableParagraph"/>
              <w:spacing w:line="222" w:lineRule="exact"/>
              <w:ind w:right="247"/>
              <w:jc w:val="right"/>
              <w:rPr>
                <w:rFonts w:ascii="Times New Roman"/>
                <w:sz w:val="21"/>
              </w:rPr>
            </w:pPr>
            <w:r>
              <w:rPr>
                <w:rFonts w:ascii="Times New Roman"/>
                <w:w w:val="95"/>
                <w:sz w:val="21"/>
              </w:rPr>
              <w:t>0.261</w:t>
            </w:r>
          </w:p>
        </w:tc>
        <w:tc>
          <w:tcPr>
            <w:tcW w:w="840" w:type="dxa"/>
          </w:tcPr>
          <w:p>
            <w:pPr>
              <w:pStyle w:val="TableParagraph"/>
              <w:spacing w:line="222" w:lineRule="exact"/>
              <w:ind w:left="108"/>
              <w:rPr>
                <w:rFonts w:ascii="Times New Roman"/>
                <w:sz w:val="21"/>
              </w:rPr>
            </w:pPr>
            <w:r>
              <w:rPr>
                <w:rFonts w:ascii="Times New Roman"/>
                <w:sz w:val="21"/>
              </w:rPr>
              <w:t>0.132</w:t>
            </w:r>
          </w:p>
        </w:tc>
        <w:tc>
          <w:tcPr>
            <w:tcW w:w="840" w:type="dxa"/>
          </w:tcPr>
          <w:p>
            <w:pPr>
              <w:pStyle w:val="TableParagraph"/>
              <w:spacing w:line="222" w:lineRule="exact"/>
              <w:ind w:right="247"/>
              <w:jc w:val="right"/>
              <w:rPr>
                <w:rFonts w:ascii="Times New Roman"/>
                <w:sz w:val="21"/>
              </w:rPr>
            </w:pPr>
            <w:r>
              <w:rPr>
                <w:rFonts w:ascii="Times New Roman"/>
                <w:w w:val="95"/>
                <w:sz w:val="21"/>
              </w:rPr>
              <w:t>0.124</w:t>
            </w:r>
          </w:p>
        </w:tc>
        <w:tc>
          <w:tcPr>
            <w:tcW w:w="840" w:type="dxa"/>
          </w:tcPr>
          <w:p>
            <w:pPr>
              <w:pStyle w:val="TableParagraph"/>
              <w:spacing w:line="222" w:lineRule="exact"/>
              <w:ind w:left="108"/>
              <w:rPr>
                <w:rFonts w:ascii="Times New Roman"/>
                <w:sz w:val="21"/>
              </w:rPr>
            </w:pPr>
            <w:r>
              <w:rPr>
                <w:rFonts w:ascii="Times New Roman"/>
                <w:sz w:val="21"/>
              </w:rPr>
              <w:t>0.232</w:t>
            </w:r>
          </w:p>
        </w:tc>
        <w:tc>
          <w:tcPr>
            <w:tcW w:w="840" w:type="dxa"/>
          </w:tcPr>
          <w:p>
            <w:pPr>
              <w:pStyle w:val="TableParagraph"/>
              <w:spacing w:line="222" w:lineRule="exact"/>
              <w:ind w:right="247"/>
              <w:jc w:val="right"/>
              <w:rPr>
                <w:rFonts w:ascii="Times New Roman"/>
                <w:sz w:val="21"/>
              </w:rPr>
            </w:pPr>
            <w:r>
              <w:rPr>
                <w:rFonts w:ascii="Times New Roman"/>
                <w:w w:val="95"/>
                <w:sz w:val="21"/>
              </w:rPr>
              <w:t>0.098</w:t>
            </w:r>
          </w:p>
        </w:tc>
        <w:tc>
          <w:tcPr>
            <w:tcW w:w="901" w:type="dxa"/>
            <w:vMerge w:val="restart"/>
          </w:tcPr>
          <w:p>
            <w:pPr>
              <w:pStyle w:val="TableParagraph"/>
              <w:spacing w:before="125"/>
              <w:ind w:left="146"/>
              <w:rPr>
                <w:rFonts w:ascii="Times New Roman"/>
                <w:sz w:val="21"/>
              </w:rPr>
            </w:pPr>
            <w:r>
              <w:rPr>
                <w:rFonts w:ascii="Times New Roman"/>
                <w:sz w:val="21"/>
              </w:rPr>
              <w:t>mg/L</w:t>
            </w:r>
          </w:p>
        </w:tc>
        <w:tc>
          <w:tcPr>
            <w:tcW w:w="1006" w:type="dxa"/>
            <w:vMerge w:val="restart"/>
          </w:tcPr>
          <w:p>
            <w:pPr>
              <w:pStyle w:val="TableParagraph"/>
              <w:spacing w:before="125"/>
              <w:ind w:left="294"/>
              <w:rPr>
                <w:rFonts w:ascii="Times New Roman"/>
                <w:sz w:val="21"/>
              </w:rPr>
            </w:pPr>
            <w:r>
              <w:rPr>
                <w:rFonts w:ascii="Times New Roman"/>
                <w:sz w:val="21"/>
              </w:rPr>
              <w:t>0.4</w:t>
            </w:r>
          </w:p>
        </w:tc>
      </w:tr>
      <w:tr>
        <w:tblPrEx>
          <w:tblW w:w="0" w:type="auto"/>
          <w:tblInd w:w="950" w:type="dxa"/>
          <w:tblLayout w:type="fixed"/>
          <w:tblCellMar>
            <w:top w:w="0" w:type="dxa"/>
            <w:left w:w="0" w:type="dxa"/>
            <w:bottom w:w="0" w:type="dxa"/>
            <w:right w:w="0" w:type="dxa"/>
          </w:tblCellMar>
        </w:tblPrEx>
        <w:trPr>
          <w:trHeight w:val="240"/>
        </w:trPr>
        <w:tc>
          <w:tcPr>
            <w:tcW w:w="1001" w:type="dxa"/>
            <w:vMerge/>
            <w:tcBorders>
              <w:top w:val="nil"/>
            </w:tcBorders>
          </w:tcPr>
          <w:p>
            <w:pPr>
              <w:rPr>
                <w:sz w:val="2"/>
                <w:szCs w:val="2"/>
              </w:rPr>
            </w:pPr>
          </w:p>
        </w:tc>
        <w:tc>
          <w:tcPr>
            <w:tcW w:w="671" w:type="dxa"/>
          </w:tcPr>
          <w:p>
            <w:pPr>
              <w:pStyle w:val="TableParagraph"/>
              <w:spacing w:line="221" w:lineRule="exact"/>
              <w:ind w:left="107"/>
              <w:rPr>
                <w:rFonts w:ascii="Times New Roman"/>
                <w:sz w:val="21"/>
              </w:rPr>
            </w:pPr>
            <w:r>
              <w:rPr>
                <w:rFonts w:ascii="Times New Roman"/>
                <w:sz w:val="21"/>
              </w:rPr>
              <w:t>W2</w:t>
            </w:r>
          </w:p>
        </w:tc>
        <w:tc>
          <w:tcPr>
            <w:tcW w:w="840" w:type="dxa"/>
          </w:tcPr>
          <w:p>
            <w:pPr>
              <w:pStyle w:val="TableParagraph"/>
              <w:spacing w:line="221" w:lineRule="exact"/>
              <w:ind w:left="108"/>
              <w:rPr>
                <w:rFonts w:ascii="Times New Roman"/>
                <w:sz w:val="21"/>
              </w:rPr>
            </w:pPr>
            <w:r>
              <w:rPr>
                <w:rFonts w:ascii="Times New Roman"/>
                <w:sz w:val="21"/>
              </w:rPr>
              <w:t>0.066</w:t>
            </w:r>
          </w:p>
        </w:tc>
        <w:tc>
          <w:tcPr>
            <w:tcW w:w="840" w:type="dxa"/>
          </w:tcPr>
          <w:p>
            <w:pPr>
              <w:pStyle w:val="TableParagraph"/>
              <w:spacing w:line="221" w:lineRule="exact"/>
              <w:ind w:right="247"/>
              <w:jc w:val="right"/>
              <w:rPr>
                <w:rFonts w:ascii="Times New Roman"/>
                <w:sz w:val="21"/>
              </w:rPr>
            </w:pPr>
            <w:r>
              <w:rPr>
                <w:rFonts w:ascii="Times New Roman"/>
                <w:w w:val="95"/>
                <w:sz w:val="21"/>
              </w:rPr>
              <w:t>0.163</w:t>
            </w:r>
          </w:p>
        </w:tc>
        <w:tc>
          <w:tcPr>
            <w:tcW w:w="840" w:type="dxa"/>
          </w:tcPr>
          <w:p>
            <w:pPr>
              <w:pStyle w:val="TableParagraph"/>
              <w:spacing w:line="221" w:lineRule="exact"/>
              <w:ind w:left="108"/>
              <w:rPr>
                <w:rFonts w:ascii="Times New Roman"/>
                <w:sz w:val="21"/>
              </w:rPr>
            </w:pPr>
            <w:r>
              <w:rPr>
                <w:rFonts w:ascii="Times New Roman"/>
                <w:sz w:val="21"/>
              </w:rPr>
              <w:t>0.064</w:t>
            </w:r>
          </w:p>
        </w:tc>
        <w:tc>
          <w:tcPr>
            <w:tcW w:w="840" w:type="dxa"/>
          </w:tcPr>
          <w:p>
            <w:pPr>
              <w:pStyle w:val="TableParagraph"/>
              <w:spacing w:line="221" w:lineRule="exact"/>
              <w:ind w:right="247"/>
              <w:jc w:val="right"/>
              <w:rPr>
                <w:rFonts w:ascii="Times New Roman"/>
                <w:sz w:val="21"/>
              </w:rPr>
            </w:pPr>
            <w:r>
              <w:rPr>
                <w:rFonts w:ascii="Times New Roman"/>
                <w:w w:val="95"/>
                <w:sz w:val="21"/>
              </w:rPr>
              <w:t>0.281</w:t>
            </w:r>
          </w:p>
        </w:tc>
        <w:tc>
          <w:tcPr>
            <w:tcW w:w="840" w:type="dxa"/>
          </w:tcPr>
          <w:p>
            <w:pPr>
              <w:pStyle w:val="TableParagraph"/>
              <w:spacing w:line="221" w:lineRule="exact"/>
              <w:ind w:left="108"/>
              <w:rPr>
                <w:rFonts w:ascii="Times New Roman"/>
                <w:sz w:val="21"/>
              </w:rPr>
            </w:pPr>
            <w:r>
              <w:rPr>
                <w:rFonts w:ascii="Times New Roman"/>
                <w:sz w:val="21"/>
              </w:rPr>
              <w:t>0.082</w:t>
            </w:r>
          </w:p>
        </w:tc>
        <w:tc>
          <w:tcPr>
            <w:tcW w:w="840" w:type="dxa"/>
          </w:tcPr>
          <w:p>
            <w:pPr>
              <w:pStyle w:val="TableParagraph"/>
              <w:spacing w:line="221" w:lineRule="exact"/>
              <w:ind w:right="250"/>
              <w:jc w:val="right"/>
              <w:rPr>
                <w:rFonts w:ascii="Times New Roman"/>
                <w:sz w:val="21"/>
              </w:rPr>
            </w:pPr>
            <w:r>
              <w:rPr>
                <w:rFonts w:ascii="Times New Roman"/>
                <w:w w:val="95"/>
                <w:sz w:val="21"/>
              </w:rPr>
              <w:t>0.116</w:t>
            </w:r>
          </w:p>
        </w:tc>
        <w:tc>
          <w:tcPr>
            <w:tcW w:w="901" w:type="dxa"/>
            <w:vMerge/>
            <w:tcBorders>
              <w:top w:val="nil"/>
            </w:tcBorders>
          </w:tcPr>
          <w:p>
            <w:pPr>
              <w:rPr>
                <w:sz w:val="2"/>
                <w:szCs w:val="2"/>
              </w:rPr>
            </w:pPr>
          </w:p>
        </w:tc>
        <w:tc>
          <w:tcPr>
            <w:tcW w:w="1006" w:type="dxa"/>
            <w:vMerge/>
            <w:tcBorders>
              <w:top w:val="nil"/>
            </w:tcBorders>
          </w:tcPr>
          <w:p>
            <w:pPr>
              <w:rPr>
                <w:sz w:val="2"/>
                <w:szCs w:val="2"/>
              </w:rPr>
            </w:pPr>
          </w:p>
        </w:tc>
      </w:tr>
      <w:tr>
        <w:tblPrEx>
          <w:tblW w:w="0" w:type="auto"/>
          <w:tblInd w:w="950" w:type="dxa"/>
          <w:tblLayout w:type="fixed"/>
          <w:tblCellMar>
            <w:top w:w="0" w:type="dxa"/>
            <w:left w:w="0" w:type="dxa"/>
            <w:bottom w:w="0" w:type="dxa"/>
            <w:right w:w="0" w:type="dxa"/>
          </w:tblCellMar>
        </w:tblPrEx>
        <w:trPr>
          <w:trHeight w:val="242"/>
        </w:trPr>
        <w:tc>
          <w:tcPr>
            <w:tcW w:w="1001" w:type="dxa"/>
            <w:vMerge w:val="restart"/>
          </w:tcPr>
          <w:p>
            <w:pPr>
              <w:pStyle w:val="TableParagraph"/>
              <w:spacing w:before="126"/>
              <w:ind w:left="150"/>
              <w:rPr>
                <w:rFonts w:ascii="Times New Roman"/>
                <w:sz w:val="21"/>
              </w:rPr>
            </w:pPr>
            <w:r>
              <w:rPr>
                <w:rFonts w:ascii="Times New Roman"/>
                <w:sz w:val="21"/>
              </w:rPr>
              <w:t>BOD5</w:t>
            </w:r>
          </w:p>
        </w:tc>
        <w:tc>
          <w:tcPr>
            <w:tcW w:w="671" w:type="dxa"/>
          </w:tcPr>
          <w:p>
            <w:pPr>
              <w:pStyle w:val="TableParagraph"/>
              <w:spacing w:before="1" w:line="221" w:lineRule="exact"/>
              <w:ind w:left="107"/>
              <w:rPr>
                <w:rFonts w:ascii="Times New Roman"/>
                <w:sz w:val="21"/>
              </w:rPr>
            </w:pPr>
            <w:r>
              <w:rPr>
                <w:rFonts w:ascii="Times New Roman"/>
                <w:sz w:val="21"/>
              </w:rPr>
              <w:t>W1</w:t>
            </w:r>
          </w:p>
        </w:tc>
        <w:tc>
          <w:tcPr>
            <w:tcW w:w="840" w:type="dxa"/>
          </w:tcPr>
          <w:p>
            <w:pPr>
              <w:pStyle w:val="TableParagraph"/>
              <w:spacing w:before="1" w:line="221" w:lineRule="exact"/>
              <w:ind w:left="211"/>
              <w:rPr>
                <w:rFonts w:ascii="Times New Roman"/>
                <w:sz w:val="21"/>
              </w:rPr>
            </w:pPr>
            <w:r>
              <w:rPr>
                <w:rFonts w:ascii="Times New Roman"/>
                <w:sz w:val="21"/>
              </w:rPr>
              <w:t>1.0</w:t>
            </w:r>
          </w:p>
        </w:tc>
        <w:tc>
          <w:tcPr>
            <w:tcW w:w="840" w:type="dxa"/>
          </w:tcPr>
          <w:p>
            <w:pPr>
              <w:pStyle w:val="TableParagraph"/>
              <w:spacing w:before="1" w:line="221" w:lineRule="exact"/>
              <w:ind w:right="353"/>
              <w:jc w:val="right"/>
              <w:rPr>
                <w:rFonts w:ascii="Times New Roman"/>
                <w:sz w:val="21"/>
              </w:rPr>
            </w:pPr>
            <w:r>
              <w:rPr>
                <w:rFonts w:ascii="Times New Roman"/>
                <w:w w:val="95"/>
                <w:sz w:val="21"/>
              </w:rPr>
              <w:t>0.6</w:t>
            </w:r>
          </w:p>
        </w:tc>
        <w:tc>
          <w:tcPr>
            <w:tcW w:w="840" w:type="dxa"/>
          </w:tcPr>
          <w:p>
            <w:pPr>
              <w:pStyle w:val="TableParagraph"/>
              <w:spacing w:before="1" w:line="221" w:lineRule="exact"/>
              <w:ind w:left="211"/>
              <w:rPr>
                <w:rFonts w:ascii="Times New Roman"/>
                <w:sz w:val="21"/>
              </w:rPr>
            </w:pPr>
            <w:r>
              <w:rPr>
                <w:rFonts w:ascii="Times New Roman"/>
                <w:sz w:val="21"/>
              </w:rPr>
              <w:t>0.6</w:t>
            </w:r>
          </w:p>
        </w:tc>
        <w:tc>
          <w:tcPr>
            <w:tcW w:w="840" w:type="dxa"/>
          </w:tcPr>
          <w:p>
            <w:pPr>
              <w:pStyle w:val="TableParagraph"/>
              <w:spacing w:before="1" w:line="221" w:lineRule="exact"/>
              <w:ind w:right="353"/>
              <w:jc w:val="right"/>
              <w:rPr>
                <w:rFonts w:ascii="Times New Roman"/>
                <w:sz w:val="21"/>
              </w:rPr>
            </w:pPr>
            <w:r>
              <w:rPr>
                <w:rFonts w:ascii="Times New Roman"/>
                <w:w w:val="95"/>
                <w:sz w:val="21"/>
              </w:rPr>
              <w:t>0.4</w:t>
            </w:r>
          </w:p>
        </w:tc>
        <w:tc>
          <w:tcPr>
            <w:tcW w:w="840" w:type="dxa"/>
          </w:tcPr>
          <w:p>
            <w:pPr>
              <w:pStyle w:val="TableParagraph"/>
              <w:spacing w:before="1" w:line="221" w:lineRule="exact"/>
              <w:ind w:left="211"/>
              <w:rPr>
                <w:rFonts w:ascii="Times New Roman"/>
                <w:sz w:val="21"/>
              </w:rPr>
            </w:pPr>
            <w:r>
              <w:rPr>
                <w:rFonts w:ascii="Times New Roman"/>
                <w:sz w:val="21"/>
              </w:rPr>
              <w:t>0.8</w:t>
            </w:r>
          </w:p>
        </w:tc>
        <w:tc>
          <w:tcPr>
            <w:tcW w:w="840" w:type="dxa"/>
          </w:tcPr>
          <w:p>
            <w:pPr>
              <w:pStyle w:val="TableParagraph"/>
              <w:spacing w:before="1" w:line="221" w:lineRule="exact"/>
              <w:ind w:right="353"/>
              <w:jc w:val="right"/>
              <w:rPr>
                <w:rFonts w:ascii="Times New Roman"/>
                <w:sz w:val="21"/>
              </w:rPr>
            </w:pPr>
            <w:r>
              <w:rPr>
                <w:rFonts w:ascii="Times New Roman"/>
                <w:w w:val="95"/>
                <w:sz w:val="21"/>
              </w:rPr>
              <w:t>0.6</w:t>
            </w:r>
          </w:p>
        </w:tc>
        <w:tc>
          <w:tcPr>
            <w:tcW w:w="901" w:type="dxa"/>
            <w:vMerge w:val="restart"/>
          </w:tcPr>
          <w:p>
            <w:pPr>
              <w:pStyle w:val="TableParagraph"/>
              <w:spacing w:before="126"/>
              <w:ind w:left="146"/>
              <w:rPr>
                <w:rFonts w:ascii="Times New Roman"/>
                <w:sz w:val="21"/>
              </w:rPr>
            </w:pPr>
            <w:r>
              <w:rPr>
                <w:rFonts w:ascii="Times New Roman"/>
                <w:sz w:val="21"/>
              </w:rPr>
              <w:t>mg/L</w:t>
            </w:r>
          </w:p>
        </w:tc>
        <w:tc>
          <w:tcPr>
            <w:tcW w:w="1006" w:type="dxa"/>
            <w:vMerge w:val="restart"/>
          </w:tcPr>
          <w:p>
            <w:pPr>
              <w:pStyle w:val="TableParagraph"/>
              <w:spacing w:before="126"/>
              <w:ind w:right="141"/>
              <w:jc w:val="center"/>
              <w:rPr>
                <w:rFonts w:ascii="Times New Roman"/>
                <w:sz w:val="21"/>
              </w:rPr>
            </w:pPr>
            <w:r>
              <w:rPr>
                <w:rFonts w:ascii="Times New Roman"/>
                <w:w w:val="99"/>
                <w:sz w:val="21"/>
              </w:rPr>
              <w:t>4</w:t>
            </w:r>
          </w:p>
        </w:tc>
      </w:tr>
      <w:tr>
        <w:tblPrEx>
          <w:tblW w:w="0" w:type="auto"/>
          <w:tblInd w:w="950" w:type="dxa"/>
          <w:tblLayout w:type="fixed"/>
          <w:tblCellMar>
            <w:top w:w="0" w:type="dxa"/>
            <w:left w:w="0" w:type="dxa"/>
            <w:bottom w:w="0" w:type="dxa"/>
            <w:right w:w="0" w:type="dxa"/>
          </w:tblCellMar>
        </w:tblPrEx>
        <w:trPr>
          <w:trHeight w:val="240"/>
        </w:trPr>
        <w:tc>
          <w:tcPr>
            <w:tcW w:w="1001" w:type="dxa"/>
            <w:vMerge/>
            <w:tcBorders>
              <w:top w:val="nil"/>
            </w:tcBorders>
          </w:tcPr>
          <w:p>
            <w:pPr>
              <w:rPr>
                <w:sz w:val="2"/>
                <w:szCs w:val="2"/>
              </w:rPr>
            </w:pPr>
          </w:p>
        </w:tc>
        <w:tc>
          <w:tcPr>
            <w:tcW w:w="671" w:type="dxa"/>
          </w:tcPr>
          <w:p>
            <w:pPr>
              <w:pStyle w:val="TableParagraph"/>
              <w:spacing w:line="221" w:lineRule="exact"/>
              <w:ind w:left="107"/>
              <w:rPr>
                <w:rFonts w:ascii="Times New Roman"/>
                <w:sz w:val="21"/>
              </w:rPr>
            </w:pPr>
            <w:r>
              <w:rPr>
                <w:rFonts w:ascii="Times New Roman"/>
                <w:sz w:val="21"/>
              </w:rPr>
              <w:t>W2</w:t>
            </w:r>
          </w:p>
        </w:tc>
        <w:tc>
          <w:tcPr>
            <w:tcW w:w="840" w:type="dxa"/>
          </w:tcPr>
          <w:p>
            <w:pPr>
              <w:pStyle w:val="TableParagraph"/>
              <w:spacing w:line="221" w:lineRule="exact"/>
              <w:ind w:left="211"/>
              <w:rPr>
                <w:rFonts w:ascii="Times New Roman"/>
                <w:sz w:val="21"/>
              </w:rPr>
            </w:pPr>
            <w:r>
              <w:rPr>
                <w:rFonts w:ascii="Times New Roman"/>
                <w:sz w:val="21"/>
              </w:rPr>
              <w:t>0.7</w:t>
            </w:r>
          </w:p>
        </w:tc>
        <w:tc>
          <w:tcPr>
            <w:tcW w:w="840" w:type="dxa"/>
          </w:tcPr>
          <w:p>
            <w:pPr>
              <w:pStyle w:val="TableParagraph"/>
              <w:spacing w:line="221" w:lineRule="exact"/>
              <w:ind w:right="353"/>
              <w:jc w:val="right"/>
              <w:rPr>
                <w:rFonts w:ascii="Times New Roman"/>
                <w:sz w:val="21"/>
              </w:rPr>
            </w:pPr>
            <w:r>
              <w:rPr>
                <w:rFonts w:ascii="Times New Roman"/>
                <w:w w:val="95"/>
                <w:sz w:val="21"/>
              </w:rPr>
              <w:t>0.5</w:t>
            </w:r>
          </w:p>
        </w:tc>
        <w:tc>
          <w:tcPr>
            <w:tcW w:w="840" w:type="dxa"/>
          </w:tcPr>
          <w:p>
            <w:pPr>
              <w:pStyle w:val="TableParagraph"/>
              <w:spacing w:line="221" w:lineRule="exact"/>
              <w:ind w:left="211"/>
              <w:rPr>
                <w:rFonts w:ascii="Times New Roman"/>
                <w:sz w:val="21"/>
              </w:rPr>
            </w:pPr>
            <w:r>
              <w:rPr>
                <w:rFonts w:ascii="Times New Roman"/>
                <w:sz w:val="21"/>
              </w:rPr>
              <w:t>0.4</w:t>
            </w:r>
          </w:p>
        </w:tc>
        <w:tc>
          <w:tcPr>
            <w:tcW w:w="840" w:type="dxa"/>
          </w:tcPr>
          <w:p>
            <w:pPr>
              <w:pStyle w:val="TableParagraph"/>
              <w:spacing w:line="221" w:lineRule="exact"/>
              <w:ind w:right="353"/>
              <w:jc w:val="right"/>
              <w:rPr>
                <w:rFonts w:ascii="Times New Roman"/>
                <w:sz w:val="21"/>
              </w:rPr>
            </w:pPr>
            <w:r>
              <w:rPr>
                <w:rFonts w:ascii="Times New Roman"/>
                <w:w w:val="95"/>
                <w:sz w:val="21"/>
              </w:rPr>
              <w:t>0.5</w:t>
            </w:r>
          </w:p>
        </w:tc>
        <w:tc>
          <w:tcPr>
            <w:tcW w:w="840" w:type="dxa"/>
          </w:tcPr>
          <w:p>
            <w:pPr>
              <w:pStyle w:val="TableParagraph"/>
              <w:spacing w:line="221" w:lineRule="exact"/>
              <w:ind w:left="211"/>
              <w:rPr>
                <w:rFonts w:ascii="Times New Roman"/>
                <w:sz w:val="21"/>
              </w:rPr>
            </w:pPr>
            <w:r>
              <w:rPr>
                <w:rFonts w:ascii="Times New Roman"/>
                <w:sz w:val="21"/>
              </w:rPr>
              <w:t>0.6</w:t>
            </w:r>
          </w:p>
        </w:tc>
        <w:tc>
          <w:tcPr>
            <w:tcW w:w="840" w:type="dxa"/>
          </w:tcPr>
          <w:p>
            <w:pPr>
              <w:pStyle w:val="TableParagraph"/>
              <w:spacing w:line="221" w:lineRule="exact"/>
              <w:ind w:right="353"/>
              <w:jc w:val="right"/>
              <w:rPr>
                <w:rFonts w:ascii="Times New Roman"/>
                <w:sz w:val="21"/>
              </w:rPr>
            </w:pPr>
            <w:r>
              <w:rPr>
                <w:rFonts w:ascii="Times New Roman"/>
                <w:w w:val="95"/>
                <w:sz w:val="21"/>
              </w:rPr>
              <w:t>0.7</w:t>
            </w:r>
          </w:p>
        </w:tc>
        <w:tc>
          <w:tcPr>
            <w:tcW w:w="901" w:type="dxa"/>
            <w:vMerge/>
            <w:tcBorders>
              <w:top w:val="nil"/>
            </w:tcBorders>
          </w:tcPr>
          <w:p>
            <w:pPr>
              <w:rPr>
                <w:sz w:val="2"/>
                <w:szCs w:val="2"/>
              </w:rPr>
            </w:pPr>
          </w:p>
        </w:tc>
        <w:tc>
          <w:tcPr>
            <w:tcW w:w="1006" w:type="dxa"/>
            <w:vMerge/>
            <w:tcBorders>
              <w:top w:val="nil"/>
            </w:tcBorders>
          </w:tcPr>
          <w:p>
            <w:pPr>
              <w:rPr>
                <w:sz w:val="2"/>
                <w:szCs w:val="2"/>
              </w:rPr>
            </w:pPr>
          </w:p>
        </w:tc>
      </w:tr>
      <w:tr>
        <w:tblPrEx>
          <w:tblW w:w="0" w:type="auto"/>
          <w:tblInd w:w="950" w:type="dxa"/>
          <w:tblLayout w:type="fixed"/>
          <w:tblCellMar>
            <w:top w:w="0" w:type="dxa"/>
            <w:left w:w="0" w:type="dxa"/>
            <w:bottom w:w="0" w:type="dxa"/>
            <w:right w:w="0" w:type="dxa"/>
          </w:tblCellMar>
        </w:tblPrEx>
        <w:trPr>
          <w:trHeight w:val="241"/>
        </w:trPr>
        <w:tc>
          <w:tcPr>
            <w:tcW w:w="1001" w:type="dxa"/>
            <w:vMerge w:val="restart"/>
          </w:tcPr>
          <w:p>
            <w:pPr>
              <w:pStyle w:val="TableParagraph"/>
              <w:spacing w:before="5"/>
              <w:rPr>
                <w:b/>
                <w:sz w:val="22"/>
              </w:rPr>
            </w:pPr>
          </w:p>
          <w:p>
            <w:pPr>
              <w:pStyle w:val="TableParagraph"/>
              <w:spacing w:before="1"/>
              <w:ind w:left="306"/>
              <w:rPr>
                <w:rFonts w:ascii="Times New Roman"/>
                <w:sz w:val="21"/>
              </w:rPr>
            </w:pPr>
            <w:r>
              <w:rPr>
                <w:rFonts w:ascii="Times New Roman"/>
                <w:sz w:val="21"/>
              </w:rPr>
              <w:t>SS</w:t>
            </w:r>
          </w:p>
        </w:tc>
        <w:tc>
          <w:tcPr>
            <w:tcW w:w="671" w:type="dxa"/>
          </w:tcPr>
          <w:p>
            <w:pPr>
              <w:pStyle w:val="TableParagraph"/>
              <w:spacing w:line="222" w:lineRule="exact"/>
              <w:ind w:left="107"/>
              <w:rPr>
                <w:rFonts w:ascii="Times New Roman"/>
                <w:sz w:val="21"/>
              </w:rPr>
            </w:pPr>
            <w:r>
              <w:rPr>
                <w:rFonts w:ascii="Times New Roman"/>
                <w:sz w:val="21"/>
              </w:rPr>
              <w:t>W1</w:t>
            </w:r>
          </w:p>
        </w:tc>
        <w:tc>
          <w:tcPr>
            <w:tcW w:w="840" w:type="dxa"/>
          </w:tcPr>
          <w:p>
            <w:pPr>
              <w:pStyle w:val="TableParagraph"/>
              <w:spacing w:line="222" w:lineRule="exact"/>
              <w:ind w:left="158"/>
              <w:rPr>
                <w:rFonts w:ascii="Times New Roman"/>
                <w:sz w:val="21"/>
              </w:rPr>
            </w:pPr>
            <w:r>
              <w:rPr>
                <w:rFonts w:ascii="Times New Roman"/>
                <w:sz w:val="21"/>
              </w:rPr>
              <w:t>1.02</w:t>
            </w:r>
          </w:p>
        </w:tc>
        <w:tc>
          <w:tcPr>
            <w:tcW w:w="840" w:type="dxa"/>
          </w:tcPr>
          <w:p>
            <w:pPr>
              <w:pStyle w:val="TableParagraph"/>
              <w:spacing w:line="222" w:lineRule="exact"/>
              <w:ind w:right="300"/>
              <w:jc w:val="right"/>
              <w:rPr>
                <w:rFonts w:ascii="Times New Roman"/>
                <w:sz w:val="21"/>
              </w:rPr>
            </w:pPr>
            <w:r>
              <w:rPr>
                <w:rFonts w:ascii="Times New Roman"/>
                <w:sz w:val="21"/>
              </w:rPr>
              <w:t>1.41</w:t>
            </w:r>
          </w:p>
        </w:tc>
        <w:tc>
          <w:tcPr>
            <w:tcW w:w="840" w:type="dxa"/>
          </w:tcPr>
          <w:p>
            <w:pPr>
              <w:pStyle w:val="TableParagraph"/>
              <w:spacing w:line="222" w:lineRule="exact"/>
              <w:ind w:left="158"/>
              <w:rPr>
                <w:rFonts w:ascii="Times New Roman"/>
                <w:sz w:val="21"/>
              </w:rPr>
            </w:pPr>
            <w:r>
              <w:rPr>
                <w:rFonts w:ascii="Times New Roman"/>
                <w:sz w:val="21"/>
              </w:rPr>
              <w:t>0.99</w:t>
            </w:r>
          </w:p>
        </w:tc>
        <w:tc>
          <w:tcPr>
            <w:tcW w:w="840" w:type="dxa"/>
          </w:tcPr>
          <w:p>
            <w:pPr>
              <w:pStyle w:val="TableParagraph"/>
              <w:spacing w:line="222" w:lineRule="exact"/>
              <w:ind w:right="300"/>
              <w:jc w:val="right"/>
              <w:rPr>
                <w:rFonts w:ascii="Times New Roman"/>
                <w:sz w:val="21"/>
              </w:rPr>
            </w:pPr>
            <w:r>
              <w:rPr>
                <w:rFonts w:ascii="Times New Roman"/>
                <w:sz w:val="21"/>
              </w:rPr>
              <w:t>1.37</w:t>
            </w:r>
          </w:p>
        </w:tc>
        <w:tc>
          <w:tcPr>
            <w:tcW w:w="840" w:type="dxa"/>
          </w:tcPr>
          <w:p>
            <w:pPr>
              <w:pStyle w:val="TableParagraph"/>
              <w:spacing w:line="222" w:lineRule="exact"/>
              <w:ind w:left="163"/>
              <w:rPr>
                <w:rFonts w:ascii="Times New Roman"/>
                <w:sz w:val="21"/>
              </w:rPr>
            </w:pPr>
            <w:r>
              <w:rPr>
                <w:rFonts w:ascii="Times New Roman"/>
                <w:sz w:val="21"/>
              </w:rPr>
              <w:t>1.11</w:t>
            </w:r>
          </w:p>
        </w:tc>
        <w:tc>
          <w:tcPr>
            <w:tcW w:w="840" w:type="dxa"/>
          </w:tcPr>
          <w:p>
            <w:pPr>
              <w:pStyle w:val="TableParagraph"/>
              <w:spacing w:line="222" w:lineRule="exact"/>
              <w:ind w:right="300"/>
              <w:jc w:val="right"/>
              <w:rPr>
                <w:rFonts w:ascii="Times New Roman"/>
                <w:sz w:val="21"/>
              </w:rPr>
            </w:pPr>
            <w:r>
              <w:rPr>
                <w:rFonts w:ascii="Times New Roman"/>
                <w:sz w:val="21"/>
              </w:rPr>
              <w:t>1.82</w:t>
            </w:r>
          </w:p>
        </w:tc>
        <w:tc>
          <w:tcPr>
            <w:tcW w:w="901" w:type="dxa"/>
            <w:vMerge w:val="restart"/>
          </w:tcPr>
          <w:p>
            <w:pPr>
              <w:pStyle w:val="TableParagraph"/>
              <w:spacing w:before="5"/>
              <w:rPr>
                <w:b/>
                <w:sz w:val="22"/>
              </w:rPr>
            </w:pPr>
          </w:p>
          <w:p>
            <w:pPr>
              <w:pStyle w:val="TableParagraph"/>
              <w:spacing w:before="1"/>
              <w:ind w:left="146"/>
              <w:rPr>
                <w:rFonts w:ascii="Times New Roman"/>
                <w:sz w:val="21"/>
              </w:rPr>
            </w:pPr>
            <w:r>
              <w:rPr>
                <w:rFonts w:ascii="Times New Roman"/>
                <w:sz w:val="21"/>
              </w:rPr>
              <w:t>mg/L</w:t>
            </w:r>
          </w:p>
        </w:tc>
        <w:tc>
          <w:tcPr>
            <w:tcW w:w="1006" w:type="dxa"/>
            <w:vMerge w:val="restart"/>
          </w:tcPr>
          <w:p>
            <w:pPr>
              <w:pStyle w:val="TableParagraph"/>
              <w:spacing w:line="244" w:lineRule="auto"/>
              <w:ind w:left="112" w:right="252"/>
              <w:rPr>
                <w:sz w:val="21"/>
              </w:rPr>
            </w:pPr>
            <w:r>
              <w:rPr>
                <w:spacing w:val="-6"/>
                <w:sz w:val="21"/>
              </w:rPr>
              <w:t>人为增</w:t>
            </w:r>
            <w:r>
              <w:rPr>
                <w:spacing w:val="-6"/>
                <w:w w:val="95"/>
                <w:sz w:val="21"/>
              </w:rPr>
              <w:t>加的量</w:t>
            </w:r>
          </w:p>
          <w:p>
            <w:pPr>
              <w:pStyle w:val="TableParagraph"/>
              <w:spacing w:line="248" w:lineRule="exact"/>
              <w:ind w:left="164"/>
              <w:rPr>
                <w:rFonts w:ascii="Times New Roman" w:hAnsi="Times New Roman"/>
                <w:sz w:val="21"/>
              </w:rPr>
            </w:pPr>
            <w:r>
              <w:rPr>
                <w:sz w:val="21"/>
              </w:rPr>
              <w:t>≤</w:t>
            </w:r>
            <w:r>
              <w:rPr>
                <w:rFonts w:ascii="Times New Roman" w:hAnsi="Times New Roman"/>
                <w:sz w:val="21"/>
              </w:rPr>
              <w:t>100</w:t>
            </w:r>
          </w:p>
        </w:tc>
      </w:tr>
      <w:tr>
        <w:tblPrEx>
          <w:tblW w:w="0" w:type="auto"/>
          <w:tblInd w:w="950" w:type="dxa"/>
          <w:tblLayout w:type="fixed"/>
          <w:tblCellMar>
            <w:top w:w="0" w:type="dxa"/>
            <w:left w:w="0" w:type="dxa"/>
            <w:bottom w:w="0" w:type="dxa"/>
            <w:right w:w="0" w:type="dxa"/>
          </w:tblCellMar>
        </w:tblPrEx>
        <w:trPr>
          <w:trHeight w:val="565"/>
        </w:trPr>
        <w:tc>
          <w:tcPr>
            <w:tcW w:w="1001" w:type="dxa"/>
            <w:vMerge/>
            <w:tcBorders>
              <w:top w:val="nil"/>
            </w:tcBorders>
          </w:tcPr>
          <w:p>
            <w:pPr>
              <w:rPr>
                <w:sz w:val="2"/>
                <w:szCs w:val="2"/>
              </w:rPr>
            </w:pPr>
          </w:p>
        </w:tc>
        <w:tc>
          <w:tcPr>
            <w:tcW w:w="671" w:type="dxa"/>
          </w:tcPr>
          <w:p>
            <w:pPr>
              <w:pStyle w:val="TableParagraph"/>
              <w:spacing w:before="160"/>
              <w:ind w:left="107"/>
              <w:rPr>
                <w:rFonts w:ascii="Times New Roman"/>
                <w:sz w:val="21"/>
              </w:rPr>
            </w:pPr>
            <w:r>
              <w:rPr>
                <w:rFonts w:ascii="Times New Roman"/>
                <w:sz w:val="21"/>
              </w:rPr>
              <w:t>W2</w:t>
            </w:r>
          </w:p>
        </w:tc>
        <w:tc>
          <w:tcPr>
            <w:tcW w:w="840" w:type="dxa"/>
          </w:tcPr>
          <w:p>
            <w:pPr>
              <w:pStyle w:val="TableParagraph"/>
              <w:spacing w:before="160"/>
              <w:ind w:left="158"/>
              <w:rPr>
                <w:rFonts w:ascii="Times New Roman"/>
                <w:sz w:val="21"/>
              </w:rPr>
            </w:pPr>
            <w:r>
              <w:rPr>
                <w:rFonts w:ascii="Times New Roman"/>
                <w:sz w:val="21"/>
              </w:rPr>
              <w:t>1.09</w:t>
            </w:r>
          </w:p>
        </w:tc>
        <w:tc>
          <w:tcPr>
            <w:tcW w:w="840" w:type="dxa"/>
          </w:tcPr>
          <w:p>
            <w:pPr>
              <w:pStyle w:val="TableParagraph"/>
              <w:spacing w:before="160"/>
              <w:ind w:right="300"/>
              <w:jc w:val="right"/>
              <w:rPr>
                <w:rFonts w:ascii="Times New Roman"/>
                <w:sz w:val="21"/>
              </w:rPr>
            </w:pPr>
            <w:r>
              <w:rPr>
                <w:rFonts w:ascii="Times New Roman"/>
                <w:sz w:val="21"/>
              </w:rPr>
              <w:t>1.50</w:t>
            </w:r>
          </w:p>
        </w:tc>
        <w:tc>
          <w:tcPr>
            <w:tcW w:w="840" w:type="dxa"/>
          </w:tcPr>
          <w:p>
            <w:pPr>
              <w:pStyle w:val="TableParagraph"/>
              <w:spacing w:before="160"/>
              <w:ind w:left="158"/>
              <w:rPr>
                <w:rFonts w:ascii="Times New Roman"/>
                <w:sz w:val="21"/>
              </w:rPr>
            </w:pPr>
            <w:r>
              <w:rPr>
                <w:rFonts w:ascii="Times New Roman"/>
                <w:sz w:val="21"/>
              </w:rPr>
              <w:t>1.12</w:t>
            </w:r>
          </w:p>
        </w:tc>
        <w:tc>
          <w:tcPr>
            <w:tcW w:w="840" w:type="dxa"/>
          </w:tcPr>
          <w:p>
            <w:pPr>
              <w:pStyle w:val="TableParagraph"/>
              <w:spacing w:before="160"/>
              <w:ind w:right="300"/>
              <w:jc w:val="right"/>
              <w:rPr>
                <w:rFonts w:ascii="Times New Roman"/>
                <w:sz w:val="21"/>
              </w:rPr>
            </w:pPr>
            <w:r>
              <w:rPr>
                <w:rFonts w:ascii="Times New Roman"/>
                <w:sz w:val="21"/>
              </w:rPr>
              <w:t>1.51</w:t>
            </w:r>
          </w:p>
        </w:tc>
        <w:tc>
          <w:tcPr>
            <w:tcW w:w="840" w:type="dxa"/>
          </w:tcPr>
          <w:p>
            <w:pPr>
              <w:pStyle w:val="TableParagraph"/>
              <w:spacing w:before="160"/>
              <w:ind w:left="158"/>
              <w:rPr>
                <w:rFonts w:ascii="Times New Roman"/>
                <w:sz w:val="21"/>
              </w:rPr>
            </w:pPr>
            <w:r>
              <w:rPr>
                <w:rFonts w:ascii="Times New Roman"/>
                <w:sz w:val="21"/>
              </w:rPr>
              <w:t>1.08</w:t>
            </w:r>
          </w:p>
        </w:tc>
        <w:tc>
          <w:tcPr>
            <w:tcW w:w="840" w:type="dxa"/>
          </w:tcPr>
          <w:p>
            <w:pPr>
              <w:pStyle w:val="TableParagraph"/>
              <w:spacing w:before="160"/>
              <w:ind w:right="300"/>
              <w:jc w:val="right"/>
              <w:rPr>
                <w:rFonts w:ascii="Times New Roman"/>
                <w:sz w:val="21"/>
              </w:rPr>
            </w:pPr>
            <w:r>
              <w:rPr>
                <w:rFonts w:ascii="Times New Roman"/>
                <w:sz w:val="21"/>
              </w:rPr>
              <w:t>1.66</w:t>
            </w:r>
          </w:p>
        </w:tc>
        <w:tc>
          <w:tcPr>
            <w:tcW w:w="901" w:type="dxa"/>
            <w:vMerge/>
            <w:tcBorders>
              <w:top w:val="nil"/>
            </w:tcBorders>
          </w:tcPr>
          <w:p>
            <w:pPr>
              <w:rPr>
                <w:sz w:val="2"/>
                <w:szCs w:val="2"/>
              </w:rPr>
            </w:pPr>
          </w:p>
        </w:tc>
        <w:tc>
          <w:tcPr>
            <w:tcW w:w="1006" w:type="dxa"/>
            <w:vMerge/>
            <w:tcBorders>
              <w:top w:val="nil"/>
            </w:tcBorders>
          </w:tcPr>
          <w:p>
            <w:pPr>
              <w:rPr>
                <w:sz w:val="2"/>
                <w:szCs w:val="2"/>
              </w:rPr>
            </w:pPr>
          </w:p>
        </w:tc>
      </w:tr>
      <w:tr>
        <w:tblPrEx>
          <w:tblW w:w="0" w:type="auto"/>
          <w:tblInd w:w="950" w:type="dxa"/>
          <w:tblLayout w:type="fixed"/>
          <w:tblCellMar>
            <w:top w:w="0" w:type="dxa"/>
            <w:left w:w="0" w:type="dxa"/>
            <w:bottom w:w="0" w:type="dxa"/>
            <w:right w:w="0" w:type="dxa"/>
          </w:tblCellMar>
        </w:tblPrEx>
        <w:trPr>
          <w:trHeight w:val="242"/>
        </w:trPr>
        <w:tc>
          <w:tcPr>
            <w:tcW w:w="1001" w:type="dxa"/>
            <w:vMerge w:val="restart"/>
          </w:tcPr>
          <w:p>
            <w:pPr>
              <w:pStyle w:val="TableParagraph"/>
              <w:spacing w:before="135"/>
              <w:ind w:left="138"/>
              <w:rPr>
                <w:sz w:val="21"/>
              </w:rPr>
            </w:pPr>
            <w:r>
              <w:rPr>
                <w:rFonts w:ascii="Times New Roman" w:eastAsia="Times New Roman"/>
                <w:sz w:val="21"/>
              </w:rPr>
              <w:t xml:space="preserve">pH </w:t>
            </w:r>
            <w:r>
              <w:rPr>
                <w:sz w:val="21"/>
              </w:rPr>
              <w:t>值</w:t>
            </w:r>
          </w:p>
        </w:tc>
        <w:tc>
          <w:tcPr>
            <w:tcW w:w="671" w:type="dxa"/>
          </w:tcPr>
          <w:p>
            <w:pPr>
              <w:pStyle w:val="TableParagraph"/>
              <w:spacing w:line="221" w:lineRule="exact"/>
              <w:ind w:left="107"/>
              <w:rPr>
                <w:rFonts w:ascii="Times New Roman"/>
                <w:sz w:val="21"/>
              </w:rPr>
            </w:pPr>
            <w:r>
              <w:rPr>
                <w:rFonts w:ascii="Times New Roman"/>
                <w:sz w:val="21"/>
              </w:rPr>
              <w:t>W1</w:t>
            </w:r>
          </w:p>
        </w:tc>
        <w:tc>
          <w:tcPr>
            <w:tcW w:w="840" w:type="dxa"/>
          </w:tcPr>
          <w:p>
            <w:pPr>
              <w:pStyle w:val="TableParagraph"/>
              <w:spacing w:line="221" w:lineRule="exact"/>
              <w:ind w:left="211"/>
              <w:rPr>
                <w:rFonts w:ascii="Times New Roman"/>
                <w:sz w:val="21"/>
              </w:rPr>
            </w:pPr>
            <w:r>
              <w:rPr>
                <w:rFonts w:ascii="Times New Roman"/>
                <w:sz w:val="21"/>
              </w:rPr>
              <w:t>7.6</w:t>
            </w:r>
          </w:p>
        </w:tc>
        <w:tc>
          <w:tcPr>
            <w:tcW w:w="840" w:type="dxa"/>
          </w:tcPr>
          <w:p>
            <w:pPr>
              <w:pStyle w:val="TableParagraph"/>
              <w:spacing w:line="221" w:lineRule="exact"/>
              <w:ind w:right="353"/>
              <w:jc w:val="right"/>
              <w:rPr>
                <w:rFonts w:ascii="Times New Roman"/>
                <w:sz w:val="21"/>
              </w:rPr>
            </w:pPr>
            <w:r>
              <w:rPr>
                <w:rFonts w:ascii="Times New Roman"/>
                <w:w w:val="95"/>
                <w:sz w:val="21"/>
              </w:rPr>
              <w:t>7.2</w:t>
            </w:r>
          </w:p>
        </w:tc>
        <w:tc>
          <w:tcPr>
            <w:tcW w:w="840" w:type="dxa"/>
          </w:tcPr>
          <w:p>
            <w:pPr>
              <w:pStyle w:val="TableParagraph"/>
              <w:spacing w:line="221" w:lineRule="exact"/>
              <w:ind w:left="211"/>
              <w:rPr>
                <w:rFonts w:ascii="Times New Roman"/>
                <w:sz w:val="21"/>
              </w:rPr>
            </w:pPr>
            <w:r>
              <w:rPr>
                <w:rFonts w:ascii="Times New Roman"/>
                <w:sz w:val="21"/>
              </w:rPr>
              <w:t>7.5</w:t>
            </w:r>
          </w:p>
        </w:tc>
        <w:tc>
          <w:tcPr>
            <w:tcW w:w="840" w:type="dxa"/>
          </w:tcPr>
          <w:p>
            <w:pPr>
              <w:pStyle w:val="TableParagraph"/>
              <w:spacing w:line="221" w:lineRule="exact"/>
              <w:ind w:right="353"/>
              <w:jc w:val="right"/>
              <w:rPr>
                <w:rFonts w:ascii="Times New Roman"/>
                <w:sz w:val="21"/>
              </w:rPr>
            </w:pPr>
            <w:r>
              <w:rPr>
                <w:rFonts w:ascii="Times New Roman"/>
                <w:w w:val="95"/>
                <w:sz w:val="21"/>
              </w:rPr>
              <w:t>7.4</w:t>
            </w:r>
          </w:p>
        </w:tc>
        <w:tc>
          <w:tcPr>
            <w:tcW w:w="840" w:type="dxa"/>
          </w:tcPr>
          <w:p>
            <w:pPr>
              <w:pStyle w:val="TableParagraph"/>
              <w:spacing w:line="221" w:lineRule="exact"/>
              <w:ind w:left="211"/>
              <w:rPr>
                <w:rFonts w:ascii="Times New Roman"/>
                <w:sz w:val="21"/>
              </w:rPr>
            </w:pPr>
            <w:r>
              <w:rPr>
                <w:rFonts w:ascii="Times New Roman"/>
                <w:sz w:val="21"/>
              </w:rPr>
              <w:t>7.6</w:t>
            </w:r>
          </w:p>
        </w:tc>
        <w:tc>
          <w:tcPr>
            <w:tcW w:w="840" w:type="dxa"/>
          </w:tcPr>
          <w:p>
            <w:pPr>
              <w:pStyle w:val="TableParagraph"/>
              <w:spacing w:line="221" w:lineRule="exact"/>
              <w:ind w:right="353"/>
              <w:jc w:val="right"/>
              <w:rPr>
                <w:rFonts w:ascii="Times New Roman"/>
                <w:sz w:val="21"/>
              </w:rPr>
            </w:pPr>
            <w:r>
              <w:rPr>
                <w:rFonts w:ascii="Times New Roman"/>
                <w:w w:val="95"/>
                <w:sz w:val="21"/>
              </w:rPr>
              <w:t>7.5</w:t>
            </w:r>
          </w:p>
        </w:tc>
        <w:tc>
          <w:tcPr>
            <w:tcW w:w="901" w:type="dxa"/>
            <w:vMerge w:val="restart"/>
          </w:tcPr>
          <w:p>
            <w:pPr>
              <w:pStyle w:val="TableParagraph"/>
              <w:spacing w:before="1"/>
              <w:ind w:left="143" w:right="287"/>
              <w:jc w:val="center"/>
              <w:rPr>
                <w:sz w:val="21"/>
              </w:rPr>
            </w:pPr>
            <w:r>
              <w:rPr>
                <w:sz w:val="21"/>
              </w:rPr>
              <w:t>无量</w:t>
            </w:r>
          </w:p>
          <w:p>
            <w:pPr>
              <w:pStyle w:val="TableParagraph"/>
              <w:spacing w:before="2" w:line="253" w:lineRule="exact"/>
              <w:ind w:right="141"/>
              <w:jc w:val="center"/>
              <w:rPr>
                <w:sz w:val="21"/>
              </w:rPr>
            </w:pPr>
            <w:r>
              <w:rPr>
                <w:w w:val="99"/>
                <w:sz w:val="21"/>
              </w:rPr>
              <w:t>纲</w:t>
            </w:r>
          </w:p>
        </w:tc>
        <w:tc>
          <w:tcPr>
            <w:tcW w:w="1006" w:type="dxa"/>
            <w:vMerge w:val="restart"/>
          </w:tcPr>
          <w:p>
            <w:pPr>
              <w:pStyle w:val="TableParagraph"/>
              <w:spacing w:before="152"/>
              <w:ind w:left="107"/>
              <w:rPr>
                <w:rFonts w:ascii="Times New Roman"/>
                <w:sz w:val="21"/>
              </w:rPr>
            </w:pPr>
            <w:r>
              <w:rPr>
                <w:rFonts w:ascii="Times New Roman"/>
                <w:sz w:val="21"/>
              </w:rPr>
              <w:t>6.8~8.8</w:t>
            </w:r>
          </w:p>
        </w:tc>
      </w:tr>
      <w:tr>
        <w:tblPrEx>
          <w:tblW w:w="0" w:type="auto"/>
          <w:tblInd w:w="950" w:type="dxa"/>
          <w:tblLayout w:type="fixed"/>
          <w:tblCellMar>
            <w:top w:w="0" w:type="dxa"/>
            <w:left w:w="0" w:type="dxa"/>
            <w:bottom w:w="0" w:type="dxa"/>
            <w:right w:w="0" w:type="dxa"/>
          </w:tblCellMar>
        </w:tblPrEx>
        <w:trPr>
          <w:trHeight w:val="292"/>
        </w:trPr>
        <w:tc>
          <w:tcPr>
            <w:tcW w:w="1001" w:type="dxa"/>
            <w:vMerge/>
            <w:tcBorders>
              <w:top w:val="nil"/>
            </w:tcBorders>
          </w:tcPr>
          <w:p>
            <w:pPr>
              <w:rPr>
                <w:sz w:val="2"/>
                <w:szCs w:val="2"/>
              </w:rPr>
            </w:pPr>
          </w:p>
        </w:tc>
        <w:tc>
          <w:tcPr>
            <w:tcW w:w="671" w:type="dxa"/>
          </w:tcPr>
          <w:p>
            <w:pPr>
              <w:pStyle w:val="TableParagraph"/>
              <w:spacing w:before="24"/>
              <w:ind w:left="107"/>
              <w:rPr>
                <w:rFonts w:ascii="Times New Roman"/>
                <w:sz w:val="21"/>
              </w:rPr>
            </w:pPr>
            <w:r>
              <w:rPr>
                <w:rFonts w:ascii="Times New Roman"/>
                <w:sz w:val="21"/>
              </w:rPr>
              <w:t>W2</w:t>
            </w:r>
          </w:p>
        </w:tc>
        <w:tc>
          <w:tcPr>
            <w:tcW w:w="840" w:type="dxa"/>
          </w:tcPr>
          <w:p>
            <w:pPr>
              <w:pStyle w:val="TableParagraph"/>
              <w:spacing w:before="24"/>
              <w:ind w:left="211"/>
              <w:rPr>
                <w:rFonts w:ascii="Times New Roman"/>
                <w:sz w:val="21"/>
              </w:rPr>
            </w:pPr>
            <w:r>
              <w:rPr>
                <w:rFonts w:ascii="Times New Roman"/>
                <w:sz w:val="21"/>
              </w:rPr>
              <w:t>7.5</w:t>
            </w:r>
          </w:p>
        </w:tc>
        <w:tc>
          <w:tcPr>
            <w:tcW w:w="840" w:type="dxa"/>
          </w:tcPr>
          <w:p>
            <w:pPr>
              <w:pStyle w:val="TableParagraph"/>
              <w:spacing w:before="24"/>
              <w:ind w:right="353"/>
              <w:jc w:val="right"/>
              <w:rPr>
                <w:rFonts w:ascii="Times New Roman"/>
                <w:sz w:val="21"/>
              </w:rPr>
            </w:pPr>
            <w:r>
              <w:rPr>
                <w:rFonts w:ascii="Times New Roman"/>
                <w:w w:val="95"/>
                <w:sz w:val="21"/>
              </w:rPr>
              <w:t>7.4</w:t>
            </w:r>
          </w:p>
        </w:tc>
        <w:tc>
          <w:tcPr>
            <w:tcW w:w="840" w:type="dxa"/>
          </w:tcPr>
          <w:p>
            <w:pPr>
              <w:pStyle w:val="TableParagraph"/>
              <w:spacing w:before="24"/>
              <w:ind w:left="211"/>
              <w:rPr>
                <w:rFonts w:ascii="Times New Roman"/>
                <w:sz w:val="21"/>
              </w:rPr>
            </w:pPr>
            <w:r>
              <w:rPr>
                <w:rFonts w:ascii="Times New Roman"/>
                <w:sz w:val="21"/>
              </w:rPr>
              <w:t>7.5</w:t>
            </w:r>
          </w:p>
        </w:tc>
        <w:tc>
          <w:tcPr>
            <w:tcW w:w="840" w:type="dxa"/>
          </w:tcPr>
          <w:p>
            <w:pPr>
              <w:pStyle w:val="TableParagraph"/>
              <w:spacing w:before="24"/>
              <w:ind w:right="353"/>
              <w:jc w:val="right"/>
              <w:rPr>
                <w:rFonts w:ascii="Times New Roman"/>
                <w:sz w:val="21"/>
              </w:rPr>
            </w:pPr>
            <w:r>
              <w:rPr>
                <w:rFonts w:ascii="Times New Roman"/>
                <w:w w:val="95"/>
                <w:sz w:val="21"/>
              </w:rPr>
              <w:t>7.3</w:t>
            </w:r>
          </w:p>
        </w:tc>
        <w:tc>
          <w:tcPr>
            <w:tcW w:w="840" w:type="dxa"/>
          </w:tcPr>
          <w:p>
            <w:pPr>
              <w:pStyle w:val="TableParagraph"/>
              <w:spacing w:before="24"/>
              <w:ind w:left="211"/>
              <w:rPr>
                <w:rFonts w:ascii="Times New Roman"/>
                <w:sz w:val="21"/>
              </w:rPr>
            </w:pPr>
            <w:r>
              <w:rPr>
                <w:rFonts w:ascii="Times New Roman"/>
                <w:sz w:val="21"/>
              </w:rPr>
              <w:t>7.5</w:t>
            </w:r>
          </w:p>
        </w:tc>
        <w:tc>
          <w:tcPr>
            <w:tcW w:w="840" w:type="dxa"/>
          </w:tcPr>
          <w:p>
            <w:pPr>
              <w:pStyle w:val="TableParagraph"/>
              <w:spacing w:before="24"/>
              <w:ind w:right="353"/>
              <w:jc w:val="right"/>
              <w:rPr>
                <w:rFonts w:ascii="Times New Roman"/>
                <w:sz w:val="21"/>
              </w:rPr>
            </w:pPr>
            <w:r>
              <w:rPr>
                <w:rFonts w:ascii="Times New Roman"/>
                <w:w w:val="95"/>
                <w:sz w:val="21"/>
              </w:rPr>
              <w:t>7.5</w:t>
            </w:r>
          </w:p>
        </w:tc>
        <w:tc>
          <w:tcPr>
            <w:tcW w:w="901" w:type="dxa"/>
            <w:vMerge/>
            <w:tcBorders>
              <w:top w:val="nil"/>
            </w:tcBorders>
          </w:tcPr>
          <w:p>
            <w:pPr>
              <w:rPr>
                <w:sz w:val="2"/>
                <w:szCs w:val="2"/>
              </w:rPr>
            </w:pPr>
          </w:p>
        </w:tc>
        <w:tc>
          <w:tcPr>
            <w:tcW w:w="1006" w:type="dxa"/>
            <w:vMerge/>
            <w:tcBorders>
              <w:top w:val="nil"/>
            </w:tcBorders>
          </w:tcPr>
          <w:p>
            <w:pPr>
              <w:rPr>
                <w:sz w:val="2"/>
                <w:szCs w:val="2"/>
              </w:rPr>
            </w:pPr>
          </w:p>
        </w:tc>
      </w:tr>
      <w:tr>
        <w:tblPrEx>
          <w:tblW w:w="0" w:type="auto"/>
          <w:tblInd w:w="950" w:type="dxa"/>
          <w:tblLayout w:type="fixed"/>
          <w:tblCellMar>
            <w:top w:w="0" w:type="dxa"/>
            <w:left w:w="0" w:type="dxa"/>
            <w:bottom w:w="0" w:type="dxa"/>
            <w:right w:w="0" w:type="dxa"/>
          </w:tblCellMar>
        </w:tblPrEx>
        <w:trPr>
          <w:trHeight w:val="241"/>
        </w:trPr>
        <w:tc>
          <w:tcPr>
            <w:tcW w:w="1001" w:type="dxa"/>
            <w:vMerge w:val="restart"/>
          </w:tcPr>
          <w:p>
            <w:pPr>
              <w:pStyle w:val="TableParagraph"/>
              <w:spacing w:before="108"/>
              <w:ind w:left="109"/>
              <w:rPr>
                <w:sz w:val="21"/>
              </w:rPr>
            </w:pPr>
            <w:r>
              <w:rPr>
                <w:sz w:val="21"/>
              </w:rPr>
              <w:t>石油类</w:t>
            </w:r>
          </w:p>
        </w:tc>
        <w:tc>
          <w:tcPr>
            <w:tcW w:w="671" w:type="dxa"/>
          </w:tcPr>
          <w:p>
            <w:pPr>
              <w:pStyle w:val="TableParagraph"/>
              <w:spacing w:line="221" w:lineRule="exact"/>
              <w:ind w:left="107"/>
              <w:rPr>
                <w:rFonts w:ascii="Times New Roman"/>
                <w:sz w:val="21"/>
              </w:rPr>
            </w:pPr>
            <w:r>
              <w:rPr>
                <w:rFonts w:ascii="Times New Roman"/>
                <w:sz w:val="21"/>
              </w:rPr>
              <w:t>W1</w:t>
            </w:r>
          </w:p>
        </w:tc>
        <w:tc>
          <w:tcPr>
            <w:tcW w:w="840" w:type="dxa"/>
          </w:tcPr>
          <w:p>
            <w:pPr>
              <w:pStyle w:val="TableParagraph"/>
              <w:spacing w:line="221" w:lineRule="exact"/>
              <w:ind w:left="108"/>
              <w:rPr>
                <w:rFonts w:ascii="Times New Roman"/>
                <w:sz w:val="21"/>
              </w:rPr>
            </w:pPr>
            <w:r>
              <w:rPr>
                <w:rFonts w:ascii="Times New Roman"/>
                <w:sz w:val="21"/>
              </w:rPr>
              <w:t>0.050</w:t>
            </w:r>
          </w:p>
        </w:tc>
        <w:tc>
          <w:tcPr>
            <w:tcW w:w="840" w:type="dxa"/>
          </w:tcPr>
          <w:p>
            <w:pPr>
              <w:pStyle w:val="TableParagraph"/>
              <w:spacing w:line="221" w:lineRule="exact"/>
              <w:ind w:right="247"/>
              <w:jc w:val="right"/>
              <w:rPr>
                <w:rFonts w:ascii="Times New Roman"/>
                <w:sz w:val="21"/>
              </w:rPr>
            </w:pPr>
            <w:r>
              <w:rPr>
                <w:rFonts w:ascii="Times New Roman"/>
                <w:w w:val="95"/>
                <w:sz w:val="21"/>
              </w:rPr>
              <w:t>0.067</w:t>
            </w:r>
          </w:p>
        </w:tc>
        <w:tc>
          <w:tcPr>
            <w:tcW w:w="840" w:type="dxa"/>
          </w:tcPr>
          <w:p>
            <w:pPr>
              <w:pStyle w:val="TableParagraph"/>
              <w:spacing w:line="221" w:lineRule="exact"/>
              <w:ind w:left="108"/>
              <w:rPr>
                <w:rFonts w:ascii="Times New Roman"/>
                <w:sz w:val="21"/>
              </w:rPr>
            </w:pPr>
            <w:r>
              <w:rPr>
                <w:rFonts w:ascii="Times New Roman"/>
                <w:sz w:val="21"/>
              </w:rPr>
              <w:t>0.048</w:t>
            </w:r>
          </w:p>
        </w:tc>
        <w:tc>
          <w:tcPr>
            <w:tcW w:w="840" w:type="dxa"/>
          </w:tcPr>
          <w:p>
            <w:pPr>
              <w:pStyle w:val="TableParagraph"/>
              <w:spacing w:line="221" w:lineRule="exact"/>
              <w:ind w:right="247"/>
              <w:jc w:val="right"/>
              <w:rPr>
                <w:rFonts w:ascii="Times New Roman"/>
                <w:sz w:val="21"/>
              </w:rPr>
            </w:pPr>
            <w:r>
              <w:rPr>
                <w:rFonts w:ascii="Times New Roman"/>
                <w:w w:val="95"/>
                <w:sz w:val="21"/>
              </w:rPr>
              <w:t>0.067</w:t>
            </w:r>
          </w:p>
        </w:tc>
        <w:tc>
          <w:tcPr>
            <w:tcW w:w="840" w:type="dxa"/>
          </w:tcPr>
          <w:p>
            <w:pPr>
              <w:pStyle w:val="TableParagraph"/>
              <w:spacing w:line="221" w:lineRule="exact"/>
              <w:ind w:left="108"/>
              <w:rPr>
                <w:rFonts w:ascii="Times New Roman"/>
                <w:sz w:val="21"/>
              </w:rPr>
            </w:pPr>
            <w:r>
              <w:rPr>
                <w:rFonts w:ascii="Times New Roman"/>
                <w:sz w:val="21"/>
              </w:rPr>
              <w:t>0.057</w:t>
            </w:r>
          </w:p>
        </w:tc>
        <w:tc>
          <w:tcPr>
            <w:tcW w:w="840" w:type="dxa"/>
          </w:tcPr>
          <w:p>
            <w:pPr>
              <w:pStyle w:val="TableParagraph"/>
              <w:spacing w:line="221" w:lineRule="exact"/>
              <w:ind w:right="247"/>
              <w:jc w:val="right"/>
              <w:rPr>
                <w:rFonts w:ascii="Times New Roman"/>
                <w:sz w:val="21"/>
              </w:rPr>
            </w:pPr>
            <w:r>
              <w:rPr>
                <w:rFonts w:ascii="Times New Roman"/>
                <w:w w:val="95"/>
                <w:sz w:val="21"/>
              </w:rPr>
              <w:t>0.052</w:t>
            </w:r>
          </w:p>
        </w:tc>
        <w:tc>
          <w:tcPr>
            <w:tcW w:w="901" w:type="dxa"/>
            <w:vMerge w:val="restart"/>
          </w:tcPr>
          <w:p>
            <w:pPr>
              <w:pStyle w:val="TableParagraph"/>
              <w:spacing w:before="125"/>
              <w:ind w:left="146"/>
              <w:rPr>
                <w:rFonts w:ascii="Times New Roman"/>
                <w:sz w:val="21"/>
              </w:rPr>
            </w:pPr>
            <w:r>
              <w:rPr>
                <w:rFonts w:ascii="Times New Roman"/>
                <w:sz w:val="21"/>
              </w:rPr>
              <w:t>mg/L</w:t>
            </w:r>
          </w:p>
        </w:tc>
        <w:tc>
          <w:tcPr>
            <w:tcW w:w="1006" w:type="dxa"/>
            <w:vMerge w:val="restart"/>
          </w:tcPr>
          <w:p>
            <w:pPr>
              <w:pStyle w:val="TableParagraph"/>
              <w:spacing w:before="125"/>
              <w:ind w:left="294"/>
              <w:rPr>
                <w:rFonts w:ascii="Times New Roman"/>
                <w:sz w:val="21"/>
              </w:rPr>
            </w:pPr>
            <w:r>
              <w:rPr>
                <w:rFonts w:ascii="Times New Roman"/>
                <w:sz w:val="21"/>
              </w:rPr>
              <w:t>0.3</w:t>
            </w:r>
          </w:p>
        </w:tc>
      </w:tr>
      <w:tr>
        <w:tblPrEx>
          <w:tblW w:w="0" w:type="auto"/>
          <w:tblInd w:w="950" w:type="dxa"/>
          <w:tblLayout w:type="fixed"/>
          <w:tblCellMar>
            <w:top w:w="0" w:type="dxa"/>
            <w:left w:w="0" w:type="dxa"/>
            <w:bottom w:w="0" w:type="dxa"/>
            <w:right w:w="0" w:type="dxa"/>
          </w:tblCellMar>
        </w:tblPrEx>
        <w:trPr>
          <w:trHeight w:val="242"/>
        </w:trPr>
        <w:tc>
          <w:tcPr>
            <w:tcW w:w="1001" w:type="dxa"/>
            <w:vMerge/>
            <w:tcBorders>
              <w:top w:val="nil"/>
            </w:tcBorders>
          </w:tcPr>
          <w:p>
            <w:pPr>
              <w:rPr>
                <w:sz w:val="2"/>
                <w:szCs w:val="2"/>
              </w:rPr>
            </w:pPr>
          </w:p>
        </w:tc>
        <w:tc>
          <w:tcPr>
            <w:tcW w:w="671" w:type="dxa"/>
          </w:tcPr>
          <w:p>
            <w:pPr>
              <w:pStyle w:val="TableParagraph"/>
              <w:spacing w:before="1" w:line="221" w:lineRule="exact"/>
              <w:ind w:left="107"/>
              <w:rPr>
                <w:rFonts w:ascii="Times New Roman"/>
                <w:sz w:val="21"/>
              </w:rPr>
            </w:pPr>
            <w:r>
              <w:rPr>
                <w:rFonts w:ascii="Times New Roman"/>
                <w:sz w:val="21"/>
              </w:rPr>
              <w:t>W2</w:t>
            </w:r>
          </w:p>
        </w:tc>
        <w:tc>
          <w:tcPr>
            <w:tcW w:w="840" w:type="dxa"/>
          </w:tcPr>
          <w:p>
            <w:pPr>
              <w:pStyle w:val="TableParagraph"/>
              <w:spacing w:before="1" w:line="221" w:lineRule="exact"/>
              <w:ind w:left="108"/>
              <w:rPr>
                <w:rFonts w:ascii="Times New Roman"/>
                <w:sz w:val="21"/>
              </w:rPr>
            </w:pPr>
            <w:r>
              <w:rPr>
                <w:rFonts w:ascii="Times New Roman"/>
                <w:sz w:val="21"/>
              </w:rPr>
              <w:t>0.037</w:t>
            </w:r>
          </w:p>
        </w:tc>
        <w:tc>
          <w:tcPr>
            <w:tcW w:w="840" w:type="dxa"/>
          </w:tcPr>
          <w:p>
            <w:pPr>
              <w:pStyle w:val="TableParagraph"/>
              <w:spacing w:before="1" w:line="221" w:lineRule="exact"/>
              <w:ind w:right="247"/>
              <w:jc w:val="right"/>
              <w:rPr>
                <w:rFonts w:ascii="Times New Roman"/>
                <w:sz w:val="21"/>
              </w:rPr>
            </w:pPr>
            <w:r>
              <w:rPr>
                <w:rFonts w:ascii="Times New Roman"/>
                <w:w w:val="95"/>
                <w:sz w:val="21"/>
              </w:rPr>
              <w:t>0.026</w:t>
            </w:r>
          </w:p>
        </w:tc>
        <w:tc>
          <w:tcPr>
            <w:tcW w:w="840" w:type="dxa"/>
          </w:tcPr>
          <w:p>
            <w:pPr>
              <w:pStyle w:val="TableParagraph"/>
              <w:spacing w:before="1" w:line="221" w:lineRule="exact"/>
              <w:ind w:left="108"/>
              <w:rPr>
                <w:rFonts w:ascii="Times New Roman"/>
                <w:sz w:val="21"/>
              </w:rPr>
            </w:pPr>
            <w:r>
              <w:rPr>
                <w:rFonts w:ascii="Times New Roman"/>
                <w:sz w:val="21"/>
              </w:rPr>
              <w:t>0.039</w:t>
            </w:r>
          </w:p>
        </w:tc>
        <w:tc>
          <w:tcPr>
            <w:tcW w:w="840" w:type="dxa"/>
          </w:tcPr>
          <w:p>
            <w:pPr>
              <w:pStyle w:val="TableParagraph"/>
              <w:spacing w:before="1" w:line="221" w:lineRule="exact"/>
              <w:ind w:right="247"/>
              <w:jc w:val="right"/>
              <w:rPr>
                <w:rFonts w:ascii="Times New Roman"/>
                <w:sz w:val="21"/>
              </w:rPr>
            </w:pPr>
            <w:r>
              <w:rPr>
                <w:rFonts w:ascii="Times New Roman"/>
                <w:w w:val="95"/>
                <w:sz w:val="21"/>
              </w:rPr>
              <w:t>0.038</w:t>
            </w:r>
          </w:p>
        </w:tc>
        <w:tc>
          <w:tcPr>
            <w:tcW w:w="840" w:type="dxa"/>
          </w:tcPr>
          <w:p>
            <w:pPr>
              <w:pStyle w:val="TableParagraph"/>
              <w:spacing w:before="1" w:line="221" w:lineRule="exact"/>
              <w:ind w:left="108"/>
              <w:rPr>
                <w:rFonts w:ascii="Times New Roman"/>
                <w:sz w:val="21"/>
              </w:rPr>
            </w:pPr>
            <w:r>
              <w:rPr>
                <w:rFonts w:ascii="Times New Roman"/>
                <w:sz w:val="21"/>
              </w:rPr>
              <w:t>0.044</w:t>
            </w:r>
          </w:p>
        </w:tc>
        <w:tc>
          <w:tcPr>
            <w:tcW w:w="840" w:type="dxa"/>
          </w:tcPr>
          <w:p>
            <w:pPr>
              <w:pStyle w:val="TableParagraph"/>
              <w:spacing w:before="1" w:line="221" w:lineRule="exact"/>
              <w:ind w:right="247"/>
              <w:jc w:val="right"/>
              <w:rPr>
                <w:rFonts w:ascii="Times New Roman"/>
                <w:sz w:val="21"/>
              </w:rPr>
            </w:pPr>
            <w:r>
              <w:rPr>
                <w:rFonts w:ascii="Times New Roman"/>
                <w:w w:val="95"/>
                <w:sz w:val="21"/>
              </w:rPr>
              <w:t>0.042</w:t>
            </w:r>
          </w:p>
        </w:tc>
        <w:tc>
          <w:tcPr>
            <w:tcW w:w="901" w:type="dxa"/>
            <w:vMerge/>
            <w:tcBorders>
              <w:top w:val="nil"/>
            </w:tcBorders>
          </w:tcPr>
          <w:p>
            <w:pPr>
              <w:rPr>
                <w:sz w:val="2"/>
                <w:szCs w:val="2"/>
              </w:rPr>
            </w:pPr>
          </w:p>
        </w:tc>
        <w:tc>
          <w:tcPr>
            <w:tcW w:w="1006" w:type="dxa"/>
            <w:vMerge/>
            <w:tcBorders>
              <w:top w:val="nil"/>
            </w:tcBorders>
          </w:tcPr>
          <w:p>
            <w:pPr>
              <w:rPr>
                <w:sz w:val="2"/>
                <w:szCs w:val="2"/>
              </w:rPr>
            </w:pPr>
          </w:p>
        </w:tc>
      </w:tr>
    </w:tbl>
    <w:p>
      <w:pPr>
        <w:pStyle w:val="BodyText"/>
        <w:spacing w:before="12"/>
        <w:rPr>
          <w:b/>
          <w:sz w:val="18"/>
        </w:rPr>
      </w:pPr>
    </w:p>
    <w:p>
      <w:pPr>
        <w:pStyle w:val="BodyText"/>
        <w:spacing w:line="364" w:lineRule="auto"/>
        <w:ind w:left="940" w:right="397" w:firstLine="480"/>
        <w:jc w:val="both"/>
      </w:pPr>
      <w:r>
        <w:rPr>
          <w:spacing w:val="-6"/>
        </w:rPr>
        <w:t>根据监测结果，利用按《环境影响评价技术导则 地表水环境》</w:t>
      </w:r>
      <w:r>
        <w:rPr>
          <w:spacing w:val="-3"/>
        </w:rPr>
        <w:t>（</w:t>
      </w:r>
      <w:r>
        <w:rPr>
          <w:rFonts w:ascii="Times New Roman" w:eastAsia="Times New Roman"/>
          <w:spacing w:val="-3"/>
        </w:rPr>
        <w:t>HJ2.3-2018</w:t>
      </w:r>
      <w:r>
        <w:rPr>
          <w:spacing w:val="-3"/>
        </w:rPr>
        <w:t xml:space="preserve">） </w:t>
      </w:r>
      <w:r>
        <w:t>规范性附录所推荐的水质参数法进行评价，得出各项标准评价指数如下表：</w:t>
      </w:r>
    </w:p>
    <w:p>
      <w:pPr>
        <w:spacing w:before="0" w:line="267" w:lineRule="exact"/>
        <w:ind w:left="2821" w:right="0" w:firstLine="0"/>
        <w:jc w:val="left"/>
        <w:rPr>
          <w:b/>
          <w:sz w:val="21"/>
        </w:rPr>
      </w:pPr>
      <w:r>
        <w:rPr>
          <w:b/>
          <w:spacing w:val="-26"/>
          <w:sz w:val="21"/>
        </w:rPr>
        <w:t xml:space="preserve">表 </w:t>
      </w:r>
      <w:r>
        <w:rPr>
          <w:rFonts w:ascii="Times New Roman" w:eastAsia="Times New Roman"/>
          <w:b/>
          <w:sz w:val="21"/>
        </w:rPr>
        <w:t>3-4</w:t>
      </w:r>
      <w:r>
        <w:rPr>
          <w:rFonts w:ascii="Times New Roman" w:eastAsia="Times New Roman"/>
          <w:b/>
          <w:spacing w:val="51"/>
          <w:sz w:val="21"/>
        </w:rPr>
        <w:t xml:space="preserve"> </w:t>
      </w:r>
      <w:r>
        <w:rPr>
          <w:b/>
          <w:sz w:val="21"/>
        </w:rPr>
        <w:t>马骝洲水道水环境质量现状监测结果评价指数表</w:t>
      </w:r>
    </w:p>
    <w:p>
      <w:pPr>
        <w:pStyle w:val="BodyText"/>
        <w:spacing w:before="8"/>
        <w:rPr>
          <w:b/>
          <w:sz w:val="9"/>
        </w:rPr>
      </w:pPr>
    </w:p>
    <w:tbl>
      <w:tblPr>
        <w:tblStyle w:val="TableNormal"/>
        <w:tblW w:w="0" w:type="auto"/>
        <w:tblInd w:w="1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28"/>
        <w:gridCol w:w="761"/>
        <w:gridCol w:w="921"/>
        <w:gridCol w:w="922"/>
        <w:gridCol w:w="921"/>
        <w:gridCol w:w="922"/>
        <w:gridCol w:w="921"/>
        <w:gridCol w:w="922"/>
      </w:tblGrid>
      <w:tr>
        <w:tblPrEx>
          <w:tblW w:w="0" w:type="auto"/>
          <w:tblInd w:w="1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93"/>
        </w:trPr>
        <w:tc>
          <w:tcPr>
            <w:tcW w:w="1989" w:type="dxa"/>
            <w:gridSpan w:val="2"/>
            <w:vMerge w:val="restart"/>
          </w:tcPr>
          <w:p>
            <w:pPr>
              <w:pStyle w:val="TableParagraph"/>
              <w:spacing w:before="28" w:line="242" w:lineRule="auto"/>
              <w:ind w:left="498" w:right="640"/>
              <w:rPr>
                <w:sz w:val="21"/>
              </w:rPr>
            </w:pPr>
            <w:r>
              <w:rPr>
                <w:sz w:val="21"/>
              </w:rPr>
              <w:t>检测项目采样位置</w:t>
            </w:r>
          </w:p>
        </w:tc>
        <w:tc>
          <w:tcPr>
            <w:tcW w:w="1843" w:type="dxa"/>
            <w:gridSpan w:val="2"/>
          </w:tcPr>
          <w:p>
            <w:pPr>
              <w:pStyle w:val="TableParagraph"/>
              <w:spacing w:before="11" w:line="263" w:lineRule="exact"/>
              <w:ind w:left="398"/>
              <w:rPr>
                <w:sz w:val="21"/>
              </w:rPr>
            </w:pPr>
            <w:r>
              <w:rPr>
                <w:rFonts w:ascii="Times New Roman" w:eastAsia="Times New Roman"/>
                <w:sz w:val="21"/>
              </w:rPr>
              <w:t xml:space="preserve">6 </w:t>
            </w:r>
            <w:r>
              <w:rPr>
                <w:sz w:val="21"/>
              </w:rPr>
              <w:t xml:space="preserve">月 </w:t>
            </w:r>
            <w:r>
              <w:rPr>
                <w:rFonts w:ascii="Times New Roman" w:eastAsia="Times New Roman"/>
                <w:sz w:val="21"/>
              </w:rPr>
              <w:t xml:space="preserve">28 </w:t>
            </w:r>
            <w:r>
              <w:rPr>
                <w:sz w:val="21"/>
              </w:rPr>
              <w:t>日</w:t>
            </w:r>
          </w:p>
        </w:tc>
        <w:tc>
          <w:tcPr>
            <w:tcW w:w="1843" w:type="dxa"/>
            <w:gridSpan w:val="2"/>
          </w:tcPr>
          <w:p>
            <w:pPr>
              <w:pStyle w:val="TableParagraph"/>
              <w:spacing w:before="11" w:line="263" w:lineRule="exact"/>
              <w:ind w:left="398"/>
              <w:rPr>
                <w:sz w:val="21"/>
              </w:rPr>
            </w:pPr>
            <w:r>
              <w:rPr>
                <w:rFonts w:ascii="Times New Roman" w:eastAsia="Times New Roman"/>
                <w:sz w:val="21"/>
              </w:rPr>
              <w:t xml:space="preserve">6 </w:t>
            </w:r>
            <w:r>
              <w:rPr>
                <w:sz w:val="21"/>
              </w:rPr>
              <w:t xml:space="preserve">月 </w:t>
            </w:r>
            <w:r>
              <w:rPr>
                <w:rFonts w:ascii="Times New Roman" w:eastAsia="Times New Roman"/>
                <w:sz w:val="21"/>
              </w:rPr>
              <w:t xml:space="preserve">29 </w:t>
            </w:r>
            <w:r>
              <w:rPr>
                <w:sz w:val="21"/>
              </w:rPr>
              <w:t>日</w:t>
            </w:r>
          </w:p>
        </w:tc>
        <w:tc>
          <w:tcPr>
            <w:tcW w:w="1843" w:type="dxa"/>
            <w:gridSpan w:val="2"/>
          </w:tcPr>
          <w:p>
            <w:pPr>
              <w:pStyle w:val="TableParagraph"/>
              <w:spacing w:before="11" w:line="263" w:lineRule="exact"/>
              <w:ind w:left="398"/>
              <w:rPr>
                <w:sz w:val="21"/>
              </w:rPr>
            </w:pPr>
            <w:r>
              <w:rPr>
                <w:rFonts w:ascii="Times New Roman" w:eastAsia="Times New Roman"/>
                <w:sz w:val="21"/>
              </w:rPr>
              <w:t xml:space="preserve">6 </w:t>
            </w:r>
            <w:r>
              <w:rPr>
                <w:sz w:val="21"/>
              </w:rPr>
              <w:t xml:space="preserve">月 </w:t>
            </w:r>
            <w:r>
              <w:rPr>
                <w:rFonts w:ascii="Times New Roman" w:eastAsia="Times New Roman"/>
                <w:sz w:val="21"/>
              </w:rPr>
              <w:t xml:space="preserve">30 </w:t>
            </w:r>
            <w:r>
              <w:rPr>
                <w:sz w:val="21"/>
              </w:rPr>
              <w:t>日</w:t>
            </w:r>
          </w:p>
        </w:tc>
      </w:tr>
      <w:tr>
        <w:tblPrEx>
          <w:tblW w:w="0" w:type="auto"/>
          <w:tblInd w:w="1500" w:type="dxa"/>
          <w:tblLayout w:type="fixed"/>
          <w:tblCellMar>
            <w:top w:w="0" w:type="dxa"/>
            <w:left w:w="0" w:type="dxa"/>
            <w:bottom w:w="0" w:type="dxa"/>
            <w:right w:w="0" w:type="dxa"/>
          </w:tblCellMar>
        </w:tblPrEx>
        <w:trPr>
          <w:trHeight w:val="294"/>
        </w:trPr>
        <w:tc>
          <w:tcPr>
            <w:tcW w:w="1989" w:type="dxa"/>
            <w:gridSpan w:val="2"/>
            <w:vMerge/>
            <w:tcBorders>
              <w:top w:val="nil"/>
            </w:tcBorders>
          </w:tcPr>
          <w:p>
            <w:pPr>
              <w:rPr>
                <w:sz w:val="2"/>
                <w:szCs w:val="2"/>
              </w:rPr>
            </w:pPr>
          </w:p>
        </w:tc>
        <w:tc>
          <w:tcPr>
            <w:tcW w:w="921" w:type="dxa"/>
          </w:tcPr>
          <w:p>
            <w:pPr>
              <w:pStyle w:val="TableParagraph"/>
              <w:spacing w:before="12" w:line="262" w:lineRule="exact"/>
              <w:ind w:left="174"/>
              <w:rPr>
                <w:sz w:val="21"/>
              </w:rPr>
            </w:pPr>
            <w:r>
              <w:rPr>
                <w:sz w:val="21"/>
              </w:rPr>
              <w:t>涨潮</w:t>
            </w:r>
          </w:p>
        </w:tc>
        <w:tc>
          <w:tcPr>
            <w:tcW w:w="922" w:type="dxa"/>
          </w:tcPr>
          <w:p>
            <w:pPr>
              <w:pStyle w:val="TableParagraph"/>
              <w:spacing w:before="12" w:line="262" w:lineRule="exact"/>
              <w:ind w:left="175"/>
              <w:rPr>
                <w:sz w:val="21"/>
              </w:rPr>
            </w:pPr>
            <w:r>
              <w:rPr>
                <w:sz w:val="21"/>
              </w:rPr>
              <w:t>退潮</w:t>
            </w:r>
          </w:p>
        </w:tc>
        <w:tc>
          <w:tcPr>
            <w:tcW w:w="921" w:type="dxa"/>
          </w:tcPr>
          <w:p>
            <w:pPr>
              <w:pStyle w:val="TableParagraph"/>
              <w:spacing w:before="12" w:line="262" w:lineRule="exact"/>
              <w:ind w:left="175"/>
              <w:rPr>
                <w:sz w:val="21"/>
              </w:rPr>
            </w:pPr>
            <w:r>
              <w:rPr>
                <w:sz w:val="21"/>
              </w:rPr>
              <w:t>涨潮</w:t>
            </w:r>
          </w:p>
        </w:tc>
        <w:tc>
          <w:tcPr>
            <w:tcW w:w="922" w:type="dxa"/>
          </w:tcPr>
          <w:p>
            <w:pPr>
              <w:pStyle w:val="TableParagraph"/>
              <w:spacing w:before="12" w:line="262" w:lineRule="exact"/>
              <w:ind w:left="175"/>
              <w:rPr>
                <w:sz w:val="21"/>
              </w:rPr>
            </w:pPr>
            <w:r>
              <w:rPr>
                <w:sz w:val="21"/>
              </w:rPr>
              <w:t>退潮</w:t>
            </w:r>
          </w:p>
        </w:tc>
        <w:tc>
          <w:tcPr>
            <w:tcW w:w="921" w:type="dxa"/>
          </w:tcPr>
          <w:p>
            <w:pPr>
              <w:pStyle w:val="TableParagraph"/>
              <w:spacing w:before="12" w:line="262" w:lineRule="exact"/>
              <w:ind w:left="175"/>
              <w:rPr>
                <w:sz w:val="21"/>
              </w:rPr>
            </w:pPr>
            <w:r>
              <w:rPr>
                <w:sz w:val="21"/>
              </w:rPr>
              <w:t>涨潮</w:t>
            </w:r>
          </w:p>
        </w:tc>
        <w:tc>
          <w:tcPr>
            <w:tcW w:w="922" w:type="dxa"/>
          </w:tcPr>
          <w:p>
            <w:pPr>
              <w:pStyle w:val="TableParagraph"/>
              <w:spacing w:before="12" w:line="262" w:lineRule="exact"/>
              <w:ind w:left="173"/>
              <w:rPr>
                <w:sz w:val="21"/>
              </w:rPr>
            </w:pPr>
            <w:r>
              <w:rPr>
                <w:sz w:val="21"/>
              </w:rPr>
              <w:t>退潮</w:t>
            </w:r>
          </w:p>
        </w:tc>
      </w:tr>
      <w:tr>
        <w:tblPrEx>
          <w:tblW w:w="0" w:type="auto"/>
          <w:tblInd w:w="1500" w:type="dxa"/>
          <w:tblLayout w:type="fixed"/>
          <w:tblCellMar>
            <w:top w:w="0" w:type="dxa"/>
            <w:left w:w="0" w:type="dxa"/>
            <w:bottom w:w="0" w:type="dxa"/>
            <w:right w:w="0" w:type="dxa"/>
          </w:tblCellMar>
        </w:tblPrEx>
        <w:trPr>
          <w:trHeight w:val="262"/>
        </w:trPr>
        <w:tc>
          <w:tcPr>
            <w:tcW w:w="1228" w:type="dxa"/>
            <w:vMerge w:val="restart"/>
          </w:tcPr>
          <w:p>
            <w:pPr>
              <w:pStyle w:val="TableParagraph"/>
              <w:spacing w:before="146"/>
              <w:ind w:left="315"/>
              <w:rPr>
                <w:rFonts w:ascii="Times New Roman"/>
                <w:sz w:val="21"/>
              </w:rPr>
            </w:pPr>
            <w:r>
              <w:rPr>
                <w:rFonts w:ascii="Times New Roman"/>
                <w:sz w:val="21"/>
              </w:rPr>
              <w:t>COD</w:t>
            </w:r>
          </w:p>
        </w:tc>
        <w:tc>
          <w:tcPr>
            <w:tcW w:w="761" w:type="dxa"/>
          </w:tcPr>
          <w:p>
            <w:pPr>
              <w:pStyle w:val="TableParagraph"/>
              <w:spacing w:before="9" w:line="232" w:lineRule="exact"/>
              <w:ind w:left="153"/>
              <w:rPr>
                <w:rFonts w:ascii="Times New Roman"/>
                <w:sz w:val="21"/>
              </w:rPr>
            </w:pPr>
            <w:r>
              <w:rPr>
                <w:rFonts w:ascii="Times New Roman"/>
                <w:sz w:val="21"/>
              </w:rPr>
              <w:t>W1</w:t>
            </w:r>
          </w:p>
        </w:tc>
        <w:tc>
          <w:tcPr>
            <w:tcW w:w="921" w:type="dxa"/>
          </w:tcPr>
          <w:p>
            <w:pPr>
              <w:pStyle w:val="TableParagraph"/>
              <w:spacing w:before="9" w:line="232" w:lineRule="exact"/>
              <w:ind w:left="201"/>
              <w:rPr>
                <w:rFonts w:ascii="Times New Roman"/>
                <w:sz w:val="21"/>
              </w:rPr>
            </w:pPr>
            <w:r>
              <w:rPr>
                <w:rFonts w:ascii="Times New Roman"/>
                <w:sz w:val="21"/>
              </w:rPr>
              <w:t>0.79</w:t>
            </w:r>
          </w:p>
        </w:tc>
        <w:tc>
          <w:tcPr>
            <w:tcW w:w="922" w:type="dxa"/>
          </w:tcPr>
          <w:p>
            <w:pPr>
              <w:pStyle w:val="TableParagraph"/>
              <w:spacing w:before="9" w:line="232" w:lineRule="exact"/>
              <w:ind w:left="199"/>
              <w:rPr>
                <w:rFonts w:ascii="Times New Roman"/>
                <w:sz w:val="21"/>
              </w:rPr>
            </w:pPr>
            <w:r>
              <w:rPr>
                <w:rFonts w:ascii="Times New Roman"/>
                <w:sz w:val="21"/>
              </w:rPr>
              <w:t>0.51</w:t>
            </w:r>
          </w:p>
        </w:tc>
        <w:tc>
          <w:tcPr>
            <w:tcW w:w="921" w:type="dxa"/>
          </w:tcPr>
          <w:p>
            <w:pPr>
              <w:pStyle w:val="TableParagraph"/>
              <w:spacing w:before="9" w:line="232" w:lineRule="exact"/>
              <w:ind w:left="201"/>
              <w:rPr>
                <w:rFonts w:ascii="Times New Roman"/>
                <w:sz w:val="21"/>
              </w:rPr>
            </w:pPr>
            <w:r>
              <w:rPr>
                <w:rFonts w:ascii="Times New Roman"/>
                <w:sz w:val="21"/>
              </w:rPr>
              <w:t>0.40</w:t>
            </w:r>
          </w:p>
        </w:tc>
        <w:tc>
          <w:tcPr>
            <w:tcW w:w="922" w:type="dxa"/>
          </w:tcPr>
          <w:p>
            <w:pPr>
              <w:pStyle w:val="TableParagraph"/>
              <w:spacing w:before="9" w:line="232" w:lineRule="exact"/>
              <w:ind w:left="199"/>
              <w:rPr>
                <w:rFonts w:ascii="Times New Roman"/>
                <w:sz w:val="21"/>
              </w:rPr>
            </w:pPr>
            <w:r>
              <w:rPr>
                <w:rFonts w:ascii="Times New Roman"/>
                <w:sz w:val="21"/>
              </w:rPr>
              <w:t>0.31</w:t>
            </w:r>
          </w:p>
        </w:tc>
        <w:tc>
          <w:tcPr>
            <w:tcW w:w="921" w:type="dxa"/>
          </w:tcPr>
          <w:p>
            <w:pPr>
              <w:pStyle w:val="TableParagraph"/>
              <w:spacing w:before="9" w:line="232" w:lineRule="exact"/>
              <w:ind w:left="201"/>
              <w:rPr>
                <w:rFonts w:ascii="Times New Roman"/>
                <w:sz w:val="21"/>
              </w:rPr>
            </w:pPr>
            <w:r>
              <w:rPr>
                <w:rFonts w:ascii="Times New Roman"/>
                <w:sz w:val="21"/>
              </w:rPr>
              <w:t>0.45</w:t>
            </w:r>
          </w:p>
        </w:tc>
        <w:tc>
          <w:tcPr>
            <w:tcW w:w="922" w:type="dxa"/>
          </w:tcPr>
          <w:p>
            <w:pPr>
              <w:pStyle w:val="TableParagraph"/>
              <w:spacing w:before="9" w:line="232" w:lineRule="exact"/>
              <w:ind w:left="199"/>
              <w:rPr>
                <w:rFonts w:ascii="Times New Roman"/>
                <w:sz w:val="21"/>
              </w:rPr>
            </w:pPr>
            <w:r>
              <w:rPr>
                <w:rFonts w:ascii="Times New Roman"/>
                <w:sz w:val="21"/>
              </w:rPr>
              <w:t>0.35</w:t>
            </w:r>
          </w:p>
        </w:tc>
      </w:tr>
      <w:tr>
        <w:tblPrEx>
          <w:tblW w:w="0" w:type="auto"/>
          <w:tblInd w:w="1500" w:type="dxa"/>
          <w:tblLayout w:type="fixed"/>
          <w:tblCellMar>
            <w:top w:w="0" w:type="dxa"/>
            <w:left w:w="0" w:type="dxa"/>
            <w:bottom w:w="0" w:type="dxa"/>
            <w:right w:w="0" w:type="dxa"/>
          </w:tblCellMar>
        </w:tblPrEx>
        <w:trPr>
          <w:trHeight w:val="262"/>
        </w:trPr>
        <w:tc>
          <w:tcPr>
            <w:tcW w:w="1228" w:type="dxa"/>
            <w:vMerge/>
            <w:tcBorders>
              <w:top w:val="nil"/>
            </w:tcBorders>
          </w:tcPr>
          <w:p>
            <w:pPr>
              <w:rPr>
                <w:sz w:val="2"/>
                <w:szCs w:val="2"/>
              </w:rPr>
            </w:pPr>
          </w:p>
        </w:tc>
        <w:tc>
          <w:tcPr>
            <w:tcW w:w="761" w:type="dxa"/>
          </w:tcPr>
          <w:p>
            <w:pPr>
              <w:pStyle w:val="TableParagraph"/>
              <w:spacing w:before="9" w:line="233" w:lineRule="exact"/>
              <w:ind w:left="153"/>
              <w:rPr>
                <w:rFonts w:ascii="Times New Roman"/>
                <w:sz w:val="21"/>
              </w:rPr>
            </w:pPr>
            <w:r>
              <w:rPr>
                <w:rFonts w:ascii="Times New Roman"/>
                <w:sz w:val="21"/>
              </w:rPr>
              <w:t>W2</w:t>
            </w:r>
          </w:p>
        </w:tc>
        <w:tc>
          <w:tcPr>
            <w:tcW w:w="921" w:type="dxa"/>
          </w:tcPr>
          <w:p>
            <w:pPr>
              <w:pStyle w:val="TableParagraph"/>
              <w:spacing w:before="9" w:line="233" w:lineRule="exact"/>
              <w:ind w:left="201"/>
              <w:rPr>
                <w:rFonts w:ascii="Times New Roman"/>
                <w:sz w:val="21"/>
              </w:rPr>
            </w:pPr>
            <w:r>
              <w:rPr>
                <w:rFonts w:ascii="Times New Roman"/>
                <w:sz w:val="21"/>
              </w:rPr>
              <w:t>0.58</w:t>
            </w:r>
          </w:p>
        </w:tc>
        <w:tc>
          <w:tcPr>
            <w:tcW w:w="922" w:type="dxa"/>
          </w:tcPr>
          <w:p>
            <w:pPr>
              <w:pStyle w:val="TableParagraph"/>
              <w:spacing w:before="9" w:line="233" w:lineRule="exact"/>
              <w:ind w:left="199"/>
              <w:rPr>
                <w:rFonts w:ascii="Times New Roman"/>
                <w:sz w:val="21"/>
              </w:rPr>
            </w:pPr>
            <w:r>
              <w:rPr>
                <w:rFonts w:ascii="Times New Roman"/>
                <w:sz w:val="21"/>
              </w:rPr>
              <w:t>0.33</w:t>
            </w:r>
          </w:p>
        </w:tc>
        <w:tc>
          <w:tcPr>
            <w:tcW w:w="921" w:type="dxa"/>
          </w:tcPr>
          <w:p>
            <w:pPr>
              <w:pStyle w:val="TableParagraph"/>
              <w:spacing w:before="9" w:line="233" w:lineRule="exact"/>
              <w:ind w:left="201"/>
              <w:rPr>
                <w:rFonts w:ascii="Times New Roman"/>
                <w:sz w:val="21"/>
              </w:rPr>
            </w:pPr>
            <w:r>
              <w:rPr>
                <w:rFonts w:ascii="Times New Roman"/>
                <w:sz w:val="21"/>
              </w:rPr>
              <w:t>0.38</w:t>
            </w:r>
          </w:p>
        </w:tc>
        <w:tc>
          <w:tcPr>
            <w:tcW w:w="922" w:type="dxa"/>
          </w:tcPr>
          <w:p>
            <w:pPr>
              <w:pStyle w:val="TableParagraph"/>
              <w:spacing w:before="9" w:line="233" w:lineRule="exact"/>
              <w:ind w:left="199"/>
              <w:rPr>
                <w:rFonts w:ascii="Times New Roman"/>
                <w:sz w:val="21"/>
              </w:rPr>
            </w:pPr>
            <w:r>
              <w:rPr>
                <w:rFonts w:ascii="Times New Roman"/>
                <w:sz w:val="21"/>
              </w:rPr>
              <w:t>0.35</w:t>
            </w:r>
          </w:p>
        </w:tc>
        <w:tc>
          <w:tcPr>
            <w:tcW w:w="921" w:type="dxa"/>
          </w:tcPr>
          <w:p>
            <w:pPr>
              <w:pStyle w:val="TableParagraph"/>
              <w:spacing w:before="9" w:line="233" w:lineRule="exact"/>
              <w:ind w:left="201"/>
              <w:rPr>
                <w:rFonts w:ascii="Times New Roman"/>
                <w:sz w:val="21"/>
              </w:rPr>
            </w:pPr>
            <w:r>
              <w:rPr>
                <w:rFonts w:ascii="Times New Roman"/>
                <w:sz w:val="21"/>
              </w:rPr>
              <w:t>0.45</w:t>
            </w:r>
          </w:p>
        </w:tc>
        <w:tc>
          <w:tcPr>
            <w:tcW w:w="922" w:type="dxa"/>
          </w:tcPr>
          <w:p>
            <w:pPr>
              <w:pStyle w:val="TableParagraph"/>
              <w:spacing w:before="9" w:line="233" w:lineRule="exact"/>
              <w:ind w:left="199"/>
              <w:rPr>
                <w:rFonts w:ascii="Times New Roman"/>
                <w:sz w:val="21"/>
              </w:rPr>
            </w:pPr>
            <w:r>
              <w:rPr>
                <w:rFonts w:ascii="Times New Roman"/>
                <w:sz w:val="21"/>
              </w:rPr>
              <w:t>0.42</w:t>
            </w:r>
          </w:p>
        </w:tc>
      </w:tr>
      <w:tr>
        <w:tblPrEx>
          <w:tblW w:w="0" w:type="auto"/>
          <w:tblInd w:w="1500" w:type="dxa"/>
          <w:tblLayout w:type="fixed"/>
          <w:tblCellMar>
            <w:top w:w="0" w:type="dxa"/>
            <w:left w:w="0" w:type="dxa"/>
            <w:bottom w:w="0" w:type="dxa"/>
            <w:right w:w="0" w:type="dxa"/>
          </w:tblCellMar>
        </w:tblPrEx>
        <w:trPr>
          <w:trHeight w:val="261"/>
        </w:trPr>
        <w:tc>
          <w:tcPr>
            <w:tcW w:w="1228" w:type="dxa"/>
            <w:vMerge w:val="restart"/>
          </w:tcPr>
          <w:p>
            <w:pPr>
              <w:pStyle w:val="TableParagraph"/>
              <w:spacing w:before="131"/>
              <w:ind w:right="139"/>
              <w:jc w:val="center"/>
              <w:rPr>
                <w:sz w:val="21"/>
              </w:rPr>
            </w:pPr>
            <w:r>
              <w:rPr>
                <w:w w:val="99"/>
                <w:sz w:val="21"/>
              </w:rPr>
              <w:t>氨</w:t>
            </w:r>
          </w:p>
        </w:tc>
        <w:tc>
          <w:tcPr>
            <w:tcW w:w="761" w:type="dxa"/>
          </w:tcPr>
          <w:p>
            <w:pPr>
              <w:pStyle w:val="TableParagraph"/>
              <w:spacing w:before="10" w:line="231" w:lineRule="exact"/>
              <w:ind w:left="153"/>
              <w:rPr>
                <w:rFonts w:ascii="Times New Roman"/>
                <w:sz w:val="21"/>
              </w:rPr>
            </w:pPr>
            <w:r>
              <w:rPr>
                <w:rFonts w:ascii="Times New Roman"/>
                <w:sz w:val="21"/>
              </w:rPr>
              <w:t>W1</w:t>
            </w:r>
          </w:p>
        </w:tc>
        <w:tc>
          <w:tcPr>
            <w:tcW w:w="921" w:type="dxa"/>
          </w:tcPr>
          <w:p>
            <w:pPr>
              <w:pStyle w:val="TableParagraph"/>
              <w:spacing w:before="10" w:line="231" w:lineRule="exact"/>
              <w:ind w:left="201"/>
              <w:rPr>
                <w:rFonts w:ascii="Times New Roman"/>
                <w:sz w:val="21"/>
              </w:rPr>
            </w:pPr>
            <w:r>
              <w:rPr>
                <w:rFonts w:ascii="Times New Roman"/>
                <w:sz w:val="21"/>
              </w:rPr>
              <w:t>0.28</w:t>
            </w:r>
          </w:p>
        </w:tc>
        <w:tc>
          <w:tcPr>
            <w:tcW w:w="922" w:type="dxa"/>
          </w:tcPr>
          <w:p>
            <w:pPr>
              <w:pStyle w:val="TableParagraph"/>
              <w:spacing w:before="10" w:line="231" w:lineRule="exact"/>
              <w:ind w:left="199"/>
              <w:rPr>
                <w:rFonts w:ascii="Times New Roman"/>
                <w:sz w:val="21"/>
              </w:rPr>
            </w:pPr>
            <w:r>
              <w:rPr>
                <w:rFonts w:ascii="Times New Roman"/>
                <w:sz w:val="21"/>
              </w:rPr>
              <w:t>0.65</w:t>
            </w:r>
          </w:p>
        </w:tc>
        <w:tc>
          <w:tcPr>
            <w:tcW w:w="921" w:type="dxa"/>
          </w:tcPr>
          <w:p>
            <w:pPr>
              <w:pStyle w:val="TableParagraph"/>
              <w:spacing w:before="10" w:line="231" w:lineRule="exact"/>
              <w:ind w:left="201"/>
              <w:rPr>
                <w:rFonts w:ascii="Times New Roman"/>
                <w:sz w:val="21"/>
              </w:rPr>
            </w:pPr>
            <w:r>
              <w:rPr>
                <w:rFonts w:ascii="Times New Roman"/>
                <w:sz w:val="21"/>
              </w:rPr>
              <w:t>0.33</w:t>
            </w:r>
          </w:p>
        </w:tc>
        <w:tc>
          <w:tcPr>
            <w:tcW w:w="922" w:type="dxa"/>
          </w:tcPr>
          <w:p>
            <w:pPr>
              <w:pStyle w:val="TableParagraph"/>
              <w:spacing w:before="10" w:line="231" w:lineRule="exact"/>
              <w:ind w:left="199"/>
              <w:rPr>
                <w:rFonts w:ascii="Times New Roman"/>
                <w:sz w:val="21"/>
              </w:rPr>
            </w:pPr>
            <w:r>
              <w:rPr>
                <w:rFonts w:ascii="Times New Roman"/>
                <w:sz w:val="21"/>
              </w:rPr>
              <w:t>0.31</w:t>
            </w:r>
          </w:p>
        </w:tc>
        <w:tc>
          <w:tcPr>
            <w:tcW w:w="921" w:type="dxa"/>
          </w:tcPr>
          <w:p>
            <w:pPr>
              <w:pStyle w:val="TableParagraph"/>
              <w:spacing w:before="10" w:line="231" w:lineRule="exact"/>
              <w:ind w:left="201"/>
              <w:rPr>
                <w:rFonts w:ascii="Times New Roman"/>
                <w:sz w:val="21"/>
              </w:rPr>
            </w:pPr>
            <w:r>
              <w:rPr>
                <w:rFonts w:ascii="Times New Roman"/>
                <w:sz w:val="21"/>
              </w:rPr>
              <w:t>0.58</w:t>
            </w:r>
          </w:p>
        </w:tc>
        <w:tc>
          <w:tcPr>
            <w:tcW w:w="922" w:type="dxa"/>
          </w:tcPr>
          <w:p>
            <w:pPr>
              <w:pStyle w:val="TableParagraph"/>
              <w:spacing w:before="10" w:line="231" w:lineRule="exact"/>
              <w:ind w:left="199"/>
              <w:rPr>
                <w:rFonts w:ascii="Times New Roman"/>
                <w:sz w:val="21"/>
              </w:rPr>
            </w:pPr>
            <w:r>
              <w:rPr>
                <w:rFonts w:ascii="Times New Roman"/>
                <w:sz w:val="21"/>
              </w:rPr>
              <w:t>0.25</w:t>
            </w:r>
          </w:p>
        </w:tc>
      </w:tr>
      <w:tr>
        <w:tblPrEx>
          <w:tblW w:w="0" w:type="auto"/>
          <w:tblInd w:w="1500" w:type="dxa"/>
          <w:tblLayout w:type="fixed"/>
          <w:tblCellMar>
            <w:top w:w="0" w:type="dxa"/>
            <w:left w:w="0" w:type="dxa"/>
            <w:bottom w:w="0" w:type="dxa"/>
            <w:right w:w="0" w:type="dxa"/>
          </w:tblCellMar>
        </w:tblPrEx>
        <w:trPr>
          <w:trHeight w:val="262"/>
        </w:trPr>
        <w:tc>
          <w:tcPr>
            <w:tcW w:w="1228" w:type="dxa"/>
            <w:vMerge/>
            <w:tcBorders>
              <w:top w:val="nil"/>
            </w:tcBorders>
          </w:tcPr>
          <w:p>
            <w:pPr>
              <w:rPr>
                <w:sz w:val="2"/>
                <w:szCs w:val="2"/>
              </w:rPr>
            </w:pPr>
          </w:p>
        </w:tc>
        <w:tc>
          <w:tcPr>
            <w:tcW w:w="761" w:type="dxa"/>
          </w:tcPr>
          <w:p>
            <w:pPr>
              <w:pStyle w:val="TableParagraph"/>
              <w:spacing w:before="9" w:line="232" w:lineRule="exact"/>
              <w:ind w:left="153"/>
              <w:rPr>
                <w:rFonts w:ascii="Times New Roman"/>
                <w:sz w:val="21"/>
              </w:rPr>
            </w:pPr>
            <w:r>
              <w:rPr>
                <w:rFonts w:ascii="Times New Roman"/>
                <w:sz w:val="21"/>
              </w:rPr>
              <w:t>W2</w:t>
            </w:r>
          </w:p>
        </w:tc>
        <w:tc>
          <w:tcPr>
            <w:tcW w:w="921" w:type="dxa"/>
          </w:tcPr>
          <w:p>
            <w:pPr>
              <w:pStyle w:val="TableParagraph"/>
              <w:spacing w:before="9" w:line="232" w:lineRule="exact"/>
              <w:ind w:left="201"/>
              <w:rPr>
                <w:rFonts w:ascii="Times New Roman"/>
                <w:sz w:val="21"/>
              </w:rPr>
            </w:pPr>
            <w:r>
              <w:rPr>
                <w:rFonts w:ascii="Times New Roman"/>
                <w:sz w:val="21"/>
              </w:rPr>
              <w:t>0.17</w:t>
            </w:r>
          </w:p>
        </w:tc>
        <w:tc>
          <w:tcPr>
            <w:tcW w:w="922" w:type="dxa"/>
          </w:tcPr>
          <w:p>
            <w:pPr>
              <w:pStyle w:val="TableParagraph"/>
              <w:spacing w:before="9" w:line="232" w:lineRule="exact"/>
              <w:ind w:left="199"/>
              <w:rPr>
                <w:rFonts w:ascii="Times New Roman"/>
                <w:sz w:val="21"/>
              </w:rPr>
            </w:pPr>
            <w:r>
              <w:rPr>
                <w:rFonts w:ascii="Times New Roman"/>
                <w:sz w:val="21"/>
              </w:rPr>
              <w:t>0.41</w:t>
            </w:r>
          </w:p>
        </w:tc>
        <w:tc>
          <w:tcPr>
            <w:tcW w:w="921" w:type="dxa"/>
          </w:tcPr>
          <w:p>
            <w:pPr>
              <w:pStyle w:val="TableParagraph"/>
              <w:spacing w:before="9" w:line="232" w:lineRule="exact"/>
              <w:ind w:left="201"/>
              <w:rPr>
                <w:rFonts w:ascii="Times New Roman"/>
                <w:sz w:val="21"/>
              </w:rPr>
            </w:pPr>
            <w:r>
              <w:rPr>
                <w:rFonts w:ascii="Times New Roman"/>
                <w:sz w:val="21"/>
              </w:rPr>
              <w:t>0.16</w:t>
            </w:r>
          </w:p>
        </w:tc>
        <w:tc>
          <w:tcPr>
            <w:tcW w:w="922" w:type="dxa"/>
          </w:tcPr>
          <w:p>
            <w:pPr>
              <w:pStyle w:val="TableParagraph"/>
              <w:spacing w:before="9" w:line="232" w:lineRule="exact"/>
              <w:ind w:left="199"/>
              <w:rPr>
                <w:rFonts w:ascii="Times New Roman"/>
                <w:sz w:val="21"/>
              </w:rPr>
            </w:pPr>
            <w:r>
              <w:rPr>
                <w:rFonts w:ascii="Times New Roman"/>
                <w:sz w:val="21"/>
              </w:rPr>
              <w:t>0.70</w:t>
            </w:r>
          </w:p>
        </w:tc>
        <w:tc>
          <w:tcPr>
            <w:tcW w:w="921" w:type="dxa"/>
          </w:tcPr>
          <w:p>
            <w:pPr>
              <w:pStyle w:val="TableParagraph"/>
              <w:spacing w:before="9" w:line="232" w:lineRule="exact"/>
              <w:ind w:left="201"/>
              <w:rPr>
                <w:rFonts w:ascii="Times New Roman"/>
                <w:sz w:val="21"/>
              </w:rPr>
            </w:pPr>
            <w:r>
              <w:rPr>
                <w:rFonts w:ascii="Times New Roman"/>
                <w:sz w:val="21"/>
              </w:rPr>
              <w:t>0.21</w:t>
            </w:r>
          </w:p>
        </w:tc>
        <w:tc>
          <w:tcPr>
            <w:tcW w:w="922" w:type="dxa"/>
          </w:tcPr>
          <w:p>
            <w:pPr>
              <w:pStyle w:val="TableParagraph"/>
              <w:spacing w:before="9" w:line="232" w:lineRule="exact"/>
              <w:ind w:left="199"/>
              <w:rPr>
                <w:rFonts w:ascii="Times New Roman"/>
                <w:sz w:val="21"/>
              </w:rPr>
            </w:pPr>
            <w:r>
              <w:rPr>
                <w:rFonts w:ascii="Times New Roman"/>
                <w:sz w:val="21"/>
              </w:rPr>
              <w:t>0.29</w:t>
            </w:r>
          </w:p>
        </w:tc>
      </w:tr>
      <w:tr>
        <w:tblPrEx>
          <w:tblW w:w="0" w:type="auto"/>
          <w:tblInd w:w="1500" w:type="dxa"/>
          <w:tblLayout w:type="fixed"/>
          <w:tblCellMar>
            <w:top w:w="0" w:type="dxa"/>
            <w:left w:w="0" w:type="dxa"/>
            <w:bottom w:w="0" w:type="dxa"/>
            <w:right w:w="0" w:type="dxa"/>
          </w:tblCellMar>
        </w:tblPrEx>
        <w:trPr>
          <w:trHeight w:val="262"/>
        </w:trPr>
        <w:tc>
          <w:tcPr>
            <w:tcW w:w="1228" w:type="dxa"/>
            <w:vMerge w:val="restart"/>
          </w:tcPr>
          <w:p>
            <w:pPr>
              <w:pStyle w:val="TableParagraph"/>
              <w:spacing w:before="145"/>
              <w:ind w:left="263"/>
              <w:rPr>
                <w:rFonts w:ascii="Times New Roman"/>
                <w:sz w:val="21"/>
              </w:rPr>
            </w:pPr>
            <w:r>
              <w:rPr>
                <w:rFonts w:ascii="Times New Roman"/>
                <w:sz w:val="21"/>
              </w:rPr>
              <w:t>BOD5</w:t>
            </w:r>
          </w:p>
        </w:tc>
        <w:tc>
          <w:tcPr>
            <w:tcW w:w="761" w:type="dxa"/>
          </w:tcPr>
          <w:p>
            <w:pPr>
              <w:pStyle w:val="TableParagraph"/>
              <w:spacing w:before="9" w:line="233" w:lineRule="exact"/>
              <w:ind w:left="153"/>
              <w:rPr>
                <w:rFonts w:ascii="Times New Roman"/>
                <w:sz w:val="21"/>
              </w:rPr>
            </w:pPr>
            <w:r>
              <w:rPr>
                <w:rFonts w:ascii="Times New Roman"/>
                <w:sz w:val="21"/>
              </w:rPr>
              <w:t>W1</w:t>
            </w:r>
          </w:p>
        </w:tc>
        <w:tc>
          <w:tcPr>
            <w:tcW w:w="921" w:type="dxa"/>
          </w:tcPr>
          <w:p>
            <w:pPr>
              <w:pStyle w:val="TableParagraph"/>
              <w:spacing w:before="9" w:line="233" w:lineRule="exact"/>
              <w:ind w:left="201"/>
              <w:rPr>
                <w:rFonts w:ascii="Times New Roman"/>
                <w:sz w:val="21"/>
              </w:rPr>
            </w:pPr>
            <w:r>
              <w:rPr>
                <w:rFonts w:ascii="Times New Roman"/>
                <w:sz w:val="21"/>
              </w:rPr>
              <w:t>0.25</w:t>
            </w:r>
          </w:p>
        </w:tc>
        <w:tc>
          <w:tcPr>
            <w:tcW w:w="922" w:type="dxa"/>
          </w:tcPr>
          <w:p>
            <w:pPr>
              <w:pStyle w:val="TableParagraph"/>
              <w:spacing w:before="9" w:line="233" w:lineRule="exact"/>
              <w:ind w:left="199"/>
              <w:rPr>
                <w:rFonts w:ascii="Times New Roman"/>
                <w:sz w:val="21"/>
              </w:rPr>
            </w:pPr>
            <w:r>
              <w:rPr>
                <w:rFonts w:ascii="Times New Roman"/>
                <w:sz w:val="21"/>
              </w:rPr>
              <w:t>0.15</w:t>
            </w:r>
          </w:p>
        </w:tc>
        <w:tc>
          <w:tcPr>
            <w:tcW w:w="921" w:type="dxa"/>
          </w:tcPr>
          <w:p>
            <w:pPr>
              <w:pStyle w:val="TableParagraph"/>
              <w:spacing w:before="9" w:line="233" w:lineRule="exact"/>
              <w:ind w:left="201"/>
              <w:rPr>
                <w:rFonts w:ascii="Times New Roman"/>
                <w:sz w:val="21"/>
              </w:rPr>
            </w:pPr>
            <w:r>
              <w:rPr>
                <w:rFonts w:ascii="Times New Roman"/>
                <w:sz w:val="21"/>
              </w:rPr>
              <w:t>0.15</w:t>
            </w:r>
          </w:p>
        </w:tc>
        <w:tc>
          <w:tcPr>
            <w:tcW w:w="922" w:type="dxa"/>
          </w:tcPr>
          <w:p>
            <w:pPr>
              <w:pStyle w:val="TableParagraph"/>
              <w:spacing w:before="9" w:line="233" w:lineRule="exact"/>
              <w:ind w:left="199"/>
              <w:rPr>
                <w:rFonts w:ascii="Times New Roman"/>
                <w:sz w:val="21"/>
              </w:rPr>
            </w:pPr>
            <w:r>
              <w:rPr>
                <w:rFonts w:ascii="Times New Roman"/>
                <w:sz w:val="21"/>
              </w:rPr>
              <w:t>0.10</w:t>
            </w:r>
          </w:p>
        </w:tc>
        <w:tc>
          <w:tcPr>
            <w:tcW w:w="921" w:type="dxa"/>
          </w:tcPr>
          <w:p>
            <w:pPr>
              <w:pStyle w:val="TableParagraph"/>
              <w:spacing w:before="9" w:line="233" w:lineRule="exact"/>
              <w:ind w:left="201"/>
              <w:rPr>
                <w:rFonts w:ascii="Times New Roman"/>
                <w:sz w:val="21"/>
              </w:rPr>
            </w:pPr>
            <w:r>
              <w:rPr>
                <w:rFonts w:ascii="Times New Roman"/>
                <w:sz w:val="21"/>
              </w:rPr>
              <w:t>0.20</w:t>
            </w:r>
          </w:p>
        </w:tc>
        <w:tc>
          <w:tcPr>
            <w:tcW w:w="922" w:type="dxa"/>
          </w:tcPr>
          <w:p>
            <w:pPr>
              <w:pStyle w:val="TableParagraph"/>
              <w:spacing w:before="9" w:line="233" w:lineRule="exact"/>
              <w:ind w:left="199"/>
              <w:rPr>
                <w:rFonts w:ascii="Times New Roman"/>
                <w:sz w:val="21"/>
              </w:rPr>
            </w:pPr>
            <w:r>
              <w:rPr>
                <w:rFonts w:ascii="Times New Roman"/>
                <w:sz w:val="21"/>
              </w:rPr>
              <w:t>0.15</w:t>
            </w:r>
          </w:p>
        </w:tc>
      </w:tr>
      <w:tr>
        <w:tblPrEx>
          <w:tblW w:w="0" w:type="auto"/>
          <w:tblInd w:w="1500" w:type="dxa"/>
          <w:tblLayout w:type="fixed"/>
          <w:tblCellMar>
            <w:top w:w="0" w:type="dxa"/>
            <w:left w:w="0" w:type="dxa"/>
            <w:bottom w:w="0" w:type="dxa"/>
            <w:right w:w="0" w:type="dxa"/>
          </w:tblCellMar>
        </w:tblPrEx>
        <w:trPr>
          <w:trHeight w:val="262"/>
        </w:trPr>
        <w:tc>
          <w:tcPr>
            <w:tcW w:w="1228" w:type="dxa"/>
            <w:vMerge/>
            <w:tcBorders>
              <w:top w:val="nil"/>
            </w:tcBorders>
          </w:tcPr>
          <w:p>
            <w:pPr>
              <w:rPr>
                <w:sz w:val="2"/>
                <w:szCs w:val="2"/>
              </w:rPr>
            </w:pPr>
          </w:p>
        </w:tc>
        <w:tc>
          <w:tcPr>
            <w:tcW w:w="761" w:type="dxa"/>
          </w:tcPr>
          <w:p>
            <w:pPr>
              <w:pStyle w:val="TableParagraph"/>
              <w:spacing w:before="10" w:line="231" w:lineRule="exact"/>
              <w:ind w:left="153"/>
              <w:rPr>
                <w:rFonts w:ascii="Times New Roman"/>
                <w:sz w:val="21"/>
              </w:rPr>
            </w:pPr>
            <w:r>
              <w:rPr>
                <w:rFonts w:ascii="Times New Roman"/>
                <w:sz w:val="21"/>
              </w:rPr>
              <w:t>W2</w:t>
            </w:r>
          </w:p>
        </w:tc>
        <w:tc>
          <w:tcPr>
            <w:tcW w:w="921" w:type="dxa"/>
          </w:tcPr>
          <w:p>
            <w:pPr>
              <w:pStyle w:val="TableParagraph"/>
              <w:spacing w:before="10" w:line="231" w:lineRule="exact"/>
              <w:ind w:left="201"/>
              <w:rPr>
                <w:rFonts w:ascii="Times New Roman"/>
                <w:sz w:val="21"/>
              </w:rPr>
            </w:pPr>
            <w:r>
              <w:rPr>
                <w:rFonts w:ascii="Times New Roman"/>
                <w:sz w:val="21"/>
              </w:rPr>
              <w:t>0.18</w:t>
            </w:r>
          </w:p>
        </w:tc>
        <w:tc>
          <w:tcPr>
            <w:tcW w:w="922" w:type="dxa"/>
          </w:tcPr>
          <w:p>
            <w:pPr>
              <w:pStyle w:val="TableParagraph"/>
              <w:spacing w:before="10" w:line="231" w:lineRule="exact"/>
              <w:ind w:left="199"/>
              <w:rPr>
                <w:rFonts w:ascii="Times New Roman"/>
                <w:sz w:val="21"/>
              </w:rPr>
            </w:pPr>
            <w:r>
              <w:rPr>
                <w:rFonts w:ascii="Times New Roman"/>
                <w:sz w:val="21"/>
              </w:rPr>
              <w:t>0.13</w:t>
            </w:r>
          </w:p>
        </w:tc>
        <w:tc>
          <w:tcPr>
            <w:tcW w:w="921" w:type="dxa"/>
          </w:tcPr>
          <w:p>
            <w:pPr>
              <w:pStyle w:val="TableParagraph"/>
              <w:spacing w:before="10" w:line="231" w:lineRule="exact"/>
              <w:ind w:left="201"/>
              <w:rPr>
                <w:rFonts w:ascii="Times New Roman"/>
                <w:sz w:val="21"/>
              </w:rPr>
            </w:pPr>
            <w:r>
              <w:rPr>
                <w:rFonts w:ascii="Times New Roman"/>
                <w:sz w:val="21"/>
              </w:rPr>
              <w:t>0.10</w:t>
            </w:r>
          </w:p>
        </w:tc>
        <w:tc>
          <w:tcPr>
            <w:tcW w:w="922" w:type="dxa"/>
          </w:tcPr>
          <w:p>
            <w:pPr>
              <w:pStyle w:val="TableParagraph"/>
              <w:spacing w:before="10" w:line="231" w:lineRule="exact"/>
              <w:ind w:left="199"/>
              <w:rPr>
                <w:rFonts w:ascii="Times New Roman"/>
                <w:sz w:val="21"/>
              </w:rPr>
            </w:pPr>
            <w:r>
              <w:rPr>
                <w:rFonts w:ascii="Times New Roman"/>
                <w:sz w:val="21"/>
              </w:rPr>
              <w:t>0.13</w:t>
            </w:r>
          </w:p>
        </w:tc>
        <w:tc>
          <w:tcPr>
            <w:tcW w:w="921" w:type="dxa"/>
          </w:tcPr>
          <w:p>
            <w:pPr>
              <w:pStyle w:val="TableParagraph"/>
              <w:spacing w:before="10" w:line="231" w:lineRule="exact"/>
              <w:ind w:left="201"/>
              <w:rPr>
                <w:rFonts w:ascii="Times New Roman"/>
                <w:sz w:val="21"/>
              </w:rPr>
            </w:pPr>
            <w:r>
              <w:rPr>
                <w:rFonts w:ascii="Times New Roman"/>
                <w:sz w:val="21"/>
              </w:rPr>
              <w:t>0.15</w:t>
            </w:r>
          </w:p>
        </w:tc>
        <w:tc>
          <w:tcPr>
            <w:tcW w:w="922" w:type="dxa"/>
          </w:tcPr>
          <w:p>
            <w:pPr>
              <w:pStyle w:val="TableParagraph"/>
              <w:spacing w:before="10" w:line="231" w:lineRule="exact"/>
              <w:ind w:left="199"/>
              <w:rPr>
                <w:rFonts w:ascii="Times New Roman"/>
                <w:sz w:val="21"/>
              </w:rPr>
            </w:pPr>
            <w:r>
              <w:rPr>
                <w:rFonts w:ascii="Times New Roman"/>
                <w:sz w:val="21"/>
              </w:rPr>
              <w:t>0.18</w:t>
            </w:r>
          </w:p>
        </w:tc>
      </w:tr>
      <w:tr>
        <w:tblPrEx>
          <w:tblW w:w="0" w:type="auto"/>
          <w:tblInd w:w="1500" w:type="dxa"/>
          <w:tblLayout w:type="fixed"/>
          <w:tblCellMar>
            <w:top w:w="0" w:type="dxa"/>
            <w:left w:w="0" w:type="dxa"/>
            <w:bottom w:w="0" w:type="dxa"/>
            <w:right w:w="0" w:type="dxa"/>
          </w:tblCellMar>
        </w:tblPrEx>
        <w:trPr>
          <w:trHeight w:val="262"/>
        </w:trPr>
        <w:tc>
          <w:tcPr>
            <w:tcW w:w="1228" w:type="dxa"/>
            <w:vMerge w:val="restart"/>
          </w:tcPr>
          <w:p>
            <w:pPr>
              <w:pStyle w:val="TableParagraph"/>
              <w:spacing w:before="146"/>
              <w:ind w:left="401" w:right="542"/>
              <w:jc w:val="center"/>
              <w:rPr>
                <w:rFonts w:ascii="Times New Roman"/>
                <w:sz w:val="21"/>
              </w:rPr>
            </w:pPr>
            <w:r>
              <w:rPr>
                <w:rFonts w:ascii="Times New Roman"/>
                <w:sz w:val="21"/>
              </w:rPr>
              <w:t>SS</w:t>
            </w:r>
          </w:p>
        </w:tc>
        <w:tc>
          <w:tcPr>
            <w:tcW w:w="761" w:type="dxa"/>
          </w:tcPr>
          <w:p>
            <w:pPr>
              <w:pStyle w:val="TableParagraph"/>
              <w:spacing w:before="9" w:line="232" w:lineRule="exact"/>
              <w:ind w:left="153"/>
              <w:rPr>
                <w:rFonts w:ascii="Times New Roman"/>
                <w:sz w:val="21"/>
              </w:rPr>
            </w:pPr>
            <w:r>
              <w:rPr>
                <w:rFonts w:ascii="Times New Roman"/>
                <w:sz w:val="21"/>
              </w:rPr>
              <w:t>W1</w:t>
            </w:r>
          </w:p>
        </w:tc>
        <w:tc>
          <w:tcPr>
            <w:tcW w:w="921" w:type="dxa"/>
          </w:tcPr>
          <w:p>
            <w:pPr>
              <w:pStyle w:val="TableParagraph"/>
              <w:spacing w:before="9" w:line="232" w:lineRule="exact"/>
              <w:ind w:left="201"/>
              <w:rPr>
                <w:rFonts w:ascii="Times New Roman"/>
                <w:sz w:val="21"/>
              </w:rPr>
            </w:pPr>
            <w:r>
              <w:rPr>
                <w:rFonts w:ascii="Times New Roman"/>
                <w:sz w:val="21"/>
              </w:rPr>
              <w:t>0.01</w:t>
            </w:r>
          </w:p>
        </w:tc>
        <w:tc>
          <w:tcPr>
            <w:tcW w:w="922" w:type="dxa"/>
          </w:tcPr>
          <w:p>
            <w:pPr>
              <w:pStyle w:val="TableParagraph"/>
              <w:spacing w:before="9" w:line="232" w:lineRule="exact"/>
              <w:ind w:left="199"/>
              <w:rPr>
                <w:rFonts w:ascii="Times New Roman"/>
                <w:sz w:val="21"/>
              </w:rPr>
            </w:pPr>
            <w:r>
              <w:rPr>
                <w:rFonts w:ascii="Times New Roman"/>
                <w:sz w:val="21"/>
              </w:rPr>
              <w:t>0.01</w:t>
            </w:r>
          </w:p>
        </w:tc>
        <w:tc>
          <w:tcPr>
            <w:tcW w:w="921" w:type="dxa"/>
          </w:tcPr>
          <w:p>
            <w:pPr>
              <w:pStyle w:val="TableParagraph"/>
              <w:spacing w:before="9" w:line="232" w:lineRule="exact"/>
              <w:ind w:left="201"/>
              <w:rPr>
                <w:rFonts w:ascii="Times New Roman"/>
                <w:sz w:val="21"/>
              </w:rPr>
            </w:pPr>
            <w:r>
              <w:rPr>
                <w:rFonts w:ascii="Times New Roman"/>
                <w:sz w:val="21"/>
              </w:rPr>
              <w:t>0.01</w:t>
            </w:r>
          </w:p>
        </w:tc>
        <w:tc>
          <w:tcPr>
            <w:tcW w:w="922" w:type="dxa"/>
          </w:tcPr>
          <w:p>
            <w:pPr>
              <w:pStyle w:val="TableParagraph"/>
              <w:spacing w:before="9" w:line="232" w:lineRule="exact"/>
              <w:ind w:left="199"/>
              <w:rPr>
                <w:rFonts w:ascii="Times New Roman"/>
                <w:sz w:val="21"/>
              </w:rPr>
            </w:pPr>
            <w:r>
              <w:rPr>
                <w:rFonts w:ascii="Times New Roman"/>
                <w:sz w:val="21"/>
              </w:rPr>
              <w:t>0.01</w:t>
            </w:r>
          </w:p>
        </w:tc>
        <w:tc>
          <w:tcPr>
            <w:tcW w:w="921" w:type="dxa"/>
          </w:tcPr>
          <w:p>
            <w:pPr>
              <w:pStyle w:val="TableParagraph"/>
              <w:spacing w:before="9" w:line="232" w:lineRule="exact"/>
              <w:ind w:left="201"/>
              <w:rPr>
                <w:rFonts w:ascii="Times New Roman"/>
                <w:sz w:val="21"/>
              </w:rPr>
            </w:pPr>
            <w:r>
              <w:rPr>
                <w:rFonts w:ascii="Times New Roman"/>
                <w:sz w:val="21"/>
              </w:rPr>
              <w:t>0.01</w:t>
            </w:r>
          </w:p>
        </w:tc>
        <w:tc>
          <w:tcPr>
            <w:tcW w:w="922" w:type="dxa"/>
          </w:tcPr>
          <w:p>
            <w:pPr>
              <w:pStyle w:val="TableParagraph"/>
              <w:spacing w:before="9" w:line="232" w:lineRule="exact"/>
              <w:ind w:left="199"/>
              <w:rPr>
                <w:rFonts w:ascii="Times New Roman"/>
                <w:sz w:val="21"/>
              </w:rPr>
            </w:pPr>
            <w:r>
              <w:rPr>
                <w:rFonts w:ascii="Times New Roman"/>
                <w:sz w:val="21"/>
              </w:rPr>
              <w:t>0.02</w:t>
            </w:r>
          </w:p>
        </w:tc>
      </w:tr>
      <w:tr>
        <w:tblPrEx>
          <w:tblW w:w="0" w:type="auto"/>
          <w:tblInd w:w="1500" w:type="dxa"/>
          <w:tblLayout w:type="fixed"/>
          <w:tblCellMar>
            <w:top w:w="0" w:type="dxa"/>
            <w:left w:w="0" w:type="dxa"/>
            <w:bottom w:w="0" w:type="dxa"/>
            <w:right w:w="0" w:type="dxa"/>
          </w:tblCellMar>
        </w:tblPrEx>
        <w:trPr>
          <w:trHeight w:val="261"/>
        </w:trPr>
        <w:tc>
          <w:tcPr>
            <w:tcW w:w="1228" w:type="dxa"/>
            <w:vMerge/>
            <w:tcBorders>
              <w:top w:val="nil"/>
            </w:tcBorders>
          </w:tcPr>
          <w:p>
            <w:pPr>
              <w:rPr>
                <w:sz w:val="2"/>
                <w:szCs w:val="2"/>
              </w:rPr>
            </w:pPr>
          </w:p>
        </w:tc>
        <w:tc>
          <w:tcPr>
            <w:tcW w:w="761" w:type="dxa"/>
          </w:tcPr>
          <w:p>
            <w:pPr>
              <w:pStyle w:val="TableParagraph"/>
              <w:spacing w:before="9" w:line="233" w:lineRule="exact"/>
              <w:ind w:left="153"/>
              <w:rPr>
                <w:rFonts w:ascii="Times New Roman"/>
                <w:sz w:val="21"/>
              </w:rPr>
            </w:pPr>
            <w:r>
              <w:rPr>
                <w:rFonts w:ascii="Times New Roman"/>
                <w:sz w:val="21"/>
              </w:rPr>
              <w:t>W2</w:t>
            </w:r>
          </w:p>
        </w:tc>
        <w:tc>
          <w:tcPr>
            <w:tcW w:w="921" w:type="dxa"/>
          </w:tcPr>
          <w:p>
            <w:pPr>
              <w:pStyle w:val="TableParagraph"/>
              <w:spacing w:before="9" w:line="233" w:lineRule="exact"/>
              <w:ind w:left="201"/>
              <w:rPr>
                <w:rFonts w:ascii="Times New Roman"/>
                <w:sz w:val="21"/>
              </w:rPr>
            </w:pPr>
            <w:r>
              <w:rPr>
                <w:rFonts w:ascii="Times New Roman"/>
                <w:sz w:val="21"/>
              </w:rPr>
              <w:t>0.01</w:t>
            </w:r>
          </w:p>
        </w:tc>
        <w:tc>
          <w:tcPr>
            <w:tcW w:w="922" w:type="dxa"/>
          </w:tcPr>
          <w:p>
            <w:pPr>
              <w:pStyle w:val="TableParagraph"/>
              <w:spacing w:before="9" w:line="233" w:lineRule="exact"/>
              <w:ind w:left="199"/>
              <w:rPr>
                <w:rFonts w:ascii="Times New Roman"/>
                <w:sz w:val="21"/>
              </w:rPr>
            </w:pPr>
            <w:r>
              <w:rPr>
                <w:rFonts w:ascii="Times New Roman"/>
                <w:sz w:val="21"/>
              </w:rPr>
              <w:t>0.02</w:t>
            </w:r>
          </w:p>
        </w:tc>
        <w:tc>
          <w:tcPr>
            <w:tcW w:w="921" w:type="dxa"/>
          </w:tcPr>
          <w:p>
            <w:pPr>
              <w:pStyle w:val="TableParagraph"/>
              <w:spacing w:before="9" w:line="233" w:lineRule="exact"/>
              <w:ind w:left="201"/>
              <w:rPr>
                <w:rFonts w:ascii="Times New Roman"/>
                <w:sz w:val="21"/>
              </w:rPr>
            </w:pPr>
            <w:r>
              <w:rPr>
                <w:rFonts w:ascii="Times New Roman"/>
                <w:sz w:val="21"/>
              </w:rPr>
              <w:t>0.01</w:t>
            </w:r>
          </w:p>
        </w:tc>
        <w:tc>
          <w:tcPr>
            <w:tcW w:w="922" w:type="dxa"/>
          </w:tcPr>
          <w:p>
            <w:pPr>
              <w:pStyle w:val="TableParagraph"/>
              <w:spacing w:before="9" w:line="233" w:lineRule="exact"/>
              <w:ind w:left="199"/>
              <w:rPr>
                <w:rFonts w:ascii="Times New Roman"/>
                <w:sz w:val="21"/>
              </w:rPr>
            </w:pPr>
            <w:r>
              <w:rPr>
                <w:rFonts w:ascii="Times New Roman"/>
                <w:sz w:val="21"/>
              </w:rPr>
              <w:t>0.02</w:t>
            </w:r>
          </w:p>
        </w:tc>
        <w:tc>
          <w:tcPr>
            <w:tcW w:w="921" w:type="dxa"/>
          </w:tcPr>
          <w:p>
            <w:pPr>
              <w:pStyle w:val="TableParagraph"/>
              <w:spacing w:before="9" w:line="233" w:lineRule="exact"/>
              <w:ind w:left="201"/>
              <w:rPr>
                <w:rFonts w:ascii="Times New Roman"/>
                <w:sz w:val="21"/>
              </w:rPr>
            </w:pPr>
            <w:r>
              <w:rPr>
                <w:rFonts w:ascii="Times New Roman"/>
                <w:sz w:val="21"/>
              </w:rPr>
              <w:t>0.01</w:t>
            </w:r>
          </w:p>
        </w:tc>
        <w:tc>
          <w:tcPr>
            <w:tcW w:w="922" w:type="dxa"/>
          </w:tcPr>
          <w:p>
            <w:pPr>
              <w:pStyle w:val="TableParagraph"/>
              <w:spacing w:before="9" w:line="233" w:lineRule="exact"/>
              <w:ind w:left="199"/>
              <w:rPr>
                <w:rFonts w:ascii="Times New Roman"/>
                <w:sz w:val="21"/>
              </w:rPr>
            </w:pPr>
            <w:r>
              <w:rPr>
                <w:rFonts w:ascii="Times New Roman"/>
                <w:sz w:val="21"/>
              </w:rPr>
              <w:t>0.02</w:t>
            </w:r>
          </w:p>
        </w:tc>
      </w:tr>
      <w:tr>
        <w:tblPrEx>
          <w:tblW w:w="0" w:type="auto"/>
          <w:tblInd w:w="1500" w:type="dxa"/>
          <w:tblLayout w:type="fixed"/>
          <w:tblCellMar>
            <w:top w:w="0" w:type="dxa"/>
            <w:left w:w="0" w:type="dxa"/>
            <w:bottom w:w="0" w:type="dxa"/>
            <w:right w:w="0" w:type="dxa"/>
          </w:tblCellMar>
        </w:tblPrEx>
        <w:trPr>
          <w:trHeight w:val="262"/>
        </w:trPr>
        <w:tc>
          <w:tcPr>
            <w:tcW w:w="1228" w:type="dxa"/>
            <w:vMerge w:val="restart"/>
          </w:tcPr>
          <w:p>
            <w:pPr>
              <w:pStyle w:val="TableParagraph"/>
              <w:spacing w:before="131"/>
              <w:ind w:left="251"/>
              <w:rPr>
                <w:sz w:val="21"/>
              </w:rPr>
            </w:pPr>
            <w:r>
              <w:rPr>
                <w:rFonts w:ascii="Times New Roman" w:eastAsia="Times New Roman"/>
                <w:sz w:val="21"/>
              </w:rPr>
              <w:t>pH</w:t>
            </w:r>
            <w:r>
              <w:rPr>
                <w:rFonts w:ascii="Times New Roman" w:eastAsia="Times New Roman"/>
                <w:spacing w:val="52"/>
                <w:sz w:val="21"/>
              </w:rPr>
              <w:t xml:space="preserve"> </w:t>
            </w:r>
            <w:r>
              <w:rPr>
                <w:sz w:val="21"/>
              </w:rPr>
              <w:t>值</w:t>
            </w:r>
          </w:p>
        </w:tc>
        <w:tc>
          <w:tcPr>
            <w:tcW w:w="761" w:type="dxa"/>
          </w:tcPr>
          <w:p>
            <w:pPr>
              <w:pStyle w:val="TableParagraph"/>
              <w:spacing w:before="10" w:line="231" w:lineRule="exact"/>
              <w:ind w:left="153"/>
              <w:rPr>
                <w:rFonts w:ascii="Times New Roman"/>
                <w:sz w:val="21"/>
              </w:rPr>
            </w:pPr>
            <w:r>
              <w:rPr>
                <w:rFonts w:ascii="Times New Roman"/>
                <w:sz w:val="21"/>
              </w:rPr>
              <w:t>W1</w:t>
            </w:r>
          </w:p>
        </w:tc>
        <w:tc>
          <w:tcPr>
            <w:tcW w:w="921" w:type="dxa"/>
          </w:tcPr>
          <w:p>
            <w:pPr>
              <w:pStyle w:val="TableParagraph"/>
              <w:spacing w:before="10" w:line="231" w:lineRule="exact"/>
              <w:ind w:left="201"/>
              <w:rPr>
                <w:rFonts w:ascii="Times New Roman"/>
                <w:sz w:val="21"/>
              </w:rPr>
            </w:pPr>
            <w:r>
              <w:rPr>
                <w:rFonts w:ascii="Times New Roman"/>
                <w:sz w:val="21"/>
              </w:rPr>
              <w:t>0.33</w:t>
            </w:r>
          </w:p>
        </w:tc>
        <w:tc>
          <w:tcPr>
            <w:tcW w:w="922" w:type="dxa"/>
          </w:tcPr>
          <w:p>
            <w:pPr>
              <w:pStyle w:val="TableParagraph"/>
              <w:spacing w:before="10" w:line="231" w:lineRule="exact"/>
              <w:ind w:left="204"/>
              <w:rPr>
                <w:rFonts w:ascii="Times New Roman"/>
                <w:sz w:val="21"/>
              </w:rPr>
            </w:pPr>
            <w:r>
              <w:rPr>
                <w:rFonts w:ascii="Times New Roman"/>
                <w:sz w:val="21"/>
              </w:rPr>
              <w:t>0.11</w:t>
            </w:r>
          </w:p>
        </w:tc>
        <w:tc>
          <w:tcPr>
            <w:tcW w:w="921" w:type="dxa"/>
          </w:tcPr>
          <w:p>
            <w:pPr>
              <w:pStyle w:val="TableParagraph"/>
              <w:spacing w:before="10" w:line="231" w:lineRule="exact"/>
              <w:ind w:left="201"/>
              <w:rPr>
                <w:rFonts w:ascii="Times New Roman"/>
                <w:sz w:val="21"/>
              </w:rPr>
            </w:pPr>
            <w:r>
              <w:rPr>
                <w:rFonts w:ascii="Times New Roman"/>
                <w:sz w:val="21"/>
              </w:rPr>
              <w:t>0.28</w:t>
            </w:r>
          </w:p>
        </w:tc>
        <w:tc>
          <w:tcPr>
            <w:tcW w:w="922" w:type="dxa"/>
          </w:tcPr>
          <w:p>
            <w:pPr>
              <w:pStyle w:val="TableParagraph"/>
              <w:spacing w:before="10" w:line="231" w:lineRule="exact"/>
              <w:ind w:left="199"/>
              <w:rPr>
                <w:rFonts w:ascii="Times New Roman"/>
                <w:sz w:val="21"/>
              </w:rPr>
            </w:pPr>
            <w:r>
              <w:rPr>
                <w:rFonts w:ascii="Times New Roman"/>
                <w:sz w:val="21"/>
              </w:rPr>
              <w:t>0.22</w:t>
            </w:r>
          </w:p>
        </w:tc>
        <w:tc>
          <w:tcPr>
            <w:tcW w:w="921" w:type="dxa"/>
          </w:tcPr>
          <w:p>
            <w:pPr>
              <w:pStyle w:val="TableParagraph"/>
              <w:spacing w:before="10" w:line="231" w:lineRule="exact"/>
              <w:ind w:left="201"/>
              <w:rPr>
                <w:rFonts w:ascii="Times New Roman"/>
                <w:sz w:val="21"/>
              </w:rPr>
            </w:pPr>
            <w:r>
              <w:rPr>
                <w:rFonts w:ascii="Times New Roman"/>
                <w:sz w:val="21"/>
              </w:rPr>
              <w:t>0.33</w:t>
            </w:r>
          </w:p>
        </w:tc>
        <w:tc>
          <w:tcPr>
            <w:tcW w:w="922" w:type="dxa"/>
          </w:tcPr>
          <w:p>
            <w:pPr>
              <w:pStyle w:val="TableParagraph"/>
              <w:spacing w:before="10" w:line="231" w:lineRule="exact"/>
              <w:ind w:left="199"/>
              <w:rPr>
                <w:rFonts w:ascii="Times New Roman"/>
                <w:sz w:val="21"/>
              </w:rPr>
            </w:pPr>
            <w:r>
              <w:rPr>
                <w:rFonts w:ascii="Times New Roman"/>
                <w:sz w:val="21"/>
              </w:rPr>
              <w:t>0.28</w:t>
            </w:r>
          </w:p>
        </w:tc>
      </w:tr>
      <w:tr>
        <w:tblPrEx>
          <w:tblW w:w="0" w:type="auto"/>
          <w:tblInd w:w="1500" w:type="dxa"/>
          <w:tblLayout w:type="fixed"/>
          <w:tblCellMar>
            <w:top w:w="0" w:type="dxa"/>
            <w:left w:w="0" w:type="dxa"/>
            <w:bottom w:w="0" w:type="dxa"/>
            <w:right w:w="0" w:type="dxa"/>
          </w:tblCellMar>
        </w:tblPrEx>
        <w:trPr>
          <w:trHeight w:val="262"/>
        </w:trPr>
        <w:tc>
          <w:tcPr>
            <w:tcW w:w="1228" w:type="dxa"/>
            <w:vMerge/>
            <w:tcBorders>
              <w:top w:val="nil"/>
            </w:tcBorders>
          </w:tcPr>
          <w:p>
            <w:pPr>
              <w:rPr>
                <w:sz w:val="2"/>
                <w:szCs w:val="2"/>
              </w:rPr>
            </w:pPr>
          </w:p>
        </w:tc>
        <w:tc>
          <w:tcPr>
            <w:tcW w:w="761" w:type="dxa"/>
          </w:tcPr>
          <w:p>
            <w:pPr>
              <w:pStyle w:val="TableParagraph"/>
              <w:spacing w:before="9" w:line="232" w:lineRule="exact"/>
              <w:ind w:left="153"/>
              <w:rPr>
                <w:rFonts w:ascii="Times New Roman"/>
                <w:sz w:val="21"/>
              </w:rPr>
            </w:pPr>
            <w:r>
              <w:rPr>
                <w:rFonts w:ascii="Times New Roman"/>
                <w:sz w:val="21"/>
              </w:rPr>
              <w:t>W2</w:t>
            </w:r>
          </w:p>
        </w:tc>
        <w:tc>
          <w:tcPr>
            <w:tcW w:w="921" w:type="dxa"/>
          </w:tcPr>
          <w:p>
            <w:pPr>
              <w:pStyle w:val="TableParagraph"/>
              <w:spacing w:before="9" w:line="232" w:lineRule="exact"/>
              <w:ind w:left="201"/>
              <w:rPr>
                <w:rFonts w:ascii="Times New Roman"/>
                <w:sz w:val="21"/>
              </w:rPr>
            </w:pPr>
            <w:r>
              <w:rPr>
                <w:rFonts w:ascii="Times New Roman"/>
                <w:sz w:val="21"/>
              </w:rPr>
              <w:t>0.28</w:t>
            </w:r>
          </w:p>
        </w:tc>
        <w:tc>
          <w:tcPr>
            <w:tcW w:w="922" w:type="dxa"/>
          </w:tcPr>
          <w:p>
            <w:pPr>
              <w:pStyle w:val="TableParagraph"/>
              <w:spacing w:before="9" w:line="232" w:lineRule="exact"/>
              <w:ind w:left="199"/>
              <w:rPr>
                <w:rFonts w:ascii="Times New Roman"/>
                <w:sz w:val="21"/>
              </w:rPr>
            </w:pPr>
            <w:r>
              <w:rPr>
                <w:rFonts w:ascii="Times New Roman"/>
                <w:sz w:val="21"/>
              </w:rPr>
              <w:t>0.22</w:t>
            </w:r>
          </w:p>
        </w:tc>
        <w:tc>
          <w:tcPr>
            <w:tcW w:w="921" w:type="dxa"/>
          </w:tcPr>
          <w:p>
            <w:pPr>
              <w:pStyle w:val="TableParagraph"/>
              <w:spacing w:before="9" w:line="232" w:lineRule="exact"/>
              <w:ind w:left="201"/>
              <w:rPr>
                <w:rFonts w:ascii="Times New Roman"/>
                <w:sz w:val="21"/>
              </w:rPr>
            </w:pPr>
            <w:r>
              <w:rPr>
                <w:rFonts w:ascii="Times New Roman"/>
                <w:sz w:val="21"/>
              </w:rPr>
              <w:t>0.28</w:t>
            </w:r>
          </w:p>
        </w:tc>
        <w:tc>
          <w:tcPr>
            <w:tcW w:w="922" w:type="dxa"/>
          </w:tcPr>
          <w:p>
            <w:pPr>
              <w:pStyle w:val="TableParagraph"/>
              <w:spacing w:before="9" w:line="232" w:lineRule="exact"/>
              <w:ind w:left="199"/>
              <w:rPr>
                <w:rFonts w:ascii="Times New Roman"/>
                <w:sz w:val="21"/>
              </w:rPr>
            </w:pPr>
            <w:r>
              <w:rPr>
                <w:rFonts w:ascii="Times New Roman"/>
                <w:sz w:val="21"/>
              </w:rPr>
              <w:t>0.17</w:t>
            </w:r>
          </w:p>
        </w:tc>
        <w:tc>
          <w:tcPr>
            <w:tcW w:w="921" w:type="dxa"/>
          </w:tcPr>
          <w:p>
            <w:pPr>
              <w:pStyle w:val="TableParagraph"/>
              <w:spacing w:before="9" w:line="232" w:lineRule="exact"/>
              <w:ind w:left="201"/>
              <w:rPr>
                <w:rFonts w:ascii="Times New Roman"/>
                <w:sz w:val="21"/>
              </w:rPr>
            </w:pPr>
            <w:r>
              <w:rPr>
                <w:rFonts w:ascii="Times New Roman"/>
                <w:sz w:val="21"/>
              </w:rPr>
              <w:t>0.28</w:t>
            </w:r>
          </w:p>
        </w:tc>
        <w:tc>
          <w:tcPr>
            <w:tcW w:w="922" w:type="dxa"/>
          </w:tcPr>
          <w:p>
            <w:pPr>
              <w:pStyle w:val="TableParagraph"/>
              <w:spacing w:before="9" w:line="232" w:lineRule="exact"/>
              <w:ind w:left="199"/>
              <w:rPr>
                <w:rFonts w:ascii="Times New Roman"/>
                <w:sz w:val="21"/>
              </w:rPr>
            </w:pPr>
            <w:r>
              <w:rPr>
                <w:rFonts w:ascii="Times New Roman"/>
                <w:sz w:val="21"/>
              </w:rPr>
              <w:t>0.28</w:t>
            </w:r>
          </w:p>
        </w:tc>
      </w:tr>
      <w:tr>
        <w:tblPrEx>
          <w:tblW w:w="0" w:type="auto"/>
          <w:tblInd w:w="1500" w:type="dxa"/>
          <w:tblLayout w:type="fixed"/>
          <w:tblCellMar>
            <w:top w:w="0" w:type="dxa"/>
            <w:left w:w="0" w:type="dxa"/>
            <w:bottom w:w="0" w:type="dxa"/>
            <w:right w:w="0" w:type="dxa"/>
          </w:tblCellMar>
        </w:tblPrEx>
        <w:trPr>
          <w:trHeight w:val="262"/>
        </w:trPr>
        <w:tc>
          <w:tcPr>
            <w:tcW w:w="1228" w:type="dxa"/>
            <w:vMerge w:val="restart"/>
          </w:tcPr>
          <w:p>
            <w:pPr>
              <w:pStyle w:val="TableParagraph"/>
              <w:spacing w:before="136"/>
              <w:ind w:left="222"/>
              <w:rPr>
                <w:sz w:val="21"/>
              </w:rPr>
            </w:pPr>
            <w:r>
              <w:rPr>
                <w:sz w:val="21"/>
              </w:rPr>
              <w:t>石油类</w:t>
            </w:r>
          </w:p>
        </w:tc>
        <w:tc>
          <w:tcPr>
            <w:tcW w:w="761" w:type="dxa"/>
          </w:tcPr>
          <w:p>
            <w:pPr>
              <w:pStyle w:val="TableParagraph"/>
              <w:spacing w:before="9" w:line="233" w:lineRule="exact"/>
              <w:ind w:left="153"/>
              <w:rPr>
                <w:rFonts w:ascii="Times New Roman"/>
                <w:sz w:val="21"/>
              </w:rPr>
            </w:pPr>
            <w:r>
              <w:rPr>
                <w:rFonts w:ascii="Times New Roman"/>
                <w:sz w:val="21"/>
              </w:rPr>
              <w:t>W1</w:t>
            </w:r>
          </w:p>
        </w:tc>
        <w:tc>
          <w:tcPr>
            <w:tcW w:w="921" w:type="dxa"/>
          </w:tcPr>
          <w:p>
            <w:pPr>
              <w:pStyle w:val="TableParagraph"/>
              <w:spacing w:before="9" w:line="233" w:lineRule="exact"/>
              <w:ind w:left="201"/>
              <w:rPr>
                <w:rFonts w:ascii="Times New Roman"/>
                <w:sz w:val="21"/>
              </w:rPr>
            </w:pPr>
            <w:r>
              <w:rPr>
                <w:rFonts w:ascii="Times New Roman"/>
                <w:sz w:val="21"/>
              </w:rPr>
              <w:t>0.17</w:t>
            </w:r>
          </w:p>
        </w:tc>
        <w:tc>
          <w:tcPr>
            <w:tcW w:w="922" w:type="dxa"/>
          </w:tcPr>
          <w:p>
            <w:pPr>
              <w:pStyle w:val="TableParagraph"/>
              <w:spacing w:before="9" w:line="233" w:lineRule="exact"/>
              <w:ind w:left="199"/>
              <w:rPr>
                <w:rFonts w:ascii="Times New Roman"/>
                <w:sz w:val="21"/>
              </w:rPr>
            </w:pPr>
            <w:r>
              <w:rPr>
                <w:rFonts w:ascii="Times New Roman"/>
                <w:sz w:val="21"/>
              </w:rPr>
              <w:t>0.22</w:t>
            </w:r>
          </w:p>
        </w:tc>
        <w:tc>
          <w:tcPr>
            <w:tcW w:w="921" w:type="dxa"/>
          </w:tcPr>
          <w:p>
            <w:pPr>
              <w:pStyle w:val="TableParagraph"/>
              <w:spacing w:before="9" w:line="233" w:lineRule="exact"/>
              <w:ind w:left="201"/>
              <w:rPr>
                <w:rFonts w:ascii="Times New Roman"/>
                <w:sz w:val="21"/>
              </w:rPr>
            </w:pPr>
            <w:r>
              <w:rPr>
                <w:rFonts w:ascii="Times New Roman"/>
                <w:sz w:val="21"/>
              </w:rPr>
              <w:t>0.16</w:t>
            </w:r>
          </w:p>
        </w:tc>
        <w:tc>
          <w:tcPr>
            <w:tcW w:w="922" w:type="dxa"/>
          </w:tcPr>
          <w:p>
            <w:pPr>
              <w:pStyle w:val="TableParagraph"/>
              <w:spacing w:before="9" w:line="233" w:lineRule="exact"/>
              <w:ind w:left="199"/>
              <w:rPr>
                <w:rFonts w:ascii="Times New Roman"/>
                <w:sz w:val="21"/>
              </w:rPr>
            </w:pPr>
            <w:r>
              <w:rPr>
                <w:rFonts w:ascii="Times New Roman"/>
                <w:sz w:val="21"/>
              </w:rPr>
              <w:t>0.22</w:t>
            </w:r>
          </w:p>
        </w:tc>
        <w:tc>
          <w:tcPr>
            <w:tcW w:w="921" w:type="dxa"/>
          </w:tcPr>
          <w:p>
            <w:pPr>
              <w:pStyle w:val="TableParagraph"/>
              <w:spacing w:before="9" w:line="233" w:lineRule="exact"/>
              <w:ind w:left="201"/>
              <w:rPr>
                <w:rFonts w:ascii="Times New Roman"/>
                <w:sz w:val="21"/>
              </w:rPr>
            </w:pPr>
            <w:r>
              <w:rPr>
                <w:rFonts w:ascii="Times New Roman"/>
                <w:sz w:val="21"/>
              </w:rPr>
              <w:t>0.19</w:t>
            </w:r>
          </w:p>
        </w:tc>
        <w:tc>
          <w:tcPr>
            <w:tcW w:w="922" w:type="dxa"/>
          </w:tcPr>
          <w:p>
            <w:pPr>
              <w:pStyle w:val="TableParagraph"/>
              <w:spacing w:before="9" w:line="233" w:lineRule="exact"/>
              <w:ind w:left="199"/>
              <w:rPr>
                <w:rFonts w:ascii="Times New Roman"/>
                <w:sz w:val="21"/>
              </w:rPr>
            </w:pPr>
            <w:r>
              <w:rPr>
                <w:rFonts w:ascii="Times New Roman"/>
                <w:sz w:val="21"/>
              </w:rPr>
              <w:t>0.17</w:t>
            </w:r>
          </w:p>
        </w:tc>
      </w:tr>
      <w:tr>
        <w:tblPrEx>
          <w:tblW w:w="0" w:type="auto"/>
          <w:tblInd w:w="1500" w:type="dxa"/>
          <w:tblLayout w:type="fixed"/>
          <w:tblCellMar>
            <w:top w:w="0" w:type="dxa"/>
            <w:left w:w="0" w:type="dxa"/>
            <w:bottom w:w="0" w:type="dxa"/>
            <w:right w:w="0" w:type="dxa"/>
          </w:tblCellMar>
        </w:tblPrEx>
        <w:trPr>
          <w:trHeight w:val="272"/>
        </w:trPr>
        <w:tc>
          <w:tcPr>
            <w:tcW w:w="1228" w:type="dxa"/>
            <w:vMerge/>
            <w:tcBorders>
              <w:top w:val="nil"/>
            </w:tcBorders>
          </w:tcPr>
          <w:p>
            <w:pPr>
              <w:rPr>
                <w:sz w:val="2"/>
                <w:szCs w:val="2"/>
              </w:rPr>
            </w:pPr>
          </w:p>
        </w:tc>
        <w:tc>
          <w:tcPr>
            <w:tcW w:w="761" w:type="dxa"/>
          </w:tcPr>
          <w:p>
            <w:pPr>
              <w:pStyle w:val="TableParagraph"/>
              <w:spacing w:before="15" w:line="237" w:lineRule="exact"/>
              <w:ind w:left="153"/>
              <w:rPr>
                <w:rFonts w:ascii="Times New Roman"/>
                <w:sz w:val="21"/>
              </w:rPr>
            </w:pPr>
            <w:r>
              <w:rPr>
                <w:rFonts w:ascii="Times New Roman"/>
                <w:sz w:val="21"/>
              </w:rPr>
              <w:t>W2</w:t>
            </w:r>
          </w:p>
        </w:tc>
        <w:tc>
          <w:tcPr>
            <w:tcW w:w="921" w:type="dxa"/>
          </w:tcPr>
          <w:p>
            <w:pPr>
              <w:pStyle w:val="TableParagraph"/>
              <w:spacing w:before="15" w:line="237" w:lineRule="exact"/>
              <w:ind w:left="201"/>
              <w:rPr>
                <w:rFonts w:ascii="Times New Roman"/>
                <w:sz w:val="21"/>
              </w:rPr>
            </w:pPr>
            <w:r>
              <w:rPr>
                <w:rFonts w:ascii="Times New Roman"/>
                <w:sz w:val="21"/>
              </w:rPr>
              <w:t>0.12</w:t>
            </w:r>
          </w:p>
        </w:tc>
        <w:tc>
          <w:tcPr>
            <w:tcW w:w="922" w:type="dxa"/>
          </w:tcPr>
          <w:p>
            <w:pPr>
              <w:pStyle w:val="TableParagraph"/>
              <w:spacing w:before="15" w:line="237" w:lineRule="exact"/>
              <w:ind w:left="199"/>
              <w:rPr>
                <w:rFonts w:ascii="Times New Roman"/>
                <w:sz w:val="21"/>
              </w:rPr>
            </w:pPr>
            <w:r>
              <w:rPr>
                <w:rFonts w:ascii="Times New Roman"/>
                <w:sz w:val="21"/>
              </w:rPr>
              <w:t>0.09</w:t>
            </w:r>
          </w:p>
        </w:tc>
        <w:tc>
          <w:tcPr>
            <w:tcW w:w="921" w:type="dxa"/>
          </w:tcPr>
          <w:p>
            <w:pPr>
              <w:pStyle w:val="TableParagraph"/>
              <w:spacing w:before="15" w:line="237" w:lineRule="exact"/>
              <w:ind w:left="201"/>
              <w:rPr>
                <w:rFonts w:ascii="Times New Roman"/>
                <w:sz w:val="21"/>
              </w:rPr>
            </w:pPr>
            <w:r>
              <w:rPr>
                <w:rFonts w:ascii="Times New Roman"/>
                <w:sz w:val="21"/>
              </w:rPr>
              <w:t>0.13</w:t>
            </w:r>
          </w:p>
        </w:tc>
        <w:tc>
          <w:tcPr>
            <w:tcW w:w="922" w:type="dxa"/>
          </w:tcPr>
          <w:p>
            <w:pPr>
              <w:pStyle w:val="TableParagraph"/>
              <w:spacing w:before="15" w:line="237" w:lineRule="exact"/>
              <w:ind w:left="199"/>
              <w:rPr>
                <w:rFonts w:ascii="Times New Roman"/>
                <w:sz w:val="21"/>
              </w:rPr>
            </w:pPr>
            <w:r>
              <w:rPr>
                <w:rFonts w:ascii="Times New Roman"/>
                <w:sz w:val="21"/>
              </w:rPr>
              <w:t>0.13</w:t>
            </w:r>
          </w:p>
        </w:tc>
        <w:tc>
          <w:tcPr>
            <w:tcW w:w="921" w:type="dxa"/>
          </w:tcPr>
          <w:p>
            <w:pPr>
              <w:pStyle w:val="TableParagraph"/>
              <w:spacing w:before="15" w:line="237" w:lineRule="exact"/>
              <w:ind w:left="201"/>
              <w:rPr>
                <w:rFonts w:ascii="Times New Roman"/>
                <w:sz w:val="21"/>
              </w:rPr>
            </w:pPr>
            <w:r>
              <w:rPr>
                <w:rFonts w:ascii="Times New Roman"/>
                <w:sz w:val="21"/>
              </w:rPr>
              <w:t>0.15</w:t>
            </w:r>
          </w:p>
        </w:tc>
        <w:tc>
          <w:tcPr>
            <w:tcW w:w="922" w:type="dxa"/>
          </w:tcPr>
          <w:p>
            <w:pPr>
              <w:pStyle w:val="TableParagraph"/>
              <w:spacing w:before="15" w:line="237" w:lineRule="exact"/>
              <w:ind w:left="199"/>
              <w:rPr>
                <w:rFonts w:ascii="Times New Roman"/>
                <w:sz w:val="21"/>
              </w:rPr>
            </w:pPr>
            <w:r>
              <w:rPr>
                <w:rFonts w:ascii="Times New Roman"/>
                <w:sz w:val="21"/>
              </w:rPr>
              <w:t>0.14</w:t>
            </w:r>
          </w:p>
        </w:tc>
      </w:tr>
    </w:tbl>
    <w:p>
      <w:pPr>
        <w:pStyle w:val="BodyText"/>
        <w:spacing w:before="5"/>
        <w:rPr>
          <w:b/>
          <w:sz w:val="22"/>
        </w:rPr>
      </w:pPr>
    </w:p>
    <w:p>
      <w:pPr>
        <w:pStyle w:val="BodyText"/>
        <w:spacing w:line="362" w:lineRule="auto"/>
        <w:ind w:left="940" w:right="517" w:firstLine="480"/>
      </w:pPr>
      <w:r>
        <w:rPr>
          <w:spacing w:val="-21"/>
        </w:rPr>
        <w:t>由上表可知，马骝洲水道各监测项目指标均符合《海水水质标准》</w:t>
      </w:r>
      <w:r>
        <w:rPr>
          <w:rFonts w:ascii="Times New Roman" w:eastAsia="Times New Roman"/>
          <w:spacing w:val="-3"/>
        </w:rPr>
        <w:t xml:space="preserve">(GB3097-1997) </w:t>
      </w:r>
      <w:r>
        <w:t>第三类标准要求，本项目所属纳污水体马骝洲水道水环境质量较好。</w:t>
      </w:r>
    </w:p>
    <w:p>
      <w:pPr>
        <w:spacing w:after="0" w:line="362" w:lineRule="auto"/>
        <w:sectPr>
          <w:footerReference w:type="default" r:id="rId41"/>
          <w:pgSz w:w="11910" w:h="16840"/>
          <w:pgMar w:top="1380" w:right="901" w:bottom="1240" w:left="920" w:header="0" w:footer="963" w:gutter="0"/>
          <w:pgNumType w:start="24"/>
          <w:cols w:num="1" w:space="720"/>
        </w:sectPr>
      </w:pPr>
    </w:p>
    <w:p>
      <w:pPr>
        <w:pStyle w:val="Heading3"/>
        <w:numPr>
          <w:ilvl w:val="1"/>
          <w:numId w:val="12"/>
        </w:numPr>
        <w:tabs>
          <w:tab w:val="left" w:pos="1360"/>
        </w:tabs>
        <w:spacing w:before="61" w:after="0" w:line="240" w:lineRule="auto"/>
        <w:ind w:left="1360" w:right="0" w:hanging="420"/>
        <w:jc w:val="left"/>
      </w:pPr>
      <w:r>
        <w:pict>
          <v:group id="_x0000_s1222" o:spid="_x0000_s1081" style="width:465.35pt;height:537.9pt;margin-top:1.9pt;margin-left:65pt;mso-height-relative:page;mso-position-horizontal-relative:page;mso-width-relative:page;position:absolute;z-index:-251642880" coordorigin="1300,38" coordsize="9307,10758">
            <v:shape id="_x0000_s1223" o:spid="_x0000_s1082" style="width:9307;height:10758;left:1300;position:absolute;top:3284" coordorigin="1300,3285" coordsize="9307,10758" path="m1300,48l10607,48m1300,10786l10607,10786m1310,38l1310,10795m10597,57l10597,10795e" filled="f" stroked="t" strokecolor="black">
              <v:path arrowok="t"/>
            </v:shape>
            <v:line id="_x0000_s1224" o:spid="_x0000_s1083" style="position:absolute" from="1752,57" to="1752,10776" coordsize="21600,21600" stroked="t" strokecolor="black"/>
          </v:group>
        </w:pict>
      </w:r>
      <w:r>
        <w:t>声环境质量现状</w:t>
      </w:r>
    </w:p>
    <w:p>
      <w:pPr>
        <w:pStyle w:val="BodyText"/>
        <w:spacing w:before="158" w:line="362" w:lineRule="auto"/>
        <w:ind w:left="940" w:right="439" w:firstLine="487"/>
      </w:pPr>
      <w:r>
        <w:t xml:space="preserve">为了解本工程的声环境质量现状，我公司技术人员于 </w:t>
      </w:r>
      <w:r>
        <w:rPr>
          <w:rFonts w:ascii="Times New Roman" w:eastAsia="Times New Roman"/>
        </w:rPr>
        <w:t xml:space="preserve">2023 </w:t>
      </w:r>
      <w:r>
        <w:t xml:space="preserve">年 </w:t>
      </w:r>
      <w:r>
        <w:rPr>
          <w:rFonts w:ascii="Times New Roman" w:eastAsia="Times New Roman"/>
        </w:rPr>
        <w:t xml:space="preserve">10 </w:t>
      </w:r>
      <w:r>
        <w:t xml:space="preserve">月 </w:t>
      </w:r>
      <w:r>
        <w:rPr>
          <w:rFonts w:ascii="Times New Roman" w:eastAsia="Times New Roman"/>
        </w:rPr>
        <w:t xml:space="preserve">17 </w:t>
      </w:r>
      <w:r>
        <w:t xml:space="preserve">日进行了测量。检测报告见附件 </w:t>
      </w:r>
      <w:r>
        <w:rPr>
          <w:rFonts w:ascii="Times New Roman" w:eastAsia="Times New Roman"/>
        </w:rPr>
        <w:t>3</w:t>
      </w:r>
      <w:r>
        <w:t>。</w:t>
      </w:r>
    </w:p>
    <w:p>
      <w:pPr>
        <w:pStyle w:val="ListParagraph"/>
        <w:numPr>
          <w:ilvl w:val="2"/>
          <w:numId w:val="12"/>
        </w:numPr>
        <w:tabs>
          <w:tab w:val="left" w:pos="1993"/>
        </w:tabs>
        <w:spacing w:before="5" w:after="0" w:line="240" w:lineRule="auto"/>
        <w:ind w:left="1992" w:right="0" w:hanging="602"/>
        <w:jc w:val="left"/>
        <w:rPr>
          <w:sz w:val="24"/>
        </w:rPr>
      </w:pPr>
      <w:r>
        <w:rPr>
          <w:sz w:val="24"/>
        </w:rPr>
        <w:t>测量方法</w:t>
      </w:r>
    </w:p>
    <w:p>
      <w:pPr>
        <w:pStyle w:val="BodyText"/>
        <w:spacing w:before="158" w:line="364" w:lineRule="auto"/>
        <w:ind w:left="940" w:right="513" w:firstLine="480"/>
      </w:pPr>
      <w:r>
        <w:t>依据《声环境质量标准》（</w:t>
      </w:r>
      <w:r>
        <w:rPr>
          <w:rFonts w:ascii="Times New Roman" w:eastAsia="Times New Roman"/>
        </w:rPr>
        <w:t>GB3096-2008</w:t>
      </w:r>
      <w:r>
        <w:t>）和《工业企业厂界环境噪声排放标准》（</w:t>
      </w:r>
      <w:r>
        <w:rPr>
          <w:rFonts w:ascii="Times New Roman" w:eastAsia="Times New Roman"/>
        </w:rPr>
        <w:t>GB12348-2008</w:t>
      </w:r>
      <w:r>
        <w:t>）进行。</w:t>
      </w:r>
    </w:p>
    <w:p>
      <w:pPr>
        <w:pStyle w:val="ListParagraph"/>
        <w:numPr>
          <w:ilvl w:val="2"/>
          <w:numId w:val="12"/>
        </w:numPr>
        <w:tabs>
          <w:tab w:val="left" w:pos="2021"/>
        </w:tabs>
        <w:spacing w:before="1" w:after="0" w:line="240" w:lineRule="auto"/>
        <w:ind w:left="2021" w:right="0" w:hanging="601"/>
        <w:jc w:val="left"/>
        <w:rPr>
          <w:sz w:val="24"/>
        </w:rPr>
      </w:pPr>
      <w:r>
        <w:rPr>
          <w:sz w:val="24"/>
        </w:rPr>
        <w:t>测量仪器</w:t>
      </w:r>
    </w:p>
    <w:p>
      <w:pPr>
        <w:pStyle w:val="BodyText"/>
        <w:spacing w:before="158"/>
        <w:ind w:left="1422"/>
      </w:pPr>
      <w:r>
        <w:t>监测使用的仪器有关情况如下：</w:t>
      </w:r>
    </w:p>
    <w:p>
      <w:pPr>
        <w:pStyle w:val="BodyText"/>
        <w:spacing w:before="161" w:line="362" w:lineRule="auto"/>
        <w:ind w:left="1432" w:right="4387"/>
      </w:pPr>
      <w:r>
        <w:t>仪器名称：噪声统计分析仪</w:t>
      </w:r>
      <w:r>
        <w:rPr>
          <w:rFonts w:ascii="Times New Roman" w:eastAsia="Times New Roman"/>
        </w:rPr>
        <w:t>/</w:t>
      </w:r>
      <w:r>
        <w:rPr>
          <w:rFonts w:ascii="Times New Roman" w:eastAsia="Times New Roman"/>
          <w:spacing w:val="58"/>
        </w:rPr>
        <w:t xml:space="preserve"> </w:t>
      </w:r>
      <w:r>
        <w:rPr>
          <w:spacing w:val="-4"/>
        </w:rPr>
        <w:t>声级校准器</w:t>
      </w:r>
      <w:r>
        <w:t>生产厂家：杭州爱华仪器有限公司</w:t>
      </w:r>
    </w:p>
    <w:p>
      <w:pPr>
        <w:pStyle w:val="BodyText"/>
        <w:spacing w:before="5"/>
        <w:ind w:left="1432"/>
        <w:rPr>
          <w:rFonts w:ascii="Times New Roman" w:eastAsia="Times New Roman"/>
        </w:rPr>
      </w:pPr>
      <w:r>
        <w:rPr>
          <w:spacing w:val="-2"/>
        </w:rPr>
        <w:t>仪器型号：</w:t>
      </w:r>
      <w:r>
        <w:rPr>
          <w:rFonts w:ascii="Times New Roman" w:eastAsia="Times New Roman"/>
          <w:spacing w:val="-6"/>
        </w:rPr>
        <w:t>AWA6228+/AWA6221A</w:t>
      </w:r>
    </w:p>
    <w:p>
      <w:pPr>
        <w:pStyle w:val="BodyText"/>
        <w:tabs>
          <w:tab w:val="left" w:pos="5979"/>
        </w:tabs>
        <w:spacing w:before="158" w:line="364" w:lineRule="auto"/>
        <w:ind w:left="1432" w:right="1503"/>
      </w:pPr>
      <w:r>
        <w:t>仪器编号：</w:t>
      </w:r>
      <w:r>
        <w:rPr>
          <w:rFonts w:ascii="Times New Roman" w:eastAsia="Times New Roman"/>
        </w:rPr>
        <w:t>00311178</w:t>
      </w:r>
      <w:r>
        <w:rPr>
          <w:rFonts w:ascii="Times New Roman" w:eastAsia="Times New Roman"/>
          <w:spacing w:val="-8"/>
        </w:rPr>
        <w:t xml:space="preserve"> </w:t>
      </w:r>
      <w:r>
        <w:rPr>
          <w:rFonts w:ascii="Times New Roman" w:eastAsia="Times New Roman"/>
        </w:rPr>
        <w:t>/1007936</w:t>
      </w:r>
      <w:r>
        <w:rPr>
          <w:rFonts w:ascii="Times New Roman" w:eastAsia="Times New Roman"/>
        </w:rPr>
        <w:tab/>
      </w:r>
      <w:r>
        <w:rPr>
          <w:spacing w:val="-1"/>
        </w:rPr>
        <w:t>测</w:t>
      </w:r>
      <w:r>
        <w:t>量范围：</w:t>
      </w:r>
      <w:r>
        <w:rPr>
          <w:rFonts w:ascii="Times New Roman" w:eastAsia="Times New Roman"/>
        </w:rPr>
        <w:t>23dB</w:t>
      </w:r>
      <w:r>
        <w:t>～</w:t>
      </w:r>
      <w:r>
        <w:rPr>
          <w:rFonts w:ascii="Times New Roman" w:eastAsia="Times New Roman"/>
        </w:rPr>
        <w:t xml:space="preserve">135dB </w:t>
      </w:r>
      <w:r>
        <w:t>检定单位：广州计量检测技术研究院</w:t>
      </w:r>
    </w:p>
    <w:p>
      <w:pPr>
        <w:pStyle w:val="BodyText"/>
        <w:spacing w:line="306" w:lineRule="exact"/>
        <w:ind w:left="1432"/>
        <w:rPr>
          <w:rFonts w:ascii="Times New Roman" w:eastAsia="Times New Roman"/>
        </w:rPr>
      </w:pPr>
      <w:r>
        <w:t>证书编号：</w:t>
      </w:r>
      <w:r>
        <w:rPr>
          <w:rFonts w:ascii="Times New Roman" w:eastAsia="Times New Roman"/>
        </w:rPr>
        <w:t>SX202300064/ SX202300086</w:t>
      </w:r>
    </w:p>
    <w:p>
      <w:pPr>
        <w:pStyle w:val="BodyText"/>
        <w:tabs>
          <w:tab w:val="left" w:pos="7136"/>
        </w:tabs>
        <w:spacing w:before="160"/>
        <w:ind w:left="1432"/>
      </w:pPr>
      <w:r>
        <w:t>检定日期：</w:t>
      </w:r>
      <w:r>
        <w:rPr>
          <w:rFonts w:ascii="Times New Roman" w:eastAsia="Times New Roman"/>
        </w:rPr>
        <w:t xml:space="preserve">2023 </w:t>
      </w:r>
      <w:r>
        <w:t>年</w:t>
      </w:r>
      <w:r>
        <w:rPr>
          <w:spacing w:val="-60"/>
        </w:rPr>
        <w:t xml:space="preserve"> </w:t>
      </w:r>
      <w:r>
        <w:rPr>
          <w:rFonts w:ascii="Times New Roman" w:eastAsia="Times New Roman"/>
        </w:rPr>
        <w:t xml:space="preserve">1 </w:t>
      </w:r>
      <w:r>
        <w:t>月</w:t>
      </w:r>
      <w:r>
        <w:rPr>
          <w:spacing w:val="-60"/>
        </w:rPr>
        <w:t xml:space="preserve"> </w:t>
      </w:r>
      <w:r>
        <w:rPr>
          <w:rFonts w:ascii="Times New Roman" w:eastAsia="Times New Roman"/>
        </w:rPr>
        <w:t xml:space="preserve">5 </w:t>
      </w:r>
      <w:r>
        <w:t>日</w:t>
      </w:r>
      <w:r>
        <w:rPr>
          <w:rFonts w:ascii="Times New Roman" w:eastAsia="Times New Roman"/>
        </w:rPr>
        <w:t>/2023</w:t>
      </w:r>
      <w:r>
        <w:rPr>
          <w:rFonts w:ascii="Times New Roman" w:eastAsia="Times New Roman"/>
          <w:spacing w:val="-3"/>
        </w:rPr>
        <w:t xml:space="preserve"> </w:t>
      </w:r>
      <w:r>
        <w:t>年</w:t>
      </w:r>
      <w:r>
        <w:rPr>
          <w:spacing w:val="-60"/>
        </w:rPr>
        <w:t xml:space="preserve"> </w:t>
      </w:r>
      <w:r>
        <w:rPr>
          <w:rFonts w:ascii="Times New Roman" w:eastAsia="Times New Roman"/>
        </w:rPr>
        <w:t xml:space="preserve">1 </w:t>
      </w:r>
      <w:r>
        <w:t>月</w:t>
      </w:r>
      <w:r>
        <w:rPr>
          <w:spacing w:val="-60"/>
        </w:rPr>
        <w:t xml:space="preserve"> </w:t>
      </w:r>
      <w:r>
        <w:rPr>
          <w:rFonts w:ascii="Times New Roman" w:eastAsia="Times New Roman"/>
        </w:rPr>
        <w:t xml:space="preserve">6 </w:t>
      </w:r>
      <w:r>
        <w:t>日</w:t>
      </w:r>
      <w:r>
        <w:tab/>
      </w:r>
      <w:r>
        <w:t>有效期：</w:t>
      </w:r>
      <w:r>
        <w:rPr>
          <w:rFonts w:ascii="Times New Roman" w:eastAsia="Times New Roman"/>
        </w:rPr>
        <w:t xml:space="preserve">1 </w:t>
      </w:r>
      <w:r>
        <w:t>年</w:t>
      </w:r>
    </w:p>
    <w:p>
      <w:pPr>
        <w:pStyle w:val="ListParagraph"/>
        <w:numPr>
          <w:ilvl w:val="2"/>
          <w:numId w:val="12"/>
        </w:numPr>
        <w:tabs>
          <w:tab w:val="left" w:pos="2033"/>
        </w:tabs>
        <w:spacing w:before="24" w:after="0" w:line="468" w:lineRule="exact"/>
        <w:ind w:left="1420" w:right="5644" w:firstLine="12"/>
        <w:jc w:val="left"/>
        <w:rPr>
          <w:sz w:val="24"/>
        </w:rPr>
      </w:pPr>
      <w:r>
        <w:rPr>
          <w:sz w:val="24"/>
        </w:rPr>
        <w:t xml:space="preserve">测量时间及气象状况 </w:t>
      </w:r>
      <w:r>
        <w:rPr>
          <w:spacing w:val="-6"/>
          <w:sz w:val="24"/>
        </w:rPr>
        <w:t xml:space="preserve">监测期间气象条件见表 </w:t>
      </w:r>
      <w:r>
        <w:rPr>
          <w:rFonts w:ascii="Times New Roman" w:eastAsia="Times New Roman"/>
          <w:sz w:val="24"/>
        </w:rPr>
        <w:t>3-5</w:t>
      </w:r>
      <w:r>
        <w:rPr>
          <w:spacing w:val="-17"/>
          <w:sz w:val="24"/>
        </w:rPr>
        <w:t>。</w:t>
      </w:r>
    </w:p>
    <w:p>
      <w:pPr>
        <w:spacing w:before="0" w:after="3" w:line="246" w:lineRule="exact"/>
        <w:ind w:left="4086" w:right="0" w:firstLine="0"/>
        <w:jc w:val="left"/>
        <w:rPr>
          <w:b/>
          <w:sz w:val="21"/>
        </w:rPr>
      </w:pPr>
      <w:r>
        <w:rPr>
          <w:b/>
          <w:spacing w:val="-26"/>
          <w:sz w:val="21"/>
        </w:rPr>
        <w:t xml:space="preserve">表 </w:t>
      </w:r>
      <w:r>
        <w:rPr>
          <w:rFonts w:ascii="Times New Roman" w:eastAsia="Times New Roman"/>
          <w:b/>
          <w:sz w:val="21"/>
        </w:rPr>
        <w:t>3-5</w:t>
      </w:r>
      <w:r>
        <w:rPr>
          <w:rFonts w:ascii="Times New Roman" w:eastAsia="Times New Roman"/>
          <w:b/>
          <w:spacing w:val="52"/>
          <w:sz w:val="21"/>
        </w:rPr>
        <w:t xml:space="preserve"> </w:t>
      </w:r>
      <w:r>
        <w:rPr>
          <w:b/>
          <w:sz w:val="21"/>
        </w:rPr>
        <w:t>监测期间气象条件</w:t>
      </w:r>
    </w:p>
    <w:tbl>
      <w:tblPr>
        <w:tblStyle w:val="TableNormal"/>
        <w:tblW w:w="0" w:type="auto"/>
        <w:tblInd w:w="10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Pr>
      <w:tblGrid>
        <w:gridCol w:w="1996"/>
        <w:gridCol w:w="1696"/>
        <w:gridCol w:w="1444"/>
        <w:gridCol w:w="1559"/>
        <w:gridCol w:w="1692"/>
      </w:tblGrid>
      <w:tr>
        <w:tblPrEx>
          <w:tblW w:w="0" w:type="auto"/>
          <w:tblInd w:w="10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PrEx>
        <w:trPr>
          <w:trHeight w:val="414"/>
        </w:trPr>
        <w:tc>
          <w:tcPr>
            <w:tcW w:w="1996" w:type="dxa"/>
            <w:tcBorders>
              <w:left w:val="nil"/>
              <w:bottom w:val="single" w:sz="2" w:space="0" w:color="000000"/>
              <w:right w:val="single" w:sz="2" w:space="0" w:color="000000"/>
            </w:tcBorders>
            <w:shd w:val="clear" w:color="auto" w:fill="D9D9D9"/>
          </w:tcPr>
          <w:p>
            <w:pPr>
              <w:pStyle w:val="TableParagraph"/>
              <w:spacing w:before="69"/>
              <w:ind w:left="579"/>
              <w:rPr>
                <w:sz w:val="21"/>
              </w:rPr>
            </w:pPr>
            <w:r>
              <w:rPr>
                <w:sz w:val="21"/>
              </w:rPr>
              <w:t>监测时间</w:t>
            </w:r>
          </w:p>
        </w:tc>
        <w:tc>
          <w:tcPr>
            <w:tcW w:w="1696" w:type="dxa"/>
            <w:tcBorders>
              <w:left w:val="single" w:sz="2" w:space="0" w:color="000000"/>
              <w:bottom w:val="single" w:sz="2" w:space="0" w:color="000000"/>
              <w:right w:val="single" w:sz="2" w:space="0" w:color="000000"/>
            </w:tcBorders>
            <w:shd w:val="clear" w:color="auto" w:fill="D9D9D9"/>
          </w:tcPr>
          <w:p>
            <w:pPr>
              <w:pStyle w:val="TableParagraph"/>
              <w:spacing w:before="69"/>
              <w:ind w:left="424"/>
              <w:rPr>
                <w:sz w:val="21"/>
              </w:rPr>
            </w:pPr>
            <w:r>
              <w:rPr>
                <w:sz w:val="21"/>
              </w:rPr>
              <w:t>天气情况</w:t>
            </w:r>
          </w:p>
        </w:tc>
        <w:tc>
          <w:tcPr>
            <w:tcW w:w="1444" w:type="dxa"/>
            <w:tcBorders>
              <w:left w:val="single" w:sz="2" w:space="0" w:color="000000"/>
              <w:bottom w:val="single" w:sz="2" w:space="0" w:color="000000"/>
              <w:right w:val="single" w:sz="2" w:space="0" w:color="000000"/>
            </w:tcBorders>
            <w:shd w:val="clear" w:color="auto" w:fill="D9D9D9"/>
          </w:tcPr>
          <w:p>
            <w:pPr>
              <w:pStyle w:val="TableParagraph"/>
              <w:spacing w:before="69"/>
              <w:ind w:left="174" w:right="174"/>
              <w:jc w:val="center"/>
              <w:rPr>
                <w:sz w:val="21"/>
              </w:rPr>
            </w:pPr>
            <w:r>
              <w:rPr>
                <w:sz w:val="21"/>
              </w:rPr>
              <w:t>气温（℃）</w:t>
            </w:r>
          </w:p>
        </w:tc>
        <w:tc>
          <w:tcPr>
            <w:tcW w:w="1559" w:type="dxa"/>
            <w:tcBorders>
              <w:left w:val="single" w:sz="2" w:space="0" w:color="000000"/>
              <w:bottom w:val="single" w:sz="2" w:space="0" w:color="000000"/>
              <w:right w:val="single" w:sz="2" w:space="0" w:color="000000"/>
            </w:tcBorders>
            <w:shd w:val="clear" w:color="auto" w:fill="D9D9D9"/>
          </w:tcPr>
          <w:p>
            <w:pPr>
              <w:pStyle w:val="TableParagraph"/>
              <w:spacing w:before="69"/>
              <w:ind w:left="270"/>
              <w:rPr>
                <w:sz w:val="21"/>
              </w:rPr>
            </w:pPr>
            <w:r>
              <w:rPr>
                <w:sz w:val="21"/>
              </w:rPr>
              <w:t>湿度（</w:t>
            </w:r>
            <w:r>
              <w:rPr>
                <w:rFonts w:ascii="Times New Roman" w:eastAsia="Times New Roman"/>
                <w:sz w:val="21"/>
              </w:rPr>
              <w:t>%</w:t>
            </w:r>
            <w:r>
              <w:rPr>
                <w:sz w:val="21"/>
              </w:rPr>
              <w:t>）</w:t>
            </w:r>
          </w:p>
        </w:tc>
        <w:tc>
          <w:tcPr>
            <w:tcW w:w="1692" w:type="dxa"/>
            <w:tcBorders>
              <w:left w:val="single" w:sz="2" w:space="0" w:color="000000"/>
              <w:bottom w:val="single" w:sz="2" w:space="0" w:color="000000"/>
              <w:right w:val="nil"/>
            </w:tcBorders>
            <w:shd w:val="clear" w:color="auto" w:fill="D9D9D9"/>
          </w:tcPr>
          <w:p>
            <w:pPr>
              <w:pStyle w:val="TableParagraph"/>
              <w:spacing w:before="69"/>
              <w:ind w:left="250" w:right="255"/>
              <w:jc w:val="center"/>
              <w:rPr>
                <w:sz w:val="21"/>
              </w:rPr>
            </w:pPr>
            <w:r>
              <w:rPr>
                <w:sz w:val="21"/>
              </w:rPr>
              <w:t>风速（</w:t>
            </w:r>
            <w:r>
              <w:rPr>
                <w:rFonts w:ascii="Times New Roman" w:eastAsia="Times New Roman"/>
                <w:sz w:val="21"/>
              </w:rPr>
              <w:t>m/s</w:t>
            </w:r>
            <w:r>
              <w:rPr>
                <w:sz w:val="21"/>
              </w:rPr>
              <w:t>）</w:t>
            </w:r>
          </w:p>
        </w:tc>
      </w:tr>
      <w:tr>
        <w:tblPrEx>
          <w:tblW w:w="0" w:type="auto"/>
          <w:tblInd w:w="1068" w:type="dxa"/>
          <w:tblLayout w:type="fixed"/>
          <w:tblCellMar>
            <w:top w:w="0" w:type="dxa"/>
            <w:left w:w="0" w:type="dxa"/>
            <w:bottom w:w="0" w:type="dxa"/>
            <w:right w:w="0" w:type="dxa"/>
          </w:tblCellMar>
        </w:tblPrEx>
        <w:trPr>
          <w:trHeight w:val="816"/>
        </w:trPr>
        <w:tc>
          <w:tcPr>
            <w:tcW w:w="1996" w:type="dxa"/>
            <w:tcBorders>
              <w:top w:val="single" w:sz="2" w:space="0" w:color="000000"/>
              <w:left w:val="nil"/>
              <w:right w:val="single" w:sz="2" w:space="0" w:color="000000"/>
            </w:tcBorders>
          </w:tcPr>
          <w:p>
            <w:pPr>
              <w:pStyle w:val="TableParagraph"/>
              <w:ind w:left="109"/>
              <w:rPr>
                <w:sz w:val="21"/>
              </w:rPr>
            </w:pPr>
            <w:r>
              <w:rPr>
                <w:rFonts w:ascii="Times New Roman" w:eastAsia="Times New Roman"/>
                <w:sz w:val="21"/>
              </w:rPr>
              <w:t xml:space="preserve">2023 </w:t>
            </w:r>
            <w:r>
              <w:rPr>
                <w:sz w:val="21"/>
              </w:rPr>
              <w:t xml:space="preserve">年 </w:t>
            </w:r>
            <w:r>
              <w:rPr>
                <w:rFonts w:ascii="Times New Roman" w:eastAsia="Times New Roman"/>
                <w:sz w:val="21"/>
              </w:rPr>
              <w:t xml:space="preserve">10 </w:t>
            </w:r>
            <w:r>
              <w:rPr>
                <w:sz w:val="21"/>
              </w:rPr>
              <w:t xml:space="preserve">月 </w:t>
            </w:r>
            <w:r>
              <w:rPr>
                <w:rFonts w:ascii="Times New Roman" w:eastAsia="Times New Roman"/>
                <w:sz w:val="21"/>
              </w:rPr>
              <w:t xml:space="preserve">17 </w:t>
            </w:r>
            <w:r>
              <w:rPr>
                <w:sz w:val="21"/>
              </w:rPr>
              <w:t>日</w:t>
            </w:r>
          </w:p>
          <w:p>
            <w:pPr>
              <w:pStyle w:val="TableParagraph"/>
              <w:spacing w:before="2"/>
              <w:ind w:left="109"/>
              <w:rPr>
                <w:sz w:val="21"/>
              </w:rPr>
            </w:pPr>
            <w:r>
              <w:rPr>
                <w:rFonts w:ascii="Times New Roman" w:eastAsia="Times New Roman"/>
                <w:spacing w:val="-8"/>
                <w:w w:val="95"/>
                <w:sz w:val="21"/>
              </w:rPr>
              <w:t>16</w:t>
            </w:r>
            <w:r>
              <w:rPr>
                <w:spacing w:val="-8"/>
                <w:w w:val="95"/>
                <w:sz w:val="21"/>
              </w:rPr>
              <w:t>：</w:t>
            </w:r>
            <w:r>
              <w:rPr>
                <w:rFonts w:ascii="Times New Roman" w:eastAsia="Times New Roman"/>
                <w:spacing w:val="-8"/>
                <w:w w:val="95"/>
                <w:sz w:val="21"/>
              </w:rPr>
              <w:t>10~17</w:t>
            </w:r>
            <w:r>
              <w:rPr>
                <w:spacing w:val="-8"/>
                <w:w w:val="95"/>
                <w:sz w:val="21"/>
              </w:rPr>
              <w:t>：</w:t>
            </w:r>
            <w:r>
              <w:rPr>
                <w:rFonts w:ascii="Times New Roman" w:eastAsia="Times New Roman"/>
                <w:spacing w:val="-8"/>
                <w:w w:val="95"/>
                <w:sz w:val="21"/>
              </w:rPr>
              <w:t>35</w:t>
            </w:r>
            <w:r>
              <w:rPr>
                <w:spacing w:val="-8"/>
                <w:w w:val="95"/>
                <w:sz w:val="21"/>
              </w:rPr>
              <w:t>；</w:t>
            </w:r>
            <w:r>
              <w:rPr>
                <w:rFonts w:ascii="Times New Roman" w:eastAsia="Times New Roman"/>
                <w:spacing w:val="-8"/>
                <w:w w:val="95"/>
                <w:sz w:val="21"/>
              </w:rPr>
              <w:t>22</w:t>
            </w:r>
            <w:r>
              <w:rPr>
                <w:spacing w:val="-8"/>
                <w:w w:val="95"/>
                <w:sz w:val="21"/>
              </w:rPr>
              <w:t>：</w:t>
            </w:r>
          </w:p>
          <w:p>
            <w:pPr>
              <w:pStyle w:val="TableParagraph"/>
              <w:spacing w:before="5" w:line="252" w:lineRule="exact"/>
              <w:ind w:left="522"/>
              <w:rPr>
                <w:rFonts w:ascii="Times New Roman" w:eastAsia="Times New Roman"/>
                <w:sz w:val="21"/>
              </w:rPr>
            </w:pPr>
            <w:r>
              <w:rPr>
                <w:rFonts w:ascii="Times New Roman" w:eastAsia="Times New Roman"/>
                <w:sz w:val="21"/>
              </w:rPr>
              <w:t>10~23</w:t>
            </w:r>
            <w:r>
              <w:rPr>
                <w:sz w:val="21"/>
              </w:rPr>
              <w:t>：</w:t>
            </w:r>
            <w:r>
              <w:rPr>
                <w:rFonts w:ascii="Times New Roman" w:eastAsia="Times New Roman"/>
                <w:sz w:val="21"/>
              </w:rPr>
              <w:t>46</w:t>
            </w:r>
          </w:p>
        </w:tc>
        <w:tc>
          <w:tcPr>
            <w:tcW w:w="1696" w:type="dxa"/>
            <w:tcBorders>
              <w:top w:val="single" w:sz="2" w:space="0" w:color="000000"/>
              <w:left w:val="single" w:sz="2" w:space="0" w:color="000000"/>
              <w:right w:val="single" w:sz="2" w:space="0" w:color="000000"/>
            </w:tcBorders>
          </w:tcPr>
          <w:p>
            <w:pPr>
              <w:pStyle w:val="TableParagraph"/>
              <w:spacing w:before="137" w:line="242" w:lineRule="auto"/>
              <w:ind w:left="215" w:right="109" w:hanging="106"/>
              <w:rPr>
                <w:sz w:val="21"/>
              </w:rPr>
            </w:pPr>
            <w:r>
              <w:rPr>
                <w:sz w:val="21"/>
              </w:rPr>
              <w:t>阴（无雨雪、无雷电、无雾）</w:t>
            </w:r>
          </w:p>
        </w:tc>
        <w:tc>
          <w:tcPr>
            <w:tcW w:w="1444" w:type="dxa"/>
            <w:tcBorders>
              <w:top w:val="single" w:sz="2" w:space="0" w:color="000000"/>
              <w:left w:val="single" w:sz="2" w:space="0" w:color="000000"/>
              <w:right w:val="single" w:sz="2" w:space="0" w:color="000000"/>
            </w:tcBorders>
          </w:tcPr>
          <w:p>
            <w:pPr>
              <w:pStyle w:val="TableParagraph"/>
              <w:spacing w:before="3"/>
              <w:rPr>
                <w:b/>
                <w:sz w:val="22"/>
              </w:rPr>
            </w:pPr>
          </w:p>
          <w:p>
            <w:pPr>
              <w:pStyle w:val="TableParagraph"/>
              <w:ind w:left="173" w:right="174"/>
              <w:jc w:val="center"/>
              <w:rPr>
                <w:rFonts w:ascii="Times New Roman"/>
                <w:sz w:val="21"/>
              </w:rPr>
            </w:pPr>
            <w:r>
              <w:rPr>
                <w:rFonts w:ascii="Times New Roman"/>
                <w:sz w:val="21"/>
              </w:rPr>
              <w:t>23~27</w:t>
            </w:r>
          </w:p>
        </w:tc>
        <w:tc>
          <w:tcPr>
            <w:tcW w:w="1559" w:type="dxa"/>
            <w:tcBorders>
              <w:top w:val="single" w:sz="2" w:space="0" w:color="000000"/>
              <w:left w:val="single" w:sz="2" w:space="0" w:color="000000"/>
              <w:right w:val="single" w:sz="2" w:space="0" w:color="000000"/>
            </w:tcBorders>
          </w:tcPr>
          <w:p>
            <w:pPr>
              <w:pStyle w:val="TableParagraph"/>
              <w:spacing w:before="3"/>
              <w:rPr>
                <w:b/>
                <w:sz w:val="22"/>
              </w:rPr>
            </w:pPr>
          </w:p>
          <w:p>
            <w:pPr>
              <w:pStyle w:val="TableParagraph"/>
              <w:ind w:left="433"/>
              <w:rPr>
                <w:rFonts w:ascii="Times New Roman"/>
                <w:sz w:val="21"/>
              </w:rPr>
            </w:pPr>
            <w:r>
              <w:rPr>
                <w:rFonts w:ascii="Times New Roman"/>
                <w:sz w:val="21"/>
              </w:rPr>
              <w:t>55~70</w:t>
            </w:r>
          </w:p>
        </w:tc>
        <w:tc>
          <w:tcPr>
            <w:tcW w:w="1692" w:type="dxa"/>
            <w:tcBorders>
              <w:top w:val="single" w:sz="2" w:space="0" w:color="000000"/>
              <w:left w:val="single" w:sz="2" w:space="0" w:color="000000"/>
              <w:right w:val="nil"/>
            </w:tcBorders>
          </w:tcPr>
          <w:p>
            <w:pPr>
              <w:pStyle w:val="TableParagraph"/>
              <w:spacing w:before="3"/>
              <w:rPr>
                <w:b/>
                <w:sz w:val="22"/>
              </w:rPr>
            </w:pPr>
          </w:p>
          <w:p>
            <w:pPr>
              <w:pStyle w:val="TableParagraph"/>
              <w:ind w:left="250" w:right="254"/>
              <w:jc w:val="center"/>
              <w:rPr>
                <w:rFonts w:ascii="Times New Roman"/>
                <w:sz w:val="21"/>
              </w:rPr>
            </w:pPr>
            <w:r>
              <w:rPr>
                <w:rFonts w:ascii="Times New Roman"/>
                <w:sz w:val="21"/>
              </w:rPr>
              <w:t>&lt;0.5~1.5</w:t>
            </w:r>
          </w:p>
        </w:tc>
      </w:tr>
    </w:tbl>
    <w:p>
      <w:pPr>
        <w:pStyle w:val="ListParagraph"/>
        <w:numPr>
          <w:ilvl w:val="2"/>
          <w:numId w:val="12"/>
        </w:numPr>
        <w:tabs>
          <w:tab w:val="left" w:pos="2033"/>
        </w:tabs>
        <w:spacing w:before="0" w:after="0" w:line="240" w:lineRule="auto"/>
        <w:ind w:left="2033" w:right="0" w:hanging="601"/>
        <w:jc w:val="left"/>
        <w:rPr>
          <w:sz w:val="24"/>
        </w:rPr>
      </w:pPr>
      <w:r>
        <w:rPr>
          <w:sz w:val="24"/>
        </w:rPr>
        <w:t>测量布点</w:t>
      </w:r>
    </w:p>
    <w:p>
      <w:pPr>
        <w:pStyle w:val="BodyText"/>
        <w:spacing w:before="161" w:line="364" w:lineRule="auto"/>
        <w:ind w:left="940" w:right="397" w:firstLine="487"/>
      </w:pPr>
      <w:r>
        <w:rPr>
          <w:spacing w:val="-7"/>
        </w:rPr>
        <w:t xml:space="preserve">噪声监测共布设 </w:t>
      </w:r>
      <w:r>
        <w:rPr>
          <w:rFonts w:ascii="Times New Roman" w:eastAsia="Times New Roman"/>
        </w:rPr>
        <w:t xml:space="preserve">2 </w:t>
      </w:r>
      <w:r>
        <w:t>个监测点，布置在拟建电缆终端塔所在位置和加琴甲线</w:t>
      </w:r>
      <w:r>
        <w:rPr>
          <w:rFonts w:ascii="Times New Roman" w:eastAsia="Times New Roman"/>
        </w:rPr>
        <w:t xml:space="preserve">#36 </w:t>
      </w:r>
      <w:r>
        <w:t>塔</w:t>
      </w:r>
      <w:r>
        <w:rPr>
          <w:rFonts w:ascii="Times New Roman" w:eastAsia="Times New Roman"/>
        </w:rPr>
        <w:t xml:space="preserve">~#37 </w:t>
      </w:r>
      <w:r>
        <w:rPr>
          <w:spacing w:val="-12"/>
        </w:rPr>
        <w:t xml:space="preserve">塔中间线路下方，见图 </w:t>
      </w:r>
      <w:r>
        <w:rPr>
          <w:rFonts w:ascii="Times New Roman" w:eastAsia="Times New Roman"/>
          <w:spacing w:val="-13"/>
        </w:rPr>
        <w:t>3-3</w:t>
      </w:r>
      <w:r>
        <w:rPr>
          <w:spacing w:val="-5"/>
        </w:rPr>
        <w:t>，能较好地反映本工程建设前的声环境现状水平。</w:t>
      </w:r>
    </w:p>
    <w:p>
      <w:pPr>
        <w:spacing w:after="0" w:line="364" w:lineRule="auto"/>
        <w:sectPr>
          <w:footerReference w:type="default" r:id="rId42"/>
          <w:pgSz w:w="11910" w:h="16840"/>
          <w:pgMar w:top="1380" w:right="901" w:bottom="1240" w:left="920" w:header="0" w:footer="963" w:gutter="0"/>
          <w:pgNumType w:start="25"/>
          <w:cols w:num="1" w:space="720"/>
        </w:sectPr>
      </w:pPr>
    </w:p>
    <w:tbl>
      <w:tblPr>
        <w:tblStyle w:val="TableNormal"/>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2"/>
        <w:gridCol w:w="8845"/>
      </w:tblGrid>
      <w:tr>
        <w:tblPrEx>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3928"/>
        </w:trPr>
        <w:tc>
          <w:tcPr>
            <w:tcW w:w="442" w:type="dxa"/>
            <w:tcBorders>
              <w:right w:val="single" w:sz="4" w:space="0" w:color="000000"/>
            </w:tcBorders>
          </w:tcPr>
          <w:p>
            <w:pPr>
              <w:pStyle w:val="TableParagraph"/>
              <w:rPr>
                <w:rFonts w:ascii="Times New Roman"/>
                <w:sz w:val="22"/>
              </w:rPr>
            </w:pPr>
          </w:p>
        </w:tc>
        <w:tc>
          <w:tcPr>
            <w:tcW w:w="8845" w:type="dxa"/>
            <w:tcBorders>
              <w:left w:val="single" w:sz="4" w:space="0" w:color="000000"/>
            </w:tcBorders>
          </w:tcPr>
          <w:p>
            <w:pPr>
              <w:pStyle w:val="TableParagraph"/>
              <w:ind w:left="112" w:right="-72"/>
              <w:rPr>
                <w:sz w:val="20"/>
              </w:rPr>
            </w:pPr>
            <w:r>
              <w:rPr>
                <w:sz w:val="20"/>
              </w:rPr>
              <w:drawing>
                <wp:inline distT="0" distB="0" distL="0" distR="0">
                  <wp:extent cx="5547995" cy="7905750"/>
                  <wp:effectExtent l="0" t="0" r="0" b="0"/>
                  <wp:docPr id="7"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2.jpeg"/>
                          <pic:cNvPicPr>
                            <a:picLocks noChangeAspect="1"/>
                          </pic:cNvPicPr>
                        </pic:nvPicPr>
                        <pic:blipFill>
                          <a:blip xmlns:r="http://schemas.openxmlformats.org/officeDocument/2006/relationships" r:embed="rId43" cstate="print"/>
                          <a:stretch>
                            <a:fillRect/>
                          </a:stretch>
                        </pic:blipFill>
                        <pic:spPr>
                          <a:xfrm>
                            <a:off x="0" y="0"/>
                            <a:ext cx="5548095" cy="7905750"/>
                          </a:xfrm>
                          <a:prstGeom prst="rect">
                            <a:avLst/>
                          </a:prstGeom>
                        </pic:spPr>
                      </pic:pic>
                    </a:graphicData>
                  </a:graphic>
                </wp:inline>
              </w:drawing>
            </w:r>
          </w:p>
          <w:p>
            <w:pPr>
              <w:pStyle w:val="TableParagraph"/>
              <w:tabs>
                <w:tab w:val="left" w:pos="1206"/>
              </w:tabs>
              <w:spacing w:before="105"/>
              <w:ind w:left="455"/>
              <w:jc w:val="center"/>
              <w:rPr>
                <w:rFonts w:ascii="等线" w:eastAsia="等线" w:hint="eastAsia"/>
                <w:b/>
                <w:sz w:val="21"/>
              </w:rPr>
            </w:pPr>
            <w:r>
              <w:rPr>
                <w:rFonts w:ascii="等线" w:eastAsia="等线" w:hint="eastAsia"/>
                <w:b/>
                <w:sz w:val="21"/>
              </w:rPr>
              <w:t>图</w:t>
            </w:r>
            <w:r>
              <w:rPr>
                <w:rFonts w:ascii="等线" w:eastAsia="等线" w:hint="eastAsia"/>
                <w:b/>
                <w:spacing w:val="-7"/>
                <w:sz w:val="21"/>
              </w:rPr>
              <w:t xml:space="preserve"> </w:t>
            </w:r>
            <w:r>
              <w:rPr>
                <w:rFonts w:ascii="Times New Roman" w:eastAsia="Times New Roman"/>
                <w:b/>
                <w:sz w:val="21"/>
              </w:rPr>
              <w:t>3-3</w:t>
            </w:r>
            <w:r>
              <w:rPr>
                <w:rFonts w:ascii="Times New Roman" w:eastAsia="Times New Roman"/>
                <w:b/>
                <w:sz w:val="21"/>
              </w:rPr>
              <w:tab/>
            </w:r>
            <w:r>
              <w:rPr>
                <w:rFonts w:ascii="等线" w:eastAsia="等线" w:hint="eastAsia"/>
                <w:b/>
                <w:sz w:val="21"/>
              </w:rPr>
              <w:t>项目噪声环境监测布点图</w:t>
            </w:r>
          </w:p>
          <w:p>
            <w:pPr>
              <w:pStyle w:val="TableParagraph"/>
              <w:spacing w:before="128"/>
              <w:ind w:left="604"/>
              <w:rPr>
                <w:sz w:val="24"/>
              </w:rPr>
            </w:pPr>
            <w:r>
              <w:rPr>
                <w:sz w:val="24"/>
              </w:rPr>
              <w:t>（</w:t>
            </w:r>
            <w:r>
              <w:rPr>
                <w:rFonts w:ascii="Times New Roman" w:eastAsia="Times New Roman"/>
                <w:sz w:val="24"/>
              </w:rPr>
              <w:t>5</w:t>
            </w:r>
            <w:r>
              <w:rPr>
                <w:sz w:val="24"/>
              </w:rPr>
              <w:t>）测量结果</w:t>
            </w:r>
          </w:p>
          <w:p>
            <w:pPr>
              <w:pStyle w:val="TableParagraph"/>
              <w:spacing w:before="158"/>
              <w:ind w:left="599"/>
              <w:rPr>
                <w:sz w:val="24"/>
              </w:rPr>
            </w:pPr>
            <w:r>
              <w:rPr>
                <w:sz w:val="24"/>
              </w:rPr>
              <w:t xml:space="preserve">环境噪声现状测量结果见表 </w:t>
            </w:r>
            <w:r>
              <w:rPr>
                <w:rFonts w:ascii="Times New Roman" w:eastAsia="Times New Roman"/>
                <w:sz w:val="24"/>
              </w:rPr>
              <w:t>3-6</w:t>
            </w:r>
            <w:r>
              <w:rPr>
                <w:sz w:val="24"/>
              </w:rPr>
              <w:t>。</w:t>
            </w:r>
          </w:p>
        </w:tc>
      </w:tr>
    </w:tbl>
    <w:p>
      <w:pPr>
        <w:spacing w:after="0"/>
        <w:rPr>
          <w:sz w:val="24"/>
        </w:rPr>
        <w:sectPr>
          <w:footerReference w:type="default" r:id="rId44"/>
          <w:pgSz w:w="11910" w:h="16840"/>
          <w:pgMar w:top="1420" w:right="901" w:bottom="1240" w:left="920" w:header="0" w:footer="963" w:gutter="0"/>
          <w:pgNumType w:start="26"/>
          <w:cols w:num="1" w:space="720"/>
        </w:sectPr>
      </w:pPr>
    </w:p>
    <w:p>
      <w:pPr>
        <w:spacing w:before="59"/>
        <w:ind w:left="902" w:right="483" w:firstLine="0"/>
        <w:jc w:val="center"/>
        <w:rPr>
          <w:b/>
          <w:sz w:val="21"/>
        </w:rPr>
      </w:pPr>
      <w:r>
        <w:pict>
          <v:group id="_x0000_s1225" o:spid="_x0000_s1084" style="width:465.35pt;height:600.25pt;margin-top:1.85pt;margin-left:65pt;mso-height-relative:page;mso-position-horizontal-relative:page;mso-width-relative:page;position:absolute;z-index:-251641856" coordorigin="1300,37" coordsize="9307,12005">
            <v:shape id="_x0000_s1226" o:spid="_x0000_s1085" style="width:9307;height:12005;left:1300;position:absolute;top:2037" coordorigin="1300,2037" coordsize="9307,12005" path="m1300,47l10607,47m1300,12032l10607,12032m1310,37l1310,12041m10597,56l10597,12041e" filled="f" stroked="t" strokecolor="black">
              <v:path arrowok="t"/>
            </v:shape>
            <v:line id="_x0000_s1227" o:spid="_x0000_s1086" style="position:absolute" from="1752,56" to="1752,12022" coordsize="21600,21600" stroked="t" strokecolor="black"/>
          </v:group>
        </w:pict>
      </w:r>
      <w:r>
        <w:rPr>
          <w:b/>
          <w:spacing w:val="-26"/>
          <w:sz w:val="21"/>
        </w:rPr>
        <w:t xml:space="preserve">表 </w:t>
      </w:r>
      <w:r>
        <w:rPr>
          <w:rFonts w:ascii="Times New Roman" w:eastAsia="Times New Roman"/>
          <w:b/>
          <w:sz w:val="21"/>
        </w:rPr>
        <w:t>3-6</w:t>
      </w:r>
      <w:r>
        <w:rPr>
          <w:rFonts w:ascii="Times New Roman" w:eastAsia="Times New Roman"/>
          <w:b/>
          <w:spacing w:val="52"/>
          <w:sz w:val="21"/>
        </w:rPr>
        <w:t xml:space="preserve"> </w:t>
      </w:r>
      <w:r>
        <w:rPr>
          <w:b/>
          <w:sz w:val="21"/>
        </w:rPr>
        <w:t>噪声现状测量结果</w:t>
      </w:r>
    </w:p>
    <w:tbl>
      <w:tblPr>
        <w:tblStyle w:val="TableNormal"/>
        <w:tblW w:w="0" w:type="auto"/>
        <w:tblInd w:w="16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681"/>
        <w:gridCol w:w="2519"/>
        <w:gridCol w:w="867"/>
        <w:gridCol w:w="879"/>
        <w:gridCol w:w="2199"/>
      </w:tblGrid>
      <w:tr>
        <w:tblPrEx>
          <w:tblW w:w="0" w:type="auto"/>
          <w:tblInd w:w="16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353"/>
        </w:trPr>
        <w:tc>
          <w:tcPr>
            <w:tcW w:w="681" w:type="dxa"/>
            <w:vMerge w:val="restart"/>
            <w:tcBorders>
              <w:left w:val="nil"/>
              <w:bottom w:val="single" w:sz="6" w:space="0" w:color="000000"/>
              <w:right w:val="single" w:sz="6" w:space="0" w:color="000000"/>
            </w:tcBorders>
            <w:shd w:val="clear" w:color="auto" w:fill="F1F1F1"/>
          </w:tcPr>
          <w:p>
            <w:pPr>
              <w:pStyle w:val="TableParagraph"/>
              <w:ind w:left="131"/>
              <w:rPr>
                <w:sz w:val="21"/>
              </w:rPr>
            </w:pPr>
            <w:r>
              <w:rPr>
                <w:spacing w:val="-1"/>
                <w:w w:val="95"/>
                <w:sz w:val="21"/>
              </w:rPr>
              <w:t>监测</w:t>
            </w:r>
          </w:p>
          <w:p>
            <w:pPr>
              <w:pStyle w:val="TableParagraph"/>
              <w:spacing w:before="4" w:line="270" w:lineRule="atLeast"/>
              <w:ind w:left="131" w:right="122"/>
              <w:rPr>
                <w:sz w:val="21"/>
              </w:rPr>
            </w:pPr>
            <w:r>
              <w:rPr>
                <w:spacing w:val="-9"/>
                <w:sz w:val="21"/>
              </w:rPr>
              <w:t>点位</w:t>
            </w:r>
            <w:r>
              <w:rPr>
                <w:spacing w:val="-9"/>
                <w:w w:val="95"/>
                <w:sz w:val="21"/>
              </w:rPr>
              <w:t>编号</w:t>
            </w:r>
          </w:p>
        </w:tc>
        <w:tc>
          <w:tcPr>
            <w:tcW w:w="2519" w:type="dxa"/>
            <w:vMerge w:val="restart"/>
            <w:tcBorders>
              <w:left w:val="single" w:sz="6" w:space="0" w:color="000000"/>
              <w:bottom w:val="single" w:sz="6" w:space="0" w:color="000000"/>
              <w:right w:val="single" w:sz="6" w:space="0" w:color="000000"/>
            </w:tcBorders>
            <w:shd w:val="clear" w:color="auto" w:fill="F1F1F1"/>
          </w:tcPr>
          <w:p>
            <w:pPr>
              <w:pStyle w:val="TableParagraph"/>
              <w:spacing w:before="4"/>
              <w:rPr>
                <w:b/>
                <w:sz w:val="21"/>
              </w:rPr>
            </w:pPr>
          </w:p>
          <w:p>
            <w:pPr>
              <w:pStyle w:val="TableParagraph"/>
              <w:spacing w:before="1"/>
              <w:ind w:left="830"/>
              <w:rPr>
                <w:sz w:val="21"/>
              </w:rPr>
            </w:pPr>
            <w:r>
              <w:rPr>
                <w:sz w:val="21"/>
              </w:rPr>
              <w:t>点位描述</w:t>
            </w:r>
          </w:p>
        </w:tc>
        <w:tc>
          <w:tcPr>
            <w:tcW w:w="1746" w:type="dxa"/>
            <w:gridSpan w:val="2"/>
            <w:tcBorders>
              <w:left w:val="single" w:sz="6" w:space="0" w:color="000000"/>
              <w:bottom w:val="single" w:sz="6" w:space="0" w:color="000000"/>
              <w:right w:val="single" w:sz="6" w:space="0" w:color="000000"/>
            </w:tcBorders>
            <w:shd w:val="clear" w:color="auto" w:fill="F1F1F1"/>
          </w:tcPr>
          <w:p>
            <w:pPr>
              <w:pStyle w:val="TableParagraph"/>
              <w:spacing w:before="41"/>
              <w:ind w:left="317"/>
              <w:rPr>
                <w:rFonts w:ascii="Times New Roman" w:eastAsia="Times New Roman"/>
                <w:sz w:val="21"/>
              </w:rPr>
            </w:pPr>
            <w:r>
              <w:rPr>
                <w:sz w:val="21"/>
              </w:rPr>
              <w:t>噪声</w:t>
            </w:r>
            <w:r>
              <w:rPr>
                <w:rFonts w:ascii="Times New Roman" w:eastAsia="Times New Roman"/>
                <w:sz w:val="21"/>
              </w:rPr>
              <w:t>[dB(A)]</w:t>
            </w:r>
          </w:p>
        </w:tc>
        <w:tc>
          <w:tcPr>
            <w:tcW w:w="2199" w:type="dxa"/>
            <w:vMerge w:val="restart"/>
            <w:tcBorders>
              <w:left w:val="single" w:sz="6" w:space="0" w:color="000000"/>
              <w:bottom w:val="single" w:sz="6" w:space="0" w:color="000000"/>
              <w:right w:val="nil"/>
            </w:tcBorders>
            <w:shd w:val="clear" w:color="auto" w:fill="F1F1F1"/>
          </w:tcPr>
          <w:p>
            <w:pPr>
              <w:pStyle w:val="TableParagraph"/>
              <w:spacing w:before="4"/>
              <w:rPr>
                <w:b/>
                <w:sz w:val="21"/>
              </w:rPr>
            </w:pPr>
          </w:p>
          <w:p>
            <w:pPr>
              <w:pStyle w:val="TableParagraph"/>
              <w:spacing w:before="1"/>
              <w:ind w:left="860" w:right="870"/>
              <w:jc w:val="center"/>
              <w:rPr>
                <w:sz w:val="21"/>
              </w:rPr>
            </w:pPr>
            <w:r>
              <w:rPr>
                <w:sz w:val="21"/>
              </w:rPr>
              <w:t>备注</w:t>
            </w:r>
          </w:p>
        </w:tc>
      </w:tr>
      <w:tr>
        <w:tblPrEx>
          <w:tblW w:w="0" w:type="auto"/>
          <w:tblInd w:w="1689" w:type="dxa"/>
          <w:tblLayout w:type="fixed"/>
          <w:tblCellMar>
            <w:top w:w="0" w:type="dxa"/>
            <w:left w:w="0" w:type="dxa"/>
            <w:bottom w:w="0" w:type="dxa"/>
            <w:right w:w="0" w:type="dxa"/>
          </w:tblCellMar>
        </w:tblPrEx>
        <w:trPr>
          <w:trHeight w:val="449"/>
        </w:trPr>
        <w:tc>
          <w:tcPr>
            <w:tcW w:w="681" w:type="dxa"/>
            <w:vMerge/>
            <w:tcBorders>
              <w:top w:val="nil"/>
              <w:left w:val="nil"/>
              <w:bottom w:val="single" w:sz="6" w:space="0" w:color="000000"/>
              <w:right w:val="single" w:sz="6" w:space="0" w:color="000000"/>
            </w:tcBorders>
            <w:shd w:val="clear" w:color="auto" w:fill="F1F1F1"/>
          </w:tcPr>
          <w:p>
            <w:pPr>
              <w:rPr>
                <w:sz w:val="2"/>
                <w:szCs w:val="2"/>
              </w:rPr>
            </w:pPr>
          </w:p>
        </w:tc>
        <w:tc>
          <w:tcPr>
            <w:tcW w:w="2519" w:type="dxa"/>
            <w:vMerge/>
            <w:tcBorders>
              <w:top w:val="nil"/>
              <w:left w:val="single" w:sz="6" w:space="0" w:color="000000"/>
              <w:bottom w:val="single" w:sz="6" w:space="0" w:color="000000"/>
              <w:right w:val="single" w:sz="6" w:space="0" w:color="000000"/>
            </w:tcBorders>
            <w:shd w:val="clear" w:color="auto" w:fill="F1F1F1"/>
          </w:tcPr>
          <w:p>
            <w:pPr>
              <w:rPr>
                <w:sz w:val="2"/>
                <w:szCs w:val="2"/>
              </w:rPr>
            </w:pPr>
          </w:p>
        </w:tc>
        <w:tc>
          <w:tcPr>
            <w:tcW w:w="867" w:type="dxa"/>
            <w:tcBorders>
              <w:top w:val="single" w:sz="6" w:space="0" w:color="000000"/>
              <w:left w:val="single" w:sz="6" w:space="0" w:color="000000"/>
              <w:bottom w:val="single" w:sz="6" w:space="0" w:color="000000"/>
              <w:right w:val="single" w:sz="6" w:space="0" w:color="000000"/>
            </w:tcBorders>
            <w:shd w:val="clear" w:color="auto" w:fill="F1F1F1"/>
          </w:tcPr>
          <w:p>
            <w:pPr>
              <w:pStyle w:val="TableParagraph"/>
              <w:spacing w:before="95"/>
              <w:ind w:left="194" w:right="197"/>
              <w:jc w:val="center"/>
              <w:rPr>
                <w:sz w:val="21"/>
              </w:rPr>
            </w:pPr>
            <w:r>
              <w:rPr>
                <w:sz w:val="21"/>
              </w:rPr>
              <w:t>昼间</w:t>
            </w:r>
          </w:p>
        </w:tc>
        <w:tc>
          <w:tcPr>
            <w:tcW w:w="879" w:type="dxa"/>
            <w:tcBorders>
              <w:top w:val="single" w:sz="6" w:space="0" w:color="000000"/>
              <w:left w:val="single" w:sz="6" w:space="0" w:color="000000"/>
              <w:bottom w:val="single" w:sz="6" w:space="0" w:color="000000"/>
              <w:right w:val="single" w:sz="6" w:space="0" w:color="000000"/>
            </w:tcBorders>
            <w:shd w:val="clear" w:color="auto" w:fill="F1F1F1"/>
          </w:tcPr>
          <w:p>
            <w:pPr>
              <w:pStyle w:val="TableParagraph"/>
              <w:spacing w:before="95"/>
              <w:ind w:left="201" w:right="203"/>
              <w:jc w:val="center"/>
              <w:rPr>
                <w:sz w:val="21"/>
              </w:rPr>
            </w:pPr>
            <w:r>
              <w:rPr>
                <w:sz w:val="21"/>
              </w:rPr>
              <w:t>夜间</w:t>
            </w:r>
          </w:p>
        </w:tc>
        <w:tc>
          <w:tcPr>
            <w:tcW w:w="2199" w:type="dxa"/>
            <w:vMerge/>
            <w:tcBorders>
              <w:top w:val="nil"/>
              <w:left w:val="single" w:sz="6" w:space="0" w:color="000000"/>
              <w:bottom w:val="single" w:sz="6" w:space="0" w:color="000000"/>
              <w:right w:val="nil"/>
            </w:tcBorders>
            <w:shd w:val="clear" w:color="auto" w:fill="F1F1F1"/>
          </w:tcPr>
          <w:p>
            <w:pPr>
              <w:rPr>
                <w:sz w:val="2"/>
                <w:szCs w:val="2"/>
              </w:rPr>
            </w:pPr>
          </w:p>
        </w:tc>
      </w:tr>
      <w:tr>
        <w:tblPrEx>
          <w:tblW w:w="0" w:type="auto"/>
          <w:tblInd w:w="1689" w:type="dxa"/>
          <w:tblLayout w:type="fixed"/>
          <w:tblCellMar>
            <w:top w:w="0" w:type="dxa"/>
            <w:left w:w="0" w:type="dxa"/>
            <w:bottom w:w="0" w:type="dxa"/>
            <w:right w:w="0" w:type="dxa"/>
          </w:tblCellMar>
        </w:tblPrEx>
        <w:trPr>
          <w:trHeight w:val="453"/>
        </w:trPr>
        <w:tc>
          <w:tcPr>
            <w:tcW w:w="681" w:type="dxa"/>
            <w:tcBorders>
              <w:top w:val="single" w:sz="6" w:space="0" w:color="000000"/>
              <w:left w:val="nil"/>
              <w:bottom w:val="single" w:sz="6" w:space="0" w:color="000000"/>
              <w:right w:val="single" w:sz="6" w:space="0" w:color="000000"/>
            </w:tcBorders>
          </w:tcPr>
          <w:p>
            <w:pPr>
              <w:pStyle w:val="TableParagraph"/>
              <w:spacing w:before="106"/>
              <w:ind w:left="234"/>
              <w:rPr>
                <w:rFonts w:ascii="Times New Roman"/>
                <w:sz w:val="21"/>
              </w:rPr>
            </w:pPr>
            <w:r>
              <w:rPr>
                <w:rFonts w:ascii="Times New Roman"/>
                <w:sz w:val="21"/>
              </w:rPr>
              <w:t>1*</w:t>
            </w:r>
          </w:p>
        </w:tc>
        <w:tc>
          <w:tcPr>
            <w:tcW w:w="2519" w:type="dxa"/>
            <w:tcBorders>
              <w:top w:val="single" w:sz="6" w:space="0" w:color="000000"/>
              <w:left w:val="single" w:sz="6" w:space="0" w:color="000000"/>
              <w:bottom w:val="single" w:sz="6" w:space="0" w:color="000000"/>
              <w:right w:val="single" w:sz="6" w:space="0" w:color="000000"/>
            </w:tcBorders>
          </w:tcPr>
          <w:p>
            <w:pPr>
              <w:pStyle w:val="TableParagraph"/>
              <w:spacing w:before="92"/>
              <w:ind w:left="410"/>
              <w:rPr>
                <w:sz w:val="21"/>
              </w:rPr>
            </w:pPr>
            <w:r>
              <w:rPr>
                <w:sz w:val="21"/>
              </w:rPr>
              <w:t>拟建电缆终端塔处</w:t>
            </w:r>
          </w:p>
        </w:tc>
        <w:tc>
          <w:tcPr>
            <w:tcW w:w="867" w:type="dxa"/>
            <w:tcBorders>
              <w:top w:val="single" w:sz="6" w:space="0" w:color="000000"/>
              <w:left w:val="single" w:sz="6" w:space="0" w:color="000000"/>
              <w:bottom w:val="single" w:sz="6" w:space="0" w:color="000000"/>
              <w:right w:val="single" w:sz="6" w:space="0" w:color="000000"/>
            </w:tcBorders>
          </w:tcPr>
          <w:p>
            <w:pPr>
              <w:pStyle w:val="TableParagraph"/>
              <w:spacing w:before="106"/>
              <w:ind w:left="194" w:right="195"/>
              <w:jc w:val="center"/>
              <w:rPr>
                <w:rFonts w:ascii="Times New Roman"/>
                <w:sz w:val="21"/>
              </w:rPr>
            </w:pPr>
            <w:r>
              <w:rPr>
                <w:rFonts w:ascii="Times New Roman"/>
                <w:sz w:val="21"/>
              </w:rPr>
              <w:t>50</w:t>
            </w:r>
          </w:p>
        </w:tc>
        <w:tc>
          <w:tcPr>
            <w:tcW w:w="879" w:type="dxa"/>
            <w:tcBorders>
              <w:top w:val="single" w:sz="6" w:space="0" w:color="000000"/>
              <w:left w:val="single" w:sz="6" w:space="0" w:color="000000"/>
              <w:bottom w:val="single" w:sz="6" w:space="0" w:color="000000"/>
              <w:right w:val="single" w:sz="6" w:space="0" w:color="000000"/>
            </w:tcBorders>
          </w:tcPr>
          <w:p>
            <w:pPr>
              <w:pStyle w:val="TableParagraph"/>
              <w:spacing w:before="106"/>
              <w:ind w:left="201" w:right="201"/>
              <w:jc w:val="center"/>
              <w:rPr>
                <w:rFonts w:ascii="Times New Roman"/>
                <w:sz w:val="21"/>
              </w:rPr>
            </w:pPr>
            <w:r>
              <w:rPr>
                <w:rFonts w:ascii="Times New Roman"/>
                <w:sz w:val="21"/>
              </w:rPr>
              <w:t>48</w:t>
            </w:r>
          </w:p>
        </w:tc>
        <w:tc>
          <w:tcPr>
            <w:tcW w:w="2199" w:type="dxa"/>
            <w:tcBorders>
              <w:top w:val="single" w:sz="6" w:space="0" w:color="000000"/>
              <w:left w:val="single" w:sz="6" w:space="0" w:color="000000"/>
              <w:bottom w:val="single" w:sz="6" w:space="0" w:color="000000"/>
              <w:right w:val="nil"/>
            </w:tcBorders>
          </w:tcPr>
          <w:p>
            <w:pPr>
              <w:pStyle w:val="TableParagraph"/>
              <w:spacing w:before="92"/>
              <w:ind w:left="860" w:right="870"/>
              <w:jc w:val="center"/>
              <w:rPr>
                <w:sz w:val="21"/>
              </w:rPr>
            </w:pPr>
            <w:r>
              <w:rPr>
                <w:rFonts w:ascii="Times New Roman" w:eastAsia="Times New Roman"/>
                <w:sz w:val="21"/>
              </w:rPr>
              <w:t xml:space="preserve">2 </w:t>
            </w:r>
            <w:r>
              <w:rPr>
                <w:sz w:val="21"/>
              </w:rPr>
              <w:t>类</w:t>
            </w:r>
          </w:p>
        </w:tc>
      </w:tr>
      <w:tr>
        <w:tblPrEx>
          <w:tblW w:w="0" w:type="auto"/>
          <w:tblInd w:w="1689" w:type="dxa"/>
          <w:tblLayout w:type="fixed"/>
          <w:tblCellMar>
            <w:top w:w="0" w:type="dxa"/>
            <w:left w:w="0" w:type="dxa"/>
            <w:bottom w:w="0" w:type="dxa"/>
            <w:right w:w="0" w:type="dxa"/>
          </w:tblCellMar>
        </w:tblPrEx>
        <w:trPr>
          <w:trHeight w:val="545"/>
        </w:trPr>
        <w:tc>
          <w:tcPr>
            <w:tcW w:w="681" w:type="dxa"/>
            <w:tcBorders>
              <w:top w:val="single" w:sz="6" w:space="0" w:color="000000"/>
              <w:left w:val="nil"/>
              <w:bottom w:val="single" w:sz="6" w:space="0" w:color="000000"/>
              <w:right w:val="single" w:sz="6" w:space="0" w:color="000000"/>
            </w:tcBorders>
          </w:tcPr>
          <w:p>
            <w:pPr>
              <w:pStyle w:val="TableParagraph"/>
              <w:spacing w:before="150"/>
              <w:ind w:left="234"/>
              <w:rPr>
                <w:rFonts w:ascii="Times New Roman"/>
                <w:sz w:val="21"/>
              </w:rPr>
            </w:pPr>
            <w:r>
              <w:rPr>
                <w:rFonts w:ascii="Times New Roman"/>
                <w:sz w:val="21"/>
              </w:rPr>
              <w:t>2*</w:t>
            </w:r>
          </w:p>
        </w:tc>
        <w:tc>
          <w:tcPr>
            <w:tcW w:w="2519" w:type="dxa"/>
            <w:tcBorders>
              <w:top w:val="single" w:sz="6" w:space="0" w:color="000000"/>
              <w:left w:val="single" w:sz="6" w:space="0" w:color="000000"/>
              <w:bottom w:val="single" w:sz="6" w:space="0" w:color="000000"/>
              <w:right w:val="single" w:sz="6" w:space="0" w:color="000000"/>
            </w:tcBorders>
          </w:tcPr>
          <w:p>
            <w:pPr>
              <w:pStyle w:val="TableParagraph"/>
              <w:spacing w:before="1" w:line="270" w:lineRule="atLeast"/>
              <w:ind w:left="515" w:right="53" w:hanging="416"/>
              <w:rPr>
                <w:sz w:val="21"/>
              </w:rPr>
            </w:pPr>
            <w:r>
              <w:rPr>
                <w:sz w:val="21"/>
              </w:rPr>
              <w:t>加琴甲线</w:t>
            </w:r>
            <w:r>
              <w:rPr>
                <w:rFonts w:ascii="Times New Roman" w:eastAsia="Times New Roman"/>
                <w:sz w:val="21"/>
              </w:rPr>
              <w:t xml:space="preserve">#35 </w:t>
            </w:r>
            <w:r>
              <w:rPr>
                <w:sz w:val="21"/>
              </w:rPr>
              <w:t>塔</w:t>
            </w:r>
            <w:r>
              <w:rPr>
                <w:rFonts w:ascii="Times New Roman" w:eastAsia="Times New Roman"/>
                <w:sz w:val="21"/>
              </w:rPr>
              <w:t xml:space="preserve">~#36 </w:t>
            </w:r>
            <w:r>
              <w:rPr>
                <w:sz w:val="21"/>
              </w:rPr>
              <w:t>塔中间架空线路下方</w:t>
            </w:r>
          </w:p>
        </w:tc>
        <w:tc>
          <w:tcPr>
            <w:tcW w:w="867" w:type="dxa"/>
            <w:tcBorders>
              <w:top w:val="single" w:sz="6" w:space="0" w:color="000000"/>
              <w:left w:val="single" w:sz="6" w:space="0" w:color="000000"/>
              <w:bottom w:val="single" w:sz="6" w:space="0" w:color="000000"/>
              <w:right w:val="single" w:sz="6" w:space="0" w:color="000000"/>
            </w:tcBorders>
          </w:tcPr>
          <w:p>
            <w:pPr>
              <w:pStyle w:val="TableParagraph"/>
              <w:spacing w:before="150"/>
              <w:ind w:left="194" w:right="195"/>
              <w:jc w:val="center"/>
              <w:rPr>
                <w:rFonts w:ascii="Times New Roman"/>
                <w:sz w:val="21"/>
              </w:rPr>
            </w:pPr>
            <w:r>
              <w:rPr>
                <w:rFonts w:ascii="Times New Roman"/>
                <w:sz w:val="21"/>
              </w:rPr>
              <w:t>49</w:t>
            </w:r>
          </w:p>
        </w:tc>
        <w:tc>
          <w:tcPr>
            <w:tcW w:w="879" w:type="dxa"/>
            <w:tcBorders>
              <w:top w:val="single" w:sz="6" w:space="0" w:color="000000"/>
              <w:left w:val="single" w:sz="6" w:space="0" w:color="000000"/>
              <w:bottom w:val="single" w:sz="6" w:space="0" w:color="000000"/>
              <w:right w:val="single" w:sz="6" w:space="0" w:color="000000"/>
            </w:tcBorders>
          </w:tcPr>
          <w:p>
            <w:pPr>
              <w:pStyle w:val="TableParagraph"/>
              <w:spacing w:before="150"/>
              <w:ind w:left="201" w:right="201"/>
              <w:jc w:val="center"/>
              <w:rPr>
                <w:rFonts w:ascii="Times New Roman"/>
                <w:sz w:val="21"/>
              </w:rPr>
            </w:pPr>
            <w:r>
              <w:rPr>
                <w:rFonts w:ascii="Times New Roman"/>
                <w:sz w:val="21"/>
              </w:rPr>
              <w:t>47</w:t>
            </w:r>
          </w:p>
        </w:tc>
        <w:tc>
          <w:tcPr>
            <w:tcW w:w="2199" w:type="dxa"/>
            <w:tcBorders>
              <w:top w:val="single" w:sz="6" w:space="0" w:color="000000"/>
              <w:left w:val="single" w:sz="6" w:space="0" w:color="000000"/>
              <w:bottom w:val="single" w:sz="6" w:space="0" w:color="000000"/>
              <w:right w:val="nil"/>
            </w:tcBorders>
          </w:tcPr>
          <w:p>
            <w:pPr>
              <w:pStyle w:val="TableParagraph"/>
              <w:spacing w:before="136"/>
              <w:ind w:left="860" w:right="870"/>
              <w:jc w:val="center"/>
              <w:rPr>
                <w:sz w:val="21"/>
              </w:rPr>
            </w:pPr>
            <w:r>
              <w:rPr>
                <w:rFonts w:ascii="Times New Roman" w:eastAsia="Times New Roman"/>
                <w:sz w:val="21"/>
              </w:rPr>
              <w:t xml:space="preserve">2 </w:t>
            </w:r>
            <w:r>
              <w:rPr>
                <w:sz w:val="21"/>
              </w:rPr>
              <w:t>类</w:t>
            </w:r>
          </w:p>
        </w:tc>
      </w:tr>
    </w:tbl>
    <w:p>
      <w:pPr>
        <w:pStyle w:val="BodyText"/>
        <w:spacing w:before="3"/>
        <w:ind w:left="1415"/>
      </w:pPr>
      <w:r>
        <w:t>注：测量时主要声源为周边工地的施工噪声。</w:t>
      </w:r>
    </w:p>
    <w:p>
      <w:pPr>
        <w:pStyle w:val="BodyText"/>
        <w:spacing w:before="158"/>
        <w:ind w:left="1415"/>
      </w:pPr>
      <w:r>
        <w:t>根据监测结果表明，在本工程声环境影响评价范围内：</w:t>
      </w:r>
    </w:p>
    <w:p>
      <w:pPr>
        <w:pStyle w:val="BodyText"/>
        <w:spacing w:before="160" w:line="364" w:lineRule="auto"/>
        <w:ind w:left="940" w:right="364" w:firstLine="480"/>
        <w:jc w:val="both"/>
      </w:pPr>
      <w:r>
        <w:t>本项目拟调整</w:t>
      </w:r>
      <w:r>
        <w:rPr>
          <w:rFonts w:ascii="Times New Roman" w:eastAsia="Times New Roman"/>
        </w:rPr>
        <w:t xml:space="preserve">#35 </w:t>
      </w:r>
      <w:r>
        <w:t>塔至新建电缆终端塔段架空线路导线弧垂周边测点的噪声监</w:t>
      </w:r>
      <w:r>
        <w:rPr>
          <w:spacing w:val="-8"/>
        </w:rPr>
        <w:t xml:space="preserve">测结果为昼间 </w:t>
      </w:r>
      <w:r>
        <w:rPr>
          <w:rFonts w:ascii="Times New Roman" w:eastAsia="Times New Roman"/>
        </w:rPr>
        <w:t>49dB(A)~50dB(A)</w:t>
      </w:r>
      <w:r>
        <w:rPr>
          <w:spacing w:val="-14"/>
        </w:rPr>
        <w:t xml:space="preserve">，夜间 </w:t>
      </w:r>
      <w:r>
        <w:rPr>
          <w:rFonts w:ascii="Times New Roman" w:eastAsia="Times New Roman"/>
        </w:rPr>
        <w:t>47dB(A)~48dB(A)</w:t>
      </w:r>
      <w:r>
        <w:t>，测量结果满足《声环境</w:t>
      </w:r>
      <w:r>
        <w:rPr>
          <w:spacing w:val="-9"/>
        </w:rPr>
        <w:t>质量标准》</w:t>
      </w:r>
      <w:r>
        <w:t>（</w:t>
      </w:r>
      <w:r>
        <w:rPr>
          <w:rFonts w:ascii="Times New Roman" w:eastAsia="Times New Roman"/>
        </w:rPr>
        <w:t>GB3096-2008</w:t>
      </w:r>
      <w:r>
        <w:t>）</w:t>
      </w:r>
      <w:r>
        <w:rPr>
          <w:rFonts w:ascii="Times New Roman" w:eastAsia="Times New Roman"/>
        </w:rPr>
        <w:t xml:space="preserve">2 </w:t>
      </w:r>
      <w:r>
        <w:rPr>
          <w:spacing w:val="-3"/>
        </w:rPr>
        <w:t>类功能区限值要求</w:t>
      </w:r>
      <w:r>
        <w:t>（</w:t>
      </w:r>
      <w:r>
        <w:rPr>
          <w:spacing w:val="-22"/>
        </w:rPr>
        <w:t xml:space="preserve">昼间 </w:t>
      </w:r>
      <w:r>
        <w:rPr>
          <w:rFonts w:ascii="Times New Roman" w:eastAsia="Times New Roman"/>
          <w:spacing w:val="-3"/>
        </w:rPr>
        <w:t>60dB(A)</w:t>
      </w:r>
      <w:r>
        <w:rPr>
          <w:spacing w:val="-19"/>
        </w:rPr>
        <w:t xml:space="preserve">，夜间 </w:t>
      </w:r>
      <w:r>
        <w:rPr>
          <w:rFonts w:ascii="Times New Roman" w:eastAsia="Times New Roman"/>
          <w:spacing w:val="-3"/>
        </w:rPr>
        <w:t>50dB(A)</w:t>
      </w:r>
      <w:r>
        <w:rPr>
          <w:spacing w:val="-3"/>
        </w:rPr>
        <w:t>）</w:t>
      </w:r>
      <w:r>
        <w:t>。</w:t>
      </w:r>
    </w:p>
    <w:p>
      <w:pPr>
        <w:pStyle w:val="Heading3"/>
        <w:numPr>
          <w:ilvl w:val="1"/>
          <w:numId w:val="12"/>
        </w:numPr>
        <w:tabs>
          <w:tab w:val="left" w:pos="1360"/>
        </w:tabs>
        <w:spacing w:before="0" w:after="0" w:line="304" w:lineRule="exact"/>
        <w:ind w:left="1360" w:right="0" w:hanging="420"/>
        <w:jc w:val="both"/>
      </w:pPr>
      <w:r>
        <w:t>电磁环境质量现状</w:t>
      </w:r>
    </w:p>
    <w:p>
      <w:pPr>
        <w:pStyle w:val="BodyText"/>
        <w:spacing w:before="161"/>
        <w:ind w:left="1415"/>
      </w:pPr>
      <w:r>
        <w:t>根据本报告表设置的“电磁环境影响专题评价”：</w:t>
      </w:r>
    </w:p>
    <w:p>
      <w:pPr>
        <w:pStyle w:val="BodyText"/>
        <w:spacing w:before="158" w:line="364" w:lineRule="auto"/>
        <w:ind w:left="940" w:right="439" w:firstLine="480"/>
      </w:pPr>
      <w:r>
        <w:t xml:space="preserve">①拟建电缆终端塔及调整弧垂线路沿线测点的监测结果为电场强度为 </w:t>
      </w:r>
      <w:r>
        <w:rPr>
          <w:rFonts w:ascii="Times New Roman" w:eastAsia="Times New Roman" w:hAnsi="Times New Roman"/>
        </w:rPr>
        <w:t>2.2</w:t>
      </w:r>
      <w:r>
        <w:t xml:space="preserve">× </w:t>
      </w:r>
      <w:r>
        <w:rPr>
          <w:rFonts w:ascii="Times New Roman" w:eastAsia="Times New Roman" w:hAnsi="Times New Roman"/>
        </w:rPr>
        <w:t>10</w:t>
      </w:r>
      <w:r>
        <w:rPr>
          <w:rFonts w:ascii="Times New Roman" w:eastAsia="Times New Roman" w:hAnsi="Times New Roman"/>
          <w:position w:val="8"/>
          <w:sz w:val="15"/>
        </w:rPr>
        <w:t>2</w:t>
      </w:r>
      <w:r>
        <w:rPr>
          <w:rFonts w:ascii="Times New Roman" w:eastAsia="Times New Roman" w:hAnsi="Times New Roman"/>
        </w:rPr>
        <w:t>V/m~2.4</w:t>
      </w:r>
      <w:r>
        <w:t>×</w:t>
      </w:r>
      <w:r>
        <w:rPr>
          <w:rFonts w:ascii="Times New Roman" w:eastAsia="Times New Roman" w:hAnsi="Times New Roman"/>
        </w:rPr>
        <w:t>10</w:t>
      </w:r>
      <w:r>
        <w:rPr>
          <w:rFonts w:ascii="Times New Roman" w:eastAsia="Times New Roman" w:hAnsi="Times New Roman"/>
          <w:position w:val="8"/>
          <w:sz w:val="15"/>
        </w:rPr>
        <w:t>2</w:t>
      </w:r>
      <w:r>
        <w:rPr>
          <w:rFonts w:ascii="Times New Roman" w:eastAsia="Times New Roman" w:hAnsi="Times New Roman"/>
        </w:rPr>
        <w:t>V/m</w:t>
      </w:r>
      <w:r>
        <w:t xml:space="preserve">，磁感应强度为 </w:t>
      </w:r>
      <w:r>
        <w:rPr>
          <w:rFonts w:ascii="Times New Roman" w:eastAsia="Times New Roman" w:hAnsi="Times New Roman"/>
        </w:rPr>
        <w:t>0.31~0.35μT</w:t>
      </w:r>
      <w:r>
        <w:t>；</w:t>
      </w:r>
    </w:p>
    <w:p>
      <w:pPr>
        <w:pStyle w:val="BodyText"/>
        <w:spacing w:line="306" w:lineRule="exact"/>
        <w:ind w:left="1420"/>
      </w:pPr>
      <w:r>
        <w:t xml:space="preserve">② 拟建 </w:t>
      </w:r>
      <w:r>
        <w:rPr>
          <w:rFonts w:ascii="Times New Roman" w:eastAsia="Times New Roman" w:hAnsi="Times New Roman"/>
        </w:rPr>
        <w:t xml:space="preserve">220kV </w:t>
      </w:r>
      <w:r>
        <w:t>加琴甲乙线电缆线路沿线测点的监测结果为电场强度为</w:t>
      </w:r>
    </w:p>
    <w:p>
      <w:pPr>
        <w:pStyle w:val="BodyText"/>
        <w:spacing w:before="160"/>
        <w:ind w:left="940"/>
      </w:pPr>
      <w:r>
        <w:rPr>
          <w:rFonts w:ascii="Times New Roman" w:eastAsia="Times New Roman" w:hAnsi="Times New Roman"/>
        </w:rPr>
        <w:t>0.33V/m~1.9</w:t>
      </w:r>
      <w:r>
        <w:t>×</w:t>
      </w:r>
      <w:r>
        <w:rPr>
          <w:rFonts w:ascii="Times New Roman" w:eastAsia="Times New Roman" w:hAnsi="Times New Roman"/>
        </w:rPr>
        <w:t>10</w:t>
      </w:r>
      <w:r>
        <w:rPr>
          <w:rFonts w:ascii="Times New Roman" w:eastAsia="Times New Roman" w:hAnsi="Times New Roman"/>
          <w:position w:val="8"/>
          <w:sz w:val="15"/>
        </w:rPr>
        <w:t>2</w:t>
      </w:r>
      <w:r>
        <w:rPr>
          <w:rFonts w:ascii="Times New Roman" w:eastAsia="Times New Roman" w:hAnsi="Times New Roman"/>
        </w:rPr>
        <w:t>V/m</w:t>
      </w:r>
      <w:r>
        <w:t xml:space="preserve">，磁感应强度为 </w:t>
      </w:r>
      <w:r>
        <w:rPr>
          <w:rFonts w:ascii="Times New Roman" w:eastAsia="Times New Roman" w:hAnsi="Times New Roman"/>
        </w:rPr>
        <w:t>0.34~0.28μT</w:t>
      </w:r>
      <w:r>
        <w:t>。</w:t>
      </w:r>
    </w:p>
    <w:p>
      <w:pPr>
        <w:pStyle w:val="BodyText"/>
        <w:spacing w:before="159" w:line="364" w:lineRule="auto"/>
        <w:ind w:left="940" w:right="517" w:firstLine="475"/>
        <w:jc w:val="both"/>
      </w:pPr>
      <w:r>
        <w:rPr>
          <w:spacing w:val="-3"/>
        </w:rPr>
        <w:t>本工程的评价范围内，拟建电缆终端塔及调整弧垂线路沿线、拟建电缆线路沿</w:t>
      </w:r>
      <w:r>
        <w:rPr>
          <w:spacing w:val="-2"/>
        </w:rPr>
        <w:t>线的电磁环境现状测量结果均满足《电场环境控制限值》</w:t>
      </w:r>
      <w:r>
        <w:t>（</w:t>
      </w:r>
      <w:r>
        <w:rPr>
          <w:rFonts w:ascii="Times New Roman" w:eastAsia="Times New Roman" w:hAnsi="Times New Roman"/>
        </w:rPr>
        <w:t>GB 8702-2014</w:t>
      </w:r>
      <w:r>
        <w:t>）</w:t>
      </w:r>
      <w:r>
        <w:rPr>
          <w:spacing w:val="-6"/>
        </w:rPr>
        <w:t>中频率</w:t>
      </w:r>
      <w:r>
        <w:rPr>
          <w:spacing w:val="-31"/>
        </w:rPr>
        <w:t xml:space="preserve">为 </w:t>
      </w:r>
      <w:r>
        <w:rPr>
          <w:rFonts w:ascii="Times New Roman" w:eastAsia="Times New Roman" w:hAnsi="Times New Roman"/>
        </w:rPr>
        <w:t xml:space="preserve">0.05kHz </w:t>
      </w:r>
      <w:r>
        <w:rPr>
          <w:spacing w:val="-4"/>
        </w:rPr>
        <w:t xml:space="preserve">的公众曝露控制限值要求，即电场强度 </w:t>
      </w:r>
      <w:r>
        <w:rPr>
          <w:rFonts w:ascii="Times New Roman" w:eastAsia="Times New Roman" w:hAnsi="Times New Roman"/>
        </w:rPr>
        <w:t>4000V/m</w:t>
      </w:r>
      <w:r>
        <w:rPr>
          <w:spacing w:val="-9"/>
        </w:rPr>
        <w:t xml:space="preserve">，磁感应强度 </w:t>
      </w:r>
      <w:r>
        <w:rPr>
          <w:rFonts w:ascii="Times New Roman" w:eastAsia="Times New Roman" w:hAnsi="Times New Roman"/>
        </w:rPr>
        <w:t>100μT</w:t>
      </w:r>
      <w:r>
        <w:t>。</w:t>
      </w:r>
    </w:p>
    <w:p>
      <w:pPr>
        <w:pStyle w:val="Heading3"/>
        <w:numPr>
          <w:ilvl w:val="1"/>
          <w:numId w:val="12"/>
        </w:numPr>
        <w:tabs>
          <w:tab w:val="left" w:pos="1360"/>
        </w:tabs>
        <w:spacing w:before="0" w:after="0" w:line="307" w:lineRule="exact"/>
        <w:ind w:left="1360" w:right="0" w:hanging="420"/>
        <w:jc w:val="both"/>
      </w:pPr>
      <w:r>
        <w:t>生态环境现状</w:t>
      </w:r>
    </w:p>
    <w:p>
      <w:pPr>
        <w:pStyle w:val="BodyText"/>
        <w:spacing w:before="160" w:line="364" w:lineRule="auto"/>
        <w:ind w:left="940" w:right="397" w:firstLine="475"/>
      </w:pPr>
      <w:r>
        <w:rPr>
          <w:spacing w:val="-3"/>
        </w:rPr>
        <w:t xml:space="preserve">本项目线路迁改工程仅有电缆终端塔与新建的 </w:t>
      </w:r>
      <w:r>
        <w:rPr>
          <w:rFonts w:ascii="Times New Roman" w:eastAsia="Times New Roman"/>
        </w:rPr>
        <w:t xml:space="preserve">30m </w:t>
      </w:r>
      <w:r>
        <w:rPr>
          <w:spacing w:val="-8"/>
        </w:rPr>
        <w:t>电缆沟涉及新增用地；其余线路段的电缆通道为市政基础设施，本项目无需进行土建施工。电缆终端塔与新建</w:t>
      </w:r>
      <w:r>
        <w:rPr>
          <w:rFonts w:ascii="Times New Roman" w:eastAsia="Times New Roman"/>
          <w:spacing w:val="-8"/>
        </w:rPr>
        <w:t xml:space="preserve">30m </w:t>
      </w:r>
      <w:r>
        <w:rPr>
          <w:spacing w:val="-8"/>
        </w:rPr>
        <w:t>电缆沟周边为裸地和人行道景观树，生态价值不高。调查范围内无古、大、珍、</w:t>
      </w:r>
      <w:r>
        <w:rPr>
          <w:spacing w:val="-3"/>
        </w:rPr>
        <w:t>奇树种，无濒危植物、古树名木和文物古迹；也未发现濒危、珍稀类动物，也没有陆生野生动物保护区。</w:t>
      </w:r>
    </w:p>
    <w:p>
      <w:pPr>
        <w:pStyle w:val="BodyText"/>
        <w:spacing w:line="303" w:lineRule="exact"/>
        <w:ind w:left="1420"/>
      </w:pPr>
      <w:r>
        <w:t xml:space="preserve">工程周边环境现状见图 </w:t>
      </w:r>
      <w:r>
        <w:rPr>
          <w:rFonts w:ascii="Times New Roman" w:eastAsia="Times New Roman"/>
        </w:rPr>
        <w:t>3-4</w:t>
      </w:r>
      <w:r>
        <w:t>。</w:t>
      </w:r>
    </w:p>
    <w:p>
      <w:pPr>
        <w:spacing w:after="0" w:line="303" w:lineRule="exact"/>
        <w:sectPr>
          <w:footerReference w:type="default" r:id="rId45"/>
          <w:pgSz w:w="11910" w:h="16840"/>
          <w:pgMar w:top="1380" w:right="901" w:bottom="1240" w:left="920" w:header="0" w:footer="963" w:gutter="0"/>
          <w:pgNumType w:start="27"/>
          <w:cols w:num="1" w:space="720"/>
        </w:sectPr>
      </w:pPr>
    </w:p>
    <w:tbl>
      <w:tblPr>
        <w:tblStyle w:val="TableNormal"/>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2"/>
        <w:gridCol w:w="8845"/>
      </w:tblGrid>
      <w:tr>
        <w:tblPrEx>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8672"/>
        </w:trPr>
        <w:tc>
          <w:tcPr>
            <w:tcW w:w="442" w:type="dxa"/>
            <w:tcBorders>
              <w:bottom w:val="single" w:sz="4" w:space="0" w:color="000000"/>
              <w:right w:val="single" w:sz="4" w:space="0" w:color="000000"/>
            </w:tcBorders>
          </w:tcPr>
          <w:p>
            <w:pPr>
              <w:pStyle w:val="TableParagraph"/>
              <w:rPr>
                <w:rFonts w:ascii="Times New Roman"/>
                <w:sz w:val="22"/>
              </w:rPr>
            </w:pPr>
          </w:p>
        </w:tc>
        <w:tc>
          <w:tcPr>
            <w:tcW w:w="8845" w:type="dxa"/>
            <w:tcBorders>
              <w:left w:val="single" w:sz="4" w:space="0" w:color="000000"/>
              <w:bottom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6"/>
              </w:rPr>
            </w:pPr>
          </w:p>
          <w:p>
            <w:pPr>
              <w:pStyle w:val="TableParagraph"/>
              <w:ind w:right="1832"/>
              <w:jc w:val="right"/>
              <w:rPr>
                <w:sz w:val="21"/>
              </w:rPr>
            </w:pPr>
            <w:r>
              <w:rPr>
                <w:color w:val="FFFF00"/>
                <w:w w:val="95"/>
                <w:sz w:val="21"/>
              </w:rPr>
              <w:t>拟建电缆沟</w:t>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0"/>
              <w:rPr>
                <w:sz w:val="28"/>
              </w:rPr>
            </w:pPr>
          </w:p>
          <w:p>
            <w:pPr>
              <w:pStyle w:val="TableParagraph"/>
              <w:spacing w:line="250" w:lineRule="exact"/>
              <w:ind w:left="20"/>
              <w:jc w:val="center"/>
              <w:rPr>
                <w:b/>
                <w:sz w:val="21"/>
              </w:rPr>
            </w:pPr>
            <w:r>
              <w:rPr>
                <w:b/>
                <w:spacing w:val="-26"/>
                <w:sz w:val="21"/>
              </w:rPr>
              <w:t xml:space="preserve">图 </w:t>
            </w:r>
            <w:r>
              <w:rPr>
                <w:rFonts w:ascii="Times New Roman" w:eastAsia="Times New Roman"/>
                <w:b/>
                <w:sz w:val="21"/>
              </w:rPr>
              <w:t>3-4</w:t>
            </w:r>
            <w:r>
              <w:rPr>
                <w:rFonts w:ascii="Times New Roman" w:eastAsia="Times New Roman"/>
                <w:b/>
                <w:spacing w:val="52"/>
                <w:sz w:val="21"/>
              </w:rPr>
              <w:t xml:space="preserve"> </w:t>
            </w:r>
            <w:r>
              <w:rPr>
                <w:b/>
                <w:sz w:val="21"/>
              </w:rPr>
              <w:t>工程周边环境现状</w:t>
            </w:r>
          </w:p>
        </w:tc>
      </w:tr>
      <w:tr>
        <w:tblPrEx>
          <w:tblW w:w="0" w:type="auto"/>
          <w:tblInd w:w="400" w:type="dxa"/>
          <w:tblLayout w:type="fixed"/>
          <w:tblCellMar>
            <w:top w:w="0" w:type="dxa"/>
            <w:left w:w="0" w:type="dxa"/>
            <w:bottom w:w="0" w:type="dxa"/>
            <w:right w:w="0" w:type="dxa"/>
          </w:tblCellMar>
        </w:tblPrEx>
        <w:trPr>
          <w:trHeight w:val="5133"/>
        </w:trPr>
        <w:tc>
          <w:tcPr>
            <w:tcW w:w="442" w:type="dxa"/>
            <w:tcBorders>
              <w:top w:val="single" w:sz="4" w:space="0" w:color="000000"/>
              <w:right w:val="single" w:sz="4" w:space="0" w:color="000000"/>
            </w:tcBorders>
          </w:tcPr>
          <w:p>
            <w:pPr>
              <w:pStyle w:val="TableParagraph"/>
              <w:spacing w:before="78" w:line="242" w:lineRule="auto"/>
              <w:ind w:left="108" w:right="78"/>
              <w:jc w:val="both"/>
              <w:rPr>
                <w:sz w:val="24"/>
              </w:rPr>
            </w:pPr>
            <w:r>
              <w:rPr>
                <w:sz w:val="24"/>
              </w:rPr>
              <w:t>与项目有关的原有环境污染和生态破</w:t>
            </w:r>
          </w:p>
        </w:tc>
        <w:tc>
          <w:tcPr>
            <w:tcW w:w="8845" w:type="dxa"/>
            <w:tcBorders>
              <w:top w:val="single" w:sz="4" w:space="0" w:color="000000"/>
              <w:left w:val="single" w:sz="4" w:space="0" w:color="000000"/>
            </w:tcBorders>
          </w:tcPr>
          <w:p>
            <w:pPr>
              <w:pStyle w:val="TableParagraph"/>
              <w:spacing w:before="2"/>
              <w:ind w:left="112"/>
              <w:jc w:val="both"/>
              <w:rPr>
                <w:b/>
                <w:sz w:val="24"/>
              </w:rPr>
            </w:pPr>
            <w:r>
              <w:rPr>
                <w:rFonts w:ascii="Times New Roman" w:eastAsia="Times New Roman"/>
                <w:b/>
                <w:sz w:val="24"/>
              </w:rPr>
              <w:t>3</w:t>
            </w:r>
            <w:r>
              <w:rPr>
                <w:rFonts w:ascii="Times New Roman" w:eastAsia="Times New Roman"/>
                <w:b/>
                <w:spacing w:val="59"/>
                <w:sz w:val="24"/>
              </w:rPr>
              <w:t xml:space="preserve"> </w:t>
            </w:r>
            <w:r>
              <w:rPr>
                <w:b/>
                <w:sz w:val="24"/>
              </w:rPr>
              <w:t>与本项目相关的原有污染源情况</w:t>
            </w:r>
          </w:p>
          <w:p>
            <w:pPr>
              <w:pStyle w:val="TableParagraph"/>
              <w:spacing w:before="158"/>
              <w:ind w:right="87"/>
              <w:jc w:val="right"/>
              <w:rPr>
                <w:sz w:val="24"/>
              </w:rPr>
            </w:pPr>
            <w:r>
              <w:rPr>
                <w:spacing w:val="-9"/>
                <w:sz w:val="24"/>
              </w:rPr>
              <w:t xml:space="preserve">本工程为 </w:t>
            </w:r>
            <w:r>
              <w:rPr>
                <w:rFonts w:ascii="Times New Roman" w:eastAsia="Times New Roman"/>
                <w:sz w:val="24"/>
              </w:rPr>
              <w:t>220kV</w:t>
            </w:r>
            <w:r>
              <w:rPr>
                <w:rFonts w:ascii="Times New Roman" w:eastAsia="Times New Roman"/>
                <w:spacing w:val="4"/>
                <w:sz w:val="24"/>
              </w:rPr>
              <w:t xml:space="preserve"> </w:t>
            </w:r>
            <w:r>
              <w:rPr>
                <w:spacing w:val="3"/>
                <w:sz w:val="24"/>
              </w:rPr>
              <w:t>加琴甲乙线电缆化迁改工程，与本工程相关的输变电工程为</w:t>
            </w:r>
          </w:p>
          <w:p>
            <w:pPr>
              <w:pStyle w:val="TableParagraph"/>
              <w:spacing w:before="160"/>
              <w:ind w:right="87"/>
              <w:jc w:val="right"/>
              <w:rPr>
                <w:sz w:val="24"/>
              </w:rPr>
            </w:pPr>
            <w:r>
              <w:rPr>
                <w:rFonts w:ascii="Times New Roman" w:eastAsia="Times New Roman"/>
                <w:sz w:val="24"/>
              </w:rPr>
              <w:t>220kV</w:t>
            </w:r>
            <w:r>
              <w:rPr>
                <w:rFonts w:ascii="Times New Roman" w:eastAsia="Times New Roman"/>
                <w:spacing w:val="-1"/>
                <w:sz w:val="24"/>
              </w:rPr>
              <w:t xml:space="preserve"> </w:t>
            </w:r>
            <w:r>
              <w:rPr>
                <w:spacing w:val="-6"/>
                <w:sz w:val="24"/>
              </w:rPr>
              <w:t>加琴甲乙线架空线路。</w:t>
            </w:r>
            <w:r>
              <w:rPr>
                <w:rFonts w:ascii="Times New Roman" w:eastAsia="Times New Roman"/>
                <w:sz w:val="24"/>
              </w:rPr>
              <w:t>220kV</w:t>
            </w:r>
            <w:r>
              <w:rPr>
                <w:rFonts w:ascii="Times New Roman" w:eastAsia="Times New Roman"/>
                <w:spacing w:val="-1"/>
                <w:sz w:val="24"/>
              </w:rPr>
              <w:t xml:space="preserve"> </w:t>
            </w:r>
            <w:r>
              <w:rPr>
                <w:spacing w:val="-6"/>
                <w:sz w:val="24"/>
              </w:rPr>
              <w:t xml:space="preserve">加琴甲乙线架空线路在 </w:t>
            </w:r>
            <w:r>
              <w:rPr>
                <w:rFonts w:ascii="Times New Roman" w:eastAsia="Times New Roman"/>
                <w:sz w:val="24"/>
              </w:rPr>
              <w:t>500kV</w:t>
            </w:r>
            <w:r>
              <w:rPr>
                <w:rFonts w:ascii="Times New Roman" w:eastAsia="Times New Roman"/>
                <w:spacing w:val="-1"/>
                <w:sz w:val="24"/>
              </w:rPr>
              <w:t xml:space="preserve"> </w:t>
            </w:r>
            <w:r>
              <w:rPr>
                <w:sz w:val="24"/>
              </w:rPr>
              <w:t>加林变电站配套</w:t>
            </w:r>
          </w:p>
          <w:p>
            <w:pPr>
              <w:pStyle w:val="TableParagraph"/>
              <w:spacing w:before="158"/>
              <w:ind w:left="112"/>
              <w:jc w:val="both"/>
              <w:rPr>
                <w:sz w:val="24"/>
              </w:rPr>
            </w:pPr>
            <w:r>
              <w:rPr>
                <w:rFonts w:ascii="Times New Roman" w:eastAsia="Times New Roman"/>
                <w:sz w:val="24"/>
              </w:rPr>
              <w:t xml:space="preserve">220kV </w:t>
            </w:r>
            <w:r>
              <w:rPr>
                <w:sz w:val="24"/>
              </w:rPr>
              <w:t>输变电工程中建设。</w:t>
            </w:r>
          </w:p>
          <w:p>
            <w:pPr>
              <w:pStyle w:val="TableParagraph"/>
              <w:spacing w:before="161" w:line="364" w:lineRule="auto"/>
              <w:ind w:left="112" w:right="87" w:firstLine="480"/>
              <w:jc w:val="both"/>
              <w:rPr>
                <w:sz w:val="24"/>
              </w:rPr>
            </w:pPr>
            <w:r>
              <w:rPr>
                <w:rFonts w:ascii="Times New Roman" w:eastAsia="Times New Roman"/>
                <w:sz w:val="24"/>
              </w:rPr>
              <w:t xml:space="preserve">2011 </w:t>
            </w:r>
            <w:r>
              <w:rPr>
                <w:spacing w:val="-30"/>
                <w:sz w:val="24"/>
              </w:rPr>
              <w:t xml:space="preserve">年 </w:t>
            </w:r>
            <w:r>
              <w:rPr>
                <w:rFonts w:ascii="Times New Roman" w:eastAsia="Times New Roman"/>
                <w:sz w:val="24"/>
              </w:rPr>
              <w:t xml:space="preserve">9 </w:t>
            </w:r>
            <w:r>
              <w:rPr>
                <w:spacing w:val="-31"/>
                <w:sz w:val="24"/>
              </w:rPr>
              <w:t xml:space="preserve">月 </w:t>
            </w:r>
            <w:r>
              <w:rPr>
                <w:rFonts w:ascii="Times New Roman" w:eastAsia="Times New Roman"/>
                <w:sz w:val="24"/>
              </w:rPr>
              <w:t xml:space="preserve">18 </w:t>
            </w:r>
            <w:r>
              <w:rPr>
                <w:spacing w:val="-4"/>
                <w:sz w:val="24"/>
              </w:rPr>
              <w:t xml:space="preserve">日，原珠海市环境保护局以《关于加林站 </w:t>
            </w:r>
            <w:r>
              <w:rPr>
                <w:rFonts w:ascii="Times New Roman" w:eastAsia="Times New Roman"/>
                <w:sz w:val="24"/>
              </w:rPr>
              <w:t xml:space="preserve">220kV </w:t>
            </w:r>
            <w:r>
              <w:rPr>
                <w:spacing w:val="-3"/>
                <w:sz w:val="24"/>
              </w:rPr>
              <w:t>配套工程建设</w:t>
            </w:r>
            <w:r>
              <w:rPr>
                <w:spacing w:val="-4"/>
                <w:sz w:val="24"/>
              </w:rPr>
              <w:t>项目环境影响报告表的批复》</w:t>
            </w:r>
            <w:r>
              <w:rPr>
                <w:sz w:val="24"/>
              </w:rPr>
              <w:t>（</w:t>
            </w:r>
            <w:r>
              <w:rPr>
                <w:spacing w:val="-5"/>
                <w:sz w:val="24"/>
              </w:rPr>
              <w:t>珠环辐建〔</w:t>
            </w:r>
            <w:r>
              <w:rPr>
                <w:rFonts w:ascii="Times New Roman" w:eastAsia="Times New Roman"/>
                <w:spacing w:val="-3"/>
                <w:sz w:val="24"/>
              </w:rPr>
              <w:t>2011</w:t>
            </w:r>
            <w:r>
              <w:rPr>
                <w:spacing w:val="-24"/>
                <w:sz w:val="24"/>
              </w:rPr>
              <w:t>〕</w:t>
            </w:r>
            <w:r>
              <w:rPr>
                <w:rFonts w:ascii="Times New Roman" w:eastAsia="Times New Roman"/>
                <w:sz w:val="24"/>
              </w:rPr>
              <w:t xml:space="preserve">34 </w:t>
            </w:r>
            <w:r>
              <w:rPr>
                <w:sz w:val="24"/>
              </w:rPr>
              <w:t>号</w:t>
            </w:r>
            <w:r>
              <w:rPr>
                <w:spacing w:val="-22"/>
                <w:sz w:val="24"/>
              </w:rPr>
              <w:t>）</w:t>
            </w:r>
            <w:r>
              <w:rPr>
                <w:spacing w:val="-15"/>
                <w:sz w:val="24"/>
              </w:rPr>
              <w:t xml:space="preserve">同意了 </w:t>
            </w:r>
            <w:r>
              <w:rPr>
                <w:rFonts w:ascii="Times New Roman" w:eastAsia="Times New Roman"/>
                <w:sz w:val="24"/>
              </w:rPr>
              <w:t xml:space="preserve">500kV </w:t>
            </w:r>
            <w:r>
              <w:rPr>
                <w:spacing w:val="-4"/>
                <w:sz w:val="24"/>
              </w:rPr>
              <w:t>加林变电站</w:t>
            </w:r>
            <w:r>
              <w:rPr>
                <w:spacing w:val="-20"/>
                <w:sz w:val="24"/>
              </w:rPr>
              <w:t xml:space="preserve">配套 </w:t>
            </w:r>
            <w:r>
              <w:rPr>
                <w:rFonts w:ascii="Times New Roman" w:eastAsia="Times New Roman"/>
                <w:sz w:val="24"/>
              </w:rPr>
              <w:t xml:space="preserve">220kV </w:t>
            </w:r>
            <w:r>
              <w:rPr>
                <w:spacing w:val="-8"/>
                <w:sz w:val="24"/>
              </w:rPr>
              <w:t xml:space="preserve">输变电工程的建设，详见附件 </w:t>
            </w:r>
            <w:r>
              <w:rPr>
                <w:rFonts w:ascii="Times New Roman" w:eastAsia="Times New Roman"/>
                <w:sz w:val="24"/>
              </w:rPr>
              <w:t>4</w:t>
            </w:r>
            <w:r>
              <w:rPr>
                <w:spacing w:val="-20"/>
                <w:sz w:val="24"/>
              </w:rPr>
              <w:t>。</w:t>
            </w:r>
            <w:r>
              <w:rPr>
                <w:rFonts w:ascii="Times New Roman" w:eastAsia="Times New Roman"/>
                <w:sz w:val="24"/>
              </w:rPr>
              <w:t xml:space="preserve">2019 </w:t>
            </w:r>
            <w:r>
              <w:rPr>
                <w:spacing w:val="-30"/>
                <w:sz w:val="24"/>
              </w:rPr>
              <w:t xml:space="preserve">年 </w:t>
            </w:r>
            <w:r>
              <w:rPr>
                <w:rFonts w:ascii="Times New Roman" w:eastAsia="Times New Roman"/>
                <w:sz w:val="24"/>
              </w:rPr>
              <w:t xml:space="preserve">5 </w:t>
            </w:r>
            <w:r>
              <w:rPr>
                <w:spacing w:val="-2"/>
                <w:sz w:val="24"/>
              </w:rPr>
              <w:t>月，</w:t>
            </w:r>
            <w:r>
              <w:rPr>
                <w:rFonts w:ascii="Times New Roman" w:eastAsia="Times New Roman"/>
                <w:spacing w:val="-4"/>
                <w:sz w:val="24"/>
              </w:rPr>
              <w:t xml:space="preserve">500kV </w:t>
            </w:r>
            <w:r>
              <w:rPr>
                <w:spacing w:val="-2"/>
                <w:sz w:val="24"/>
              </w:rPr>
              <w:t>加林变电站配套</w:t>
            </w:r>
            <w:r>
              <w:rPr>
                <w:rFonts w:ascii="Times New Roman" w:eastAsia="Times New Roman"/>
                <w:sz w:val="24"/>
              </w:rPr>
              <w:t xml:space="preserve">220kV </w:t>
            </w:r>
            <w:r>
              <w:rPr>
                <w:spacing w:val="-3"/>
                <w:sz w:val="24"/>
              </w:rPr>
              <w:t xml:space="preserve">输变电工程完成了环保验收手续，详见附件 </w:t>
            </w:r>
            <w:r>
              <w:rPr>
                <w:rFonts w:ascii="Times New Roman" w:eastAsia="Times New Roman"/>
                <w:sz w:val="24"/>
              </w:rPr>
              <w:t>4</w:t>
            </w:r>
            <w:r>
              <w:rPr>
                <w:sz w:val="24"/>
              </w:rPr>
              <w:t>。</w:t>
            </w:r>
          </w:p>
          <w:p>
            <w:pPr>
              <w:pStyle w:val="TableParagraph"/>
              <w:spacing w:line="362" w:lineRule="auto"/>
              <w:ind w:left="112" w:right="-44" w:firstLine="480"/>
              <w:jc w:val="both"/>
              <w:rPr>
                <w:sz w:val="24"/>
              </w:rPr>
            </w:pPr>
            <w:r>
              <w:rPr>
                <w:spacing w:val="-5"/>
                <w:sz w:val="24"/>
              </w:rPr>
              <w:t xml:space="preserve">本项目新建电缆沟长度为 </w:t>
            </w:r>
            <w:r>
              <w:rPr>
                <w:rFonts w:ascii="Times New Roman" w:eastAsia="Times New Roman"/>
                <w:spacing w:val="-6"/>
                <w:sz w:val="24"/>
              </w:rPr>
              <w:t>0.03km</w:t>
            </w:r>
            <w:r>
              <w:rPr>
                <w:spacing w:val="-5"/>
                <w:sz w:val="24"/>
              </w:rPr>
              <w:t>，其余利用琴韵站进站电缆隧道、横琴粤澳深</w:t>
            </w:r>
            <w:r>
              <w:rPr>
                <w:spacing w:val="-8"/>
                <w:sz w:val="24"/>
              </w:rPr>
              <w:t>度合作区环岛北路电缆隧道</w:t>
            </w:r>
            <w:r>
              <w:rPr>
                <w:spacing w:val="-3"/>
                <w:sz w:val="24"/>
              </w:rPr>
              <w:t>（</w:t>
            </w:r>
            <w:r>
              <w:rPr>
                <w:sz w:val="24"/>
              </w:rPr>
              <w:t>综合管廊</w:t>
            </w:r>
            <w:r>
              <w:rPr>
                <w:spacing w:val="-34"/>
                <w:sz w:val="24"/>
              </w:rPr>
              <w:t>）</w:t>
            </w:r>
            <w:r>
              <w:rPr>
                <w:spacing w:val="-9"/>
                <w:sz w:val="24"/>
              </w:rPr>
              <w:t>、横琴隧道电力舱、宝琴路电缆隧道走线。</w:t>
            </w:r>
          </w:p>
          <w:p>
            <w:pPr>
              <w:pStyle w:val="TableParagraph"/>
              <w:spacing w:before="2"/>
              <w:ind w:left="592" w:right="-44"/>
              <w:rPr>
                <w:sz w:val="24"/>
              </w:rPr>
            </w:pPr>
            <w:r>
              <w:rPr>
                <w:spacing w:val="-3"/>
                <w:sz w:val="24"/>
              </w:rPr>
              <w:t>横琴粤澳深度合作区环岛北路电缆隧道</w:t>
            </w:r>
            <w:r>
              <w:rPr>
                <w:sz w:val="24"/>
              </w:rPr>
              <w:t>（综合管廊</w:t>
            </w:r>
            <w:r>
              <w:rPr>
                <w:spacing w:val="-46"/>
                <w:sz w:val="24"/>
              </w:rPr>
              <w:t>）</w:t>
            </w:r>
            <w:r>
              <w:rPr>
                <w:spacing w:val="-7"/>
                <w:sz w:val="24"/>
              </w:rPr>
              <w:t>在“横琴新区环岛北片主、</w:t>
            </w:r>
          </w:p>
        </w:tc>
      </w:tr>
    </w:tbl>
    <w:p>
      <w:pPr>
        <w:rPr>
          <w:sz w:val="2"/>
          <w:szCs w:val="2"/>
        </w:rPr>
      </w:pPr>
      <w:r>
        <w:pict>
          <v:group id="_x0000_s1228" o:spid="_x0000_s1087" style="width:426.35pt;height:413.8pt;margin-top:71.85pt;margin-left:103.55pt;mso-height-relative:page;mso-position-horizontal-relative:page;mso-position-vertical-relative:page;mso-width-relative:page;position:absolute;z-index:-251640832" coordorigin="2071,1438" coordsize="8527,8276">
            <v:shape id="_x0000_s1229" o:spid="_x0000_s1088" type="#_x0000_t75" style="width:8527;height:8276;left:2071;position:absolute;top:1437" coordsize="21600,21600" filled="f" stroked="f">
              <v:imagedata r:id="rId46" o:title=""/>
              <o:lock v:ext="edit" aspectratio="t"/>
            </v:shape>
            <v:shape id="_x0000_s1230" o:spid="_x0000_s1089" style="width:1441;height:13;left:5263;position:absolute;top:3858" coordorigin="5264,3859" coordsize="1441,13" path="m6524,3859l6704,3859m6209,3862l6389,3862m5894,3865l6074,3865m5579,3868l5759,3868m5264,3871l5444,3871e" filled="f" stroked="t" strokecolor="red">
              <v:path arrowok="t"/>
            </v:shape>
            <v:shape id="_x0000_s1231" o:spid="_x0000_s1090" style="width:3046;height:1676;left:5918;position:absolute;top:3917" coordorigin="5918,3918" coordsize="3046,1676" path="m7724,4902l5918,3930,5924,3918,5998,3950,5998,3950,5989,3968,6230,4075,7732,4883,7729,4883,7724,4902xm6230,4075l5989,3968,5998,3950,6230,4075xm8944,4903l8094,4903,6230,4075,5998,3950,5998,3950,8099,4883,8096,4883,8101,4884,8964,4884,8964,4893,8944,4893,8944,4903xm8964,5593l7474,5593,7474,4883,7689,4883,7708,4893,7494,4893,7484,4903,7494,4903,7494,5573,7484,5573,7494,5583,8964,5583,8964,5593xm7766,4902l7724,4902,7729,4883,7732,4883,7766,4902xm8101,4884l8096,4883,8099,4883,8101,4884xm8964,4884l8101,4884,8099,4883,8964,4883,8964,4884xm7494,4903l7484,4903,7494,4893,7494,4903xm7769,4903l7494,4903,7494,4893,7708,4893,7724,4902,7766,4902,7769,4903xm8944,5583l8944,4893,8954,4903,8964,4903,8964,5573,8954,5573,8944,5583xm8964,4903l8954,4903,8944,4893,8964,4893,8964,4903xm7494,5583l7484,5573,7494,5573,7494,5583xm8944,5583l7494,5583,7494,5573,8944,5573,8944,5583xm8964,5583l8944,5583,8954,5573,8964,5573,8964,5583xe" filled="t" fillcolor="#6f2f9f" stroked="f">
              <v:path arrowok="t"/>
            </v:shape>
          </v:group>
        </w:pict>
      </w:r>
    </w:p>
    <w:p>
      <w:pPr>
        <w:spacing w:after="0"/>
        <w:rPr>
          <w:sz w:val="2"/>
          <w:szCs w:val="2"/>
        </w:rPr>
        <w:sectPr>
          <w:footerReference w:type="default" r:id="rId47"/>
          <w:pgSz w:w="11910" w:h="16840"/>
          <w:pgMar w:top="1420" w:right="901" w:bottom="1160" w:left="920" w:header="0" w:footer="963" w:gutter="0"/>
          <w:pgNumType w:start="28"/>
          <w:cols w:num="1" w:space="720"/>
        </w:sectPr>
      </w:pPr>
    </w:p>
    <w:tbl>
      <w:tblPr>
        <w:tblStyle w:val="TableNormal"/>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2"/>
        <w:gridCol w:w="227"/>
        <w:gridCol w:w="1070"/>
        <w:gridCol w:w="1069"/>
        <w:gridCol w:w="2151"/>
        <w:gridCol w:w="845"/>
        <w:gridCol w:w="2280"/>
        <w:gridCol w:w="973"/>
        <w:gridCol w:w="230"/>
      </w:tblGrid>
      <w:tr>
        <w:tblPrEx>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8861"/>
        </w:trPr>
        <w:tc>
          <w:tcPr>
            <w:tcW w:w="442" w:type="dxa"/>
            <w:tcBorders>
              <w:bottom w:val="single" w:sz="4" w:space="0" w:color="000000"/>
              <w:right w:val="single" w:sz="4" w:space="0" w:color="000000"/>
            </w:tcBorders>
          </w:tcPr>
          <w:p>
            <w:pPr>
              <w:pStyle w:val="TableParagraph"/>
              <w:spacing w:line="242" w:lineRule="auto"/>
              <w:ind w:left="108" w:right="78"/>
              <w:jc w:val="both"/>
              <w:rPr>
                <w:sz w:val="24"/>
              </w:rPr>
            </w:pPr>
            <w:r>
              <w:rPr>
                <w:sz w:val="24"/>
              </w:rPr>
              <w:t>坏问题</w:t>
            </w:r>
          </w:p>
        </w:tc>
        <w:tc>
          <w:tcPr>
            <w:tcW w:w="8845" w:type="dxa"/>
            <w:gridSpan w:val="8"/>
            <w:tcBorders>
              <w:left w:val="single" w:sz="4" w:space="0" w:color="000000"/>
              <w:bottom w:val="single" w:sz="4" w:space="0" w:color="000000"/>
            </w:tcBorders>
          </w:tcPr>
          <w:p>
            <w:pPr>
              <w:pStyle w:val="TableParagraph"/>
              <w:spacing w:line="364" w:lineRule="auto"/>
              <w:ind w:left="112" w:right="-44"/>
              <w:rPr>
                <w:sz w:val="24"/>
              </w:rPr>
            </w:pPr>
            <w:r>
              <w:rPr>
                <w:spacing w:val="-5"/>
                <w:sz w:val="24"/>
              </w:rPr>
              <w:t>次干路市政道路工程”中建设。</w:t>
            </w:r>
            <w:r>
              <w:rPr>
                <w:rFonts w:ascii="Times New Roman" w:eastAsia="Times New Roman" w:hAnsi="Times New Roman"/>
                <w:sz w:val="24"/>
              </w:rPr>
              <w:t xml:space="preserve">2010 </w:t>
            </w:r>
            <w:r>
              <w:rPr>
                <w:spacing w:val="-30"/>
                <w:sz w:val="24"/>
              </w:rPr>
              <w:t xml:space="preserve">年 </w:t>
            </w:r>
            <w:r>
              <w:rPr>
                <w:rFonts w:ascii="Times New Roman" w:eastAsia="Times New Roman" w:hAnsi="Times New Roman"/>
                <w:sz w:val="24"/>
              </w:rPr>
              <w:t xml:space="preserve">2 </w:t>
            </w:r>
            <w:r>
              <w:rPr>
                <w:spacing w:val="-30"/>
                <w:sz w:val="24"/>
              </w:rPr>
              <w:t xml:space="preserve">月 </w:t>
            </w:r>
            <w:r>
              <w:rPr>
                <w:rFonts w:ascii="Times New Roman" w:eastAsia="Times New Roman" w:hAnsi="Times New Roman"/>
                <w:sz w:val="24"/>
              </w:rPr>
              <w:t xml:space="preserve">8 </w:t>
            </w:r>
            <w:r>
              <w:rPr>
                <w:spacing w:val="-5"/>
                <w:sz w:val="24"/>
              </w:rPr>
              <w:t>日，原珠海市横琴新区管理委员会公共建设局以《关于横琴新区环岛北片主、次干路市政道路工程环境影响报告书的批</w:t>
            </w:r>
            <w:r>
              <w:rPr>
                <w:spacing w:val="-26"/>
                <w:sz w:val="24"/>
              </w:rPr>
              <w:t>复》</w:t>
            </w:r>
            <w:r>
              <w:rPr>
                <w:sz w:val="24"/>
              </w:rPr>
              <w:t>（珠横新建环</w:t>
            </w:r>
            <w:r>
              <w:rPr>
                <w:rFonts w:ascii="Times New Roman" w:eastAsia="Times New Roman" w:hAnsi="Times New Roman"/>
                <w:sz w:val="24"/>
              </w:rPr>
              <w:t xml:space="preserve">[2010]2 </w:t>
            </w:r>
            <w:r>
              <w:rPr>
                <w:sz w:val="24"/>
              </w:rPr>
              <w:t>号</w:t>
            </w:r>
            <w:r>
              <w:rPr>
                <w:spacing w:val="-22"/>
                <w:sz w:val="24"/>
              </w:rPr>
              <w:t>）</w:t>
            </w:r>
            <w:r>
              <w:rPr>
                <w:spacing w:val="-8"/>
                <w:sz w:val="24"/>
              </w:rPr>
              <w:t xml:space="preserve">同意了该项目建设，详见附件 </w:t>
            </w:r>
            <w:r>
              <w:rPr>
                <w:rFonts w:ascii="Times New Roman" w:eastAsia="Times New Roman" w:hAnsi="Times New Roman"/>
                <w:spacing w:val="-4"/>
                <w:sz w:val="24"/>
              </w:rPr>
              <w:t>8</w:t>
            </w:r>
            <w:r>
              <w:rPr>
                <w:spacing w:val="-4"/>
                <w:sz w:val="24"/>
              </w:rPr>
              <w:t>；</w:t>
            </w:r>
            <w:r>
              <w:rPr>
                <w:rFonts w:ascii="Times New Roman" w:eastAsia="Times New Roman" w:hAnsi="Times New Roman"/>
                <w:spacing w:val="-4"/>
                <w:sz w:val="24"/>
              </w:rPr>
              <w:t>2014</w:t>
            </w:r>
            <w:r>
              <w:rPr>
                <w:rFonts w:ascii="Times New Roman" w:eastAsia="Times New Roman" w:hAnsi="Times New Roman"/>
                <w:sz w:val="24"/>
              </w:rPr>
              <w:t xml:space="preserve"> </w:t>
            </w:r>
            <w:r>
              <w:rPr>
                <w:spacing w:val="-30"/>
                <w:sz w:val="24"/>
              </w:rPr>
              <w:t xml:space="preserve">年 </w:t>
            </w:r>
            <w:r>
              <w:rPr>
                <w:rFonts w:ascii="Times New Roman" w:eastAsia="Times New Roman" w:hAnsi="Times New Roman"/>
                <w:sz w:val="24"/>
              </w:rPr>
              <w:t xml:space="preserve">12 </w:t>
            </w:r>
            <w:r>
              <w:rPr>
                <w:spacing w:val="-30"/>
                <w:sz w:val="24"/>
              </w:rPr>
              <w:t xml:space="preserve">月 </w:t>
            </w:r>
            <w:r>
              <w:rPr>
                <w:rFonts w:ascii="Times New Roman" w:eastAsia="Times New Roman" w:hAnsi="Times New Roman"/>
                <w:sz w:val="24"/>
              </w:rPr>
              <w:t xml:space="preserve">8 </w:t>
            </w:r>
            <w:r>
              <w:rPr>
                <w:sz w:val="24"/>
              </w:rPr>
              <w:t xml:space="preserve">日， </w:t>
            </w:r>
            <w:r>
              <w:rPr>
                <w:spacing w:val="-3"/>
                <w:sz w:val="24"/>
              </w:rPr>
              <w:t>原珠海市横琴新区管理委员会公共建设局以《关于横琴新区环岛北片主、次干路市</w:t>
            </w:r>
            <w:r>
              <w:rPr>
                <w:spacing w:val="-7"/>
                <w:sz w:val="24"/>
              </w:rPr>
              <w:t>政道路工程项目竣工环境保护验收意见的函》</w:t>
            </w:r>
            <w:r>
              <w:rPr>
                <w:spacing w:val="-3"/>
                <w:sz w:val="24"/>
              </w:rPr>
              <w:t>（</w:t>
            </w:r>
            <w:r>
              <w:rPr>
                <w:sz w:val="24"/>
              </w:rPr>
              <w:t>珠横环验</w:t>
            </w:r>
            <w:r>
              <w:rPr>
                <w:rFonts w:ascii="Times New Roman" w:eastAsia="Times New Roman" w:hAnsi="Times New Roman"/>
                <w:sz w:val="24"/>
              </w:rPr>
              <w:t>[2014]5</w:t>
            </w:r>
            <w:r>
              <w:rPr>
                <w:rFonts w:ascii="Times New Roman" w:eastAsia="Times New Roman" w:hAnsi="Times New Roman"/>
                <w:spacing w:val="-3"/>
                <w:sz w:val="24"/>
              </w:rPr>
              <w:t xml:space="preserve"> </w:t>
            </w:r>
            <w:r>
              <w:rPr>
                <w:sz w:val="24"/>
              </w:rPr>
              <w:t>号</w:t>
            </w:r>
            <w:r>
              <w:rPr>
                <w:spacing w:val="-36"/>
                <w:sz w:val="24"/>
              </w:rPr>
              <w:t>）</w:t>
            </w:r>
            <w:r>
              <w:rPr>
                <w:sz w:val="24"/>
              </w:rPr>
              <w:t>同意该项目环</w:t>
            </w:r>
            <w:r>
              <w:rPr>
                <w:spacing w:val="-7"/>
                <w:sz w:val="24"/>
              </w:rPr>
              <w:t xml:space="preserve">保验收，详见附件 </w:t>
            </w:r>
            <w:r>
              <w:rPr>
                <w:rFonts w:ascii="Times New Roman" w:eastAsia="Times New Roman" w:hAnsi="Times New Roman"/>
                <w:sz w:val="24"/>
              </w:rPr>
              <w:t>8</w:t>
            </w:r>
            <w:r>
              <w:rPr>
                <w:sz w:val="24"/>
              </w:rPr>
              <w:t>。</w:t>
            </w:r>
          </w:p>
          <w:p>
            <w:pPr>
              <w:pStyle w:val="TableParagraph"/>
              <w:spacing w:line="364" w:lineRule="auto"/>
              <w:ind w:left="112" w:right="87" w:firstLine="480"/>
              <w:jc w:val="both"/>
              <w:rPr>
                <w:sz w:val="24"/>
              </w:rPr>
            </w:pPr>
            <w:r>
              <w:rPr>
                <w:spacing w:val="-2"/>
                <w:sz w:val="24"/>
              </w:rPr>
              <w:t>横琴隧道电力舱在“横琴新区马骝洲交通隧道</w:t>
            </w:r>
            <w:r>
              <w:rPr>
                <w:spacing w:val="-3"/>
                <w:sz w:val="24"/>
              </w:rPr>
              <w:t>（</w:t>
            </w:r>
            <w:r>
              <w:rPr>
                <w:sz w:val="24"/>
              </w:rPr>
              <w:t>横琴第三通道</w:t>
            </w:r>
            <w:r>
              <w:rPr>
                <w:spacing w:val="-3"/>
                <w:sz w:val="24"/>
              </w:rPr>
              <w:t>）</w:t>
            </w:r>
            <w:r>
              <w:rPr>
                <w:spacing w:val="-4"/>
                <w:sz w:val="24"/>
              </w:rPr>
              <w:t>新建工程”中</w:t>
            </w:r>
            <w:r>
              <w:rPr>
                <w:spacing w:val="-31"/>
                <w:sz w:val="24"/>
              </w:rPr>
              <w:t>建设。</w:t>
            </w:r>
            <w:r>
              <w:rPr>
                <w:rFonts w:ascii="Times New Roman" w:eastAsia="Times New Roman" w:hAnsi="Times New Roman"/>
                <w:sz w:val="24"/>
              </w:rPr>
              <w:t xml:space="preserve">2014 </w:t>
            </w:r>
            <w:r>
              <w:rPr>
                <w:spacing w:val="-30"/>
                <w:sz w:val="24"/>
              </w:rPr>
              <w:t xml:space="preserve">年 </w:t>
            </w:r>
            <w:r>
              <w:rPr>
                <w:rFonts w:ascii="Times New Roman" w:eastAsia="Times New Roman" w:hAnsi="Times New Roman"/>
                <w:sz w:val="24"/>
              </w:rPr>
              <w:t xml:space="preserve">2 </w:t>
            </w:r>
            <w:r>
              <w:rPr>
                <w:spacing w:val="-30"/>
                <w:sz w:val="24"/>
              </w:rPr>
              <w:t xml:space="preserve">月 </w:t>
            </w:r>
            <w:r>
              <w:rPr>
                <w:rFonts w:ascii="Times New Roman" w:eastAsia="Times New Roman" w:hAnsi="Times New Roman"/>
                <w:sz w:val="24"/>
              </w:rPr>
              <w:t xml:space="preserve">24 </w:t>
            </w:r>
            <w:r>
              <w:rPr>
                <w:spacing w:val="-14"/>
                <w:sz w:val="24"/>
              </w:rPr>
              <w:t>日，原珠海市环境保护局以《关于横琴新区马骝洲交通隧道</w:t>
            </w:r>
            <w:r>
              <w:rPr>
                <w:rFonts w:ascii="Times New Roman" w:eastAsia="Times New Roman" w:hAnsi="Times New Roman"/>
                <w:sz w:val="24"/>
              </w:rPr>
              <w:t>(</w:t>
            </w:r>
            <w:r>
              <w:rPr>
                <w:spacing w:val="-15"/>
                <w:sz w:val="24"/>
              </w:rPr>
              <w:t>横</w:t>
            </w:r>
            <w:r>
              <w:rPr>
                <w:sz w:val="24"/>
              </w:rPr>
              <w:t>琴第三通道</w:t>
            </w:r>
            <w:r>
              <w:rPr>
                <w:rFonts w:ascii="Times New Roman" w:eastAsia="Times New Roman" w:hAnsi="Times New Roman"/>
                <w:sz w:val="24"/>
              </w:rPr>
              <w:t>)</w:t>
            </w:r>
            <w:r>
              <w:rPr>
                <w:spacing w:val="-4"/>
                <w:sz w:val="24"/>
              </w:rPr>
              <w:t>新建工程环境影响报告书的批复意见》</w:t>
            </w:r>
            <w:r>
              <w:rPr>
                <w:sz w:val="24"/>
              </w:rPr>
              <w:t>（</w:t>
            </w:r>
            <w:r>
              <w:rPr>
                <w:spacing w:val="-8"/>
                <w:sz w:val="24"/>
              </w:rPr>
              <w:t>珠环建〔</w:t>
            </w:r>
            <w:r>
              <w:rPr>
                <w:rFonts w:ascii="Times New Roman" w:eastAsia="Times New Roman" w:hAnsi="Times New Roman"/>
                <w:sz w:val="24"/>
              </w:rPr>
              <w:t xml:space="preserve">2014]1 </w:t>
            </w:r>
            <w:r>
              <w:rPr>
                <w:sz w:val="24"/>
              </w:rPr>
              <w:t>号</w:t>
            </w:r>
            <w:r>
              <w:rPr>
                <w:spacing w:val="-29"/>
                <w:sz w:val="24"/>
              </w:rPr>
              <w:t>）</w:t>
            </w:r>
            <w:r>
              <w:rPr>
                <w:spacing w:val="-4"/>
                <w:sz w:val="24"/>
              </w:rPr>
              <w:t>同意该项</w:t>
            </w:r>
            <w:r>
              <w:rPr>
                <w:spacing w:val="-7"/>
                <w:sz w:val="24"/>
              </w:rPr>
              <w:t xml:space="preserve">目环评，详见附件 </w:t>
            </w:r>
            <w:r>
              <w:rPr>
                <w:rFonts w:ascii="Times New Roman" w:eastAsia="Times New Roman" w:hAnsi="Times New Roman"/>
                <w:sz w:val="24"/>
              </w:rPr>
              <w:t>9</w:t>
            </w:r>
            <w:r>
              <w:rPr>
                <w:sz w:val="24"/>
              </w:rPr>
              <w:t>。目前，该项目已经建成，并完成了自主验收。</w:t>
            </w:r>
          </w:p>
          <w:p>
            <w:pPr>
              <w:pStyle w:val="TableParagraph"/>
              <w:spacing w:line="364" w:lineRule="auto"/>
              <w:ind w:left="112" w:right="75" w:firstLine="480"/>
              <w:jc w:val="both"/>
              <w:rPr>
                <w:sz w:val="24"/>
              </w:rPr>
            </w:pPr>
            <w:r>
              <w:rPr>
                <w:spacing w:val="-2"/>
                <w:sz w:val="24"/>
              </w:rPr>
              <w:t>宝琴路电缆隧道在“珠海市生态环境局关于横琴隧道至黑白面将军山隧道新建</w:t>
            </w:r>
            <w:r>
              <w:rPr>
                <w:spacing w:val="-7"/>
                <w:sz w:val="24"/>
              </w:rPr>
              <w:t>工程”中建设。</w:t>
            </w:r>
            <w:r>
              <w:rPr>
                <w:rFonts w:ascii="Times New Roman" w:eastAsia="Times New Roman" w:hAnsi="Times New Roman"/>
                <w:sz w:val="24"/>
              </w:rPr>
              <w:t xml:space="preserve">2022 </w:t>
            </w:r>
            <w:r>
              <w:rPr>
                <w:spacing w:val="-30"/>
                <w:sz w:val="24"/>
              </w:rPr>
              <w:t xml:space="preserve">年 </w:t>
            </w:r>
            <w:r>
              <w:rPr>
                <w:rFonts w:ascii="Times New Roman" w:eastAsia="Times New Roman" w:hAnsi="Times New Roman"/>
                <w:sz w:val="24"/>
              </w:rPr>
              <w:t xml:space="preserve">7 </w:t>
            </w:r>
            <w:r>
              <w:rPr>
                <w:spacing w:val="-30"/>
                <w:sz w:val="24"/>
              </w:rPr>
              <w:t xml:space="preserve">月 </w:t>
            </w:r>
            <w:r>
              <w:rPr>
                <w:rFonts w:ascii="Times New Roman" w:eastAsia="Times New Roman" w:hAnsi="Times New Roman"/>
                <w:sz w:val="24"/>
              </w:rPr>
              <w:t xml:space="preserve">1 </w:t>
            </w:r>
            <w:r>
              <w:rPr>
                <w:spacing w:val="-7"/>
                <w:sz w:val="24"/>
              </w:rPr>
              <w:t>日，珠海市生态环境局以《珠海市生态环境局关于横琴隧道至黑白面将军山隧道新建工程环境影响报告表的批复》（珠环建表〔</w:t>
            </w:r>
            <w:r>
              <w:rPr>
                <w:rFonts w:ascii="Times New Roman" w:eastAsia="Times New Roman" w:hAnsi="Times New Roman"/>
                <w:spacing w:val="-7"/>
                <w:sz w:val="24"/>
              </w:rPr>
              <w:t>2022</w:t>
            </w:r>
            <w:r>
              <w:rPr>
                <w:spacing w:val="-17"/>
                <w:sz w:val="24"/>
              </w:rPr>
              <w:t>〕</w:t>
            </w:r>
            <w:r>
              <w:rPr>
                <w:rFonts w:ascii="Times New Roman" w:eastAsia="Times New Roman" w:hAnsi="Times New Roman"/>
                <w:sz w:val="24"/>
              </w:rPr>
              <w:t xml:space="preserve">133 </w:t>
            </w:r>
            <w:r>
              <w:rPr>
                <w:sz w:val="24"/>
              </w:rPr>
              <w:t>号）</w:t>
            </w:r>
            <w:r>
              <w:rPr>
                <w:spacing w:val="-5"/>
                <w:sz w:val="24"/>
              </w:rPr>
              <w:t xml:space="preserve">同意了该项目建设，详见附件 </w:t>
            </w:r>
            <w:r>
              <w:rPr>
                <w:rFonts w:ascii="Times New Roman" w:eastAsia="Times New Roman" w:hAnsi="Times New Roman"/>
                <w:sz w:val="24"/>
              </w:rPr>
              <w:t>10</w:t>
            </w:r>
            <w:r>
              <w:rPr>
                <w:sz w:val="24"/>
              </w:rPr>
              <w:t>。该项目目前仍在施工中。</w:t>
            </w:r>
          </w:p>
          <w:p>
            <w:pPr>
              <w:pStyle w:val="TableParagraph"/>
              <w:ind w:left="592"/>
              <w:rPr>
                <w:sz w:val="24"/>
              </w:rPr>
            </w:pPr>
            <w:r>
              <w:rPr>
                <w:sz w:val="24"/>
              </w:rPr>
              <w:t>因此，项目相关工程的环保手续是齐全的。</w:t>
            </w:r>
          </w:p>
          <w:p>
            <w:pPr>
              <w:pStyle w:val="TableParagraph"/>
              <w:numPr>
                <w:ilvl w:val="0"/>
                <w:numId w:val="13"/>
              </w:numPr>
              <w:tabs>
                <w:tab w:val="left" w:pos="1194"/>
              </w:tabs>
              <w:spacing w:before="143" w:after="0" w:line="240" w:lineRule="auto"/>
              <w:ind w:left="1193" w:right="0" w:hanging="602"/>
              <w:jc w:val="left"/>
              <w:rPr>
                <w:sz w:val="24"/>
              </w:rPr>
            </w:pPr>
            <w:r>
              <w:rPr>
                <w:sz w:val="24"/>
              </w:rPr>
              <w:t>工频电磁环境</w:t>
            </w:r>
          </w:p>
          <w:p>
            <w:pPr>
              <w:pStyle w:val="TableParagraph"/>
              <w:spacing w:before="161"/>
              <w:ind w:left="592"/>
              <w:rPr>
                <w:sz w:val="24"/>
              </w:rPr>
            </w:pPr>
            <w:r>
              <w:rPr>
                <w:sz w:val="24"/>
              </w:rPr>
              <w:t>项目周边现有输电线路是项目周围主要的现有电磁环境影响源。</w:t>
            </w:r>
          </w:p>
          <w:p>
            <w:pPr>
              <w:pStyle w:val="TableParagraph"/>
              <w:numPr>
                <w:ilvl w:val="0"/>
                <w:numId w:val="13"/>
              </w:numPr>
              <w:tabs>
                <w:tab w:val="left" w:pos="1194"/>
              </w:tabs>
              <w:spacing w:before="158" w:after="0" w:line="240" w:lineRule="auto"/>
              <w:ind w:left="1193" w:right="0" w:hanging="602"/>
              <w:jc w:val="left"/>
              <w:rPr>
                <w:sz w:val="24"/>
              </w:rPr>
            </w:pPr>
            <w:r>
              <w:rPr>
                <w:sz w:val="24"/>
              </w:rPr>
              <w:t>声环境</w:t>
            </w:r>
          </w:p>
          <w:p>
            <w:pPr>
              <w:pStyle w:val="TableParagraph"/>
              <w:spacing w:before="160"/>
              <w:ind w:left="592"/>
              <w:rPr>
                <w:sz w:val="24"/>
              </w:rPr>
            </w:pPr>
            <w:r>
              <w:rPr>
                <w:sz w:val="24"/>
              </w:rPr>
              <w:t>本项目周边交通噪声、工业噪声是主要的噪声源。</w:t>
            </w:r>
          </w:p>
        </w:tc>
      </w:tr>
      <w:tr>
        <w:tblPrEx>
          <w:tblW w:w="0" w:type="auto"/>
          <w:tblInd w:w="400" w:type="dxa"/>
          <w:tblLayout w:type="fixed"/>
          <w:tblCellMar>
            <w:top w:w="0" w:type="dxa"/>
            <w:left w:w="0" w:type="dxa"/>
            <w:bottom w:w="0" w:type="dxa"/>
            <w:right w:w="0" w:type="dxa"/>
          </w:tblCellMar>
        </w:tblPrEx>
        <w:trPr>
          <w:trHeight w:val="3538"/>
        </w:trPr>
        <w:tc>
          <w:tcPr>
            <w:tcW w:w="442" w:type="dxa"/>
            <w:vMerge w:val="restart"/>
            <w:tcBorders>
              <w:top w:val="single" w:sz="4" w:space="0" w:color="000000"/>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spacing w:before="4"/>
              <w:rPr>
                <w:sz w:val="23"/>
              </w:rPr>
            </w:pPr>
          </w:p>
          <w:p>
            <w:pPr>
              <w:pStyle w:val="TableParagraph"/>
              <w:spacing w:line="242" w:lineRule="auto"/>
              <w:ind w:left="108" w:right="78"/>
              <w:jc w:val="both"/>
              <w:rPr>
                <w:sz w:val="24"/>
              </w:rPr>
            </w:pPr>
            <w:r>
              <w:rPr>
                <w:sz w:val="24"/>
              </w:rPr>
              <w:t>生态环境保护目标</w:t>
            </w:r>
          </w:p>
        </w:tc>
        <w:tc>
          <w:tcPr>
            <w:tcW w:w="8845" w:type="dxa"/>
            <w:gridSpan w:val="8"/>
            <w:tcBorders>
              <w:top w:val="single" w:sz="4" w:space="0" w:color="000000"/>
              <w:left w:val="single" w:sz="4" w:space="0" w:color="000000"/>
              <w:bottom w:val="nil"/>
              <w:right w:val="nil"/>
            </w:tcBorders>
          </w:tcPr>
          <w:p>
            <w:pPr>
              <w:pStyle w:val="TableParagraph"/>
              <w:numPr>
                <w:ilvl w:val="0"/>
                <w:numId w:val="14"/>
              </w:numPr>
              <w:tabs>
                <w:tab w:val="left" w:pos="353"/>
              </w:tabs>
              <w:spacing w:before="0" w:after="0" w:line="240" w:lineRule="auto"/>
              <w:ind w:left="352" w:right="0" w:hanging="241"/>
              <w:jc w:val="left"/>
              <w:rPr>
                <w:b/>
                <w:sz w:val="24"/>
              </w:rPr>
            </w:pPr>
            <w:r>
              <w:rPr>
                <w:b/>
                <w:sz w:val="24"/>
              </w:rPr>
              <w:t>评价对象</w:t>
            </w:r>
          </w:p>
          <w:p>
            <w:pPr>
              <w:pStyle w:val="TableParagraph"/>
              <w:spacing w:before="160" w:line="362" w:lineRule="auto"/>
              <w:ind w:left="112" w:right="29" w:firstLine="480"/>
              <w:rPr>
                <w:sz w:val="24"/>
              </w:rPr>
            </w:pPr>
            <w:r>
              <w:rPr>
                <w:sz w:val="24"/>
              </w:rPr>
              <w:t>根据《环境影响评价技术导则 输变电》（</w:t>
            </w:r>
            <w:r>
              <w:rPr>
                <w:rFonts w:ascii="Times New Roman" w:eastAsia="Times New Roman"/>
                <w:sz w:val="24"/>
              </w:rPr>
              <w:t>HJ 24-2020</w:t>
            </w:r>
            <w:r>
              <w:rPr>
                <w:sz w:val="24"/>
              </w:rPr>
              <w:t>），本次评价对象为拟建</w:t>
            </w:r>
            <w:r>
              <w:rPr>
                <w:rFonts w:ascii="Times New Roman" w:eastAsia="Times New Roman"/>
                <w:sz w:val="24"/>
              </w:rPr>
              <w:t xml:space="preserve">220kV </w:t>
            </w:r>
            <w:r>
              <w:rPr>
                <w:sz w:val="24"/>
              </w:rPr>
              <w:t xml:space="preserve">电缆线路、拟调整弧垂的 </w:t>
            </w:r>
            <w:r>
              <w:rPr>
                <w:rFonts w:ascii="Times New Roman" w:eastAsia="Times New Roman"/>
                <w:sz w:val="24"/>
              </w:rPr>
              <w:t xml:space="preserve">220kV </w:t>
            </w:r>
            <w:r>
              <w:rPr>
                <w:sz w:val="24"/>
              </w:rPr>
              <w:t>架空线路。</w:t>
            </w:r>
          </w:p>
          <w:p>
            <w:pPr>
              <w:pStyle w:val="TableParagraph"/>
              <w:numPr>
                <w:ilvl w:val="0"/>
                <w:numId w:val="14"/>
              </w:numPr>
              <w:tabs>
                <w:tab w:val="left" w:pos="353"/>
              </w:tabs>
              <w:spacing w:before="5" w:after="0" w:line="240" w:lineRule="auto"/>
              <w:ind w:left="352" w:right="0" w:hanging="241"/>
              <w:jc w:val="left"/>
              <w:rPr>
                <w:b/>
                <w:sz w:val="24"/>
              </w:rPr>
            </w:pPr>
            <w:r>
              <w:rPr>
                <w:b/>
                <w:sz w:val="24"/>
              </w:rPr>
              <w:t>环境影响评价因子</w:t>
            </w:r>
          </w:p>
          <w:p>
            <w:pPr>
              <w:pStyle w:val="TableParagraph"/>
              <w:numPr>
                <w:ilvl w:val="1"/>
                <w:numId w:val="14"/>
              </w:numPr>
              <w:tabs>
                <w:tab w:val="left" w:pos="533"/>
              </w:tabs>
              <w:spacing w:before="158" w:after="0" w:line="240" w:lineRule="auto"/>
              <w:ind w:left="532" w:right="0" w:hanging="421"/>
              <w:jc w:val="left"/>
              <w:rPr>
                <w:b/>
                <w:sz w:val="24"/>
              </w:rPr>
            </w:pPr>
            <w:r>
              <w:rPr>
                <w:b/>
                <w:sz w:val="24"/>
              </w:rPr>
              <w:t>主要环境影响评价因子</w:t>
            </w:r>
          </w:p>
          <w:p>
            <w:pPr>
              <w:pStyle w:val="TableParagraph"/>
              <w:spacing w:before="161" w:line="362" w:lineRule="auto"/>
              <w:ind w:left="112" w:right="32" w:firstLine="487"/>
              <w:rPr>
                <w:sz w:val="24"/>
              </w:rPr>
            </w:pPr>
            <w:r>
              <w:rPr>
                <w:sz w:val="24"/>
              </w:rPr>
              <w:t>本工程为输变电工程，据《环境影响评价技术导则 输变电》（</w:t>
            </w:r>
            <w:r>
              <w:rPr>
                <w:rFonts w:ascii="Times New Roman" w:eastAsia="Times New Roman"/>
                <w:sz w:val="24"/>
              </w:rPr>
              <w:t>HJ 24-2020</w:t>
            </w:r>
            <w:r>
              <w:rPr>
                <w:sz w:val="24"/>
              </w:rPr>
              <w:t xml:space="preserve">）， 本工程的主要环境影响评价因子见表 </w:t>
            </w:r>
            <w:r>
              <w:rPr>
                <w:rFonts w:ascii="Times New Roman" w:eastAsia="Times New Roman"/>
                <w:sz w:val="24"/>
              </w:rPr>
              <w:t>3-7</w:t>
            </w:r>
            <w:r>
              <w:rPr>
                <w:sz w:val="24"/>
              </w:rPr>
              <w:t>。</w:t>
            </w:r>
          </w:p>
          <w:p>
            <w:pPr>
              <w:pStyle w:val="TableParagraph"/>
              <w:tabs>
                <w:tab w:val="left" w:pos="3220"/>
              </w:tabs>
              <w:spacing w:before="4" w:line="251" w:lineRule="exact"/>
              <w:ind w:left="2469"/>
              <w:rPr>
                <w:b/>
                <w:sz w:val="21"/>
              </w:rPr>
            </w:pPr>
            <w:r>
              <w:rPr>
                <w:b/>
                <w:sz w:val="21"/>
              </w:rPr>
              <w:t>表</w:t>
            </w:r>
            <w:r>
              <w:rPr>
                <w:b/>
                <w:spacing w:val="-55"/>
                <w:sz w:val="21"/>
              </w:rPr>
              <w:t xml:space="preserve"> </w:t>
            </w:r>
            <w:r>
              <w:rPr>
                <w:rFonts w:ascii="Times New Roman" w:eastAsia="Times New Roman"/>
                <w:b/>
                <w:sz w:val="21"/>
              </w:rPr>
              <w:t>3-7</w:t>
            </w:r>
            <w:r>
              <w:rPr>
                <w:rFonts w:ascii="Times New Roman" w:eastAsia="Times New Roman"/>
                <w:b/>
                <w:sz w:val="21"/>
              </w:rPr>
              <w:tab/>
            </w:r>
            <w:r>
              <w:rPr>
                <w:b/>
                <w:sz w:val="21"/>
              </w:rPr>
              <w:t>工程主要环境影响评价因子汇总表</w:t>
            </w:r>
          </w:p>
        </w:tc>
      </w:tr>
      <w:tr>
        <w:tblPrEx>
          <w:tblW w:w="0" w:type="auto"/>
          <w:tblInd w:w="400" w:type="dxa"/>
          <w:tblLayout w:type="fixed"/>
          <w:tblCellMar>
            <w:top w:w="0" w:type="dxa"/>
            <w:left w:w="0" w:type="dxa"/>
            <w:bottom w:w="0" w:type="dxa"/>
            <w:right w:w="0" w:type="dxa"/>
          </w:tblCellMar>
        </w:tblPrEx>
        <w:trPr>
          <w:trHeight w:val="270"/>
        </w:trPr>
        <w:tc>
          <w:tcPr>
            <w:tcW w:w="442" w:type="dxa"/>
            <w:vMerge/>
            <w:tcBorders>
              <w:top w:val="nil"/>
              <w:right w:val="single" w:sz="4" w:space="0" w:color="000000"/>
            </w:tcBorders>
          </w:tcPr>
          <w:p>
            <w:pPr>
              <w:rPr>
                <w:sz w:val="2"/>
                <w:szCs w:val="2"/>
              </w:rPr>
            </w:pPr>
          </w:p>
        </w:tc>
        <w:tc>
          <w:tcPr>
            <w:tcW w:w="227" w:type="dxa"/>
            <w:tcBorders>
              <w:top w:val="nil"/>
              <w:left w:val="single" w:sz="4" w:space="0" w:color="000000"/>
              <w:bottom w:val="nil"/>
              <w:right w:val="nil"/>
            </w:tcBorders>
          </w:tcPr>
          <w:p>
            <w:pPr>
              <w:pStyle w:val="TableParagraph"/>
              <w:rPr>
                <w:rFonts w:ascii="Times New Roman"/>
                <w:sz w:val="20"/>
              </w:rPr>
            </w:pPr>
          </w:p>
        </w:tc>
        <w:tc>
          <w:tcPr>
            <w:tcW w:w="1070" w:type="dxa"/>
            <w:tcBorders>
              <w:top w:val="single" w:sz="12" w:space="0" w:color="000000"/>
              <w:left w:val="nil"/>
              <w:bottom w:val="single" w:sz="6" w:space="0" w:color="000000"/>
              <w:right w:val="single" w:sz="6" w:space="0" w:color="000000"/>
            </w:tcBorders>
            <w:shd w:val="clear" w:color="auto" w:fill="F1F1F1"/>
          </w:tcPr>
          <w:p>
            <w:pPr>
              <w:pStyle w:val="TableParagraph"/>
              <w:spacing w:before="1" w:line="249" w:lineRule="exact"/>
              <w:ind w:left="125"/>
              <w:rPr>
                <w:sz w:val="21"/>
              </w:rPr>
            </w:pPr>
            <w:r>
              <w:rPr>
                <w:sz w:val="21"/>
              </w:rPr>
              <w:t>评价阶段</w:t>
            </w:r>
          </w:p>
        </w:tc>
        <w:tc>
          <w:tcPr>
            <w:tcW w:w="1069" w:type="dxa"/>
            <w:tcBorders>
              <w:top w:val="single" w:sz="12" w:space="0" w:color="000000"/>
              <w:left w:val="single" w:sz="6" w:space="0" w:color="000000"/>
              <w:bottom w:val="single" w:sz="6" w:space="0" w:color="000000"/>
              <w:right w:val="single" w:sz="6" w:space="0" w:color="000000"/>
            </w:tcBorders>
            <w:shd w:val="clear" w:color="auto" w:fill="F1F1F1"/>
          </w:tcPr>
          <w:p>
            <w:pPr>
              <w:pStyle w:val="TableParagraph"/>
              <w:spacing w:before="1" w:line="249" w:lineRule="exact"/>
              <w:ind w:left="95" w:right="79"/>
              <w:jc w:val="center"/>
              <w:rPr>
                <w:sz w:val="21"/>
              </w:rPr>
            </w:pPr>
            <w:r>
              <w:rPr>
                <w:sz w:val="21"/>
              </w:rPr>
              <w:t>评价项目</w:t>
            </w:r>
          </w:p>
        </w:tc>
        <w:tc>
          <w:tcPr>
            <w:tcW w:w="2151" w:type="dxa"/>
            <w:tcBorders>
              <w:top w:val="single" w:sz="12" w:space="0" w:color="000000"/>
              <w:left w:val="single" w:sz="6" w:space="0" w:color="000000"/>
              <w:bottom w:val="single" w:sz="6" w:space="0" w:color="000000"/>
              <w:right w:val="single" w:sz="6" w:space="0" w:color="000000"/>
            </w:tcBorders>
            <w:shd w:val="clear" w:color="auto" w:fill="F1F1F1"/>
          </w:tcPr>
          <w:p>
            <w:pPr>
              <w:pStyle w:val="TableParagraph"/>
              <w:spacing w:before="1" w:line="249" w:lineRule="exact"/>
              <w:ind w:left="446"/>
              <w:rPr>
                <w:sz w:val="21"/>
              </w:rPr>
            </w:pPr>
            <w:r>
              <w:rPr>
                <w:sz w:val="21"/>
              </w:rPr>
              <w:t>现状评价因子</w:t>
            </w:r>
          </w:p>
        </w:tc>
        <w:tc>
          <w:tcPr>
            <w:tcW w:w="845" w:type="dxa"/>
            <w:tcBorders>
              <w:top w:val="single" w:sz="12" w:space="0" w:color="000000"/>
              <w:left w:val="single" w:sz="6" w:space="0" w:color="000000"/>
              <w:bottom w:val="single" w:sz="6" w:space="0" w:color="000000"/>
              <w:right w:val="single" w:sz="6" w:space="0" w:color="000000"/>
            </w:tcBorders>
            <w:shd w:val="clear" w:color="auto" w:fill="F1F1F1"/>
          </w:tcPr>
          <w:p>
            <w:pPr>
              <w:pStyle w:val="TableParagraph"/>
              <w:spacing w:before="1" w:line="249" w:lineRule="exact"/>
              <w:ind w:left="109" w:right="96"/>
              <w:jc w:val="center"/>
              <w:rPr>
                <w:sz w:val="21"/>
              </w:rPr>
            </w:pPr>
            <w:r>
              <w:rPr>
                <w:sz w:val="21"/>
              </w:rPr>
              <w:t>单位</w:t>
            </w:r>
          </w:p>
        </w:tc>
        <w:tc>
          <w:tcPr>
            <w:tcW w:w="2280" w:type="dxa"/>
            <w:tcBorders>
              <w:top w:val="single" w:sz="12" w:space="0" w:color="000000"/>
              <w:left w:val="single" w:sz="6" w:space="0" w:color="000000"/>
              <w:bottom w:val="single" w:sz="6" w:space="0" w:color="000000"/>
              <w:right w:val="single" w:sz="6" w:space="0" w:color="000000"/>
            </w:tcBorders>
            <w:shd w:val="clear" w:color="auto" w:fill="F1F1F1"/>
          </w:tcPr>
          <w:p>
            <w:pPr>
              <w:pStyle w:val="TableParagraph"/>
              <w:spacing w:before="1" w:line="249" w:lineRule="exact"/>
              <w:ind w:left="512"/>
              <w:rPr>
                <w:sz w:val="21"/>
              </w:rPr>
            </w:pPr>
            <w:r>
              <w:rPr>
                <w:sz w:val="21"/>
              </w:rPr>
              <w:t>预测评价因子</w:t>
            </w:r>
          </w:p>
        </w:tc>
        <w:tc>
          <w:tcPr>
            <w:tcW w:w="973" w:type="dxa"/>
            <w:tcBorders>
              <w:top w:val="single" w:sz="12" w:space="0" w:color="000000"/>
              <w:left w:val="single" w:sz="6" w:space="0" w:color="000000"/>
              <w:bottom w:val="single" w:sz="6" w:space="0" w:color="000000"/>
              <w:right w:val="nil"/>
            </w:tcBorders>
            <w:shd w:val="clear" w:color="auto" w:fill="F1F1F1"/>
          </w:tcPr>
          <w:p>
            <w:pPr>
              <w:pStyle w:val="TableParagraph"/>
              <w:spacing w:before="1" w:line="249" w:lineRule="exact"/>
              <w:ind w:left="26" w:right="19"/>
              <w:jc w:val="center"/>
              <w:rPr>
                <w:sz w:val="21"/>
              </w:rPr>
            </w:pPr>
            <w:r>
              <w:rPr>
                <w:sz w:val="21"/>
              </w:rPr>
              <w:t>单位</w:t>
            </w:r>
          </w:p>
        </w:tc>
        <w:tc>
          <w:tcPr>
            <w:tcW w:w="230" w:type="dxa"/>
            <w:vMerge w:val="restart"/>
            <w:tcBorders>
              <w:top w:val="nil"/>
              <w:left w:val="nil"/>
            </w:tcBorders>
          </w:tcPr>
          <w:p>
            <w:pPr>
              <w:pStyle w:val="TableParagraph"/>
              <w:rPr>
                <w:rFonts w:ascii="Times New Roman"/>
                <w:sz w:val="22"/>
              </w:rPr>
            </w:pPr>
          </w:p>
        </w:tc>
      </w:tr>
      <w:tr>
        <w:tblPrEx>
          <w:tblW w:w="0" w:type="auto"/>
          <w:tblInd w:w="400" w:type="dxa"/>
          <w:tblLayout w:type="fixed"/>
          <w:tblCellMar>
            <w:top w:w="0" w:type="dxa"/>
            <w:left w:w="0" w:type="dxa"/>
            <w:bottom w:w="0" w:type="dxa"/>
            <w:right w:w="0" w:type="dxa"/>
          </w:tblCellMar>
        </w:tblPrEx>
        <w:trPr>
          <w:trHeight w:val="509"/>
        </w:trPr>
        <w:tc>
          <w:tcPr>
            <w:tcW w:w="442" w:type="dxa"/>
            <w:vMerge/>
            <w:tcBorders>
              <w:top w:val="nil"/>
              <w:right w:val="single" w:sz="4" w:space="0" w:color="000000"/>
            </w:tcBorders>
          </w:tcPr>
          <w:p>
            <w:pPr>
              <w:rPr>
                <w:sz w:val="2"/>
                <w:szCs w:val="2"/>
              </w:rPr>
            </w:pPr>
          </w:p>
        </w:tc>
        <w:tc>
          <w:tcPr>
            <w:tcW w:w="1297" w:type="dxa"/>
            <w:gridSpan w:val="2"/>
            <w:vMerge w:val="restart"/>
            <w:tcBorders>
              <w:top w:val="nil"/>
              <w:left w:val="single" w:sz="4" w:space="0" w:color="000000"/>
              <w:right w:val="single" w:sz="6" w:space="0" w:color="000000"/>
            </w:tcBorders>
          </w:tcPr>
          <w:p>
            <w:pPr>
              <w:pStyle w:val="TableParagraph"/>
              <w:rPr>
                <w:sz w:val="20"/>
              </w:rPr>
            </w:pPr>
          </w:p>
          <w:p>
            <w:pPr>
              <w:pStyle w:val="TableParagraph"/>
              <w:spacing w:before="141"/>
              <w:ind w:left="453"/>
              <w:rPr>
                <w:sz w:val="21"/>
              </w:rPr>
            </w:pPr>
            <w:r>
              <w:rPr>
                <w:sz w:val="21"/>
              </w:rPr>
              <w:t>施工期</w:t>
            </w:r>
          </w:p>
        </w:tc>
        <w:tc>
          <w:tcPr>
            <w:tcW w:w="1069" w:type="dxa"/>
            <w:tcBorders>
              <w:top w:val="single" w:sz="6" w:space="0" w:color="000000"/>
              <w:left w:val="single" w:sz="6" w:space="0" w:color="000000"/>
              <w:bottom w:val="single" w:sz="6" w:space="0" w:color="000000"/>
              <w:right w:val="single" w:sz="6" w:space="0" w:color="000000"/>
            </w:tcBorders>
          </w:tcPr>
          <w:p>
            <w:pPr>
              <w:pStyle w:val="TableParagraph"/>
              <w:spacing w:before="118"/>
              <w:ind w:left="95" w:right="77"/>
              <w:jc w:val="center"/>
              <w:rPr>
                <w:sz w:val="21"/>
              </w:rPr>
            </w:pPr>
            <w:r>
              <w:rPr>
                <w:sz w:val="21"/>
              </w:rPr>
              <w:t>声环境</w:t>
            </w:r>
          </w:p>
        </w:tc>
        <w:tc>
          <w:tcPr>
            <w:tcW w:w="2151" w:type="dxa"/>
            <w:tcBorders>
              <w:top w:val="single" w:sz="6" w:space="0" w:color="000000"/>
              <w:left w:val="single" w:sz="6" w:space="0" w:color="000000"/>
              <w:bottom w:val="single" w:sz="6" w:space="0" w:color="000000"/>
              <w:right w:val="single" w:sz="6" w:space="0" w:color="000000"/>
            </w:tcBorders>
          </w:tcPr>
          <w:p>
            <w:pPr>
              <w:pStyle w:val="TableParagraph"/>
              <w:spacing w:line="267" w:lineRule="exact"/>
              <w:ind w:left="110" w:right="-15"/>
              <w:rPr>
                <w:sz w:val="21"/>
              </w:rPr>
            </w:pPr>
            <w:r>
              <w:rPr>
                <w:spacing w:val="-9"/>
                <w:sz w:val="21"/>
              </w:rPr>
              <w:t>昼间、夜间等效声级，</w:t>
            </w:r>
          </w:p>
          <w:p>
            <w:pPr>
              <w:pStyle w:val="TableParagraph"/>
              <w:spacing w:line="222" w:lineRule="exact"/>
              <w:ind w:left="111" w:right="93"/>
              <w:jc w:val="center"/>
              <w:rPr>
                <w:rFonts w:ascii="Times New Roman"/>
                <w:sz w:val="21"/>
              </w:rPr>
            </w:pPr>
            <w:r>
              <w:rPr>
                <w:rFonts w:ascii="Times New Roman"/>
                <w:w w:val="105"/>
                <w:position w:val="2"/>
                <w:sz w:val="21"/>
              </w:rPr>
              <w:t>L</w:t>
            </w:r>
            <w:r>
              <w:rPr>
                <w:rFonts w:ascii="Times New Roman"/>
                <w:w w:val="105"/>
                <w:position w:val="2"/>
                <w:sz w:val="21"/>
                <w:vertAlign w:val="subscript"/>
              </w:rPr>
              <w:t>eq</w:t>
            </w:r>
          </w:p>
        </w:tc>
        <w:tc>
          <w:tcPr>
            <w:tcW w:w="845" w:type="dxa"/>
            <w:tcBorders>
              <w:top w:val="single" w:sz="6" w:space="0" w:color="000000"/>
              <w:left w:val="single" w:sz="6" w:space="0" w:color="000000"/>
              <w:bottom w:val="single" w:sz="6" w:space="0" w:color="000000"/>
              <w:right w:val="single" w:sz="6" w:space="0" w:color="000000"/>
            </w:tcBorders>
          </w:tcPr>
          <w:p>
            <w:pPr>
              <w:pStyle w:val="TableParagraph"/>
              <w:spacing w:before="118"/>
              <w:ind w:left="109" w:right="-15"/>
              <w:jc w:val="center"/>
              <w:rPr>
                <w:sz w:val="21"/>
              </w:rPr>
            </w:pPr>
            <w:r>
              <w:rPr>
                <w:rFonts w:ascii="Times New Roman" w:eastAsia="Times New Roman"/>
                <w:spacing w:val="-17"/>
                <w:sz w:val="21"/>
              </w:rPr>
              <w:t>dB</w:t>
            </w:r>
            <w:r>
              <w:rPr>
                <w:spacing w:val="-17"/>
                <w:sz w:val="21"/>
              </w:rPr>
              <w:t>（</w:t>
            </w:r>
            <w:r>
              <w:rPr>
                <w:rFonts w:ascii="Times New Roman" w:eastAsia="Times New Roman"/>
                <w:spacing w:val="-17"/>
                <w:sz w:val="21"/>
              </w:rPr>
              <w:t>A</w:t>
            </w:r>
            <w:r>
              <w:rPr>
                <w:spacing w:val="-17"/>
                <w:sz w:val="21"/>
              </w:rPr>
              <w:t>）</w:t>
            </w:r>
          </w:p>
        </w:tc>
        <w:tc>
          <w:tcPr>
            <w:tcW w:w="2280" w:type="dxa"/>
            <w:tcBorders>
              <w:top w:val="single" w:sz="6" w:space="0" w:color="000000"/>
              <w:left w:val="single" w:sz="6" w:space="0" w:color="000000"/>
              <w:bottom w:val="single" w:sz="6" w:space="0" w:color="000000"/>
              <w:right w:val="single" w:sz="6" w:space="0" w:color="000000"/>
            </w:tcBorders>
          </w:tcPr>
          <w:p>
            <w:pPr>
              <w:pStyle w:val="TableParagraph"/>
              <w:spacing w:line="267" w:lineRule="exact"/>
              <w:ind w:left="89" w:right="35"/>
              <w:jc w:val="center"/>
              <w:rPr>
                <w:sz w:val="21"/>
              </w:rPr>
            </w:pPr>
            <w:r>
              <w:rPr>
                <w:sz w:val="21"/>
              </w:rPr>
              <w:t>昼间、夜间等效声级，</w:t>
            </w:r>
          </w:p>
          <w:p>
            <w:pPr>
              <w:pStyle w:val="TableParagraph"/>
              <w:spacing w:line="222" w:lineRule="exact"/>
              <w:ind w:left="52" w:right="35"/>
              <w:jc w:val="center"/>
              <w:rPr>
                <w:rFonts w:ascii="Times New Roman"/>
                <w:sz w:val="21"/>
              </w:rPr>
            </w:pPr>
            <w:r>
              <w:rPr>
                <w:rFonts w:ascii="Times New Roman"/>
                <w:w w:val="105"/>
                <w:position w:val="2"/>
                <w:sz w:val="21"/>
              </w:rPr>
              <w:t>L</w:t>
            </w:r>
            <w:r>
              <w:rPr>
                <w:rFonts w:ascii="Times New Roman"/>
                <w:w w:val="105"/>
                <w:position w:val="2"/>
                <w:sz w:val="21"/>
                <w:vertAlign w:val="subscript"/>
              </w:rPr>
              <w:t>eq</w:t>
            </w:r>
          </w:p>
        </w:tc>
        <w:tc>
          <w:tcPr>
            <w:tcW w:w="973" w:type="dxa"/>
            <w:tcBorders>
              <w:top w:val="single" w:sz="6" w:space="0" w:color="000000"/>
              <w:left w:val="single" w:sz="6" w:space="0" w:color="000000"/>
              <w:bottom w:val="single" w:sz="6" w:space="0" w:color="000000"/>
              <w:right w:val="nil"/>
            </w:tcBorders>
          </w:tcPr>
          <w:p>
            <w:pPr>
              <w:pStyle w:val="TableParagraph"/>
              <w:spacing w:before="118"/>
              <w:ind w:left="89" w:right="19"/>
              <w:jc w:val="center"/>
              <w:rPr>
                <w:sz w:val="21"/>
              </w:rPr>
            </w:pPr>
            <w:r>
              <w:rPr>
                <w:rFonts w:ascii="Times New Roman" w:eastAsia="Times New Roman"/>
                <w:sz w:val="21"/>
              </w:rPr>
              <w:t>dB</w:t>
            </w:r>
            <w:r>
              <w:rPr>
                <w:sz w:val="21"/>
              </w:rPr>
              <w:t>（</w:t>
            </w:r>
            <w:r>
              <w:rPr>
                <w:rFonts w:ascii="Times New Roman" w:eastAsia="Times New Roman"/>
                <w:sz w:val="21"/>
              </w:rPr>
              <w:t>A</w:t>
            </w:r>
            <w:r>
              <w:rPr>
                <w:sz w:val="21"/>
              </w:rPr>
              <w:t>）</w:t>
            </w:r>
          </w:p>
        </w:tc>
        <w:tc>
          <w:tcPr>
            <w:tcW w:w="230" w:type="dxa"/>
            <w:vMerge/>
            <w:tcBorders>
              <w:top w:val="nil"/>
              <w:left w:val="nil"/>
            </w:tcBorders>
          </w:tcPr>
          <w:p>
            <w:pPr>
              <w:rPr>
                <w:sz w:val="2"/>
                <w:szCs w:val="2"/>
              </w:rPr>
            </w:pPr>
          </w:p>
        </w:tc>
      </w:tr>
      <w:tr>
        <w:tblPrEx>
          <w:tblW w:w="0" w:type="auto"/>
          <w:tblInd w:w="400" w:type="dxa"/>
          <w:tblLayout w:type="fixed"/>
          <w:tblCellMar>
            <w:top w:w="0" w:type="dxa"/>
            <w:left w:w="0" w:type="dxa"/>
            <w:bottom w:w="0" w:type="dxa"/>
            <w:right w:w="0" w:type="dxa"/>
          </w:tblCellMar>
        </w:tblPrEx>
        <w:trPr>
          <w:trHeight w:val="540"/>
        </w:trPr>
        <w:tc>
          <w:tcPr>
            <w:tcW w:w="442" w:type="dxa"/>
            <w:vMerge/>
            <w:tcBorders>
              <w:top w:val="nil"/>
              <w:right w:val="single" w:sz="4" w:space="0" w:color="000000"/>
            </w:tcBorders>
          </w:tcPr>
          <w:p>
            <w:pPr>
              <w:rPr>
                <w:sz w:val="2"/>
                <w:szCs w:val="2"/>
              </w:rPr>
            </w:pPr>
          </w:p>
        </w:tc>
        <w:tc>
          <w:tcPr>
            <w:tcW w:w="1297" w:type="dxa"/>
            <w:gridSpan w:val="2"/>
            <w:vMerge/>
            <w:tcBorders>
              <w:top w:val="nil"/>
              <w:left w:val="single" w:sz="4" w:space="0" w:color="000000"/>
              <w:right w:val="single" w:sz="6" w:space="0" w:color="000000"/>
            </w:tcBorders>
          </w:tcPr>
          <w:p>
            <w:pPr>
              <w:rPr>
                <w:sz w:val="2"/>
                <w:szCs w:val="2"/>
              </w:rPr>
            </w:pPr>
          </w:p>
        </w:tc>
        <w:tc>
          <w:tcPr>
            <w:tcW w:w="1069" w:type="dxa"/>
            <w:tcBorders>
              <w:top w:val="single" w:sz="6" w:space="0" w:color="000000"/>
              <w:left w:val="single" w:sz="6" w:space="0" w:color="000000"/>
              <w:right w:val="single" w:sz="6" w:space="0" w:color="000000"/>
            </w:tcBorders>
          </w:tcPr>
          <w:p>
            <w:pPr>
              <w:pStyle w:val="TableParagraph"/>
              <w:spacing w:before="132"/>
              <w:ind w:left="95" w:right="79"/>
              <w:jc w:val="center"/>
              <w:rPr>
                <w:sz w:val="21"/>
              </w:rPr>
            </w:pPr>
            <w:r>
              <w:rPr>
                <w:sz w:val="21"/>
              </w:rPr>
              <w:t>生态环境</w:t>
            </w:r>
          </w:p>
        </w:tc>
        <w:tc>
          <w:tcPr>
            <w:tcW w:w="2151" w:type="dxa"/>
            <w:tcBorders>
              <w:top w:val="single" w:sz="6" w:space="0" w:color="000000"/>
              <w:left w:val="single" w:sz="6" w:space="0" w:color="000000"/>
              <w:right w:val="single" w:sz="6" w:space="0" w:color="000000"/>
            </w:tcBorders>
          </w:tcPr>
          <w:p>
            <w:pPr>
              <w:pStyle w:val="TableParagraph"/>
              <w:spacing w:line="267" w:lineRule="exact"/>
              <w:ind w:left="111" w:right="94"/>
              <w:jc w:val="center"/>
              <w:rPr>
                <w:sz w:val="21"/>
              </w:rPr>
            </w:pPr>
            <w:r>
              <w:rPr>
                <w:sz w:val="21"/>
              </w:rPr>
              <w:t>生态系统及其生物因</w:t>
            </w:r>
          </w:p>
          <w:p>
            <w:pPr>
              <w:pStyle w:val="TableParagraph"/>
              <w:spacing w:before="2" w:line="251" w:lineRule="exact"/>
              <w:ind w:left="108" w:right="94"/>
              <w:jc w:val="center"/>
              <w:rPr>
                <w:sz w:val="21"/>
              </w:rPr>
            </w:pPr>
            <w:r>
              <w:rPr>
                <w:sz w:val="21"/>
              </w:rPr>
              <w:t>子、非生物因子</w:t>
            </w:r>
          </w:p>
        </w:tc>
        <w:tc>
          <w:tcPr>
            <w:tcW w:w="845" w:type="dxa"/>
            <w:tcBorders>
              <w:top w:val="single" w:sz="6" w:space="0" w:color="000000"/>
              <w:left w:val="single" w:sz="6" w:space="0" w:color="000000"/>
              <w:right w:val="single" w:sz="6" w:space="0" w:color="000000"/>
            </w:tcBorders>
          </w:tcPr>
          <w:p>
            <w:pPr>
              <w:pStyle w:val="TableParagraph"/>
              <w:spacing w:before="148"/>
              <w:ind w:left="109" w:right="93"/>
              <w:jc w:val="center"/>
              <w:rPr>
                <w:rFonts w:ascii="Times New Roman"/>
                <w:sz w:val="21"/>
              </w:rPr>
            </w:pPr>
            <w:r>
              <w:rPr>
                <w:rFonts w:ascii="Times New Roman"/>
                <w:sz w:val="21"/>
              </w:rPr>
              <w:t>--</w:t>
            </w:r>
          </w:p>
        </w:tc>
        <w:tc>
          <w:tcPr>
            <w:tcW w:w="2280" w:type="dxa"/>
            <w:tcBorders>
              <w:top w:val="single" w:sz="6" w:space="0" w:color="000000"/>
              <w:left w:val="single" w:sz="6" w:space="0" w:color="000000"/>
              <w:right w:val="single" w:sz="6" w:space="0" w:color="000000"/>
            </w:tcBorders>
          </w:tcPr>
          <w:p>
            <w:pPr>
              <w:pStyle w:val="TableParagraph"/>
              <w:spacing w:line="267" w:lineRule="exact"/>
              <w:ind w:left="51" w:right="35"/>
              <w:jc w:val="center"/>
              <w:rPr>
                <w:sz w:val="21"/>
              </w:rPr>
            </w:pPr>
            <w:r>
              <w:rPr>
                <w:sz w:val="21"/>
              </w:rPr>
              <w:t>生态系统及其生物因</w:t>
            </w:r>
          </w:p>
          <w:p>
            <w:pPr>
              <w:pStyle w:val="TableParagraph"/>
              <w:spacing w:before="2" w:line="251" w:lineRule="exact"/>
              <w:ind w:left="53" w:right="35"/>
              <w:jc w:val="center"/>
              <w:rPr>
                <w:sz w:val="21"/>
              </w:rPr>
            </w:pPr>
            <w:r>
              <w:rPr>
                <w:sz w:val="21"/>
              </w:rPr>
              <w:t>子、非生物因子</w:t>
            </w:r>
          </w:p>
        </w:tc>
        <w:tc>
          <w:tcPr>
            <w:tcW w:w="973" w:type="dxa"/>
            <w:tcBorders>
              <w:top w:val="single" w:sz="6" w:space="0" w:color="000000"/>
              <w:left w:val="single" w:sz="6" w:space="0" w:color="000000"/>
              <w:right w:val="nil"/>
            </w:tcBorders>
          </w:tcPr>
          <w:p>
            <w:pPr>
              <w:pStyle w:val="TableParagraph"/>
              <w:spacing w:before="148"/>
              <w:ind w:left="26" w:right="19"/>
              <w:jc w:val="center"/>
              <w:rPr>
                <w:rFonts w:ascii="Times New Roman"/>
                <w:sz w:val="21"/>
              </w:rPr>
            </w:pPr>
            <w:r>
              <w:rPr>
                <w:rFonts w:ascii="Times New Roman"/>
                <w:sz w:val="21"/>
              </w:rPr>
              <w:t>--</w:t>
            </w:r>
          </w:p>
        </w:tc>
        <w:tc>
          <w:tcPr>
            <w:tcW w:w="230" w:type="dxa"/>
            <w:vMerge/>
            <w:tcBorders>
              <w:top w:val="nil"/>
              <w:left w:val="nil"/>
            </w:tcBorders>
          </w:tcPr>
          <w:p>
            <w:pPr>
              <w:rPr>
                <w:sz w:val="2"/>
                <w:szCs w:val="2"/>
              </w:rPr>
            </w:pPr>
          </w:p>
        </w:tc>
      </w:tr>
    </w:tbl>
    <w:p>
      <w:pPr>
        <w:spacing w:after="0"/>
        <w:rPr>
          <w:sz w:val="2"/>
          <w:szCs w:val="2"/>
        </w:rPr>
        <w:sectPr>
          <w:footerReference w:type="default" r:id="rId48"/>
          <w:pgSz w:w="11910" w:h="16840"/>
          <w:pgMar w:top="1420" w:right="901" w:bottom="1160" w:left="920" w:header="0" w:footer="963" w:gutter="0"/>
          <w:pgNumType w:start="29"/>
          <w:cols w:num="1" w:space="720"/>
        </w:sectPr>
      </w:pPr>
    </w:p>
    <w:tbl>
      <w:tblPr>
        <w:tblStyle w:val="TableNormal"/>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2"/>
        <w:gridCol w:w="229"/>
        <w:gridCol w:w="1068"/>
        <w:gridCol w:w="1069"/>
        <w:gridCol w:w="2151"/>
        <w:gridCol w:w="845"/>
        <w:gridCol w:w="2280"/>
        <w:gridCol w:w="973"/>
        <w:gridCol w:w="230"/>
      </w:tblGrid>
      <w:tr>
        <w:tblPrEx>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40"/>
        </w:trPr>
        <w:tc>
          <w:tcPr>
            <w:tcW w:w="442" w:type="dxa"/>
            <w:vMerge w:val="restart"/>
            <w:tcBorders>
              <w:right w:val="single" w:sz="4" w:space="0" w:color="000000"/>
            </w:tcBorders>
          </w:tcPr>
          <w:p>
            <w:pPr>
              <w:pStyle w:val="TableParagraph"/>
              <w:rPr>
                <w:rFonts w:ascii="Times New Roman"/>
                <w:sz w:val="22"/>
              </w:rPr>
            </w:pPr>
          </w:p>
        </w:tc>
        <w:tc>
          <w:tcPr>
            <w:tcW w:w="229" w:type="dxa"/>
            <w:vMerge w:val="restart"/>
            <w:tcBorders>
              <w:left w:val="single" w:sz="4" w:space="0" w:color="000000"/>
              <w:bottom w:val="nil"/>
              <w:right w:val="nil"/>
            </w:tcBorders>
          </w:tcPr>
          <w:p>
            <w:pPr>
              <w:pStyle w:val="TableParagraph"/>
              <w:rPr>
                <w:rFonts w:ascii="Times New Roman"/>
                <w:sz w:val="22"/>
              </w:rPr>
            </w:pPr>
          </w:p>
        </w:tc>
        <w:tc>
          <w:tcPr>
            <w:tcW w:w="1068" w:type="dxa"/>
            <w:tcBorders>
              <w:top w:val="single" w:sz="18" w:space="0" w:color="000000"/>
              <w:left w:val="nil"/>
              <w:bottom w:val="single" w:sz="6" w:space="0" w:color="000000"/>
              <w:right w:val="single" w:sz="6" w:space="0" w:color="000000"/>
            </w:tcBorders>
          </w:tcPr>
          <w:p>
            <w:pPr>
              <w:pStyle w:val="TableParagraph"/>
              <w:rPr>
                <w:rFonts w:ascii="Times New Roman"/>
                <w:sz w:val="22"/>
              </w:rPr>
            </w:pPr>
          </w:p>
        </w:tc>
        <w:tc>
          <w:tcPr>
            <w:tcW w:w="1069" w:type="dxa"/>
            <w:tcBorders>
              <w:top w:val="single" w:sz="18" w:space="0" w:color="000000"/>
              <w:left w:val="single" w:sz="6" w:space="0" w:color="000000"/>
              <w:bottom w:val="single" w:sz="6" w:space="0" w:color="000000"/>
              <w:right w:val="single" w:sz="6" w:space="0" w:color="000000"/>
            </w:tcBorders>
          </w:tcPr>
          <w:p>
            <w:pPr>
              <w:pStyle w:val="TableParagraph"/>
              <w:spacing w:line="268" w:lineRule="exact"/>
              <w:ind w:left="95" w:right="79"/>
              <w:jc w:val="center"/>
              <w:rPr>
                <w:sz w:val="21"/>
              </w:rPr>
            </w:pPr>
            <w:r>
              <w:rPr>
                <w:sz w:val="21"/>
              </w:rPr>
              <w:t>地表水环</w:t>
            </w:r>
          </w:p>
          <w:p>
            <w:pPr>
              <w:pStyle w:val="TableParagraph"/>
              <w:spacing w:before="2" w:line="250" w:lineRule="exact"/>
              <w:ind w:left="16"/>
              <w:jc w:val="center"/>
              <w:rPr>
                <w:sz w:val="21"/>
              </w:rPr>
            </w:pPr>
            <w:r>
              <w:rPr>
                <w:w w:val="99"/>
                <w:sz w:val="21"/>
              </w:rPr>
              <w:t>境</w:t>
            </w:r>
          </w:p>
        </w:tc>
        <w:tc>
          <w:tcPr>
            <w:tcW w:w="2151" w:type="dxa"/>
            <w:tcBorders>
              <w:top w:val="single" w:sz="18" w:space="0" w:color="000000"/>
              <w:left w:val="single" w:sz="6" w:space="0" w:color="000000"/>
              <w:bottom w:val="single" w:sz="6" w:space="0" w:color="000000"/>
              <w:right w:val="single" w:sz="6" w:space="0" w:color="000000"/>
            </w:tcBorders>
          </w:tcPr>
          <w:p>
            <w:pPr>
              <w:pStyle w:val="TableParagraph"/>
              <w:spacing w:before="8" w:line="272" w:lineRule="exact"/>
              <w:ind w:left="360" w:right="136" w:hanging="204"/>
              <w:rPr>
                <w:sz w:val="21"/>
              </w:rPr>
            </w:pPr>
            <w:r>
              <w:rPr>
                <w:rFonts w:ascii="Times New Roman" w:eastAsia="Times New Roman"/>
                <w:position w:val="2"/>
                <w:sz w:val="21"/>
              </w:rPr>
              <w:t>pH</w:t>
            </w:r>
            <w:r>
              <w:rPr>
                <w:position w:val="2"/>
                <w:sz w:val="21"/>
              </w:rPr>
              <w:t>、</w:t>
            </w:r>
            <w:r>
              <w:rPr>
                <w:rFonts w:ascii="Times New Roman" w:eastAsia="Times New Roman"/>
                <w:position w:val="2"/>
                <w:sz w:val="21"/>
              </w:rPr>
              <w:t>COD</w:t>
            </w:r>
            <w:r>
              <w:rPr>
                <w:position w:val="2"/>
                <w:sz w:val="21"/>
              </w:rPr>
              <w:t>、</w:t>
            </w:r>
            <w:r>
              <w:rPr>
                <w:rFonts w:ascii="Times New Roman" w:eastAsia="Times New Roman"/>
                <w:position w:val="2"/>
                <w:sz w:val="21"/>
              </w:rPr>
              <w:t>BOD</w:t>
            </w:r>
            <w:r>
              <w:rPr>
                <w:rFonts w:ascii="Times New Roman" w:eastAsia="Times New Roman"/>
                <w:position w:val="2"/>
                <w:sz w:val="21"/>
                <w:vertAlign w:val="subscript"/>
              </w:rPr>
              <w:t>5</w:t>
            </w:r>
            <w:r>
              <w:rPr>
                <w:position w:val="2"/>
                <w:sz w:val="21"/>
                <w:vertAlign w:val="baseline"/>
              </w:rPr>
              <w:t>、</w:t>
            </w:r>
            <w:r>
              <w:rPr>
                <w:rFonts w:ascii="Times New Roman" w:eastAsia="Times New Roman"/>
                <w:position w:val="2"/>
                <w:sz w:val="21"/>
                <w:vertAlign w:val="baseline"/>
              </w:rPr>
              <w:t>NH</w:t>
            </w:r>
            <w:r>
              <w:rPr>
                <w:rFonts w:ascii="Times New Roman" w:eastAsia="Times New Roman"/>
                <w:position w:val="2"/>
                <w:sz w:val="21"/>
                <w:vertAlign w:val="subscript"/>
              </w:rPr>
              <w:t>3</w:t>
            </w:r>
            <w:r>
              <w:rPr>
                <w:rFonts w:ascii="Times New Roman" w:eastAsia="Times New Roman"/>
                <w:position w:val="2"/>
                <w:sz w:val="21"/>
                <w:vertAlign w:val="baseline"/>
              </w:rPr>
              <w:t>-N</w:t>
            </w:r>
            <w:r>
              <w:rPr>
                <w:position w:val="2"/>
                <w:sz w:val="21"/>
                <w:vertAlign w:val="baseline"/>
              </w:rPr>
              <w:t>、石油类</w:t>
            </w:r>
          </w:p>
        </w:tc>
        <w:tc>
          <w:tcPr>
            <w:tcW w:w="845" w:type="dxa"/>
            <w:tcBorders>
              <w:top w:val="single" w:sz="18" w:space="0" w:color="000000"/>
              <w:left w:val="single" w:sz="6" w:space="0" w:color="000000"/>
              <w:bottom w:val="single" w:sz="6" w:space="0" w:color="000000"/>
              <w:right w:val="single" w:sz="6" w:space="0" w:color="000000"/>
            </w:tcBorders>
          </w:tcPr>
          <w:p>
            <w:pPr>
              <w:pStyle w:val="TableParagraph"/>
              <w:spacing w:before="150"/>
              <w:ind w:left="109" w:right="93"/>
              <w:jc w:val="center"/>
              <w:rPr>
                <w:rFonts w:ascii="Times New Roman"/>
                <w:sz w:val="21"/>
              </w:rPr>
            </w:pPr>
            <w:r>
              <w:rPr>
                <w:rFonts w:ascii="Times New Roman"/>
                <w:sz w:val="21"/>
              </w:rPr>
              <w:t>mg/L</w:t>
            </w:r>
          </w:p>
        </w:tc>
        <w:tc>
          <w:tcPr>
            <w:tcW w:w="2280" w:type="dxa"/>
            <w:tcBorders>
              <w:top w:val="single" w:sz="18" w:space="0" w:color="000000"/>
              <w:left w:val="single" w:sz="6" w:space="0" w:color="000000"/>
              <w:bottom w:val="single" w:sz="6" w:space="0" w:color="000000"/>
              <w:right w:val="single" w:sz="6" w:space="0" w:color="000000"/>
            </w:tcBorders>
          </w:tcPr>
          <w:p>
            <w:pPr>
              <w:pStyle w:val="TableParagraph"/>
              <w:spacing w:before="8" w:line="272" w:lineRule="exact"/>
              <w:ind w:left="424" w:right="201" w:hanging="204"/>
              <w:rPr>
                <w:sz w:val="21"/>
              </w:rPr>
            </w:pPr>
            <w:r>
              <w:rPr>
                <w:rFonts w:ascii="Times New Roman" w:eastAsia="Times New Roman"/>
                <w:position w:val="2"/>
                <w:sz w:val="21"/>
              </w:rPr>
              <w:t>pH</w:t>
            </w:r>
            <w:r>
              <w:rPr>
                <w:position w:val="2"/>
                <w:sz w:val="21"/>
              </w:rPr>
              <w:t>、</w:t>
            </w:r>
            <w:r>
              <w:rPr>
                <w:rFonts w:ascii="Times New Roman" w:eastAsia="Times New Roman"/>
                <w:position w:val="2"/>
                <w:sz w:val="21"/>
              </w:rPr>
              <w:t>COD</w:t>
            </w:r>
            <w:r>
              <w:rPr>
                <w:position w:val="2"/>
                <w:sz w:val="21"/>
              </w:rPr>
              <w:t>、</w:t>
            </w:r>
            <w:r>
              <w:rPr>
                <w:rFonts w:ascii="Times New Roman" w:eastAsia="Times New Roman"/>
                <w:position w:val="2"/>
                <w:sz w:val="21"/>
              </w:rPr>
              <w:t>BOD</w:t>
            </w:r>
            <w:r>
              <w:rPr>
                <w:rFonts w:ascii="Times New Roman" w:eastAsia="Times New Roman"/>
                <w:position w:val="2"/>
                <w:sz w:val="21"/>
                <w:vertAlign w:val="subscript"/>
              </w:rPr>
              <w:t>5</w:t>
            </w:r>
            <w:r>
              <w:rPr>
                <w:position w:val="2"/>
                <w:sz w:val="21"/>
                <w:vertAlign w:val="baseline"/>
              </w:rPr>
              <w:t>、</w:t>
            </w:r>
            <w:r>
              <w:rPr>
                <w:rFonts w:ascii="Times New Roman" w:eastAsia="Times New Roman"/>
                <w:position w:val="2"/>
                <w:sz w:val="21"/>
                <w:vertAlign w:val="baseline"/>
              </w:rPr>
              <w:t>NH</w:t>
            </w:r>
            <w:r>
              <w:rPr>
                <w:rFonts w:ascii="Times New Roman" w:eastAsia="Times New Roman"/>
                <w:position w:val="2"/>
                <w:sz w:val="21"/>
                <w:vertAlign w:val="subscript"/>
              </w:rPr>
              <w:t>3</w:t>
            </w:r>
            <w:r>
              <w:rPr>
                <w:rFonts w:ascii="Times New Roman" w:eastAsia="Times New Roman"/>
                <w:position w:val="2"/>
                <w:sz w:val="21"/>
                <w:vertAlign w:val="baseline"/>
              </w:rPr>
              <w:t>-N</w:t>
            </w:r>
            <w:r>
              <w:rPr>
                <w:position w:val="2"/>
                <w:sz w:val="21"/>
                <w:vertAlign w:val="baseline"/>
              </w:rPr>
              <w:t>、石油类</w:t>
            </w:r>
          </w:p>
        </w:tc>
        <w:tc>
          <w:tcPr>
            <w:tcW w:w="973" w:type="dxa"/>
            <w:tcBorders>
              <w:top w:val="single" w:sz="18" w:space="0" w:color="000000"/>
              <w:left w:val="single" w:sz="6" w:space="0" w:color="000000"/>
              <w:bottom w:val="single" w:sz="6" w:space="0" w:color="000000"/>
              <w:right w:val="nil"/>
            </w:tcBorders>
          </w:tcPr>
          <w:p>
            <w:pPr>
              <w:pStyle w:val="TableParagraph"/>
              <w:spacing w:before="150"/>
              <w:ind w:left="29" w:right="19"/>
              <w:jc w:val="center"/>
              <w:rPr>
                <w:rFonts w:ascii="Times New Roman"/>
                <w:sz w:val="21"/>
              </w:rPr>
            </w:pPr>
            <w:r>
              <w:rPr>
                <w:rFonts w:ascii="Times New Roman"/>
                <w:sz w:val="21"/>
              </w:rPr>
              <w:t>mg/L</w:t>
            </w:r>
          </w:p>
        </w:tc>
        <w:tc>
          <w:tcPr>
            <w:tcW w:w="230" w:type="dxa"/>
            <w:vMerge w:val="restart"/>
            <w:tcBorders>
              <w:left w:val="nil"/>
              <w:bottom w:val="nil"/>
            </w:tcBorders>
          </w:tcPr>
          <w:p>
            <w:pPr>
              <w:pStyle w:val="TableParagraph"/>
              <w:rPr>
                <w:rFonts w:ascii="Times New Roman"/>
                <w:sz w:val="22"/>
              </w:rPr>
            </w:pPr>
          </w:p>
        </w:tc>
      </w:tr>
      <w:tr>
        <w:tblPrEx>
          <w:tblW w:w="0" w:type="auto"/>
          <w:tblInd w:w="400" w:type="dxa"/>
          <w:tblLayout w:type="fixed"/>
          <w:tblCellMar>
            <w:top w:w="0" w:type="dxa"/>
            <w:left w:w="0" w:type="dxa"/>
            <w:bottom w:w="0" w:type="dxa"/>
            <w:right w:w="0" w:type="dxa"/>
          </w:tblCellMar>
        </w:tblPrEx>
        <w:trPr>
          <w:trHeight w:val="437"/>
        </w:trPr>
        <w:tc>
          <w:tcPr>
            <w:tcW w:w="442" w:type="dxa"/>
            <w:vMerge/>
            <w:tcBorders>
              <w:top w:val="nil"/>
              <w:right w:val="single" w:sz="4" w:space="0" w:color="000000"/>
            </w:tcBorders>
          </w:tcPr>
          <w:p>
            <w:pPr>
              <w:rPr>
                <w:sz w:val="2"/>
                <w:szCs w:val="2"/>
              </w:rPr>
            </w:pPr>
          </w:p>
        </w:tc>
        <w:tc>
          <w:tcPr>
            <w:tcW w:w="229" w:type="dxa"/>
            <w:vMerge/>
            <w:tcBorders>
              <w:top w:val="nil"/>
              <w:left w:val="single" w:sz="4" w:space="0" w:color="000000"/>
              <w:bottom w:val="nil"/>
              <w:right w:val="nil"/>
            </w:tcBorders>
          </w:tcPr>
          <w:p>
            <w:pPr>
              <w:rPr>
                <w:sz w:val="2"/>
                <w:szCs w:val="2"/>
              </w:rPr>
            </w:pPr>
          </w:p>
        </w:tc>
        <w:tc>
          <w:tcPr>
            <w:tcW w:w="1068" w:type="dxa"/>
            <w:vMerge w:val="restart"/>
            <w:tcBorders>
              <w:top w:val="single" w:sz="6" w:space="0" w:color="000000"/>
              <w:left w:val="nil"/>
              <w:bottom w:val="single" w:sz="6" w:space="0" w:color="000000"/>
              <w:right w:val="single" w:sz="6" w:space="0" w:color="000000"/>
            </w:tcBorders>
          </w:tcPr>
          <w:p>
            <w:pPr>
              <w:pStyle w:val="TableParagraph"/>
              <w:rPr>
                <w:sz w:val="20"/>
              </w:rPr>
            </w:pPr>
          </w:p>
          <w:p>
            <w:pPr>
              <w:pStyle w:val="TableParagraph"/>
              <w:spacing w:before="10"/>
              <w:rPr>
                <w:sz w:val="24"/>
              </w:rPr>
            </w:pPr>
          </w:p>
          <w:p>
            <w:pPr>
              <w:pStyle w:val="TableParagraph"/>
              <w:ind w:left="229"/>
              <w:rPr>
                <w:sz w:val="21"/>
              </w:rPr>
            </w:pPr>
            <w:r>
              <w:rPr>
                <w:sz w:val="21"/>
              </w:rPr>
              <w:t>运行期</w:t>
            </w:r>
          </w:p>
        </w:tc>
        <w:tc>
          <w:tcPr>
            <w:tcW w:w="1069"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2"/>
              <w:rPr>
                <w:sz w:val="24"/>
              </w:rPr>
            </w:pPr>
          </w:p>
          <w:p>
            <w:pPr>
              <w:pStyle w:val="TableParagraph"/>
              <w:ind w:left="116"/>
              <w:rPr>
                <w:sz w:val="21"/>
              </w:rPr>
            </w:pPr>
            <w:r>
              <w:rPr>
                <w:sz w:val="21"/>
              </w:rPr>
              <w:t>电磁环境</w:t>
            </w:r>
          </w:p>
        </w:tc>
        <w:tc>
          <w:tcPr>
            <w:tcW w:w="2151" w:type="dxa"/>
            <w:tcBorders>
              <w:top w:val="single" w:sz="6" w:space="0" w:color="000000"/>
              <w:left w:val="single" w:sz="6" w:space="0" w:color="000000"/>
              <w:bottom w:val="single" w:sz="6" w:space="0" w:color="000000"/>
              <w:right w:val="single" w:sz="6" w:space="0" w:color="000000"/>
            </w:tcBorders>
          </w:tcPr>
          <w:p>
            <w:pPr>
              <w:pStyle w:val="TableParagraph"/>
              <w:spacing w:before="75"/>
              <w:ind w:right="638"/>
              <w:jc w:val="right"/>
              <w:rPr>
                <w:sz w:val="21"/>
              </w:rPr>
            </w:pPr>
            <w:r>
              <w:rPr>
                <w:w w:val="95"/>
                <w:sz w:val="21"/>
              </w:rPr>
              <w:t>工频电场</w:t>
            </w:r>
          </w:p>
        </w:tc>
        <w:tc>
          <w:tcPr>
            <w:tcW w:w="845" w:type="dxa"/>
            <w:tcBorders>
              <w:top w:val="single" w:sz="6" w:space="0" w:color="000000"/>
              <w:left w:val="single" w:sz="6" w:space="0" w:color="000000"/>
              <w:bottom w:val="single" w:sz="6" w:space="0" w:color="000000"/>
              <w:right w:val="single" w:sz="6" w:space="0" w:color="000000"/>
            </w:tcBorders>
          </w:tcPr>
          <w:p>
            <w:pPr>
              <w:pStyle w:val="TableParagraph"/>
              <w:spacing w:before="91"/>
              <w:ind w:left="109" w:right="94"/>
              <w:jc w:val="center"/>
              <w:rPr>
                <w:rFonts w:ascii="Times New Roman"/>
                <w:sz w:val="21"/>
              </w:rPr>
            </w:pPr>
            <w:r>
              <w:rPr>
                <w:rFonts w:ascii="Times New Roman"/>
                <w:sz w:val="21"/>
              </w:rPr>
              <w:t>kV/m</w:t>
            </w:r>
          </w:p>
        </w:tc>
        <w:tc>
          <w:tcPr>
            <w:tcW w:w="2280" w:type="dxa"/>
            <w:tcBorders>
              <w:top w:val="single" w:sz="6" w:space="0" w:color="000000"/>
              <w:left w:val="single" w:sz="6" w:space="0" w:color="000000"/>
              <w:bottom w:val="single" w:sz="6" w:space="0" w:color="000000"/>
              <w:right w:val="single" w:sz="6" w:space="0" w:color="000000"/>
            </w:tcBorders>
          </w:tcPr>
          <w:p>
            <w:pPr>
              <w:pStyle w:val="TableParagraph"/>
              <w:spacing w:before="75"/>
              <w:ind w:left="51" w:right="35"/>
              <w:jc w:val="center"/>
              <w:rPr>
                <w:sz w:val="21"/>
              </w:rPr>
            </w:pPr>
            <w:r>
              <w:rPr>
                <w:sz w:val="21"/>
              </w:rPr>
              <w:t>工频电场</w:t>
            </w:r>
          </w:p>
        </w:tc>
        <w:tc>
          <w:tcPr>
            <w:tcW w:w="973" w:type="dxa"/>
            <w:tcBorders>
              <w:top w:val="single" w:sz="6" w:space="0" w:color="000000"/>
              <w:left w:val="single" w:sz="6" w:space="0" w:color="000000"/>
              <w:bottom w:val="single" w:sz="6" w:space="0" w:color="000000"/>
              <w:right w:val="nil"/>
            </w:tcBorders>
          </w:tcPr>
          <w:p>
            <w:pPr>
              <w:pStyle w:val="TableParagraph"/>
              <w:spacing w:before="91"/>
              <w:ind w:left="28" w:right="19"/>
              <w:jc w:val="center"/>
              <w:rPr>
                <w:rFonts w:ascii="Times New Roman"/>
                <w:sz w:val="21"/>
              </w:rPr>
            </w:pPr>
            <w:r>
              <w:rPr>
                <w:rFonts w:ascii="Times New Roman"/>
                <w:sz w:val="21"/>
              </w:rPr>
              <w:t>kV/m</w:t>
            </w:r>
          </w:p>
        </w:tc>
        <w:tc>
          <w:tcPr>
            <w:tcW w:w="230" w:type="dxa"/>
            <w:vMerge/>
            <w:tcBorders>
              <w:top w:val="nil"/>
              <w:left w:val="nil"/>
              <w:bottom w:val="nil"/>
            </w:tcBorders>
          </w:tcPr>
          <w:p>
            <w:pPr>
              <w:rPr>
                <w:sz w:val="2"/>
                <w:szCs w:val="2"/>
              </w:rPr>
            </w:pPr>
          </w:p>
        </w:tc>
      </w:tr>
      <w:tr>
        <w:tblPrEx>
          <w:tblW w:w="0" w:type="auto"/>
          <w:tblInd w:w="400" w:type="dxa"/>
          <w:tblLayout w:type="fixed"/>
          <w:tblCellMar>
            <w:top w:w="0" w:type="dxa"/>
            <w:left w:w="0" w:type="dxa"/>
            <w:bottom w:w="0" w:type="dxa"/>
            <w:right w:w="0" w:type="dxa"/>
          </w:tblCellMar>
        </w:tblPrEx>
        <w:trPr>
          <w:trHeight w:val="448"/>
        </w:trPr>
        <w:tc>
          <w:tcPr>
            <w:tcW w:w="442" w:type="dxa"/>
            <w:vMerge/>
            <w:tcBorders>
              <w:top w:val="nil"/>
              <w:right w:val="single" w:sz="4" w:space="0" w:color="000000"/>
            </w:tcBorders>
          </w:tcPr>
          <w:p>
            <w:pPr>
              <w:rPr>
                <w:sz w:val="2"/>
                <w:szCs w:val="2"/>
              </w:rPr>
            </w:pPr>
          </w:p>
        </w:tc>
        <w:tc>
          <w:tcPr>
            <w:tcW w:w="229" w:type="dxa"/>
            <w:vMerge/>
            <w:tcBorders>
              <w:top w:val="nil"/>
              <w:left w:val="single" w:sz="4" w:space="0" w:color="000000"/>
              <w:bottom w:val="nil"/>
              <w:right w:val="nil"/>
            </w:tcBorders>
          </w:tcPr>
          <w:p>
            <w:pPr>
              <w:rPr>
                <w:sz w:val="2"/>
                <w:szCs w:val="2"/>
              </w:rPr>
            </w:pPr>
          </w:p>
        </w:tc>
        <w:tc>
          <w:tcPr>
            <w:tcW w:w="1068" w:type="dxa"/>
            <w:vMerge/>
            <w:tcBorders>
              <w:top w:val="nil"/>
              <w:left w:val="nil"/>
              <w:bottom w:val="single" w:sz="6" w:space="0" w:color="000000"/>
              <w:right w:val="single" w:sz="6" w:space="0" w:color="000000"/>
            </w:tcBorders>
          </w:tcPr>
          <w:p>
            <w:pPr>
              <w:rPr>
                <w:sz w:val="2"/>
                <w:szCs w:val="2"/>
              </w:rPr>
            </w:pPr>
          </w:p>
        </w:tc>
        <w:tc>
          <w:tcPr>
            <w:tcW w:w="1069" w:type="dxa"/>
            <w:vMerge/>
            <w:tcBorders>
              <w:top w:val="nil"/>
              <w:left w:val="single" w:sz="6" w:space="0" w:color="000000"/>
              <w:bottom w:val="single" w:sz="6" w:space="0" w:color="000000"/>
              <w:right w:val="single" w:sz="6" w:space="0" w:color="000000"/>
            </w:tcBorders>
          </w:tcPr>
          <w:p>
            <w:pPr>
              <w:rPr>
                <w:sz w:val="2"/>
                <w:szCs w:val="2"/>
              </w:rPr>
            </w:pPr>
          </w:p>
        </w:tc>
        <w:tc>
          <w:tcPr>
            <w:tcW w:w="2151" w:type="dxa"/>
            <w:tcBorders>
              <w:top w:val="single" w:sz="6" w:space="0" w:color="000000"/>
              <w:left w:val="single" w:sz="6" w:space="0" w:color="000000"/>
              <w:bottom w:val="single" w:sz="6" w:space="0" w:color="000000"/>
              <w:right w:val="single" w:sz="6" w:space="0" w:color="000000"/>
            </w:tcBorders>
          </w:tcPr>
          <w:p>
            <w:pPr>
              <w:pStyle w:val="TableParagraph"/>
              <w:spacing w:before="88"/>
              <w:ind w:right="638"/>
              <w:jc w:val="right"/>
              <w:rPr>
                <w:sz w:val="21"/>
              </w:rPr>
            </w:pPr>
            <w:r>
              <w:rPr>
                <w:w w:val="95"/>
                <w:sz w:val="21"/>
              </w:rPr>
              <w:t>工频磁场</w:t>
            </w:r>
          </w:p>
        </w:tc>
        <w:tc>
          <w:tcPr>
            <w:tcW w:w="845" w:type="dxa"/>
            <w:tcBorders>
              <w:top w:val="single" w:sz="6" w:space="0" w:color="000000"/>
              <w:left w:val="single" w:sz="6" w:space="0" w:color="000000"/>
              <w:bottom w:val="single" w:sz="6" w:space="0" w:color="000000"/>
              <w:right w:val="single" w:sz="6" w:space="0" w:color="000000"/>
            </w:tcBorders>
          </w:tcPr>
          <w:p>
            <w:pPr>
              <w:pStyle w:val="TableParagraph"/>
              <w:spacing w:before="102"/>
              <w:ind w:left="109" w:right="90"/>
              <w:jc w:val="center"/>
              <w:rPr>
                <w:rFonts w:ascii="Times New Roman" w:hAnsi="Times New Roman"/>
                <w:sz w:val="21"/>
              </w:rPr>
            </w:pPr>
            <w:r>
              <w:rPr>
                <w:rFonts w:ascii="Times New Roman" w:hAnsi="Times New Roman"/>
                <w:sz w:val="21"/>
              </w:rPr>
              <w:t>μT</w:t>
            </w:r>
          </w:p>
        </w:tc>
        <w:tc>
          <w:tcPr>
            <w:tcW w:w="2280" w:type="dxa"/>
            <w:tcBorders>
              <w:top w:val="single" w:sz="6" w:space="0" w:color="000000"/>
              <w:left w:val="single" w:sz="6" w:space="0" w:color="000000"/>
              <w:bottom w:val="single" w:sz="6" w:space="0" w:color="000000"/>
              <w:right w:val="single" w:sz="6" w:space="0" w:color="000000"/>
            </w:tcBorders>
          </w:tcPr>
          <w:p>
            <w:pPr>
              <w:pStyle w:val="TableParagraph"/>
              <w:spacing w:before="88"/>
              <w:ind w:left="51" w:right="35"/>
              <w:jc w:val="center"/>
              <w:rPr>
                <w:sz w:val="21"/>
              </w:rPr>
            </w:pPr>
            <w:r>
              <w:rPr>
                <w:sz w:val="21"/>
              </w:rPr>
              <w:t>工频磁场</w:t>
            </w:r>
          </w:p>
        </w:tc>
        <w:tc>
          <w:tcPr>
            <w:tcW w:w="973" w:type="dxa"/>
            <w:tcBorders>
              <w:top w:val="single" w:sz="6" w:space="0" w:color="000000"/>
              <w:left w:val="single" w:sz="6" w:space="0" w:color="000000"/>
              <w:bottom w:val="single" w:sz="6" w:space="0" w:color="000000"/>
              <w:right w:val="nil"/>
            </w:tcBorders>
          </w:tcPr>
          <w:p>
            <w:pPr>
              <w:pStyle w:val="TableParagraph"/>
              <w:spacing w:before="102"/>
              <w:ind w:left="29" w:right="19"/>
              <w:jc w:val="center"/>
              <w:rPr>
                <w:rFonts w:ascii="Times New Roman" w:hAnsi="Times New Roman"/>
                <w:sz w:val="21"/>
              </w:rPr>
            </w:pPr>
            <w:r>
              <w:rPr>
                <w:rFonts w:ascii="Times New Roman" w:hAnsi="Times New Roman"/>
                <w:sz w:val="21"/>
              </w:rPr>
              <w:t>μT</w:t>
            </w:r>
          </w:p>
        </w:tc>
        <w:tc>
          <w:tcPr>
            <w:tcW w:w="230" w:type="dxa"/>
            <w:vMerge/>
            <w:tcBorders>
              <w:top w:val="nil"/>
              <w:left w:val="nil"/>
              <w:bottom w:val="nil"/>
            </w:tcBorders>
          </w:tcPr>
          <w:p>
            <w:pPr>
              <w:rPr>
                <w:sz w:val="2"/>
                <w:szCs w:val="2"/>
              </w:rPr>
            </w:pPr>
          </w:p>
        </w:tc>
      </w:tr>
      <w:tr>
        <w:tblPrEx>
          <w:tblW w:w="0" w:type="auto"/>
          <w:tblInd w:w="400" w:type="dxa"/>
          <w:tblLayout w:type="fixed"/>
          <w:tblCellMar>
            <w:top w:w="0" w:type="dxa"/>
            <w:left w:w="0" w:type="dxa"/>
            <w:bottom w:w="0" w:type="dxa"/>
            <w:right w:w="0" w:type="dxa"/>
          </w:tblCellMar>
        </w:tblPrEx>
        <w:trPr>
          <w:trHeight w:val="509"/>
        </w:trPr>
        <w:tc>
          <w:tcPr>
            <w:tcW w:w="442" w:type="dxa"/>
            <w:vMerge/>
            <w:tcBorders>
              <w:top w:val="nil"/>
              <w:right w:val="single" w:sz="4" w:space="0" w:color="000000"/>
            </w:tcBorders>
          </w:tcPr>
          <w:p>
            <w:pPr>
              <w:rPr>
                <w:sz w:val="2"/>
                <w:szCs w:val="2"/>
              </w:rPr>
            </w:pPr>
          </w:p>
        </w:tc>
        <w:tc>
          <w:tcPr>
            <w:tcW w:w="229" w:type="dxa"/>
            <w:vMerge/>
            <w:tcBorders>
              <w:top w:val="nil"/>
              <w:left w:val="single" w:sz="4" w:space="0" w:color="000000"/>
              <w:bottom w:val="nil"/>
              <w:right w:val="nil"/>
            </w:tcBorders>
          </w:tcPr>
          <w:p>
            <w:pPr>
              <w:rPr>
                <w:sz w:val="2"/>
                <w:szCs w:val="2"/>
              </w:rPr>
            </w:pPr>
          </w:p>
        </w:tc>
        <w:tc>
          <w:tcPr>
            <w:tcW w:w="1068" w:type="dxa"/>
            <w:vMerge/>
            <w:tcBorders>
              <w:top w:val="nil"/>
              <w:left w:val="nil"/>
              <w:bottom w:val="single" w:sz="6" w:space="0" w:color="000000"/>
              <w:right w:val="single" w:sz="6" w:space="0" w:color="000000"/>
            </w:tcBorders>
          </w:tcPr>
          <w:p>
            <w:pPr>
              <w:rPr>
                <w:sz w:val="2"/>
                <w:szCs w:val="2"/>
              </w:rPr>
            </w:pPr>
          </w:p>
        </w:tc>
        <w:tc>
          <w:tcPr>
            <w:tcW w:w="1069" w:type="dxa"/>
            <w:tcBorders>
              <w:top w:val="single" w:sz="6" w:space="0" w:color="000000"/>
              <w:left w:val="single" w:sz="6" w:space="0" w:color="000000"/>
              <w:bottom w:val="single" w:sz="6" w:space="0" w:color="000000"/>
              <w:right w:val="single" w:sz="6" w:space="0" w:color="000000"/>
            </w:tcBorders>
          </w:tcPr>
          <w:p>
            <w:pPr>
              <w:pStyle w:val="TableParagraph"/>
              <w:spacing w:before="118"/>
              <w:ind w:left="221"/>
              <w:rPr>
                <w:sz w:val="21"/>
              </w:rPr>
            </w:pPr>
            <w:r>
              <w:rPr>
                <w:sz w:val="21"/>
              </w:rPr>
              <w:t>声环境</w:t>
            </w:r>
          </w:p>
        </w:tc>
        <w:tc>
          <w:tcPr>
            <w:tcW w:w="2151" w:type="dxa"/>
            <w:tcBorders>
              <w:top w:val="single" w:sz="6" w:space="0" w:color="000000"/>
              <w:left w:val="single" w:sz="6" w:space="0" w:color="000000"/>
              <w:bottom w:val="single" w:sz="6" w:space="0" w:color="000000"/>
              <w:right w:val="single" w:sz="6" w:space="0" w:color="000000"/>
            </w:tcBorders>
          </w:tcPr>
          <w:p>
            <w:pPr>
              <w:pStyle w:val="TableParagraph"/>
              <w:spacing w:line="267" w:lineRule="exact"/>
              <w:ind w:left="110" w:right="-15"/>
              <w:rPr>
                <w:sz w:val="21"/>
              </w:rPr>
            </w:pPr>
            <w:r>
              <w:rPr>
                <w:spacing w:val="-9"/>
                <w:sz w:val="21"/>
              </w:rPr>
              <w:t>昼间、夜间等效声级，</w:t>
            </w:r>
          </w:p>
          <w:p>
            <w:pPr>
              <w:pStyle w:val="TableParagraph"/>
              <w:spacing w:line="222" w:lineRule="exact"/>
              <w:ind w:left="111" w:right="93"/>
              <w:jc w:val="center"/>
              <w:rPr>
                <w:rFonts w:ascii="Times New Roman"/>
                <w:sz w:val="21"/>
              </w:rPr>
            </w:pPr>
            <w:r>
              <w:rPr>
                <w:rFonts w:ascii="Times New Roman"/>
                <w:w w:val="105"/>
                <w:position w:val="2"/>
                <w:sz w:val="21"/>
              </w:rPr>
              <w:t>L</w:t>
            </w:r>
            <w:r>
              <w:rPr>
                <w:rFonts w:ascii="Times New Roman"/>
                <w:w w:val="105"/>
                <w:position w:val="2"/>
                <w:sz w:val="21"/>
                <w:vertAlign w:val="subscript"/>
              </w:rPr>
              <w:t>eq</w:t>
            </w:r>
          </w:p>
        </w:tc>
        <w:tc>
          <w:tcPr>
            <w:tcW w:w="845" w:type="dxa"/>
            <w:tcBorders>
              <w:top w:val="single" w:sz="6" w:space="0" w:color="000000"/>
              <w:left w:val="single" w:sz="6" w:space="0" w:color="000000"/>
              <w:bottom w:val="single" w:sz="6" w:space="0" w:color="000000"/>
              <w:right w:val="single" w:sz="6" w:space="0" w:color="000000"/>
            </w:tcBorders>
          </w:tcPr>
          <w:p>
            <w:pPr>
              <w:pStyle w:val="TableParagraph"/>
              <w:spacing w:before="118"/>
              <w:ind w:left="109" w:right="-15"/>
              <w:jc w:val="center"/>
              <w:rPr>
                <w:sz w:val="21"/>
              </w:rPr>
            </w:pPr>
            <w:r>
              <w:rPr>
                <w:rFonts w:ascii="Times New Roman" w:eastAsia="Times New Roman"/>
                <w:spacing w:val="-17"/>
                <w:sz w:val="21"/>
              </w:rPr>
              <w:t>dB</w:t>
            </w:r>
            <w:r>
              <w:rPr>
                <w:spacing w:val="-17"/>
                <w:sz w:val="21"/>
              </w:rPr>
              <w:t>（</w:t>
            </w:r>
            <w:r>
              <w:rPr>
                <w:rFonts w:ascii="Times New Roman" w:eastAsia="Times New Roman"/>
                <w:spacing w:val="-17"/>
                <w:sz w:val="21"/>
              </w:rPr>
              <w:t>A</w:t>
            </w:r>
            <w:r>
              <w:rPr>
                <w:spacing w:val="-17"/>
                <w:sz w:val="21"/>
              </w:rPr>
              <w:t>）</w:t>
            </w:r>
          </w:p>
        </w:tc>
        <w:tc>
          <w:tcPr>
            <w:tcW w:w="2280" w:type="dxa"/>
            <w:tcBorders>
              <w:top w:val="single" w:sz="6" w:space="0" w:color="000000"/>
              <w:left w:val="single" w:sz="6" w:space="0" w:color="000000"/>
              <w:bottom w:val="single" w:sz="6" w:space="0" w:color="000000"/>
              <w:right w:val="single" w:sz="6" w:space="0" w:color="000000"/>
            </w:tcBorders>
          </w:tcPr>
          <w:p>
            <w:pPr>
              <w:pStyle w:val="TableParagraph"/>
              <w:spacing w:line="267" w:lineRule="exact"/>
              <w:ind w:left="89" w:right="35"/>
              <w:jc w:val="center"/>
              <w:rPr>
                <w:sz w:val="21"/>
              </w:rPr>
            </w:pPr>
            <w:r>
              <w:rPr>
                <w:sz w:val="21"/>
              </w:rPr>
              <w:t>昼间、夜间等效声级，</w:t>
            </w:r>
          </w:p>
          <w:p>
            <w:pPr>
              <w:pStyle w:val="TableParagraph"/>
              <w:spacing w:line="222" w:lineRule="exact"/>
              <w:ind w:left="52" w:right="35"/>
              <w:jc w:val="center"/>
              <w:rPr>
                <w:rFonts w:ascii="Times New Roman"/>
                <w:sz w:val="21"/>
              </w:rPr>
            </w:pPr>
            <w:r>
              <w:rPr>
                <w:rFonts w:ascii="Times New Roman"/>
                <w:w w:val="105"/>
                <w:position w:val="2"/>
                <w:sz w:val="21"/>
              </w:rPr>
              <w:t>L</w:t>
            </w:r>
            <w:r>
              <w:rPr>
                <w:rFonts w:ascii="Times New Roman"/>
                <w:w w:val="105"/>
                <w:position w:val="2"/>
                <w:sz w:val="21"/>
                <w:vertAlign w:val="subscript"/>
              </w:rPr>
              <w:t>eq</w:t>
            </w:r>
          </w:p>
        </w:tc>
        <w:tc>
          <w:tcPr>
            <w:tcW w:w="973" w:type="dxa"/>
            <w:tcBorders>
              <w:top w:val="single" w:sz="6" w:space="0" w:color="000000"/>
              <w:left w:val="single" w:sz="6" w:space="0" w:color="000000"/>
              <w:bottom w:val="single" w:sz="6" w:space="0" w:color="000000"/>
              <w:right w:val="nil"/>
            </w:tcBorders>
          </w:tcPr>
          <w:p>
            <w:pPr>
              <w:pStyle w:val="TableParagraph"/>
              <w:spacing w:before="118"/>
              <w:ind w:left="89" w:right="19"/>
              <w:jc w:val="center"/>
              <w:rPr>
                <w:sz w:val="21"/>
              </w:rPr>
            </w:pPr>
            <w:r>
              <w:rPr>
                <w:rFonts w:ascii="Times New Roman" w:eastAsia="Times New Roman"/>
                <w:sz w:val="21"/>
              </w:rPr>
              <w:t>dB</w:t>
            </w:r>
            <w:r>
              <w:rPr>
                <w:sz w:val="21"/>
              </w:rPr>
              <w:t>（</w:t>
            </w:r>
            <w:r>
              <w:rPr>
                <w:rFonts w:ascii="Times New Roman" w:eastAsia="Times New Roman"/>
                <w:sz w:val="21"/>
              </w:rPr>
              <w:t>A</w:t>
            </w:r>
            <w:r>
              <w:rPr>
                <w:sz w:val="21"/>
              </w:rPr>
              <w:t>）</w:t>
            </w:r>
          </w:p>
        </w:tc>
        <w:tc>
          <w:tcPr>
            <w:tcW w:w="230" w:type="dxa"/>
            <w:vMerge/>
            <w:tcBorders>
              <w:top w:val="nil"/>
              <w:left w:val="nil"/>
              <w:bottom w:val="nil"/>
            </w:tcBorders>
          </w:tcPr>
          <w:p>
            <w:pPr>
              <w:rPr>
                <w:sz w:val="2"/>
                <w:szCs w:val="2"/>
              </w:rPr>
            </w:pPr>
          </w:p>
        </w:tc>
      </w:tr>
      <w:tr>
        <w:tblPrEx>
          <w:tblW w:w="0" w:type="auto"/>
          <w:tblInd w:w="400" w:type="dxa"/>
          <w:tblLayout w:type="fixed"/>
          <w:tblCellMar>
            <w:top w:w="0" w:type="dxa"/>
            <w:left w:w="0" w:type="dxa"/>
            <w:bottom w:w="0" w:type="dxa"/>
            <w:right w:w="0" w:type="dxa"/>
          </w:tblCellMar>
        </w:tblPrEx>
        <w:trPr>
          <w:trHeight w:val="11642"/>
        </w:trPr>
        <w:tc>
          <w:tcPr>
            <w:tcW w:w="442" w:type="dxa"/>
            <w:vMerge/>
            <w:tcBorders>
              <w:top w:val="nil"/>
              <w:right w:val="single" w:sz="4" w:space="0" w:color="000000"/>
            </w:tcBorders>
          </w:tcPr>
          <w:p>
            <w:pPr>
              <w:rPr>
                <w:sz w:val="2"/>
                <w:szCs w:val="2"/>
              </w:rPr>
            </w:pPr>
          </w:p>
        </w:tc>
        <w:tc>
          <w:tcPr>
            <w:tcW w:w="8845" w:type="dxa"/>
            <w:gridSpan w:val="8"/>
            <w:tcBorders>
              <w:top w:val="nil"/>
              <w:left w:val="single" w:sz="4" w:space="0" w:color="000000"/>
            </w:tcBorders>
          </w:tcPr>
          <w:p>
            <w:pPr>
              <w:pStyle w:val="TableParagraph"/>
              <w:spacing w:after="3" w:line="266" w:lineRule="exact"/>
              <w:ind w:left="340"/>
              <w:rPr>
                <w:sz w:val="21"/>
              </w:rPr>
            </w:pPr>
            <w:r>
              <w:rPr>
                <w:sz w:val="21"/>
              </w:rPr>
              <w:t>注：</w:t>
            </w:r>
            <w:r>
              <w:rPr>
                <w:rFonts w:ascii="Times New Roman" w:eastAsia="Times New Roman"/>
                <w:sz w:val="21"/>
              </w:rPr>
              <w:t xml:space="preserve">pH </w:t>
            </w:r>
            <w:r>
              <w:rPr>
                <w:sz w:val="21"/>
              </w:rPr>
              <w:t>无量纲。</w:t>
            </w:r>
          </w:p>
          <w:p>
            <w:pPr>
              <w:pStyle w:val="TableParagraph"/>
              <w:spacing w:line="30" w:lineRule="exact"/>
              <w:ind w:left="218"/>
              <w:rPr>
                <w:sz w:val="3"/>
              </w:rPr>
            </w:pPr>
            <w:r>
              <w:rPr>
                <w:position w:val="0"/>
                <w:sz w:val="3"/>
              </w:rPr>
              <w:pict>
                <v:group id="_x0000_s1232" o:spid="_x0000_i1091" style="width:419.3pt;height:1.45pt" coordsize="8386,29">
                  <v:line id="_x0000_s1233" o:spid="_x0000_s1092" style="position:absolute" from="0,14" to="8386,14" coordsize="21600,21600" stroked="t" strokecolor="black"/>
                  <w10:anchorlock/>
                </v:group>
              </w:pict>
            </w:r>
          </w:p>
          <w:p>
            <w:pPr>
              <w:pStyle w:val="TableParagraph"/>
              <w:spacing w:before="1"/>
              <w:ind w:left="112"/>
              <w:rPr>
                <w:b/>
                <w:sz w:val="24"/>
              </w:rPr>
            </w:pPr>
            <w:r>
              <w:rPr>
                <w:rFonts w:ascii="Times New Roman" w:eastAsia="Times New Roman"/>
                <w:b/>
                <w:sz w:val="24"/>
              </w:rPr>
              <w:t>5.2</w:t>
            </w:r>
            <w:r>
              <w:rPr>
                <w:rFonts w:ascii="Times New Roman" w:eastAsia="Times New Roman"/>
                <w:b/>
                <w:spacing w:val="59"/>
                <w:sz w:val="24"/>
              </w:rPr>
              <w:t xml:space="preserve"> </w:t>
            </w:r>
            <w:r>
              <w:rPr>
                <w:b/>
                <w:sz w:val="24"/>
              </w:rPr>
              <w:t>其他环境影响因子</w:t>
            </w:r>
          </w:p>
          <w:p>
            <w:pPr>
              <w:pStyle w:val="TableParagraph"/>
              <w:spacing w:before="159"/>
              <w:ind w:left="616"/>
              <w:rPr>
                <w:sz w:val="24"/>
              </w:rPr>
            </w:pPr>
            <w:r>
              <w:rPr>
                <w:sz w:val="24"/>
              </w:rPr>
              <w:t>施工期：扬尘、固体废物。</w:t>
            </w:r>
          </w:p>
          <w:p>
            <w:pPr>
              <w:pStyle w:val="TableParagraph"/>
              <w:numPr>
                <w:ilvl w:val="0"/>
                <w:numId w:val="15"/>
              </w:numPr>
              <w:tabs>
                <w:tab w:val="left" w:pos="353"/>
              </w:tabs>
              <w:spacing w:before="160" w:after="0" w:line="240" w:lineRule="auto"/>
              <w:ind w:left="352" w:right="0" w:hanging="241"/>
              <w:jc w:val="left"/>
              <w:rPr>
                <w:b/>
                <w:sz w:val="24"/>
              </w:rPr>
            </w:pPr>
            <w:r>
              <w:rPr>
                <w:b/>
                <w:sz w:val="24"/>
              </w:rPr>
              <w:t>评价工作等级</w:t>
            </w:r>
          </w:p>
          <w:p>
            <w:pPr>
              <w:pStyle w:val="TableParagraph"/>
              <w:numPr>
                <w:ilvl w:val="1"/>
                <w:numId w:val="15"/>
              </w:numPr>
              <w:tabs>
                <w:tab w:val="left" w:pos="533"/>
              </w:tabs>
              <w:spacing w:before="161" w:after="0" w:line="240" w:lineRule="auto"/>
              <w:ind w:left="532" w:right="0" w:hanging="421"/>
              <w:jc w:val="left"/>
              <w:rPr>
                <w:b/>
                <w:sz w:val="24"/>
              </w:rPr>
            </w:pPr>
            <w:r>
              <w:rPr>
                <w:b/>
                <w:sz w:val="24"/>
              </w:rPr>
              <w:t>电磁环境影响评价工作等级</w:t>
            </w:r>
          </w:p>
          <w:p>
            <w:pPr>
              <w:pStyle w:val="TableParagraph"/>
              <w:spacing w:before="2" w:line="364" w:lineRule="auto"/>
              <w:ind w:left="112" w:right="15" w:firstLine="487"/>
              <w:rPr>
                <w:sz w:val="24"/>
              </w:rPr>
            </w:pPr>
            <w:r>
              <w:rPr>
                <w:sz w:val="24"/>
              </w:rPr>
              <w:t>根据《环境影响评价技术导则 输变电》（</w:t>
            </w:r>
            <w:r>
              <w:rPr>
                <w:rFonts w:ascii="Times New Roman" w:eastAsia="Times New Roman"/>
                <w:sz w:val="24"/>
              </w:rPr>
              <w:t>HJ 24-2020</w:t>
            </w:r>
            <w:r>
              <w:rPr>
                <w:sz w:val="24"/>
              </w:rPr>
              <w:t xml:space="preserve">），本工程的电磁环境影响评价工作等级见表 </w:t>
            </w:r>
            <w:r>
              <w:rPr>
                <w:rFonts w:ascii="Times New Roman" w:eastAsia="Times New Roman"/>
                <w:sz w:val="24"/>
              </w:rPr>
              <w:t>3-8</w:t>
            </w:r>
            <w:r>
              <w:rPr>
                <w:sz w:val="24"/>
              </w:rPr>
              <w:t>。</w:t>
            </w:r>
          </w:p>
          <w:p>
            <w:pPr>
              <w:pStyle w:val="TableParagraph"/>
              <w:tabs>
                <w:tab w:val="left" w:pos="3117"/>
              </w:tabs>
              <w:spacing w:line="267" w:lineRule="exact"/>
              <w:ind w:left="2363"/>
              <w:rPr>
                <w:b/>
                <w:sz w:val="21"/>
              </w:rPr>
            </w:pPr>
            <w:r>
              <w:rPr>
                <w:b/>
                <w:sz w:val="21"/>
              </w:rPr>
              <w:t>表</w:t>
            </w:r>
            <w:r>
              <w:rPr>
                <w:b/>
                <w:spacing w:val="-55"/>
                <w:sz w:val="21"/>
              </w:rPr>
              <w:t xml:space="preserve"> </w:t>
            </w:r>
            <w:r>
              <w:rPr>
                <w:rFonts w:ascii="Times New Roman" w:eastAsia="Times New Roman"/>
                <w:b/>
                <w:sz w:val="21"/>
              </w:rPr>
              <w:t>3-8</w:t>
            </w:r>
            <w:r>
              <w:rPr>
                <w:rFonts w:ascii="Times New Roman" w:eastAsia="Times New Roman"/>
                <w:b/>
                <w:sz w:val="21"/>
              </w:rPr>
              <w:tab/>
            </w:r>
            <w:r>
              <w:rPr>
                <w:b/>
                <w:sz w:val="21"/>
              </w:rPr>
              <w:t>本工程的电磁环境影响评价工作等级</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6"/>
              <w:rPr>
                <w:sz w:val="23"/>
              </w:rPr>
            </w:pPr>
          </w:p>
          <w:p>
            <w:pPr>
              <w:pStyle w:val="TableParagraph"/>
              <w:spacing w:line="364" w:lineRule="auto"/>
              <w:ind w:left="112" w:right="87" w:firstLine="487"/>
              <w:rPr>
                <w:sz w:val="24"/>
              </w:rPr>
            </w:pPr>
            <w:r>
              <w:rPr>
                <w:spacing w:val="-9"/>
                <w:sz w:val="24"/>
              </w:rPr>
              <w:t xml:space="preserve">本项目迁改线路为地下电缆，调整弧垂的 </w:t>
            </w:r>
            <w:r>
              <w:rPr>
                <w:rFonts w:ascii="Times New Roman" w:eastAsia="Times New Roman"/>
                <w:sz w:val="24"/>
              </w:rPr>
              <w:t xml:space="preserve">220kV </w:t>
            </w:r>
            <w:r>
              <w:rPr>
                <w:spacing w:val="-2"/>
                <w:sz w:val="24"/>
              </w:rPr>
              <w:t>架空线路在评价范围内无电磁</w:t>
            </w:r>
            <w:r>
              <w:rPr>
                <w:sz w:val="24"/>
              </w:rPr>
              <w:t>环境敏感目标。故本项目综合电磁环境影响评价工作等级为三级。</w:t>
            </w:r>
          </w:p>
          <w:p>
            <w:pPr>
              <w:pStyle w:val="TableParagraph"/>
              <w:numPr>
                <w:ilvl w:val="1"/>
                <w:numId w:val="15"/>
              </w:numPr>
              <w:tabs>
                <w:tab w:val="left" w:pos="533"/>
              </w:tabs>
              <w:spacing w:before="0" w:after="0" w:line="306" w:lineRule="exact"/>
              <w:ind w:left="532" w:right="0" w:hanging="421"/>
              <w:jc w:val="left"/>
              <w:rPr>
                <w:b/>
                <w:sz w:val="24"/>
              </w:rPr>
            </w:pPr>
            <w:r>
              <w:rPr>
                <w:b/>
                <w:sz w:val="24"/>
              </w:rPr>
              <w:t>生态环境影响评价工作等级</w:t>
            </w:r>
          </w:p>
          <w:p>
            <w:pPr>
              <w:pStyle w:val="TableParagraph"/>
              <w:spacing w:before="161" w:line="364" w:lineRule="auto"/>
              <w:ind w:left="112" w:right="-44" w:firstLine="487"/>
              <w:rPr>
                <w:sz w:val="24"/>
              </w:rPr>
            </w:pPr>
            <w:r>
              <w:rPr>
                <w:spacing w:val="-10"/>
                <w:sz w:val="24"/>
              </w:rPr>
              <w:t>本项目为输变电项目，不会对地下水和土壤造成明显的影响，不涉及国家公园、</w:t>
            </w:r>
            <w:r>
              <w:rPr>
                <w:spacing w:val="-12"/>
                <w:sz w:val="24"/>
              </w:rPr>
              <w:t xml:space="preserve">自然保护区、世界自然遗产、重要生境、自然公园等，项目占地面积为 </w:t>
            </w:r>
            <w:r>
              <w:rPr>
                <w:rFonts w:ascii="Times New Roman" w:eastAsia="Times New Roman"/>
                <w:sz w:val="24"/>
              </w:rPr>
              <w:t>390m</w:t>
            </w:r>
            <w:r>
              <w:rPr>
                <w:rFonts w:ascii="Times New Roman" w:eastAsia="Times New Roman"/>
                <w:position w:val="8"/>
                <w:sz w:val="15"/>
              </w:rPr>
              <w:t>2</w:t>
            </w:r>
            <w:r>
              <w:rPr>
                <w:sz w:val="24"/>
              </w:rPr>
              <w:t>（含临时占地），根据《环境影响评价技术导则 生态环境》（</w:t>
            </w:r>
            <w:r>
              <w:rPr>
                <w:rFonts w:ascii="Times New Roman" w:eastAsia="Times New Roman"/>
                <w:sz w:val="24"/>
              </w:rPr>
              <w:t>HJ19-2022</w:t>
            </w:r>
            <w:r>
              <w:rPr>
                <w:sz w:val="24"/>
              </w:rPr>
              <w:t>），本项目生态环境评价等级为三级。</w:t>
            </w:r>
          </w:p>
          <w:p>
            <w:pPr>
              <w:pStyle w:val="TableParagraph"/>
              <w:numPr>
                <w:ilvl w:val="1"/>
                <w:numId w:val="15"/>
              </w:numPr>
              <w:tabs>
                <w:tab w:val="left" w:pos="533"/>
              </w:tabs>
              <w:spacing w:before="0" w:after="0" w:line="305" w:lineRule="exact"/>
              <w:ind w:left="532" w:right="0" w:hanging="421"/>
              <w:jc w:val="left"/>
              <w:rPr>
                <w:b/>
                <w:sz w:val="24"/>
              </w:rPr>
            </w:pPr>
            <w:r>
              <w:rPr>
                <w:b/>
                <w:sz w:val="24"/>
              </w:rPr>
              <w:t>声环境影响评价工作等级</w:t>
            </w:r>
          </w:p>
          <w:p>
            <w:pPr>
              <w:pStyle w:val="TableParagraph"/>
              <w:spacing w:before="158" w:line="364" w:lineRule="auto"/>
              <w:ind w:left="112" w:right="85" w:firstLine="487"/>
              <w:jc w:val="both"/>
              <w:rPr>
                <w:sz w:val="24"/>
              </w:rPr>
            </w:pPr>
            <w:r>
              <w:rPr>
                <w:spacing w:val="-20"/>
                <w:sz w:val="24"/>
              </w:rPr>
              <w:t xml:space="preserve">根据 </w:t>
            </w:r>
            <w:r>
              <w:rPr>
                <w:rFonts w:ascii="Times New Roman" w:eastAsia="Times New Roman" w:hAnsi="Times New Roman"/>
                <w:sz w:val="24"/>
              </w:rPr>
              <w:t xml:space="preserve">HJ </w:t>
            </w:r>
            <w:r>
              <w:rPr>
                <w:rFonts w:ascii="Times New Roman" w:eastAsia="Times New Roman" w:hAnsi="Times New Roman"/>
                <w:spacing w:val="-3"/>
                <w:sz w:val="24"/>
              </w:rPr>
              <w:t>2.4-2009</w:t>
            </w:r>
            <w:r>
              <w:rPr>
                <w:spacing w:val="-5"/>
                <w:sz w:val="24"/>
              </w:rPr>
              <w:t xml:space="preserve">《环境影响评价技术导则 声环境》第 </w:t>
            </w:r>
            <w:r>
              <w:rPr>
                <w:rFonts w:ascii="Times New Roman" w:eastAsia="Times New Roman" w:hAnsi="Times New Roman"/>
                <w:sz w:val="24"/>
              </w:rPr>
              <w:t xml:space="preserve">5.1.3 </w:t>
            </w:r>
            <w:r>
              <w:rPr>
                <w:spacing w:val="-7"/>
                <w:sz w:val="24"/>
              </w:rPr>
              <w:t>小节：“建设项目</w:t>
            </w:r>
            <w:r>
              <w:rPr>
                <w:spacing w:val="-5"/>
                <w:sz w:val="24"/>
              </w:rPr>
              <w:t xml:space="preserve">所处的声环境功能区为 </w:t>
            </w:r>
            <w:r>
              <w:rPr>
                <w:rFonts w:ascii="Times New Roman" w:eastAsia="Times New Roman" w:hAnsi="Times New Roman"/>
                <w:sz w:val="24"/>
              </w:rPr>
              <w:t xml:space="preserve">GB3096 </w:t>
            </w:r>
            <w:r>
              <w:rPr>
                <w:spacing w:val="-13"/>
                <w:sz w:val="24"/>
              </w:rPr>
              <w:t xml:space="preserve">规定的 </w:t>
            </w:r>
            <w:r>
              <w:rPr>
                <w:rFonts w:ascii="Times New Roman" w:eastAsia="Times New Roman" w:hAnsi="Times New Roman"/>
                <w:sz w:val="24"/>
              </w:rPr>
              <w:t xml:space="preserve">1 </w:t>
            </w:r>
            <w:r>
              <w:rPr>
                <w:sz w:val="24"/>
              </w:rPr>
              <w:t>类、</w:t>
            </w:r>
            <w:r>
              <w:rPr>
                <w:rFonts w:ascii="Times New Roman" w:eastAsia="Times New Roman" w:hAnsi="Times New Roman"/>
                <w:sz w:val="24"/>
              </w:rPr>
              <w:t xml:space="preserve">2 </w:t>
            </w:r>
            <w:r>
              <w:rPr>
                <w:sz w:val="24"/>
              </w:rPr>
              <w:t>类地区，或建设项目建设前后评价</w:t>
            </w:r>
            <w:r>
              <w:rPr>
                <w:spacing w:val="-3"/>
                <w:sz w:val="24"/>
              </w:rPr>
              <w:t xml:space="preserve">范围内敏感目标噪声级增高量在 </w:t>
            </w:r>
            <w:r>
              <w:rPr>
                <w:rFonts w:ascii="Times New Roman" w:eastAsia="Times New Roman" w:hAnsi="Times New Roman"/>
                <w:sz w:val="24"/>
              </w:rPr>
              <w:t>3dB(A)</w:t>
            </w:r>
            <w:r>
              <w:rPr>
                <w:sz w:val="24"/>
              </w:rPr>
              <w:t>以下（</w:t>
            </w:r>
            <w:r>
              <w:rPr>
                <w:spacing w:val="-12"/>
                <w:sz w:val="24"/>
              </w:rPr>
              <w:t xml:space="preserve">不含 </w:t>
            </w:r>
            <w:r>
              <w:rPr>
                <w:rFonts w:ascii="Times New Roman" w:eastAsia="Times New Roman" w:hAnsi="Times New Roman"/>
                <w:sz w:val="24"/>
              </w:rPr>
              <w:t>3dB(A)</w:t>
            </w:r>
            <w:r>
              <w:rPr>
                <w:sz w:val="24"/>
              </w:rPr>
              <w:t>），且受影响人口数量变化不大时，按二级评价。”</w:t>
            </w:r>
          </w:p>
          <w:p>
            <w:pPr>
              <w:pStyle w:val="TableParagraph"/>
              <w:spacing w:line="364" w:lineRule="auto"/>
              <w:ind w:left="112" w:right="87" w:firstLine="487"/>
              <w:jc w:val="both"/>
              <w:rPr>
                <w:sz w:val="24"/>
              </w:rPr>
            </w:pPr>
            <w:r>
              <w:rPr>
                <w:spacing w:val="-4"/>
                <w:sz w:val="24"/>
              </w:rPr>
              <w:t xml:space="preserve">本工程拟调整弧垂架空线路所在区域为 </w:t>
            </w:r>
            <w:r>
              <w:rPr>
                <w:rFonts w:ascii="Times New Roman" w:eastAsia="Times New Roman"/>
                <w:sz w:val="24"/>
              </w:rPr>
              <w:t xml:space="preserve">2 </w:t>
            </w:r>
            <w:r>
              <w:rPr>
                <w:spacing w:val="-4"/>
                <w:sz w:val="24"/>
              </w:rPr>
              <w:t>类声环境功能区，因此，声环境影响</w:t>
            </w:r>
            <w:r>
              <w:rPr>
                <w:sz w:val="24"/>
              </w:rPr>
              <w:t>评价工作等级为二级。</w:t>
            </w:r>
          </w:p>
          <w:p>
            <w:pPr>
              <w:pStyle w:val="TableParagraph"/>
              <w:spacing w:line="306" w:lineRule="exact"/>
              <w:ind w:left="599"/>
              <w:jc w:val="both"/>
              <w:rPr>
                <w:sz w:val="24"/>
              </w:rPr>
            </w:pPr>
            <w:r>
              <w:rPr>
                <w:sz w:val="24"/>
              </w:rPr>
              <w:t>根据《环境影响评价技术导则 输变电》（</w:t>
            </w:r>
            <w:r>
              <w:rPr>
                <w:rFonts w:ascii="Times New Roman" w:eastAsia="Times New Roman"/>
                <w:sz w:val="24"/>
              </w:rPr>
              <w:t>HJ 24-2020</w:t>
            </w:r>
            <w:r>
              <w:rPr>
                <w:sz w:val="24"/>
              </w:rPr>
              <w:t>），地下电缆线路不作评</w:t>
            </w:r>
          </w:p>
        </w:tc>
      </w:tr>
    </w:tbl>
    <w:p>
      <w:pPr>
        <w:rPr>
          <w:sz w:val="2"/>
          <w:szCs w:val="2"/>
        </w:rPr>
      </w:pPr>
      <w:r>
        <w:pict>
          <v:shape id="_x0000_s1234" o:spid="_x0000_s1093" type="#_x0000_t202" style="width:430.8pt;height:71.15pt;margin-top:335.25pt;margin-left:93.45pt;mso-height-relative:page;mso-position-horizontal-relative:page;mso-position-vertical-relative:page;mso-width-relative:page;position:absolute;z-index:251676672" coordsize="21600,21600" filled="f" stroked="f">
            <v:stroke joinstyle="miter"/>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118"/>
                    <w:gridCol w:w="1180"/>
                    <w:gridCol w:w="4546"/>
                    <w:gridCol w:w="1757"/>
                  </w:tblGrid>
                  <w:tr>
                    <w:tblPrEx>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53"/>
                    </w:trPr>
                    <w:tc>
                      <w:tcPr>
                        <w:tcW w:w="1118" w:type="dxa"/>
                        <w:tcBorders>
                          <w:left w:val="nil"/>
                        </w:tcBorders>
                      </w:tcPr>
                      <w:p>
                        <w:pPr>
                          <w:pStyle w:val="TableParagraph"/>
                          <w:spacing w:before="70"/>
                          <w:ind w:left="120" w:right="107"/>
                          <w:jc w:val="center"/>
                          <w:rPr>
                            <w:b/>
                            <w:sz w:val="21"/>
                          </w:rPr>
                        </w:pPr>
                        <w:r>
                          <w:rPr>
                            <w:b/>
                            <w:sz w:val="21"/>
                          </w:rPr>
                          <w:t>电压等级</w:t>
                        </w:r>
                      </w:p>
                    </w:tc>
                    <w:tc>
                      <w:tcPr>
                        <w:tcW w:w="1180" w:type="dxa"/>
                      </w:tcPr>
                      <w:p>
                        <w:pPr>
                          <w:pStyle w:val="TableParagraph"/>
                          <w:spacing w:before="70"/>
                          <w:ind w:left="147" w:right="138"/>
                          <w:jc w:val="center"/>
                          <w:rPr>
                            <w:b/>
                            <w:sz w:val="21"/>
                          </w:rPr>
                        </w:pPr>
                        <w:r>
                          <w:rPr>
                            <w:b/>
                            <w:sz w:val="21"/>
                          </w:rPr>
                          <w:t>类型</w:t>
                        </w:r>
                      </w:p>
                    </w:tc>
                    <w:tc>
                      <w:tcPr>
                        <w:tcW w:w="4546" w:type="dxa"/>
                      </w:tcPr>
                      <w:p>
                        <w:pPr>
                          <w:pStyle w:val="TableParagraph"/>
                          <w:spacing w:before="70"/>
                          <w:ind w:left="2038" w:right="2033"/>
                          <w:jc w:val="center"/>
                          <w:rPr>
                            <w:b/>
                            <w:sz w:val="21"/>
                          </w:rPr>
                        </w:pPr>
                        <w:r>
                          <w:rPr>
                            <w:b/>
                            <w:sz w:val="21"/>
                          </w:rPr>
                          <w:t>条件</w:t>
                        </w:r>
                      </w:p>
                    </w:tc>
                    <w:tc>
                      <w:tcPr>
                        <w:tcW w:w="1757" w:type="dxa"/>
                        <w:tcBorders>
                          <w:right w:val="nil"/>
                        </w:tcBorders>
                      </w:tcPr>
                      <w:p>
                        <w:pPr>
                          <w:pStyle w:val="TableParagraph"/>
                          <w:spacing w:before="70"/>
                          <w:ind w:left="223" w:right="221"/>
                          <w:jc w:val="center"/>
                          <w:rPr>
                            <w:b/>
                            <w:sz w:val="21"/>
                          </w:rPr>
                        </w:pPr>
                        <w:r>
                          <w:rPr>
                            <w:b/>
                            <w:sz w:val="21"/>
                          </w:rPr>
                          <w:t>评价工作等级</w:t>
                        </w:r>
                      </w:p>
                    </w:tc>
                  </w:tr>
                  <w:tr>
                    <w:tblPrEx>
                      <w:tblW w:w="0" w:type="auto"/>
                      <w:tblInd w:w="7" w:type="dxa"/>
                      <w:tblLayout w:type="fixed"/>
                      <w:tblCellMar>
                        <w:top w:w="0" w:type="dxa"/>
                        <w:left w:w="0" w:type="dxa"/>
                        <w:bottom w:w="0" w:type="dxa"/>
                        <w:right w:w="0" w:type="dxa"/>
                      </w:tblCellMar>
                    </w:tblPrEx>
                    <w:trPr>
                      <w:trHeight w:val="938"/>
                    </w:trPr>
                    <w:tc>
                      <w:tcPr>
                        <w:tcW w:w="1118" w:type="dxa"/>
                        <w:tcBorders>
                          <w:left w:val="nil"/>
                        </w:tcBorders>
                      </w:tcPr>
                      <w:p>
                        <w:pPr>
                          <w:pStyle w:val="TableParagraph"/>
                          <w:spacing w:before="9"/>
                          <w:rPr>
                            <w:sz w:val="25"/>
                          </w:rPr>
                        </w:pPr>
                      </w:p>
                      <w:p>
                        <w:pPr>
                          <w:pStyle w:val="TableParagraph"/>
                          <w:spacing w:before="1"/>
                          <w:ind w:left="120" w:right="107"/>
                          <w:jc w:val="center"/>
                          <w:rPr>
                            <w:rFonts w:ascii="Times New Roman"/>
                            <w:sz w:val="21"/>
                          </w:rPr>
                        </w:pPr>
                        <w:r>
                          <w:rPr>
                            <w:rFonts w:ascii="Times New Roman"/>
                            <w:sz w:val="21"/>
                          </w:rPr>
                          <w:t>220kV</w:t>
                        </w:r>
                      </w:p>
                    </w:tc>
                    <w:tc>
                      <w:tcPr>
                        <w:tcW w:w="1180" w:type="dxa"/>
                      </w:tcPr>
                      <w:p>
                        <w:pPr>
                          <w:pStyle w:val="TableParagraph"/>
                          <w:spacing w:before="3"/>
                          <w:rPr>
                            <w:sz w:val="24"/>
                          </w:rPr>
                        </w:pPr>
                      </w:p>
                      <w:p>
                        <w:pPr>
                          <w:pStyle w:val="TableParagraph"/>
                          <w:spacing w:before="1"/>
                          <w:ind w:left="145" w:right="141"/>
                          <w:jc w:val="center"/>
                          <w:rPr>
                            <w:sz w:val="21"/>
                          </w:rPr>
                        </w:pPr>
                        <w:r>
                          <w:rPr>
                            <w:sz w:val="21"/>
                          </w:rPr>
                          <w:t>输电线路</w:t>
                        </w:r>
                      </w:p>
                    </w:tc>
                    <w:tc>
                      <w:tcPr>
                        <w:tcW w:w="4546" w:type="dxa"/>
                      </w:tcPr>
                      <w:p>
                        <w:pPr>
                          <w:pStyle w:val="TableParagraph"/>
                          <w:spacing w:line="268" w:lineRule="exact"/>
                          <w:ind w:left="106"/>
                          <w:rPr>
                            <w:sz w:val="21"/>
                          </w:rPr>
                        </w:pPr>
                        <w:r>
                          <w:rPr>
                            <w:rFonts w:ascii="Times New Roman" w:eastAsia="Times New Roman"/>
                            <w:sz w:val="21"/>
                          </w:rPr>
                          <w:t>1</w:t>
                        </w:r>
                        <w:r>
                          <w:rPr>
                            <w:sz w:val="21"/>
                          </w:rPr>
                          <w:t>、地下电缆</w:t>
                        </w:r>
                      </w:p>
                      <w:p>
                        <w:pPr>
                          <w:pStyle w:val="TableParagraph"/>
                          <w:spacing w:before="4" w:line="310" w:lineRule="atLeast"/>
                          <w:ind w:left="106" w:right="97"/>
                          <w:rPr>
                            <w:sz w:val="21"/>
                          </w:rPr>
                        </w:pPr>
                        <w:r>
                          <w:rPr>
                            <w:rFonts w:ascii="Times New Roman" w:eastAsia="Times New Roman"/>
                            <w:sz w:val="21"/>
                          </w:rPr>
                          <w:t>2</w:t>
                        </w:r>
                        <w:r>
                          <w:rPr>
                            <w:spacing w:val="-10"/>
                            <w:sz w:val="21"/>
                          </w:rPr>
                          <w:t xml:space="preserve">、架空边导线地面投影两侧各 </w:t>
                        </w:r>
                        <w:r>
                          <w:rPr>
                            <w:rFonts w:ascii="Times New Roman" w:eastAsia="Times New Roman"/>
                            <w:sz w:val="21"/>
                          </w:rPr>
                          <w:t xml:space="preserve">15m </w:t>
                        </w:r>
                        <w:r>
                          <w:rPr>
                            <w:sz w:val="21"/>
                          </w:rPr>
                          <w:t>范围内无电磁环境敏感目标的架空线路</w:t>
                        </w:r>
                      </w:p>
                    </w:tc>
                    <w:tc>
                      <w:tcPr>
                        <w:tcW w:w="1757" w:type="dxa"/>
                        <w:tcBorders>
                          <w:right w:val="nil"/>
                        </w:tcBorders>
                      </w:tcPr>
                      <w:p>
                        <w:pPr>
                          <w:pStyle w:val="TableParagraph"/>
                          <w:spacing w:before="3"/>
                          <w:rPr>
                            <w:sz w:val="24"/>
                          </w:rPr>
                        </w:pPr>
                      </w:p>
                      <w:p>
                        <w:pPr>
                          <w:pStyle w:val="TableParagraph"/>
                          <w:spacing w:before="1"/>
                          <w:ind w:left="223" w:right="221"/>
                          <w:jc w:val="center"/>
                          <w:rPr>
                            <w:sz w:val="21"/>
                          </w:rPr>
                        </w:pPr>
                        <w:r>
                          <w:rPr>
                            <w:sz w:val="21"/>
                          </w:rPr>
                          <w:t>三级</w:t>
                        </w:r>
                      </w:p>
                    </w:tc>
                  </w:tr>
                </w:tbl>
                <w:p>
                  <w:pPr>
                    <w:pStyle w:val="BodyText"/>
                  </w:pPr>
                </w:p>
              </w:txbxContent>
            </v:textbox>
          </v:shape>
        </w:pict>
      </w:r>
    </w:p>
    <w:p>
      <w:pPr>
        <w:spacing w:after="0"/>
        <w:rPr>
          <w:sz w:val="2"/>
          <w:szCs w:val="2"/>
        </w:rPr>
        <w:sectPr>
          <w:footerReference w:type="default" r:id="rId49"/>
          <w:pgSz w:w="11910" w:h="16840"/>
          <w:pgMar w:top="1420" w:right="901" w:bottom="1160" w:left="920" w:header="0" w:footer="963" w:gutter="0"/>
          <w:pgNumType w:start="30"/>
          <w:cols w:num="1" w:space="720"/>
        </w:sectPr>
      </w:pPr>
    </w:p>
    <w:p>
      <w:pPr>
        <w:pStyle w:val="BodyText"/>
        <w:spacing w:before="49"/>
        <w:ind w:left="940"/>
      </w:pPr>
      <w:r>
        <w:pict>
          <v:group id="_x0000_s1235" o:spid="_x0000_s1094" style="width:465.35pt;height:693.3pt;margin-top:70.9pt;margin-left:65pt;mso-height-relative:page;mso-position-horizontal-relative:page;mso-position-vertical-relative:page;mso-width-relative:page;position:absolute;z-index:-251638784" coordorigin="1300,1418" coordsize="9307,13866">
            <v:shape id="_x0000_s1236" o:spid="_x0000_s1095" style="width:9307;height:13866;left:1300;position:absolute;top:1556" coordorigin="1300,1557" coordsize="9307,13866" path="m1300,1428l10607,1428m1300,15274l10607,15274m1310,1418l1310,15283m10597,1437l10597,15283e" filled="f" stroked="t" strokecolor="black">
              <v:path arrowok="t"/>
            </v:shape>
            <v:line id="_x0000_s1237" o:spid="_x0000_s1096" style="position:absolute" from="1752,1437" to="1752,15264" coordsize="21600,21600" stroked="t" strokecolor="black"/>
          </v:group>
        </w:pict>
      </w:r>
      <w:r>
        <w:t>价。</w:t>
      </w:r>
    </w:p>
    <w:p>
      <w:pPr>
        <w:pStyle w:val="Heading3"/>
        <w:numPr>
          <w:ilvl w:val="0"/>
          <w:numId w:val="16"/>
        </w:numPr>
        <w:tabs>
          <w:tab w:val="left" w:pos="1180"/>
        </w:tabs>
        <w:spacing w:before="160" w:after="0" w:line="240" w:lineRule="auto"/>
        <w:ind w:left="1180" w:right="0" w:hanging="240"/>
        <w:jc w:val="left"/>
      </w:pPr>
      <w:r>
        <w:t>评价范围</w:t>
      </w:r>
    </w:p>
    <w:p>
      <w:pPr>
        <w:pStyle w:val="BodyText"/>
        <w:spacing w:before="158"/>
        <w:ind w:left="1420"/>
      </w:pPr>
      <w:r>
        <w:t xml:space="preserve">本项目评价范围示意图见附图 </w:t>
      </w:r>
      <w:r>
        <w:rPr>
          <w:rFonts w:ascii="Times New Roman" w:eastAsia="Times New Roman"/>
        </w:rPr>
        <w:t>5</w:t>
      </w:r>
      <w:r>
        <w:t>。</w:t>
      </w:r>
    </w:p>
    <w:p>
      <w:pPr>
        <w:pStyle w:val="Heading3"/>
        <w:numPr>
          <w:ilvl w:val="1"/>
          <w:numId w:val="16"/>
        </w:numPr>
        <w:tabs>
          <w:tab w:val="left" w:pos="1360"/>
        </w:tabs>
        <w:spacing w:before="161" w:after="0" w:line="240" w:lineRule="auto"/>
        <w:ind w:left="1360" w:right="0" w:hanging="420"/>
        <w:jc w:val="left"/>
      </w:pPr>
      <w:r>
        <w:t>电磁环境影响评价范围</w:t>
      </w:r>
    </w:p>
    <w:p>
      <w:pPr>
        <w:pStyle w:val="BodyText"/>
        <w:spacing w:before="158" w:line="364" w:lineRule="auto"/>
        <w:ind w:left="940" w:right="449" w:firstLine="480"/>
      </w:pPr>
      <w:r>
        <w:t>根据《环境影响评价技术导则 输变电》（</w:t>
      </w:r>
      <w:r>
        <w:rPr>
          <w:rFonts w:ascii="Times New Roman" w:eastAsia="Times New Roman"/>
        </w:rPr>
        <w:t>HJ 24-2020</w:t>
      </w:r>
      <w:r>
        <w:t xml:space="preserve">），本项目电磁环境影响评价范围见表 </w:t>
      </w:r>
      <w:r>
        <w:rPr>
          <w:rFonts w:ascii="Times New Roman" w:eastAsia="Times New Roman"/>
        </w:rPr>
        <w:t>3-10</w:t>
      </w:r>
      <w:r>
        <w:t>。</w:t>
      </w:r>
    </w:p>
    <w:p>
      <w:pPr>
        <w:tabs>
          <w:tab w:val="left" w:pos="1278"/>
        </w:tabs>
        <w:spacing w:before="0" w:after="2"/>
        <w:ind w:left="422" w:right="0" w:firstLine="0"/>
        <w:jc w:val="center"/>
        <w:rPr>
          <w:b/>
          <w:sz w:val="21"/>
        </w:rPr>
      </w:pPr>
      <w:r>
        <w:rPr>
          <w:b/>
          <w:sz w:val="21"/>
        </w:rPr>
        <w:t>表</w:t>
      </w:r>
      <w:r>
        <w:rPr>
          <w:b/>
          <w:spacing w:val="-55"/>
          <w:sz w:val="21"/>
        </w:rPr>
        <w:t xml:space="preserve"> </w:t>
      </w:r>
      <w:r>
        <w:rPr>
          <w:rFonts w:ascii="Times New Roman" w:eastAsia="Times New Roman"/>
          <w:b/>
          <w:sz w:val="21"/>
        </w:rPr>
        <w:t>3-10</w:t>
      </w:r>
      <w:r>
        <w:rPr>
          <w:rFonts w:ascii="Times New Roman" w:eastAsia="Times New Roman"/>
          <w:b/>
          <w:sz w:val="21"/>
        </w:rPr>
        <w:tab/>
      </w:r>
      <w:r>
        <w:rPr>
          <w:b/>
          <w:sz w:val="21"/>
        </w:rPr>
        <w:t>电磁环境影响评价范围</w:t>
      </w:r>
    </w:p>
    <w:tbl>
      <w:tblPr>
        <w:tblStyle w:val="TableNormal"/>
        <w:tblW w:w="0" w:type="auto"/>
        <w:tblInd w:w="9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1274"/>
        <w:gridCol w:w="1846"/>
        <w:gridCol w:w="5271"/>
      </w:tblGrid>
      <w:tr>
        <w:tblPrEx>
          <w:tblW w:w="0" w:type="auto"/>
          <w:tblInd w:w="9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454"/>
        </w:trPr>
        <w:tc>
          <w:tcPr>
            <w:tcW w:w="1274" w:type="dxa"/>
            <w:tcBorders>
              <w:left w:val="nil"/>
              <w:bottom w:val="single" w:sz="6" w:space="0" w:color="000000"/>
              <w:right w:val="single" w:sz="6" w:space="0" w:color="000000"/>
            </w:tcBorders>
            <w:shd w:val="clear" w:color="auto" w:fill="F1F1F1"/>
          </w:tcPr>
          <w:p>
            <w:pPr>
              <w:pStyle w:val="TableParagraph"/>
              <w:spacing w:before="90"/>
              <w:ind w:left="426"/>
              <w:rPr>
                <w:b/>
                <w:sz w:val="21"/>
              </w:rPr>
            </w:pPr>
            <w:r>
              <w:rPr>
                <w:b/>
                <w:sz w:val="21"/>
              </w:rPr>
              <w:t>分类</w:t>
            </w:r>
          </w:p>
        </w:tc>
        <w:tc>
          <w:tcPr>
            <w:tcW w:w="1846" w:type="dxa"/>
            <w:tcBorders>
              <w:left w:val="single" w:sz="6" w:space="0" w:color="000000"/>
              <w:bottom w:val="single" w:sz="6" w:space="0" w:color="000000"/>
              <w:right w:val="single" w:sz="6" w:space="0" w:color="000000"/>
            </w:tcBorders>
            <w:shd w:val="clear" w:color="auto" w:fill="F1F1F1"/>
          </w:tcPr>
          <w:p>
            <w:pPr>
              <w:pStyle w:val="TableParagraph"/>
              <w:spacing w:before="90"/>
              <w:ind w:left="494"/>
              <w:rPr>
                <w:b/>
                <w:sz w:val="21"/>
              </w:rPr>
            </w:pPr>
            <w:r>
              <w:rPr>
                <w:b/>
                <w:sz w:val="21"/>
              </w:rPr>
              <w:t>电压等级</w:t>
            </w:r>
          </w:p>
        </w:tc>
        <w:tc>
          <w:tcPr>
            <w:tcW w:w="5271" w:type="dxa"/>
            <w:tcBorders>
              <w:left w:val="single" w:sz="6" w:space="0" w:color="000000"/>
              <w:bottom w:val="single" w:sz="6" w:space="0" w:color="000000"/>
              <w:right w:val="nil"/>
            </w:tcBorders>
            <w:shd w:val="clear" w:color="auto" w:fill="F1F1F1"/>
          </w:tcPr>
          <w:p>
            <w:pPr>
              <w:pStyle w:val="TableParagraph"/>
              <w:spacing w:before="90"/>
              <w:ind w:left="2184" w:right="2193"/>
              <w:jc w:val="center"/>
              <w:rPr>
                <w:b/>
                <w:sz w:val="21"/>
              </w:rPr>
            </w:pPr>
            <w:r>
              <w:rPr>
                <w:b/>
                <w:sz w:val="21"/>
              </w:rPr>
              <w:t>评价范围</w:t>
            </w:r>
          </w:p>
        </w:tc>
      </w:tr>
      <w:tr>
        <w:tblPrEx>
          <w:tblW w:w="0" w:type="auto"/>
          <w:tblInd w:w="945" w:type="dxa"/>
          <w:tblLayout w:type="fixed"/>
          <w:tblCellMar>
            <w:top w:w="0" w:type="dxa"/>
            <w:left w:w="0" w:type="dxa"/>
            <w:bottom w:w="0" w:type="dxa"/>
            <w:right w:w="0" w:type="dxa"/>
          </w:tblCellMar>
        </w:tblPrEx>
        <w:trPr>
          <w:trHeight w:val="488"/>
        </w:trPr>
        <w:tc>
          <w:tcPr>
            <w:tcW w:w="1274" w:type="dxa"/>
            <w:vMerge w:val="restart"/>
            <w:tcBorders>
              <w:top w:val="single" w:sz="6" w:space="0" w:color="000000"/>
              <w:left w:val="nil"/>
              <w:right w:val="single" w:sz="6" w:space="0" w:color="000000"/>
            </w:tcBorders>
          </w:tcPr>
          <w:p>
            <w:pPr>
              <w:pStyle w:val="TableParagraph"/>
              <w:rPr>
                <w:b/>
                <w:sz w:val="27"/>
              </w:rPr>
            </w:pPr>
          </w:p>
          <w:p>
            <w:pPr>
              <w:pStyle w:val="TableParagraph"/>
              <w:ind w:left="426"/>
              <w:rPr>
                <w:sz w:val="21"/>
              </w:rPr>
            </w:pPr>
            <w:r>
              <w:rPr>
                <w:sz w:val="21"/>
              </w:rPr>
              <w:t>交流</w:t>
            </w:r>
          </w:p>
        </w:tc>
        <w:tc>
          <w:tcPr>
            <w:tcW w:w="1846" w:type="dxa"/>
            <w:vMerge w:val="restart"/>
            <w:tcBorders>
              <w:top w:val="single" w:sz="6" w:space="0" w:color="000000"/>
              <w:left w:val="single" w:sz="6" w:space="0" w:color="000000"/>
              <w:right w:val="single" w:sz="6" w:space="0" w:color="000000"/>
            </w:tcBorders>
          </w:tcPr>
          <w:p>
            <w:pPr>
              <w:pStyle w:val="TableParagraph"/>
              <w:spacing w:before="1"/>
              <w:rPr>
                <w:b/>
                <w:sz w:val="28"/>
              </w:rPr>
            </w:pPr>
          </w:p>
          <w:p>
            <w:pPr>
              <w:pStyle w:val="TableParagraph"/>
              <w:ind w:left="608" w:right="609"/>
              <w:jc w:val="center"/>
              <w:rPr>
                <w:rFonts w:ascii="Times New Roman"/>
                <w:sz w:val="21"/>
              </w:rPr>
            </w:pPr>
            <w:r>
              <w:rPr>
                <w:rFonts w:ascii="Times New Roman"/>
                <w:sz w:val="21"/>
              </w:rPr>
              <w:t>220kV</w:t>
            </w:r>
          </w:p>
        </w:tc>
        <w:tc>
          <w:tcPr>
            <w:tcW w:w="5271" w:type="dxa"/>
            <w:tcBorders>
              <w:top w:val="single" w:sz="6" w:space="0" w:color="000000"/>
              <w:left w:val="single" w:sz="6" w:space="0" w:color="000000"/>
              <w:bottom w:val="single" w:sz="6" w:space="0" w:color="000000"/>
              <w:right w:val="nil"/>
            </w:tcBorders>
          </w:tcPr>
          <w:p>
            <w:pPr>
              <w:pStyle w:val="TableParagraph"/>
              <w:spacing w:before="111"/>
              <w:ind w:left="100"/>
              <w:rPr>
                <w:sz w:val="21"/>
              </w:rPr>
            </w:pPr>
            <w:r>
              <w:rPr>
                <w:sz w:val="21"/>
              </w:rPr>
              <w:t xml:space="preserve">架空线路：边导线地面投影外两侧各 </w:t>
            </w:r>
            <w:r>
              <w:rPr>
                <w:rFonts w:ascii="Times New Roman" w:eastAsia="Times New Roman"/>
                <w:sz w:val="21"/>
              </w:rPr>
              <w:t>40m</w:t>
            </w:r>
            <w:r>
              <w:rPr>
                <w:sz w:val="21"/>
              </w:rPr>
              <w:t>（水平距离）</w:t>
            </w:r>
          </w:p>
        </w:tc>
      </w:tr>
      <w:tr>
        <w:tblPrEx>
          <w:tblW w:w="0" w:type="auto"/>
          <w:tblInd w:w="945" w:type="dxa"/>
          <w:tblLayout w:type="fixed"/>
          <w:tblCellMar>
            <w:top w:w="0" w:type="dxa"/>
            <w:left w:w="0" w:type="dxa"/>
            <w:bottom w:w="0" w:type="dxa"/>
            <w:right w:w="0" w:type="dxa"/>
          </w:tblCellMar>
        </w:tblPrEx>
        <w:trPr>
          <w:trHeight w:val="446"/>
        </w:trPr>
        <w:tc>
          <w:tcPr>
            <w:tcW w:w="1274" w:type="dxa"/>
            <w:vMerge/>
            <w:tcBorders>
              <w:top w:val="nil"/>
              <w:left w:val="nil"/>
              <w:right w:val="single" w:sz="6" w:space="0" w:color="000000"/>
            </w:tcBorders>
          </w:tcPr>
          <w:p>
            <w:pPr>
              <w:rPr>
                <w:sz w:val="2"/>
                <w:szCs w:val="2"/>
              </w:rPr>
            </w:pPr>
          </w:p>
        </w:tc>
        <w:tc>
          <w:tcPr>
            <w:tcW w:w="1846" w:type="dxa"/>
            <w:vMerge/>
            <w:tcBorders>
              <w:top w:val="nil"/>
              <w:left w:val="single" w:sz="6" w:space="0" w:color="000000"/>
              <w:right w:val="single" w:sz="6" w:space="0" w:color="000000"/>
            </w:tcBorders>
          </w:tcPr>
          <w:p>
            <w:pPr>
              <w:rPr>
                <w:sz w:val="2"/>
                <w:szCs w:val="2"/>
              </w:rPr>
            </w:pPr>
          </w:p>
        </w:tc>
        <w:tc>
          <w:tcPr>
            <w:tcW w:w="5271" w:type="dxa"/>
            <w:tcBorders>
              <w:top w:val="single" w:sz="6" w:space="0" w:color="000000"/>
              <w:left w:val="single" w:sz="6" w:space="0" w:color="000000"/>
              <w:right w:val="nil"/>
            </w:tcBorders>
          </w:tcPr>
          <w:p>
            <w:pPr>
              <w:pStyle w:val="TableParagraph"/>
              <w:spacing w:before="82"/>
              <w:ind w:left="100"/>
              <w:rPr>
                <w:sz w:val="21"/>
              </w:rPr>
            </w:pPr>
            <w:r>
              <w:rPr>
                <w:sz w:val="21"/>
              </w:rPr>
              <w:t xml:space="preserve">埋地电缆：电缆管廊两侧边缘各外延 </w:t>
            </w:r>
            <w:r>
              <w:rPr>
                <w:rFonts w:ascii="Times New Roman" w:eastAsia="Times New Roman"/>
                <w:sz w:val="21"/>
              </w:rPr>
              <w:t>5m</w:t>
            </w:r>
            <w:r>
              <w:rPr>
                <w:sz w:val="21"/>
              </w:rPr>
              <w:t>（水平距离）</w:t>
            </w:r>
          </w:p>
        </w:tc>
      </w:tr>
    </w:tbl>
    <w:p>
      <w:pPr>
        <w:pStyle w:val="Heading3"/>
        <w:numPr>
          <w:ilvl w:val="1"/>
          <w:numId w:val="16"/>
        </w:numPr>
        <w:tabs>
          <w:tab w:val="left" w:pos="1360"/>
        </w:tabs>
        <w:spacing w:before="1" w:after="0" w:line="240" w:lineRule="auto"/>
        <w:ind w:left="1360" w:right="0" w:hanging="420"/>
        <w:jc w:val="left"/>
      </w:pPr>
      <w:r>
        <w:t>声环境影响评价范围</w:t>
      </w:r>
    </w:p>
    <w:p>
      <w:pPr>
        <w:pStyle w:val="BodyText"/>
        <w:spacing w:before="161" w:line="362" w:lineRule="auto"/>
        <w:ind w:left="940" w:right="449" w:firstLine="480"/>
      </w:pPr>
      <w:r>
        <w:t>根据《环境影响评价技术导则 输变电》（</w:t>
      </w:r>
      <w:r>
        <w:rPr>
          <w:rFonts w:ascii="Times New Roman" w:eastAsia="Times New Roman"/>
        </w:rPr>
        <w:t>HJ 24-2020</w:t>
      </w:r>
      <w:r>
        <w:t xml:space="preserve">），本项目声环境影响评价范围见表 </w:t>
      </w:r>
      <w:r>
        <w:rPr>
          <w:rFonts w:ascii="Times New Roman" w:eastAsia="Times New Roman"/>
        </w:rPr>
        <w:t>3-11</w:t>
      </w:r>
      <w:r>
        <w:t>。</w:t>
      </w:r>
    </w:p>
    <w:p>
      <w:pPr>
        <w:tabs>
          <w:tab w:val="left" w:pos="1264"/>
        </w:tabs>
        <w:spacing w:before="3" w:after="4"/>
        <w:ind w:left="419" w:right="0" w:firstLine="0"/>
        <w:jc w:val="center"/>
        <w:rPr>
          <w:b/>
          <w:sz w:val="21"/>
        </w:rPr>
      </w:pPr>
      <w:r>
        <w:rPr>
          <w:b/>
          <w:sz w:val="21"/>
        </w:rPr>
        <w:t>表</w:t>
      </w:r>
      <w:r>
        <w:rPr>
          <w:b/>
          <w:spacing w:val="-58"/>
          <w:sz w:val="21"/>
        </w:rPr>
        <w:t xml:space="preserve"> </w:t>
      </w:r>
      <w:r>
        <w:rPr>
          <w:rFonts w:ascii="Times New Roman" w:eastAsia="Times New Roman"/>
          <w:b/>
          <w:sz w:val="21"/>
        </w:rPr>
        <w:t>3-11</w:t>
      </w:r>
      <w:r>
        <w:rPr>
          <w:rFonts w:ascii="Times New Roman" w:eastAsia="Times New Roman"/>
          <w:b/>
          <w:sz w:val="21"/>
        </w:rPr>
        <w:tab/>
      </w:r>
      <w:r>
        <w:rPr>
          <w:b/>
          <w:sz w:val="21"/>
        </w:rPr>
        <w:t>声环境影响评价范围</w:t>
      </w:r>
    </w:p>
    <w:tbl>
      <w:tblPr>
        <w:tblStyle w:val="TableNormal"/>
        <w:tblW w:w="0" w:type="auto"/>
        <w:tblInd w:w="10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1274"/>
        <w:gridCol w:w="1846"/>
        <w:gridCol w:w="5271"/>
      </w:tblGrid>
      <w:tr>
        <w:tblPrEx>
          <w:tblW w:w="0" w:type="auto"/>
          <w:tblInd w:w="10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454"/>
        </w:trPr>
        <w:tc>
          <w:tcPr>
            <w:tcW w:w="1274" w:type="dxa"/>
            <w:tcBorders>
              <w:left w:val="nil"/>
              <w:bottom w:val="single" w:sz="6" w:space="0" w:color="000000"/>
              <w:right w:val="single" w:sz="6" w:space="0" w:color="000000"/>
            </w:tcBorders>
            <w:shd w:val="clear" w:color="auto" w:fill="F1F1F1"/>
          </w:tcPr>
          <w:p>
            <w:pPr>
              <w:pStyle w:val="TableParagraph"/>
              <w:spacing w:before="89"/>
              <w:ind w:left="425"/>
              <w:rPr>
                <w:b/>
                <w:sz w:val="21"/>
              </w:rPr>
            </w:pPr>
            <w:r>
              <w:rPr>
                <w:b/>
                <w:sz w:val="21"/>
              </w:rPr>
              <w:t>分类</w:t>
            </w:r>
          </w:p>
        </w:tc>
        <w:tc>
          <w:tcPr>
            <w:tcW w:w="1846" w:type="dxa"/>
            <w:tcBorders>
              <w:left w:val="single" w:sz="6" w:space="0" w:color="000000"/>
              <w:bottom w:val="single" w:sz="6" w:space="0" w:color="000000"/>
              <w:right w:val="single" w:sz="6" w:space="0" w:color="000000"/>
            </w:tcBorders>
            <w:shd w:val="clear" w:color="auto" w:fill="F1F1F1"/>
          </w:tcPr>
          <w:p>
            <w:pPr>
              <w:pStyle w:val="TableParagraph"/>
              <w:spacing w:before="89"/>
              <w:ind w:left="493"/>
              <w:rPr>
                <w:b/>
                <w:sz w:val="21"/>
              </w:rPr>
            </w:pPr>
            <w:r>
              <w:rPr>
                <w:b/>
                <w:sz w:val="21"/>
              </w:rPr>
              <w:t>电压等级</w:t>
            </w:r>
          </w:p>
        </w:tc>
        <w:tc>
          <w:tcPr>
            <w:tcW w:w="5271" w:type="dxa"/>
            <w:tcBorders>
              <w:left w:val="single" w:sz="6" w:space="0" w:color="000000"/>
              <w:bottom w:val="single" w:sz="6" w:space="0" w:color="000000"/>
              <w:right w:val="nil"/>
            </w:tcBorders>
            <w:shd w:val="clear" w:color="auto" w:fill="F1F1F1"/>
          </w:tcPr>
          <w:p>
            <w:pPr>
              <w:pStyle w:val="TableParagraph"/>
              <w:spacing w:before="89"/>
              <w:ind w:left="2183" w:right="2194"/>
              <w:jc w:val="center"/>
              <w:rPr>
                <w:b/>
                <w:sz w:val="21"/>
              </w:rPr>
            </w:pPr>
            <w:r>
              <w:rPr>
                <w:b/>
                <w:sz w:val="21"/>
              </w:rPr>
              <w:t>评价范围</w:t>
            </w:r>
          </w:p>
        </w:tc>
      </w:tr>
      <w:tr>
        <w:tblPrEx>
          <w:tblW w:w="0" w:type="auto"/>
          <w:tblInd w:w="1066" w:type="dxa"/>
          <w:tblLayout w:type="fixed"/>
          <w:tblCellMar>
            <w:top w:w="0" w:type="dxa"/>
            <w:left w:w="0" w:type="dxa"/>
            <w:bottom w:w="0" w:type="dxa"/>
            <w:right w:w="0" w:type="dxa"/>
          </w:tblCellMar>
        </w:tblPrEx>
        <w:trPr>
          <w:trHeight w:val="418"/>
        </w:trPr>
        <w:tc>
          <w:tcPr>
            <w:tcW w:w="1274" w:type="dxa"/>
            <w:vMerge w:val="restart"/>
            <w:tcBorders>
              <w:top w:val="single" w:sz="6" w:space="0" w:color="000000"/>
              <w:left w:val="nil"/>
              <w:right w:val="single" w:sz="6" w:space="0" w:color="000000"/>
            </w:tcBorders>
          </w:tcPr>
          <w:p>
            <w:pPr>
              <w:pStyle w:val="TableParagraph"/>
              <w:spacing w:before="3"/>
              <w:rPr>
                <w:b/>
                <w:sz w:val="24"/>
              </w:rPr>
            </w:pPr>
          </w:p>
          <w:p>
            <w:pPr>
              <w:pStyle w:val="TableParagraph"/>
              <w:spacing w:before="1"/>
              <w:ind w:left="428"/>
              <w:rPr>
                <w:sz w:val="21"/>
              </w:rPr>
            </w:pPr>
            <w:r>
              <w:rPr>
                <w:sz w:val="21"/>
              </w:rPr>
              <w:t>交流</w:t>
            </w:r>
          </w:p>
        </w:tc>
        <w:tc>
          <w:tcPr>
            <w:tcW w:w="1846" w:type="dxa"/>
            <w:vMerge w:val="restart"/>
            <w:tcBorders>
              <w:top w:val="single" w:sz="6" w:space="0" w:color="000000"/>
              <w:left w:val="single" w:sz="6" w:space="0" w:color="000000"/>
              <w:right w:val="single" w:sz="6" w:space="0" w:color="000000"/>
            </w:tcBorders>
          </w:tcPr>
          <w:p>
            <w:pPr>
              <w:pStyle w:val="TableParagraph"/>
              <w:spacing w:before="4"/>
              <w:rPr>
                <w:b/>
                <w:sz w:val="25"/>
              </w:rPr>
            </w:pPr>
          </w:p>
          <w:p>
            <w:pPr>
              <w:pStyle w:val="TableParagraph"/>
              <w:spacing w:before="1"/>
              <w:ind w:left="609" w:right="609"/>
              <w:jc w:val="center"/>
              <w:rPr>
                <w:rFonts w:ascii="Times New Roman"/>
                <w:sz w:val="21"/>
              </w:rPr>
            </w:pPr>
            <w:r>
              <w:rPr>
                <w:rFonts w:ascii="Times New Roman"/>
                <w:sz w:val="21"/>
              </w:rPr>
              <w:t>220kV</w:t>
            </w:r>
          </w:p>
        </w:tc>
        <w:tc>
          <w:tcPr>
            <w:tcW w:w="5271" w:type="dxa"/>
            <w:tcBorders>
              <w:top w:val="single" w:sz="6" w:space="0" w:color="000000"/>
              <w:left w:val="single" w:sz="6" w:space="0" w:color="000000"/>
              <w:bottom w:val="single" w:sz="6" w:space="0" w:color="000000"/>
              <w:right w:val="nil"/>
            </w:tcBorders>
          </w:tcPr>
          <w:p>
            <w:pPr>
              <w:pStyle w:val="TableParagraph"/>
              <w:spacing w:before="76"/>
              <w:ind w:left="103"/>
              <w:rPr>
                <w:sz w:val="21"/>
              </w:rPr>
            </w:pPr>
            <w:r>
              <w:rPr>
                <w:sz w:val="21"/>
              </w:rPr>
              <w:t xml:space="preserve">架空线路：边导线地面投影外两侧各 </w:t>
            </w:r>
            <w:r>
              <w:rPr>
                <w:rFonts w:ascii="Times New Roman" w:eastAsia="Times New Roman"/>
                <w:sz w:val="21"/>
              </w:rPr>
              <w:t>40m</w:t>
            </w:r>
            <w:r>
              <w:rPr>
                <w:sz w:val="21"/>
              </w:rPr>
              <w:t>（水平距离）</w:t>
            </w:r>
          </w:p>
        </w:tc>
      </w:tr>
      <w:tr>
        <w:tblPrEx>
          <w:tblW w:w="0" w:type="auto"/>
          <w:tblInd w:w="1066" w:type="dxa"/>
          <w:tblLayout w:type="fixed"/>
          <w:tblCellMar>
            <w:top w:w="0" w:type="dxa"/>
            <w:left w:w="0" w:type="dxa"/>
            <w:bottom w:w="0" w:type="dxa"/>
            <w:right w:w="0" w:type="dxa"/>
          </w:tblCellMar>
        </w:tblPrEx>
        <w:trPr>
          <w:trHeight w:val="446"/>
        </w:trPr>
        <w:tc>
          <w:tcPr>
            <w:tcW w:w="1274" w:type="dxa"/>
            <w:vMerge/>
            <w:tcBorders>
              <w:top w:val="nil"/>
              <w:left w:val="nil"/>
              <w:right w:val="single" w:sz="6" w:space="0" w:color="000000"/>
            </w:tcBorders>
          </w:tcPr>
          <w:p>
            <w:pPr>
              <w:rPr>
                <w:sz w:val="2"/>
                <w:szCs w:val="2"/>
              </w:rPr>
            </w:pPr>
          </w:p>
        </w:tc>
        <w:tc>
          <w:tcPr>
            <w:tcW w:w="1846" w:type="dxa"/>
            <w:vMerge/>
            <w:tcBorders>
              <w:top w:val="nil"/>
              <w:left w:val="single" w:sz="6" w:space="0" w:color="000000"/>
              <w:right w:val="single" w:sz="6" w:space="0" w:color="000000"/>
            </w:tcBorders>
          </w:tcPr>
          <w:p>
            <w:pPr>
              <w:rPr>
                <w:sz w:val="2"/>
                <w:szCs w:val="2"/>
              </w:rPr>
            </w:pPr>
          </w:p>
        </w:tc>
        <w:tc>
          <w:tcPr>
            <w:tcW w:w="5271" w:type="dxa"/>
            <w:tcBorders>
              <w:top w:val="single" w:sz="6" w:space="0" w:color="000000"/>
              <w:left w:val="single" w:sz="6" w:space="0" w:color="000000"/>
              <w:right w:val="nil"/>
            </w:tcBorders>
          </w:tcPr>
          <w:p>
            <w:pPr>
              <w:pStyle w:val="TableParagraph"/>
              <w:spacing w:before="83"/>
              <w:ind w:left="101"/>
              <w:rPr>
                <w:sz w:val="21"/>
              </w:rPr>
            </w:pPr>
            <w:r>
              <w:rPr>
                <w:sz w:val="21"/>
              </w:rPr>
              <w:t>埋地电缆：不进行声环境影响评价</w:t>
            </w:r>
          </w:p>
        </w:tc>
      </w:tr>
    </w:tbl>
    <w:p>
      <w:pPr>
        <w:pStyle w:val="Heading3"/>
        <w:numPr>
          <w:ilvl w:val="1"/>
          <w:numId w:val="16"/>
        </w:numPr>
        <w:tabs>
          <w:tab w:val="left" w:pos="1360"/>
        </w:tabs>
        <w:spacing w:before="3" w:after="0" w:line="240" w:lineRule="auto"/>
        <w:ind w:left="1360" w:right="0" w:hanging="420"/>
        <w:jc w:val="left"/>
      </w:pPr>
      <w:r>
        <w:t>生态影响评价范围</w:t>
      </w:r>
    </w:p>
    <w:p>
      <w:pPr>
        <w:pStyle w:val="BodyText"/>
        <w:spacing w:before="158" w:line="364" w:lineRule="auto"/>
        <w:ind w:left="940" w:right="476" w:firstLine="427"/>
      </w:pPr>
      <w:r>
        <w:t>根据《环境影响评价技术导则 输变电》（</w:t>
      </w:r>
      <w:r>
        <w:rPr>
          <w:rFonts w:ascii="Times New Roman" w:eastAsia="Times New Roman"/>
        </w:rPr>
        <w:t>HJ 24-2020</w:t>
      </w:r>
      <w:r>
        <w:t xml:space="preserve">），本工程的生态影响评价范围见表 </w:t>
      </w:r>
      <w:r>
        <w:rPr>
          <w:rFonts w:ascii="Times New Roman" w:eastAsia="Times New Roman"/>
        </w:rPr>
        <w:t>3-12</w:t>
      </w:r>
      <w:r>
        <w:t>。</w:t>
      </w:r>
    </w:p>
    <w:p>
      <w:pPr>
        <w:tabs>
          <w:tab w:val="left" w:pos="1278"/>
        </w:tabs>
        <w:spacing w:before="0"/>
        <w:ind w:left="419" w:right="0" w:firstLine="0"/>
        <w:jc w:val="center"/>
        <w:rPr>
          <w:b/>
          <w:sz w:val="21"/>
        </w:rPr>
      </w:pPr>
      <w:r>
        <w:rPr>
          <w:b/>
          <w:sz w:val="21"/>
        </w:rPr>
        <w:t>表</w:t>
      </w:r>
      <w:r>
        <w:rPr>
          <w:b/>
          <w:spacing w:val="-52"/>
          <w:sz w:val="21"/>
        </w:rPr>
        <w:t xml:space="preserve"> </w:t>
      </w:r>
      <w:r>
        <w:rPr>
          <w:rFonts w:ascii="Times New Roman" w:eastAsia="Times New Roman"/>
          <w:b/>
          <w:sz w:val="21"/>
        </w:rPr>
        <w:t>3-12</w:t>
      </w:r>
      <w:r>
        <w:rPr>
          <w:rFonts w:ascii="Times New Roman" w:eastAsia="Times New Roman"/>
          <w:b/>
          <w:sz w:val="21"/>
        </w:rPr>
        <w:tab/>
      </w:r>
      <w:r>
        <w:rPr>
          <w:b/>
          <w:sz w:val="21"/>
        </w:rPr>
        <w:t>生态影响评价范围</w:t>
      </w:r>
    </w:p>
    <w:tbl>
      <w:tblPr>
        <w:tblStyle w:val="TableNormal"/>
        <w:tblW w:w="0" w:type="auto"/>
        <w:tblInd w:w="9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3376"/>
        <w:gridCol w:w="5015"/>
      </w:tblGrid>
      <w:tr>
        <w:tblPrEx>
          <w:tblW w:w="0" w:type="auto"/>
          <w:tblInd w:w="9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454"/>
        </w:trPr>
        <w:tc>
          <w:tcPr>
            <w:tcW w:w="3376" w:type="dxa"/>
            <w:tcBorders>
              <w:left w:val="nil"/>
              <w:bottom w:val="single" w:sz="6" w:space="0" w:color="000000"/>
              <w:right w:val="single" w:sz="6" w:space="0" w:color="000000"/>
            </w:tcBorders>
            <w:shd w:val="clear" w:color="auto" w:fill="F1F1F1"/>
          </w:tcPr>
          <w:p>
            <w:pPr>
              <w:pStyle w:val="TableParagraph"/>
              <w:spacing w:before="90"/>
              <w:ind w:left="1247" w:right="1240"/>
              <w:jc w:val="center"/>
              <w:rPr>
                <w:b/>
                <w:sz w:val="21"/>
              </w:rPr>
            </w:pPr>
            <w:r>
              <w:rPr>
                <w:b/>
                <w:sz w:val="21"/>
              </w:rPr>
              <w:t>类型</w:t>
            </w:r>
          </w:p>
        </w:tc>
        <w:tc>
          <w:tcPr>
            <w:tcW w:w="5015" w:type="dxa"/>
            <w:tcBorders>
              <w:left w:val="single" w:sz="6" w:space="0" w:color="000000"/>
              <w:bottom w:val="single" w:sz="6" w:space="0" w:color="000000"/>
              <w:right w:val="nil"/>
            </w:tcBorders>
            <w:shd w:val="clear" w:color="auto" w:fill="F1F1F1"/>
          </w:tcPr>
          <w:p>
            <w:pPr>
              <w:pStyle w:val="TableParagraph"/>
              <w:spacing w:before="90"/>
              <w:ind w:left="375" w:right="385"/>
              <w:jc w:val="center"/>
              <w:rPr>
                <w:b/>
                <w:sz w:val="21"/>
              </w:rPr>
            </w:pPr>
            <w:r>
              <w:rPr>
                <w:b/>
                <w:sz w:val="21"/>
              </w:rPr>
              <w:t>评价范围</w:t>
            </w:r>
          </w:p>
        </w:tc>
      </w:tr>
      <w:tr>
        <w:tblPrEx>
          <w:tblW w:w="0" w:type="auto"/>
          <w:tblInd w:w="945" w:type="dxa"/>
          <w:tblLayout w:type="fixed"/>
          <w:tblCellMar>
            <w:top w:w="0" w:type="dxa"/>
            <w:left w:w="0" w:type="dxa"/>
            <w:bottom w:w="0" w:type="dxa"/>
            <w:right w:w="0" w:type="dxa"/>
          </w:tblCellMar>
        </w:tblPrEx>
        <w:trPr>
          <w:trHeight w:val="283"/>
        </w:trPr>
        <w:tc>
          <w:tcPr>
            <w:tcW w:w="3376" w:type="dxa"/>
            <w:tcBorders>
              <w:top w:val="single" w:sz="6" w:space="0" w:color="000000"/>
              <w:left w:val="nil"/>
              <w:bottom w:val="single" w:sz="6" w:space="0" w:color="000000"/>
              <w:right w:val="single" w:sz="6" w:space="0" w:color="000000"/>
            </w:tcBorders>
          </w:tcPr>
          <w:p>
            <w:pPr>
              <w:pStyle w:val="TableParagraph"/>
              <w:spacing w:before="5" w:line="259" w:lineRule="exact"/>
              <w:ind w:left="1247" w:right="1240"/>
              <w:jc w:val="center"/>
              <w:rPr>
                <w:sz w:val="21"/>
              </w:rPr>
            </w:pPr>
            <w:r>
              <w:rPr>
                <w:sz w:val="21"/>
              </w:rPr>
              <w:t>架空线路</w:t>
            </w:r>
          </w:p>
        </w:tc>
        <w:tc>
          <w:tcPr>
            <w:tcW w:w="5015" w:type="dxa"/>
            <w:tcBorders>
              <w:top w:val="single" w:sz="6" w:space="0" w:color="000000"/>
              <w:left w:val="single" w:sz="6" w:space="0" w:color="000000"/>
              <w:bottom w:val="single" w:sz="6" w:space="0" w:color="000000"/>
              <w:right w:val="nil"/>
            </w:tcBorders>
          </w:tcPr>
          <w:p>
            <w:pPr>
              <w:pStyle w:val="TableParagraph"/>
              <w:spacing w:before="5" w:line="259" w:lineRule="exact"/>
              <w:ind w:left="375" w:right="385"/>
              <w:jc w:val="center"/>
              <w:rPr>
                <w:sz w:val="21"/>
              </w:rPr>
            </w:pPr>
            <w:r>
              <w:rPr>
                <w:sz w:val="21"/>
              </w:rPr>
              <w:t xml:space="preserve">边导线地面投影外两侧各 </w:t>
            </w:r>
            <w:r>
              <w:rPr>
                <w:rFonts w:ascii="Times New Roman" w:eastAsia="Times New Roman"/>
                <w:sz w:val="21"/>
              </w:rPr>
              <w:t xml:space="preserve">300m </w:t>
            </w:r>
            <w:r>
              <w:rPr>
                <w:sz w:val="21"/>
              </w:rPr>
              <w:t>内的带状区域</w:t>
            </w:r>
          </w:p>
        </w:tc>
      </w:tr>
      <w:tr>
        <w:tblPrEx>
          <w:tblW w:w="0" w:type="auto"/>
          <w:tblInd w:w="945" w:type="dxa"/>
          <w:tblLayout w:type="fixed"/>
          <w:tblCellMar>
            <w:top w:w="0" w:type="dxa"/>
            <w:left w:w="0" w:type="dxa"/>
            <w:bottom w:w="0" w:type="dxa"/>
            <w:right w:w="0" w:type="dxa"/>
          </w:tblCellMar>
        </w:tblPrEx>
        <w:trPr>
          <w:trHeight w:val="283"/>
        </w:trPr>
        <w:tc>
          <w:tcPr>
            <w:tcW w:w="3376" w:type="dxa"/>
            <w:tcBorders>
              <w:top w:val="single" w:sz="6" w:space="0" w:color="000000"/>
              <w:left w:val="nil"/>
              <w:right w:val="single" w:sz="6" w:space="0" w:color="000000"/>
            </w:tcBorders>
          </w:tcPr>
          <w:p>
            <w:pPr>
              <w:pStyle w:val="TableParagraph"/>
              <w:spacing w:before="4" w:line="260" w:lineRule="exact"/>
              <w:ind w:left="1247" w:right="1240"/>
              <w:jc w:val="center"/>
              <w:rPr>
                <w:sz w:val="21"/>
              </w:rPr>
            </w:pPr>
            <w:r>
              <w:rPr>
                <w:sz w:val="21"/>
              </w:rPr>
              <w:t>电缆线路</w:t>
            </w:r>
          </w:p>
        </w:tc>
        <w:tc>
          <w:tcPr>
            <w:tcW w:w="5015" w:type="dxa"/>
            <w:tcBorders>
              <w:top w:val="single" w:sz="6" w:space="0" w:color="000000"/>
              <w:left w:val="single" w:sz="6" w:space="0" w:color="000000"/>
              <w:right w:val="nil"/>
            </w:tcBorders>
          </w:tcPr>
          <w:p>
            <w:pPr>
              <w:pStyle w:val="TableParagraph"/>
              <w:spacing w:before="4" w:line="260" w:lineRule="exact"/>
              <w:ind w:left="372" w:right="385"/>
              <w:jc w:val="center"/>
              <w:rPr>
                <w:sz w:val="21"/>
              </w:rPr>
            </w:pPr>
            <w:r>
              <w:rPr>
                <w:sz w:val="21"/>
              </w:rPr>
              <w:t xml:space="preserve">电缆管廊两侧边缘各 </w:t>
            </w:r>
            <w:r>
              <w:rPr>
                <w:rFonts w:ascii="Times New Roman" w:eastAsia="Times New Roman"/>
                <w:sz w:val="21"/>
              </w:rPr>
              <w:t xml:space="preserve">300m </w:t>
            </w:r>
            <w:r>
              <w:rPr>
                <w:sz w:val="21"/>
              </w:rPr>
              <w:t>内的带状区域</w:t>
            </w:r>
          </w:p>
        </w:tc>
      </w:tr>
    </w:tbl>
    <w:p>
      <w:pPr>
        <w:pStyle w:val="Heading3"/>
        <w:numPr>
          <w:ilvl w:val="0"/>
          <w:numId w:val="16"/>
        </w:numPr>
        <w:tabs>
          <w:tab w:val="left" w:pos="1180"/>
        </w:tabs>
        <w:spacing w:before="121" w:after="0" w:line="240" w:lineRule="auto"/>
        <w:ind w:left="1180" w:right="0" w:hanging="240"/>
        <w:jc w:val="left"/>
      </w:pPr>
      <w:r>
        <w:t>环境保护目标</w:t>
      </w:r>
    </w:p>
    <w:p>
      <w:pPr>
        <w:pStyle w:val="Heading3"/>
        <w:spacing w:before="161"/>
        <w:ind w:left="1429" w:firstLine="0"/>
      </w:pPr>
      <w:r>
        <w:t>（</w:t>
      </w:r>
      <w:r>
        <w:rPr>
          <w:rFonts w:ascii="Times New Roman" w:eastAsia="Times New Roman"/>
        </w:rPr>
        <w:t>1</w:t>
      </w:r>
      <w:r>
        <w:t>）生态环境保护目标</w:t>
      </w:r>
    </w:p>
    <w:p>
      <w:pPr>
        <w:pStyle w:val="BodyText"/>
        <w:spacing w:before="158" w:line="364" w:lineRule="auto"/>
        <w:ind w:left="940" w:right="517" w:firstLine="489"/>
        <w:jc w:val="both"/>
      </w:pPr>
      <w:r>
        <w:rPr>
          <w:spacing w:val="-6"/>
        </w:rPr>
        <w:t>根据《环境影响评价技术导则 生态影响》</w:t>
      </w:r>
      <w:r>
        <w:t>（</w:t>
      </w:r>
      <w:r>
        <w:rPr>
          <w:rFonts w:ascii="Times New Roman" w:eastAsia="Times New Roman"/>
        </w:rPr>
        <w:t xml:space="preserve">HJ </w:t>
      </w:r>
      <w:r>
        <w:rPr>
          <w:rFonts w:ascii="Times New Roman" w:eastAsia="Times New Roman"/>
          <w:spacing w:val="-4"/>
        </w:rPr>
        <w:t>19-2022</w:t>
      </w:r>
      <w:r>
        <w:rPr>
          <w:spacing w:val="-4"/>
        </w:rPr>
        <w:t>），</w:t>
      </w:r>
      <w:r>
        <w:rPr>
          <w:spacing w:val="-2"/>
        </w:rPr>
        <w:t>生态环境目标为受</w:t>
      </w:r>
      <w:r>
        <w:rPr>
          <w:spacing w:val="-4"/>
        </w:rPr>
        <w:t>影响的重要物种、生态敏感区以及其他需要保护的物种、种群、生物群落及生态空</w:t>
      </w:r>
      <w:r>
        <w:t>间等。</w:t>
      </w:r>
    </w:p>
    <w:p>
      <w:pPr>
        <w:pStyle w:val="BodyText"/>
        <w:spacing w:line="362" w:lineRule="auto"/>
        <w:ind w:left="940" w:right="468" w:firstLine="489"/>
      </w:pPr>
      <w:r>
        <w:t>经过查阅资料及现场调查，本工程不涉及包括法定生态保护区域、重要生境以及其他具有重要生态功能、对保护生物多样性具有重要意义的区域。故本工程无生</w:t>
      </w:r>
    </w:p>
    <w:p>
      <w:pPr>
        <w:spacing w:after="0" w:line="362" w:lineRule="auto"/>
        <w:sectPr>
          <w:footerReference w:type="default" r:id="rId50"/>
          <w:pgSz w:w="11910" w:h="16840"/>
          <w:pgMar w:top="1380" w:right="901" w:bottom="1160" w:left="920" w:header="0" w:footer="963" w:gutter="0"/>
          <w:pgNumType w:start="30"/>
          <w:cols w:num="1" w:space="720"/>
        </w:sectPr>
      </w:pPr>
    </w:p>
    <w:tbl>
      <w:tblPr>
        <w:tblStyle w:val="TableNormal"/>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2"/>
        <w:gridCol w:w="8845"/>
      </w:tblGrid>
      <w:tr>
        <w:tblPrEx>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6526"/>
        </w:trPr>
        <w:tc>
          <w:tcPr>
            <w:tcW w:w="442" w:type="dxa"/>
            <w:tcBorders>
              <w:bottom w:val="single" w:sz="4" w:space="0" w:color="000000"/>
              <w:right w:val="single" w:sz="4" w:space="0" w:color="000000"/>
            </w:tcBorders>
          </w:tcPr>
          <w:p>
            <w:pPr>
              <w:pStyle w:val="TableParagraph"/>
              <w:rPr>
                <w:rFonts w:ascii="Times New Roman"/>
                <w:sz w:val="22"/>
              </w:rPr>
            </w:pPr>
          </w:p>
        </w:tc>
        <w:tc>
          <w:tcPr>
            <w:tcW w:w="8845" w:type="dxa"/>
            <w:tcBorders>
              <w:left w:val="single" w:sz="4" w:space="0" w:color="000000"/>
              <w:bottom w:val="single" w:sz="4" w:space="0" w:color="000000"/>
            </w:tcBorders>
          </w:tcPr>
          <w:p>
            <w:pPr>
              <w:pStyle w:val="TableParagraph"/>
              <w:spacing w:line="299" w:lineRule="exact"/>
              <w:ind w:left="112"/>
              <w:rPr>
                <w:sz w:val="24"/>
              </w:rPr>
            </w:pPr>
            <w:r>
              <w:rPr>
                <w:sz w:val="24"/>
              </w:rPr>
              <w:t>态环境保护目标。</w:t>
            </w:r>
          </w:p>
          <w:p>
            <w:pPr>
              <w:pStyle w:val="TableParagraph"/>
              <w:numPr>
                <w:ilvl w:val="0"/>
                <w:numId w:val="56"/>
              </w:numPr>
              <w:tabs>
                <w:tab w:val="left" w:pos="1204"/>
              </w:tabs>
              <w:spacing w:before="160" w:after="0" w:line="240" w:lineRule="auto"/>
              <w:ind w:left="1203" w:right="0" w:hanging="602"/>
              <w:jc w:val="left"/>
              <w:rPr>
                <w:b/>
                <w:sz w:val="24"/>
              </w:rPr>
            </w:pPr>
            <w:r>
              <w:rPr>
                <w:b/>
                <w:sz w:val="24"/>
              </w:rPr>
              <w:t>电磁环境保护目标</w:t>
            </w:r>
          </w:p>
          <w:p>
            <w:pPr>
              <w:pStyle w:val="TableParagraph"/>
              <w:spacing w:before="158" w:line="364" w:lineRule="auto"/>
              <w:ind w:left="112" w:right="19" w:firstLine="480"/>
              <w:rPr>
                <w:sz w:val="24"/>
              </w:rPr>
            </w:pPr>
            <w:r>
              <w:rPr>
                <w:sz w:val="24"/>
              </w:rPr>
              <w:t>根据《环境影响评价技术导则 输变电》（</w:t>
            </w:r>
            <w:r>
              <w:rPr>
                <w:rFonts w:ascii="Times New Roman" w:eastAsia="Times New Roman"/>
                <w:sz w:val="24"/>
              </w:rPr>
              <w:t>HJ 24-2020</w:t>
            </w:r>
            <w:r>
              <w:rPr>
                <w:sz w:val="24"/>
              </w:rPr>
              <w:t>），电磁环境敏感目标为住宅、学校、医院、办公楼、工厂等有公众居住、工作或学习的建筑物。</w:t>
            </w:r>
          </w:p>
          <w:p>
            <w:pPr>
              <w:pStyle w:val="TableParagraph"/>
              <w:spacing w:line="364" w:lineRule="auto"/>
              <w:ind w:left="592" w:right="555"/>
              <w:rPr>
                <w:sz w:val="24"/>
              </w:rPr>
            </w:pPr>
            <w:r>
              <w:rPr>
                <w:sz w:val="24"/>
              </w:rPr>
              <w:t>经过查阅相关资料及现场调查，本工程评价范围内无电磁环境保护目标。因此，本项目无电磁环境保护目标。</w:t>
            </w:r>
          </w:p>
          <w:p>
            <w:pPr>
              <w:pStyle w:val="TableParagraph"/>
              <w:numPr>
                <w:ilvl w:val="0"/>
                <w:numId w:val="56"/>
              </w:numPr>
              <w:tabs>
                <w:tab w:val="left" w:pos="1205"/>
              </w:tabs>
              <w:spacing w:before="0" w:after="0" w:line="306" w:lineRule="exact"/>
              <w:ind w:left="1204" w:right="0" w:hanging="603"/>
              <w:jc w:val="left"/>
              <w:rPr>
                <w:b/>
                <w:sz w:val="24"/>
              </w:rPr>
            </w:pPr>
            <w:r>
              <w:rPr>
                <w:b/>
                <w:sz w:val="24"/>
              </w:rPr>
              <w:t>声环境保护目标</w:t>
            </w:r>
          </w:p>
          <w:p>
            <w:pPr>
              <w:pStyle w:val="TableParagraph"/>
              <w:spacing w:before="160" w:line="364" w:lineRule="auto"/>
              <w:ind w:left="112" w:right="75" w:firstLine="480"/>
              <w:jc w:val="both"/>
              <w:rPr>
                <w:sz w:val="24"/>
              </w:rPr>
            </w:pPr>
            <w:r>
              <w:rPr>
                <w:spacing w:val="-12"/>
                <w:sz w:val="24"/>
              </w:rPr>
              <w:t>根据《环境影响评价技术导则 声环境》</w:t>
            </w:r>
            <w:r>
              <w:rPr>
                <w:sz w:val="24"/>
              </w:rPr>
              <w:t>（</w:t>
            </w:r>
            <w:r>
              <w:rPr>
                <w:rFonts w:ascii="Times New Roman" w:eastAsia="Times New Roman" w:hAnsi="Times New Roman"/>
                <w:sz w:val="24"/>
              </w:rPr>
              <w:t xml:space="preserve">HJ </w:t>
            </w:r>
            <w:r>
              <w:rPr>
                <w:rFonts w:ascii="Times New Roman" w:eastAsia="Times New Roman" w:hAnsi="Times New Roman"/>
                <w:spacing w:val="-10"/>
                <w:sz w:val="24"/>
              </w:rPr>
              <w:t>2.4-2021</w:t>
            </w:r>
            <w:r>
              <w:rPr>
                <w:spacing w:val="-10"/>
                <w:sz w:val="24"/>
              </w:rPr>
              <w:t>）</w:t>
            </w:r>
            <w:r>
              <w:rPr>
                <w:spacing w:val="-3"/>
                <w:sz w:val="24"/>
              </w:rPr>
              <w:t>，声环境敏感目标指</w:t>
            </w:r>
            <w:r>
              <w:rPr>
                <w:rFonts w:ascii="Times New Roman" w:eastAsia="Times New Roman" w:hAnsi="Times New Roman"/>
                <w:sz w:val="24"/>
              </w:rPr>
              <w:t>“</w:t>
            </w:r>
            <w:r>
              <w:rPr>
                <w:sz w:val="24"/>
              </w:rPr>
              <w:t>依</w:t>
            </w:r>
            <w:r>
              <w:rPr>
                <w:spacing w:val="-15"/>
                <w:sz w:val="24"/>
              </w:rPr>
              <w:t>据法律、法规、标准政策等确定的需要保持安静的建筑物及建筑物集中区</w:t>
            </w:r>
            <w:r>
              <w:rPr>
                <w:rFonts w:ascii="Times New Roman" w:eastAsia="Times New Roman" w:hAnsi="Times New Roman"/>
                <w:spacing w:val="-47"/>
                <w:sz w:val="24"/>
              </w:rPr>
              <w:t>”</w:t>
            </w:r>
            <w:r>
              <w:rPr>
                <w:spacing w:val="-27"/>
                <w:sz w:val="24"/>
              </w:rPr>
              <w:t>，结合《中</w:t>
            </w:r>
            <w:r>
              <w:rPr>
                <w:spacing w:val="-28"/>
                <w:sz w:val="24"/>
              </w:rPr>
              <w:t>华人民共和国环境噪声污染防治法》</w:t>
            </w:r>
            <w:r>
              <w:rPr>
                <w:sz w:val="24"/>
              </w:rPr>
              <w:t>（</w:t>
            </w:r>
            <w:r>
              <w:rPr>
                <w:rFonts w:ascii="Times New Roman" w:eastAsia="Times New Roman" w:hAnsi="Times New Roman"/>
                <w:sz w:val="24"/>
              </w:rPr>
              <w:t xml:space="preserve">2022 </w:t>
            </w:r>
            <w:r>
              <w:rPr>
                <w:spacing w:val="-30"/>
                <w:sz w:val="24"/>
              </w:rPr>
              <w:t xml:space="preserve">年 </w:t>
            </w:r>
            <w:r>
              <w:rPr>
                <w:rFonts w:ascii="Times New Roman" w:eastAsia="Times New Roman" w:hAnsi="Times New Roman"/>
                <w:sz w:val="24"/>
              </w:rPr>
              <w:t xml:space="preserve">6 </w:t>
            </w:r>
            <w:r>
              <w:rPr>
                <w:spacing w:val="-30"/>
                <w:sz w:val="24"/>
              </w:rPr>
              <w:t xml:space="preserve">月 </w:t>
            </w:r>
            <w:r>
              <w:rPr>
                <w:rFonts w:ascii="Times New Roman" w:eastAsia="Times New Roman" w:hAnsi="Times New Roman"/>
                <w:sz w:val="24"/>
              </w:rPr>
              <w:t xml:space="preserve">5 </w:t>
            </w:r>
            <w:r>
              <w:rPr>
                <w:sz w:val="24"/>
              </w:rPr>
              <w:t>日起施行</w:t>
            </w:r>
            <w:r>
              <w:rPr>
                <w:spacing w:val="-20"/>
                <w:sz w:val="24"/>
              </w:rPr>
              <w:t>）</w:t>
            </w:r>
            <w:r>
              <w:rPr>
                <w:spacing w:val="-3"/>
                <w:sz w:val="24"/>
              </w:rPr>
              <w:t>第八十八条，“噪</w:t>
            </w:r>
            <w:r>
              <w:rPr>
                <w:spacing w:val="-4"/>
                <w:sz w:val="24"/>
              </w:rPr>
              <w:t>声敏感建筑物，是指用于居住、科学研究、医疗卫生、文化教育、机关团体办公、</w:t>
            </w:r>
            <w:r>
              <w:rPr>
                <w:sz w:val="24"/>
              </w:rPr>
              <w:t>社会福利等需要保持安静的建筑物”。</w:t>
            </w:r>
          </w:p>
          <w:p>
            <w:pPr>
              <w:pStyle w:val="TableParagraph"/>
              <w:spacing w:line="306" w:lineRule="exact"/>
              <w:ind w:left="592"/>
              <w:rPr>
                <w:sz w:val="24"/>
              </w:rPr>
            </w:pPr>
            <w:r>
              <w:rPr>
                <w:sz w:val="24"/>
              </w:rPr>
              <w:t>经过查阅相关资料及现场调查，本工程评价范围内无声环境保护目标。</w:t>
            </w:r>
          </w:p>
          <w:p>
            <w:pPr>
              <w:pStyle w:val="TableParagraph"/>
              <w:spacing w:before="158"/>
              <w:ind w:left="592"/>
              <w:rPr>
                <w:sz w:val="24"/>
              </w:rPr>
            </w:pPr>
            <w:r>
              <w:rPr>
                <w:sz w:val="24"/>
              </w:rPr>
              <w:t>因此，本项目无声环境保护目标。</w:t>
            </w:r>
          </w:p>
        </w:tc>
      </w:tr>
      <w:tr>
        <w:tblPrEx>
          <w:tblW w:w="0" w:type="auto"/>
          <w:tblInd w:w="400" w:type="dxa"/>
          <w:tblLayout w:type="fixed"/>
          <w:tblCellMar>
            <w:top w:w="0" w:type="dxa"/>
            <w:left w:w="0" w:type="dxa"/>
            <w:bottom w:w="0" w:type="dxa"/>
            <w:right w:w="0" w:type="dxa"/>
          </w:tblCellMar>
        </w:tblPrEx>
        <w:trPr>
          <w:trHeight w:val="7000"/>
        </w:trPr>
        <w:tc>
          <w:tcPr>
            <w:tcW w:w="442" w:type="dxa"/>
            <w:tcBorders>
              <w:top w:val="single" w:sz="4" w:space="0" w:color="000000"/>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
              <w:rPr>
                <w:sz w:val="32"/>
              </w:rPr>
            </w:pPr>
          </w:p>
          <w:p>
            <w:pPr>
              <w:pStyle w:val="TableParagraph"/>
              <w:spacing w:line="242" w:lineRule="auto"/>
              <w:ind w:left="108" w:right="78"/>
              <w:jc w:val="both"/>
              <w:rPr>
                <w:sz w:val="24"/>
              </w:rPr>
            </w:pPr>
            <w:r>
              <w:rPr>
                <w:sz w:val="24"/>
              </w:rPr>
              <w:t>评价标准</w:t>
            </w:r>
          </w:p>
        </w:tc>
        <w:tc>
          <w:tcPr>
            <w:tcW w:w="8845" w:type="dxa"/>
            <w:tcBorders>
              <w:top w:val="single" w:sz="4" w:space="0" w:color="000000"/>
              <w:left w:val="single" w:sz="4" w:space="0" w:color="000000"/>
            </w:tcBorders>
          </w:tcPr>
          <w:p>
            <w:pPr>
              <w:pStyle w:val="TableParagraph"/>
              <w:spacing w:before="2"/>
              <w:ind w:left="112"/>
              <w:rPr>
                <w:b/>
                <w:sz w:val="24"/>
              </w:rPr>
            </w:pPr>
            <w:r>
              <w:rPr>
                <w:rFonts w:ascii="Times New Roman" w:eastAsia="Times New Roman"/>
                <w:b/>
                <w:sz w:val="24"/>
              </w:rPr>
              <w:t>9</w:t>
            </w:r>
            <w:r>
              <w:rPr>
                <w:rFonts w:ascii="Times New Roman" w:eastAsia="Times New Roman"/>
                <w:b/>
                <w:spacing w:val="59"/>
                <w:sz w:val="24"/>
              </w:rPr>
              <w:t xml:space="preserve"> </w:t>
            </w:r>
            <w:r>
              <w:rPr>
                <w:b/>
                <w:sz w:val="24"/>
              </w:rPr>
              <w:t>环境质量标准</w:t>
            </w:r>
          </w:p>
          <w:p>
            <w:pPr>
              <w:pStyle w:val="TableParagraph"/>
              <w:numPr>
                <w:ilvl w:val="0"/>
                <w:numId w:val="18"/>
              </w:numPr>
              <w:tabs>
                <w:tab w:val="left" w:pos="714"/>
              </w:tabs>
              <w:spacing w:before="158" w:after="0" w:line="240" w:lineRule="auto"/>
              <w:ind w:left="713" w:right="0" w:hanging="602"/>
              <w:jc w:val="left"/>
              <w:rPr>
                <w:sz w:val="24"/>
              </w:rPr>
            </w:pPr>
            <w:r>
              <w:rPr>
                <w:sz w:val="24"/>
              </w:rPr>
              <w:t>大气环境</w:t>
            </w:r>
          </w:p>
          <w:p>
            <w:pPr>
              <w:pStyle w:val="TableParagraph"/>
              <w:spacing w:before="161"/>
              <w:ind w:left="592"/>
              <w:rPr>
                <w:sz w:val="24"/>
              </w:rPr>
            </w:pPr>
            <w:r>
              <w:rPr>
                <w:sz w:val="24"/>
              </w:rPr>
              <w:t>执行《环境空气质量标准》（</w:t>
            </w:r>
            <w:r>
              <w:rPr>
                <w:rFonts w:ascii="Times New Roman" w:eastAsia="Times New Roman"/>
                <w:sz w:val="24"/>
              </w:rPr>
              <w:t>GB 3095-2012</w:t>
            </w:r>
            <w:r>
              <w:rPr>
                <w:sz w:val="24"/>
              </w:rPr>
              <w:t xml:space="preserve">）及 </w:t>
            </w:r>
            <w:r>
              <w:rPr>
                <w:rFonts w:ascii="Times New Roman" w:eastAsia="Times New Roman"/>
                <w:sz w:val="24"/>
              </w:rPr>
              <w:t xml:space="preserve">2018 </w:t>
            </w:r>
            <w:r>
              <w:rPr>
                <w:sz w:val="24"/>
              </w:rPr>
              <w:t>修改单中二级标准。</w:t>
            </w:r>
          </w:p>
          <w:p>
            <w:pPr>
              <w:pStyle w:val="TableParagraph"/>
              <w:numPr>
                <w:ilvl w:val="0"/>
                <w:numId w:val="18"/>
              </w:numPr>
              <w:tabs>
                <w:tab w:val="left" w:pos="714"/>
              </w:tabs>
              <w:spacing w:before="158" w:after="0" w:line="240" w:lineRule="auto"/>
              <w:ind w:left="713" w:right="0" w:hanging="602"/>
              <w:jc w:val="left"/>
              <w:rPr>
                <w:sz w:val="24"/>
              </w:rPr>
            </w:pPr>
            <w:r>
              <w:rPr>
                <w:sz w:val="24"/>
              </w:rPr>
              <w:t>地表水环境</w:t>
            </w:r>
          </w:p>
          <w:p>
            <w:pPr>
              <w:pStyle w:val="TableParagraph"/>
              <w:spacing w:before="160"/>
              <w:ind w:left="592"/>
              <w:rPr>
                <w:sz w:val="24"/>
              </w:rPr>
            </w:pPr>
            <w:r>
              <w:rPr>
                <w:sz w:val="24"/>
              </w:rPr>
              <w:t>执行《海水水质标准》</w:t>
            </w:r>
            <w:r>
              <w:rPr>
                <w:rFonts w:ascii="Times New Roman" w:eastAsia="Times New Roman" w:hAnsi="Times New Roman"/>
                <w:sz w:val="24"/>
              </w:rPr>
              <w:t>(GB3097</w:t>
            </w:r>
            <w:r>
              <w:rPr>
                <w:sz w:val="24"/>
              </w:rPr>
              <w:t>—</w:t>
            </w:r>
            <w:r>
              <w:rPr>
                <w:rFonts w:ascii="Times New Roman" w:eastAsia="Times New Roman" w:hAnsi="Times New Roman"/>
                <w:sz w:val="24"/>
              </w:rPr>
              <w:t>1997)</w:t>
            </w:r>
            <w:r>
              <w:rPr>
                <w:sz w:val="24"/>
              </w:rPr>
              <w:t>第三类标准。</w:t>
            </w:r>
          </w:p>
          <w:p>
            <w:pPr>
              <w:pStyle w:val="TableParagraph"/>
              <w:numPr>
                <w:ilvl w:val="0"/>
                <w:numId w:val="18"/>
              </w:numPr>
              <w:tabs>
                <w:tab w:val="left" w:pos="714"/>
              </w:tabs>
              <w:spacing w:before="158" w:after="0" w:line="240" w:lineRule="auto"/>
              <w:ind w:left="713" w:right="0" w:hanging="602"/>
              <w:jc w:val="left"/>
              <w:rPr>
                <w:sz w:val="24"/>
              </w:rPr>
            </w:pPr>
            <w:r>
              <w:rPr>
                <w:sz w:val="24"/>
              </w:rPr>
              <w:t>声环境</w:t>
            </w:r>
          </w:p>
          <w:p>
            <w:pPr>
              <w:pStyle w:val="TableParagraph"/>
              <w:spacing w:before="161"/>
              <w:ind w:left="592"/>
              <w:rPr>
                <w:sz w:val="24"/>
              </w:rPr>
            </w:pPr>
            <w:r>
              <w:rPr>
                <w:sz w:val="24"/>
              </w:rPr>
              <w:t>执行《声环境质量标准》（</w:t>
            </w:r>
            <w:r>
              <w:rPr>
                <w:rFonts w:ascii="Times New Roman" w:eastAsia="Times New Roman"/>
                <w:sz w:val="24"/>
              </w:rPr>
              <w:t>GB3096-2008</w:t>
            </w:r>
            <w:r>
              <w:rPr>
                <w:sz w:val="24"/>
              </w:rPr>
              <w:t>）</w:t>
            </w:r>
            <w:r>
              <w:rPr>
                <w:rFonts w:ascii="Times New Roman" w:eastAsia="Times New Roman"/>
                <w:sz w:val="24"/>
              </w:rPr>
              <w:t xml:space="preserve">2 </w:t>
            </w:r>
            <w:r>
              <w:rPr>
                <w:sz w:val="24"/>
              </w:rPr>
              <w:t>类、</w:t>
            </w:r>
            <w:r>
              <w:rPr>
                <w:rFonts w:ascii="Times New Roman" w:eastAsia="Times New Roman"/>
                <w:sz w:val="24"/>
              </w:rPr>
              <w:t xml:space="preserve">4a </w:t>
            </w:r>
            <w:r>
              <w:rPr>
                <w:sz w:val="24"/>
              </w:rPr>
              <w:t>类标准。</w:t>
            </w:r>
          </w:p>
          <w:p>
            <w:pPr>
              <w:pStyle w:val="TableParagraph"/>
              <w:numPr>
                <w:ilvl w:val="0"/>
                <w:numId w:val="18"/>
              </w:numPr>
              <w:tabs>
                <w:tab w:val="left" w:pos="714"/>
              </w:tabs>
              <w:spacing w:before="160" w:after="0" w:line="240" w:lineRule="auto"/>
              <w:ind w:left="713" w:right="0" w:hanging="602"/>
              <w:jc w:val="left"/>
              <w:rPr>
                <w:sz w:val="24"/>
              </w:rPr>
            </w:pPr>
            <w:r>
              <w:rPr>
                <w:sz w:val="24"/>
              </w:rPr>
              <w:t>电磁环境</w:t>
            </w:r>
          </w:p>
          <w:p>
            <w:pPr>
              <w:pStyle w:val="TableParagraph"/>
              <w:spacing w:before="158"/>
              <w:ind w:left="592"/>
              <w:rPr>
                <w:sz w:val="24"/>
              </w:rPr>
            </w:pPr>
            <w:r>
              <w:rPr>
                <w:sz w:val="24"/>
              </w:rPr>
              <w:t>《电磁环境控制限值》（</w:t>
            </w:r>
            <w:r>
              <w:rPr>
                <w:rFonts w:ascii="Times New Roman" w:eastAsia="Times New Roman"/>
                <w:sz w:val="24"/>
              </w:rPr>
              <w:t>GB 8702-2014</w:t>
            </w:r>
            <w:r>
              <w:rPr>
                <w:sz w:val="24"/>
              </w:rPr>
              <w:t xml:space="preserve">）频率为 </w:t>
            </w:r>
            <w:r>
              <w:rPr>
                <w:rFonts w:ascii="Times New Roman" w:eastAsia="Times New Roman"/>
                <w:sz w:val="24"/>
              </w:rPr>
              <w:t xml:space="preserve">0.05kHz </w:t>
            </w:r>
            <w:r>
              <w:rPr>
                <w:sz w:val="24"/>
              </w:rPr>
              <w:t>的公众曝露控制限值</w:t>
            </w:r>
          </w:p>
          <w:p>
            <w:pPr>
              <w:pStyle w:val="TableParagraph"/>
              <w:spacing w:before="159"/>
              <w:ind w:left="112"/>
              <w:rPr>
                <w:sz w:val="24"/>
              </w:rPr>
            </w:pPr>
            <w:r>
              <w:rPr>
                <w:sz w:val="24"/>
              </w:rPr>
              <w:t xml:space="preserve">（电场强度 </w:t>
            </w:r>
            <w:r>
              <w:rPr>
                <w:rFonts w:ascii="Times New Roman" w:eastAsia="Times New Roman" w:hAnsi="Times New Roman"/>
                <w:sz w:val="24"/>
              </w:rPr>
              <w:t>4000V/m</w:t>
            </w:r>
            <w:r>
              <w:rPr>
                <w:sz w:val="24"/>
              </w:rPr>
              <w:t xml:space="preserve">，磁感应强度 </w:t>
            </w:r>
            <w:r>
              <w:rPr>
                <w:rFonts w:ascii="Times New Roman" w:eastAsia="Times New Roman" w:hAnsi="Times New Roman"/>
                <w:sz w:val="24"/>
              </w:rPr>
              <w:t>100μT</w:t>
            </w:r>
            <w:r>
              <w:rPr>
                <w:sz w:val="24"/>
              </w:rPr>
              <w:t>）。</w:t>
            </w:r>
          </w:p>
          <w:p>
            <w:pPr>
              <w:pStyle w:val="TableParagraph"/>
              <w:spacing w:before="160"/>
              <w:ind w:left="112"/>
              <w:rPr>
                <w:b/>
                <w:sz w:val="24"/>
              </w:rPr>
            </w:pPr>
            <w:r>
              <w:rPr>
                <w:rFonts w:ascii="Times New Roman" w:eastAsia="Times New Roman"/>
                <w:b/>
                <w:sz w:val="24"/>
              </w:rPr>
              <w:t>10</w:t>
            </w:r>
            <w:r>
              <w:rPr>
                <w:rFonts w:ascii="Times New Roman" w:eastAsia="Times New Roman"/>
                <w:b/>
                <w:spacing w:val="59"/>
                <w:sz w:val="24"/>
              </w:rPr>
              <w:t xml:space="preserve"> </w:t>
            </w:r>
            <w:r>
              <w:rPr>
                <w:b/>
                <w:sz w:val="24"/>
              </w:rPr>
              <w:t>污染物排放标准</w:t>
            </w:r>
          </w:p>
          <w:p>
            <w:pPr>
              <w:pStyle w:val="TableParagraph"/>
              <w:spacing w:before="158"/>
              <w:ind w:left="112"/>
              <w:rPr>
                <w:sz w:val="24"/>
              </w:rPr>
            </w:pPr>
            <w:r>
              <w:rPr>
                <w:sz w:val="24"/>
              </w:rPr>
              <w:t>（</w:t>
            </w:r>
            <w:r>
              <w:rPr>
                <w:rFonts w:ascii="Times New Roman" w:eastAsia="Times New Roman"/>
                <w:sz w:val="24"/>
              </w:rPr>
              <w:t>1</w:t>
            </w:r>
            <w:r>
              <w:rPr>
                <w:sz w:val="24"/>
              </w:rPr>
              <w:t>）噪声</w:t>
            </w:r>
          </w:p>
          <w:p>
            <w:pPr>
              <w:pStyle w:val="TableParagraph"/>
              <w:spacing w:before="161" w:line="364" w:lineRule="auto"/>
              <w:ind w:left="112" w:right="87" w:firstLine="480"/>
              <w:rPr>
                <w:sz w:val="24"/>
              </w:rPr>
            </w:pPr>
            <w:r>
              <w:rPr>
                <w:spacing w:val="-8"/>
                <w:sz w:val="24"/>
              </w:rPr>
              <w:t>施工期执行《建筑施工场界环境噪声排放标准》</w:t>
            </w:r>
            <w:r>
              <w:rPr>
                <w:sz w:val="24"/>
              </w:rPr>
              <w:t>（</w:t>
            </w:r>
            <w:r>
              <w:rPr>
                <w:rFonts w:ascii="Times New Roman" w:eastAsia="Times New Roman"/>
                <w:sz w:val="24"/>
              </w:rPr>
              <w:t xml:space="preserve">GB </w:t>
            </w:r>
            <w:r>
              <w:rPr>
                <w:rFonts w:ascii="Times New Roman" w:eastAsia="Times New Roman"/>
                <w:spacing w:val="-4"/>
                <w:sz w:val="24"/>
              </w:rPr>
              <w:t>12523-2011</w:t>
            </w:r>
            <w:r>
              <w:rPr>
                <w:spacing w:val="-4"/>
                <w:sz w:val="24"/>
              </w:rPr>
              <w:t>）</w:t>
            </w:r>
            <w:r>
              <w:rPr>
                <w:spacing w:val="-3"/>
                <w:sz w:val="24"/>
              </w:rPr>
              <w:t>中规定的环</w:t>
            </w:r>
            <w:r>
              <w:rPr>
                <w:spacing w:val="-6"/>
                <w:sz w:val="24"/>
              </w:rPr>
              <w:t xml:space="preserve">境噪声排放限值，即昼间 </w:t>
            </w:r>
            <w:r>
              <w:rPr>
                <w:rFonts w:ascii="Times New Roman" w:eastAsia="Times New Roman"/>
                <w:sz w:val="24"/>
              </w:rPr>
              <w:t>70dB(A)</w:t>
            </w:r>
            <w:r>
              <w:rPr>
                <w:spacing w:val="-15"/>
                <w:sz w:val="24"/>
              </w:rPr>
              <w:t xml:space="preserve">，夜间 </w:t>
            </w:r>
            <w:r>
              <w:rPr>
                <w:rFonts w:ascii="Times New Roman" w:eastAsia="Times New Roman"/>
                <w:sz w:val="24"/>
              </w:rPr>
              <w:t>55 dB(A)</w:t>
            </w:r>
            <w:r>
              <w:rPr>
                <w:sz w:val="24"/>
              </w:rPr>
              <w:t>。</w:t>
            </w:r>
          </w:p>
          <w:p>
            <w:pPr>
              <w:pStyle w:val="TableParagraph"/>
              <w:spacing w:line="306" w:lineRule="exact"/>
              <w:ind w:left="592"/>
              <w:rPr>
                <w:sz w:val="24"/>
              </w:rPr>
            </w:pPr>
            <w:r>
              <w:rPr>
                <w:sz w:val="24"/>
              </w:rPr>
              <w:t>运行期执行《工业企业厂界环境噪声排放标准》（</w:t>
            </w:r>
            <w:r>
              <w:rPr>
                <w:rFonts w:ascii="Times New Roman" w:eastAsia="Times New Roman"/>
                <w:sz w:val="24"/>
              </w:rPr>
              <w:t>GB12348-2008</w:t>
            </w:r>
            <w:r>
              <w:rPr>
                <w:sz w:val="24"/>
              </w:rPr>
              <w:t>）</w:t>
            </w:r>
            <w:r>
              <w:rPr>
                <w:rFonts w:ascii="Times New Roman" w:eastAsia="Times New Roman"/>
                <w:sz w:val="24"/>
              </w:rPr>
              <w:t xml:space="preserve">2 </w:t>
            </w:r>
            <w:r>
              <w:rPr>
                <w:sz w:val="24"/>
              </w:rPr>
              <w:t>类标准限</w:t>
            </w:r>
          </w:p>
        </w:tc>
      </w:tr>
    </w:tbl>
    <w:p>
      <w:pPr>
        <w:spacing w:after="0" w:line="306" w:lineRule="exact"/>
        <w:rPr>
          <w:sz w:val="24"/>
        </w:rPr>
        <w:sectPr>
          <w:footerReference w:type="default" r:id="rId51"/>
          <w:pgSz w:w="11910" w:h="16840"/>
          <w:pgMar w:top="1420" w:right="901" w:bottom="1160" w:left="920" w:header="0" w:footer="963" w:gutter="0"/>
          <w:pgNumType w:start="31"/>
          <w:cols w:num="1" w:space="720"/>
        </w:sectPr>
      </w:pPr>
    </w:p>
    <w:tbl>
      <w:tblPr>
        <w:tblStyle w:val="TableNormal"/>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2"/>
        <w:gridCol w:w="8845"/>
      </w:tblGrid>
      <w:tr>
        <w:tblPrEx>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8394"/>
        </w:trPr>
        <w:tc>
          <w:tcPr>
            <w:tcW w:w="442" w:type="dxa"/>
            <w:tcBorders>
              <w:bottom w:val="single" w:sz="4" w:space="0" w:color="000000"/>
              <w:right w:val="single" w:sz="4" w:space="0" w:color="000000"/>
            </w:tcBorders>
          </w:tcPr>
          <w:p>
            <w:pPr>
              <w:pStyle w:val="TableParagraph"/>
              <w:rPr>
                <w:rFonts w:ascii="Times New Roman"/>
                <w:sz w:val="22"/>
              </w:rPr>
            </w:pPr>
          </w:p>
        </w:tc>
        <w:tc>
          <w:tcPr>
            <w:tcW w:w="8845" w:type="dxa"/>
            <w:tcBorders>
              <w:left w:val="single" w:sz="4" w:space="0" w:color="000000"/>
              <w:bottom w:val="single" w:sz="4" w:space="0" w:color="000000"/>
            </w:tcBorders>
          </w:tcPr>
          <w:p>
            <w:pPr>
              <w:pStyle w:val="TableParagraph"/>
              <w:spacing w:line="299" w:lineRule="exact"/>
              <w:ind w:left="112"/>
              <w:rPr>
                <w:sz w:val="24"/>
              </w:rPr>
            </w:pPr>
            <w:r>
              <w:rPr>
                <w:sz w:val="24"/>
              </w:rPr>
              <w:t xml:space="preserve">值（昼间 </w:t>
            </w:r>
            <w:r>
              <w:rPr>
                <w:rFonts w:ascii="Times New Roman" w:eastAsia="Times New Roman"/>
                <w:sz w:val="24"/>
              </w:rPr>
              <w:t>60dB(A)</w:t>
            </w:r>
            <w:r>
              <w:rPr>
                <w:sz w:val="24"/>
              </w:rPr>
              <w:t xml:space="preserve">，夜间 </w:t>
            </w:r>
            <w:r>
              <w:rPr>
                <w:rFonts w:ascii="Times New Roman" w:eastAsia="Times New Roman"/>
                <w:sz w:val="24"/>
              </w:rPr>
              <w:t>50dB(A)</w:t>
            </w:r>
            <w:r>
              <w:rPr>
                <w:sz w:val="24"/>
              </w:rPr>
              <w:t>）。</w:t>
            </w:r>
          </w:p>
          <w:p>
            <w:pPr>
              <w:pStyle w:val="TableParagraph"/>
              <w:numPr>
                <w:ilvl w:val="0"/>
                <w:numId w:val="19"/>
              </w:numPr>
              <w:tabs>
                <w:tab w:val="left" w:pos="714"/>
              </w:tabs>
              <w:spacing w:before="160" w:after="0" w:line="240" w:lineRule="auto"/>
              <w:ind w:left="713" w:right="0" w:hanging="602"/>
              <w:jc w:val="left"/>
              <w:rPr>
                <w:sz w:val="24"/>
              </w:rPr>
            </w:pPr>
            <w:r>
              <w:rPr>
                <w:sz w:val="24"/>
              </w:rPr>
              <w:t>污水</w:t>
            </w:r>
          </w:p>
          <w:p>
            <w:pPr>
              <w:pStyle w:val="TableParagraph"/>
              <w:spacing w:before="158" w:line="364" w:lineRule="auto"/>
              <w:ind w:left="112" w:right="87" w:firstLine="480"/>
              <w:rPr>
                <w:sz w:val="24"/>
              </w:rPr>
            </w:pPr>
            <w:r>
              <w:rPr>
                <w:sz w:val="24"/>
              </w:rPr>
              <w:t>施工废水执行《城市污水再生利用 城市杂用水水质》（</w:t>
            </w:r>
            <w:r>
              <w:rPr>
                <w:rFonts w:ascii="Times New Roman" w:eastAsia="Times New Roman" w:hAnsi="Times New Roman"/>
                <w:sz w:val="24"/>
              </w:rPr>
              <w:t>GB/T18920-2020</w:t>
            </w:r>
            <w:r>
              <w:rPr>
                <w:sz w:val="24"/>
              </w:rPr>
              <w:t>）中用途为“冲厕、车辆冲洗”的排放限值要求。</w:t>
            </w:r>
          </w:p>
          <w:p>
            <w:pPr>
              <w:pStyle w:val="TableParagraph"/>
              <w:numPr>
                <w:ilvl w:val="0"/>
                <w:numId w:val="19"/>
              </w:numPr>
              <w:tabs>
                <w:tab w:val="left" w:pos="714"/>
              </w:tabs>
              <w:spacing w:before="0" w:after="0" w:line="306" w:lineRule="exact"/>
              <w:ind w:left="713" w:right="0" w:hanging="602"/>
              <w:jc w:val="left"/>
              <w:rPr>
                <w:sz w:val="24"/>
              </w:rPr>
            </w:pPr>
            <w:r>
              <w:rPr>
                <w:sz w:val="24"/>
              </w:rPr>
              <w:t>施工扬尘</w:t>
            </w:r>
          </w:p>
          <w:p>
            <w:pPr>
              <w:pStyle w:val="TableParagraph"/>
              <w:spacing w:before="161" w:line="362" w:lineRule="auto"/>
              <w:ind w:left="112" w:right="42" w:firstLine="480"/>
              <w:rPr>
                <w:sz w:val="24"/>
              </w:rPr>
            </w:pPr>
            <w:r>
              <w:rPr>
                <w:sz w:val="24"/>
              </w:rPr>
              <w:t>执行广东省地方标准《大气污染物排放限值》（</w:t>
            </w:r>
            <w:r>
              <w:rPr>
                <w:rFonts w:ascii="Times New Roman" w:eastAsia="Times New Roman"/>
                <w:sz w:val="24"/>
              </w:rPr>
              <w:t>DB44/27-2001</w:t>
            </w:r>
            <w:r>
              <w:rPr>
                <w:sz w:val="24"/>
              </w:rPr>
              <w:t>）第二时段无组织排放标准限值要求。</w:t>
            </w:r>
          </w:p>
          <w:p>
            <w:pPr>
              <w:pStyle w:val="TableParagraph"/>
              <w:numPr>
                <w:ilvl w:val="0"/>
                <w:numId w:val="19"/>
              </w:numPr>
              <w:tabs>
                <w:tab w:val="left" w:pos="714"/>
              </w:tabs>
              <w:spacing w:before="5" w:after="0" w:line="240" w:lineRule="auto"/>
              <w:ind w:left="713" w:right="0" w:hanging="602"/>
              <w:jc w:val="left"/>
              <w:rPr>
                <w:sz w:val="24"/>
              </w:rPr>
            </w:pPr>
            <w:r>
              <w:rPr>
                <w:sz w:val="24"/>
              </w:rPr>
              <w:t>固体废物</w:t>
            </w:r>
          </w:p>
          <w:p>
            <w:pPr>
              <w:pStyle w:val="TableParagraph"/>
              <w:spacing w:before="160" w:line="362" w:lineRule="auto"/>
              <w:ind w:left="112" w:right="42" w:firstLine="480"/>
              <w:rPr>
                <w:sz w:val="24"/>
              </w:rPr>
            </w:pPr>
            <w:r>
              <w:rPr>
                <w:sz w:val="24"/>
              </w:rPr>
              <w:t>固体废弃物管理应遵照《中华人民共和国固体废物污染环境防治法》、《广东省固体废物污染环境防治条例》等有关规定。</w:t>
            </w:r>
          </w:p>
          <w:p>
            <w:pPr>
              <w:pStyle w:val="TableParagraph"/>
              <w:numPr>
                <w:ilvl w:val="0"/>
                <w:numId w:val="19"/>
              </w:numPr>
              <w:tabs>
                <w:tab w:val="left" w:pos="714"/>
              </w:tabs>
              <w:spacing w:before="3" w:after="0" w:line="240" w:lineRule="auto"/>
              <w:ind w:left="713" w:right="0" w:hanging="602"/>
              <w:jc w:val="left"/>
              <w:rPr>
                <w:sz w:val="24"/>
              </w:rPr>
            </w:pPr>
            <w:r>
              <w:rPr>
                <w:sz w:val="24"/>
              </w:rPr>
              <w:t>燃油废气</w:t>
            </w:r>
          </w:p>
          <w:p>
            <w:pPr>
              <w:pStyle w:val="TableParagraph"/>
              <w:spacing w:before="160" w:line="364" w:lineRule="auto"/>
              <w:ind w:left="112" w:right="87" w:firstLine="480"/>
              <w:jc w:val="both"/>
              <w:rPr>
                <w:sz w:val="24"/>
              </w:rPr>
            </w:pPr>
            <w:r>
              <w:rPr>
                <w:spacing w:val="-2"/>
                <w:sz w:val="24"/>
              </w:rPr>
              <w:t>施工阶段的施工机械燃油废气执行《非道路移动机械用柴油机排气污染物排放限值及测量方法</w:t>
            </w:r>
            <w:r>
              <w:rPr>
                <w:spacing w:val="-3"/>
                <w:sz w:val="24"/>
              </w:rPr>
              <w:t>（</w:t>
            </w:r>
            <w:r>
              <w:rPr>
                <w:spacing w:val="-2"/>
                <w:sz w:val="24"/>
              </w:rPr>
              <w:t>中国第三、四阶段</w:t>
            </w:r>
            <w:r>
              <w:rPr>
                <w:spacing w:val="-8"/>
                <w:sz w:val="24"/>
              </w:rPr>
              <w:t>）</w:t>
            </w:r>
            <w:r>
              <w:rPr>
                <w:spacing w:val="-17"/>
                <w:sz w:val="24"/>
              </w:rPr>
              <w:t>》</w:t>
            </w:r>
            <w:r>
              <w:rPr>
                <w:sz w:val="24"/>
              </w:rPr>
              <w:t>（</w:t>
            </w:r>
            <w:r>
              <w:rPr>
                <w:rFonts w:ascii="Times New Roman" w:eastAsia="Times New Roman"/>
                <w:sz w:val="24"/>
              </w:rPr>
              <w:t>GB20891-2014</w:t>
            </w:r>
            <w:r>
              <w:rPr>
                <w:sz w:val="24"/>
              </w:rPr>
              <w:t>）</w:t>
            </w:r>
            <w:r>
              <w:rPr>
                <w:spacing w:val="-5"/>
                <w:sz w:val="24"/>
              </w:rPr>
              <w:t>及修改单、《非道路柴</w:t>
            </w:r>
            <w:r>
              <w:rPr>
                <w:spacing w:val="-4"/>
                <w:sz w:val="24"/>
              </w:rPr>
              <w:t>油移动机械污染物排放控制技术要求》</w:t>
            </w:r>
            <w:r>
              <w:rPr>
                <w:spacing w:val="-3"/>
                <w:sz w:val="24"/>
              </w:rPr>
              <w:t>（</w:t>
            </w:r>
            <w:r>
              <w:rPr>
                <w:rFonts w:ascii="Times New Roman" w:eastAsia="Times New Roman"/>
                <w:spacing w:val="-3"/>
                <w:sz w:val="24"/>
              </w:rPr>
              <w:t>HJ1014-2020</w:t>
            </w:r>
            <w:r>
              <w:rPr>
                <w:spacing w:val="-3"/>
                <w:sz w:val="24"/>
              </w:rPr>
              <w:t>）</w:t>
            </w:r>
            <w:r>
              <w:rPr>
                <w:spacing w:val="-7"/>
                <w:sz w:val="24"/>
              </w:rPr>
              <w:t>和《非道路柴油移动机械排</w:t>
            </w:r>
            <w:r>
              <w:rPr>
                <w:sz w:val="24"/>
              </w:rPr>
              <w:t>气烟度限值及测量方法》（</w:t>
            </w:r>
            <w:r>
              <w:rPr>
                <w:rFonts w:ascii="Times New Roman" w:eastAsia="Times New Roman"/>
                <w:sz w:val="24"/>
              </w:rPr>
              <w:t>GB36886-2018</w:t>
            </w:r>
            <w:r>
              <w:rPr>
                <w:sz w:val="24"/>
              </w:rPr>
              <w:t>）的相关要求。</w:t>
            </w:r>
          </w:p>
          <w:p>
            <w:pPr>
              <w:pStyle w:val="TableParagraph"/>
              <w:numPr>
                <w:ilvl w:val="0"/>
                <w:numId w:val="19"/>
              </w:numPr>
              <w:tabs>
                <w:tab w:val="left" w:pos="714"/>
              </w:tabs>
              <w:spacing w:before="0" w:after="0" w:line="305" w:lineRule="exact"/>
              <w:ind w:left="713" w:right="0" w:hanging="602"/>
              <w:jc w:val="left"/>
              <w:rPr>
                <w:sz w:val="24"/>
              </w:rPr>
            </w:pPr>
            <w:r>
              <w:rPr>
                <w:sz w:val="24"/>
              </w:rPr>
              <w:t>电磁环境</w:t>
            </w:r>
          </w:p>
          <w:p>
            <w:pPr>
              <w:pStyle w:val="TableParagraph"/>
              <w:spacing w:before="8" w:line="460" w:lineRule="atLeast"/>
              <w:ind w:left="112" w:right="32" w:firstLine="480"/>
              <w:rPr>
                <w:sz w:val="24"/>
              </w:rPr>
            </w:pPr>
            <w:r>
              <w:rPr>
                <w:sz w:val="24"/>
              </w:rPr>
              <w:t>电磁环境执行《电磁环境控制限值》（</w:t>
            </w:r>
            <w:r>
              <w:rPr>
                <w:rFonts w:ascii="Times New Roman" w:eastAsia="Times New Roman" w:hAnsi="Times New Roman"/>
                <w:sz w:val="24"/>
              </w:rPr>
              <w:t>GB 8702-2014</w:t>
            </w:r>
            <w:r>
              <w:rPr>
                <w:sz w:val="24"/>
              </w:rPr>
              <w:t xml:space="preserve">）频率为 </w:t>
            </w:r>
            <w:r>
              <w:rPr>
                <w:rFonts w:ascii="Times New Roman" w:eastAsia="Times New Roman" w:hAnsi="Times New Roman"/>
                <w:sz w:val="24"/>
              </w:rPr>
              <w:t xml:space="preserve">0.05kHz </w:t>
            </w:r>
            <w:r>
              <w:rPr>
                <w:sz w:val="24"/>
              </w:rPr>
              <w:t xml:space="preserve">的公众曝露控制限值（电场强度 </w:t>
            </w:r>
            <w:r>
              <w:rPr>
                <w:rFonts w:ascii="Times New Roman" w:eastAsia="Times New Roman" w:hAnsi="Times New Roman"/>
                <w:sz w:val="24"/>
              </w:rPr>
              <w:t>4000V/m</w:t>
            </w:r>
            <w:r>
              <w:rPr>
                <w:sz w:val="24"/>
              </w:rPr>
              <w:t xml:space="preserve">，磁感应强度 </w:t>
            </w:r>
            <w:r>
              <w:rPr>
                <w:rFonts w:ascii="Times New Roman" w:eastAsia="Times New Roman" w:hAnsi="Times New Roman"/>
                <w:sz w:val="24"/>
              </w:rPr>
              <w:t>100μT</w:t>
            </w:r>
            <w:r>
              <w:rPr>
                <w:sz w:val="24"/>
              </w:rPr>
              <w:t>）。</w:t>
            </w:r>
          </w:p>
        </w:tc>
      </w:tr>
      <w:tr>
        <w:tblPrEx>
          <w:tblW w:w="0" w:type="auto"/>
          <w:tblInd w:w="400" w:type="dxa"/>
          <w:tblLayout w:type="fixed"/>
          <w:tblCellMar>
            <w:top w:w="0" w:type="dxa"/>
            <w:left w:w="0" w:type="dxa"/>
            <w:bottom w:w="0" w:type="dxa"/>
            <w:right w:w="0" w:type="dxa"/>
          </w:tblCellMar>
        </w:tblPrEx>
        <w:trPr>
          <w:trHeight w:val="2372"/>
        </w:trPr>
        <w:tc>
          <w:tcPr>
            <w:tcW w:w="442" w:type="dxa"/>
            <w:tcBorders>
              <w:top w:val="single" w:sz="4" w:space="0" w:color="000000"/>
              <w:right w:val="single" w:sz="4" w:space="0" w:color="000000"/>
            </w:tcBorders>
          </w:tcPr>
          <w:p>
            <w:pPr>
              <w:pStyle w:val="TableParagraph"/>
              <w:rPr>
                <w:sz w:val="24"/>
              </w:rPr>
            </w:pPr>
          </w:p>
          <w:p>
            <w:pPr>
              <w:pStyle w:val="TableParagraph"/>
              <w:rPr>
                <w:sz w:val="24"/>
              </w:rPr>
            </w:pPr>
          </w:p>
          <w:p>
            <w:pPr>
              <w:pStyle w:val="TableParagraph"/>
              <w:spacing w:before="3"/>
              <w:rPr>
                <w:sz w:val="20"/>
              </w:rPr>
            </w:pPr>
          </w:p>
          <w:p>
            <w:pPr>
              <w:pStyle w:val="TableParagraph"/>
              <w:spacing w:before="1" w:line="242" w:lineRule="auto"/>
              <w:ind w:left="108" w:right="78"/>
              <w:rPr>
                <w:sz w:val="24"/>
              </w:rPr>
            </w:pPr>
            <w:r>
              <w:rPr>
                <w:sz w:val="24"/>
              </w:rPr>
              <w:t>其他</w:t>
            </w:r>
          </w:p>
        </w:tc>
        <w:tc>
          <w:tcPr>
            <w:tcW w:w="8845" w:type="dxa"/>
            <w:tcBorders>
              <w:top w:val="single" w:sz="4" w:space="0" w:color="000000"/>
              <w:left w:val="single" w:sz="4" w:space="0" w:color="000000"/>
            </w:tcBorders>
          </w:tcPr>
          <w:p>
            <w:pPr>
              <w:pStyle w:val="TableParagraph"/>
              <w:rPr>
                <w:sz w:val="24"/>
              </w:rPr>
            </w:pPr>
          </w:p>
          <w:p>
            <w:pPr>
              <w:pStyle w:val="TableParagraph"/>
              <w:rPr>
                <w:sz w:val="24"/>
              </w:rPr>
            </w:pPr>
          </w:p>
          <w:p>
            <w:pPr>
              <w:pStyle w:val="TableParagraph"/>
              <w:spacing w:before="6"/>
              <w:rPr>
                <w:sz w:val="26"/>
              </w:rPr>
            </w:pPr>
          </w:p>
          <w:p>
            <w:pPr>
              <w:pStyle w:val="TableParagraph"/>
              <w:ind w:left="592"/>
              <w:rPr>
                <w:sz w:val="24"/>
              </w:rPr>
            </w:pPr>
            <w:r>
              <w:rPr>
                <w:sz w:val="24"/>
              </w:rPr>
              <w:t>本工程运行期不排放工业废水、废气，故本项目不设置总量控制指标。</w:t>
            </w:r>
          </w:p>
        </w:tc>
      </w:tr>
    </w:tbl>
    <w:p>
      <w:pPr>
        <w:spacing w:after="0"/>
        <w:rPr>
          <w:sz w:val="24"/>
        </w:rPr>
        <w:sectPr>
          <w:footerReference w:type="default" r:id="rId52"/>
          <w:pgSz w:w="11910" w:h="16840"/>
          <w:pgMar w:top="1420" w:right="901" w:bottom="1160" w:left="920" w:header="0" w:footer="963" w:gutter="0"/>
          <w:pgNumType w:start="32"/>
          <w:cols w:num="1" w:space="720"/>
        </w:sectPr>
      </w:pPr>
    </w:p>
    <w:p>
      <w:pPr>
        <w:pStyle w:val="Heading1"/>
      </w:pPr>
      <w:r>
        <w:pict>
          <v:group id="_x0000_s1238" o:spid="_x0000_s1097" style="width:459.2pt;height:651.65pt;margin-top:102.05pt;margin-left:68.05pt;mso-height-relative:page;mso-position-horizontal-relative:page;mso-position-vertical-relative:page;mso-width-relative:page;position:absolute;z-index:-251637760" coordorigin="1361,2042" coordsize="9184,13033">
            <v:shape id="_x0000_s1239" o:spid="_x0000_s1098" style="width:9184;height:13033;left:1361;position:absolute;top:1765" coordorigin="1361,1766" coordsize="9184,13033" path="m1361,2052l10545,2052m1361,15065l10545,15065m1371,2042l1371,15074m10535,2061l10535,15074e" filled="f" stroked="t" strokecolor="black">
              <v:path arrowok="t"/>
            </v:shape>
            <v:line id="_x0000_s1240" o:spid="_x0000_s1099" style="position:absolute" from="1827,2061" to="1827,15055" coordsize="21600,21600" stroked="t" strokecolor="black"/>
          </v:group>
        </w:pict>
      </w:r>
      <w:bookmarkStart w:id="9" w:name="四、生态环境影响分析"/>
      <w:bookmarkEnd w:id="9"/>
      <w:bookmarkStart w:id="10" w:name="_bookmark3"/>
      <w:bookmarkEnd w:id="10"/>
      <w:r>
        <w:t>四、生态环境影响分析</w:t>
      </w:r>
    </w:p>
    <w:p>
      <w:pPr>
        <w:pStyle w:val="BodyText"/>
        <w:spacing w:before="6"/>
        <w:rPr>
          <w:b/>
          <w:sz w:val="12"/>
        </w:rPr>
      </w:pPr>
    </w:p>
    <w:p>
      <w:pPr>
        <w:pStyle w:val="Heading3"/>
        <w:numPr>
          <w:ilvl w:val="0"/>
          <w:numId w:val="20"/>
        </w:numPr>
        <w:tabs>
          <w:tab w:val="left" w:pos="1255"/>
        </w:tabs>
        <w:spacing w:before="74" w:after="0" w:line="240" w:lineRule="auto"/>
        <w:ind w:left="1254" w:right="4203" w:hanging="1255"/>
        <w:jc w:val="left"/>
      </w:pPr>
      <w:r>
        <w:t>施工期环境污染的主要环节、因素</w:t>
      </w:r>
    </w:p>
    <w:p>
      <w:pPr>
        <w:pStyle w:val="BodyText"/>
        <w:spacing w:before="160" w:line="364" w:lineRule="auto"/>
        <w:ind w:left="1494" w:right="578" w:hanging="99"/>
        <w:jc w:val="center"/>
      </w:pPr>
      <w:r>
        <w:rPr>
          <w:rFonts w:ascii="Times New Roman" w:eastAsia="Times New Roman"/>
        </w:rPr>
        <w:t xml:space="preserve">220kV </w:t>
      </w:r>
      <w:r>
        <w:t>加琴甲乙线电缆化迁改工程项目包括电缆线路工程、架空线路工程。本项目施工期的主要污染因子有：施工噪声、扬尘、施工废污水和废弃、固</w:t>
      </w:r>
    </w:p>
    <w:p>
      <w:pPr>
        <w:pStyle w:val="BodyText"/>
        <w:spacing w:before="2"/>
        <w:ind w:left="965" w:right="483"/>
        <w:jc w:val="center"/>
      </w:pPr>
      <w:r>
        <w:t xml:space="preserve">体废弃物、土地占用、植被破坏和水土流失等。施工期主要污染工序详见表 </w:t>
      </w:r>
      <w:r>
        <w:rPr>
          <w:rFonts w:ascii="Times New Roman" w:eastAsia="Times New Roman"/>
        </w:rPr>
        <w:t>4-1</w:t>
      </w:r>
      <w:r>
        <w:t>。</w:t>
      </w:r>
    </w:p>
    <w:p>
      <w:pPr>
        <w:tabs>
          <w:tab w:val="left" w:pos="1187"/>
        </w:tabs>
        <w:spacing w:before="101"/>
        <w:ind w:left="434" w:right="0" w:firstLine="0"/>
        <w:jc w:val="center"/>
        <w:rPr>
          <w:b/>
          <w:sz w:val="21"/>
        </w:rPr>
      </w:pPr>
      <w:r>
        <w:pict>
          <v:shape id="_x0000_s1241" o:spid="_x0000_s1100" type="#_x0000_t202" style="width:422.15pt;height:329.95pt;margin-top:19.6pt;margin-left:98.1pt;mso-height-relative:page;mso-position-horizontal-relative:page;mso-width-relative:page;position:absolute;z-index:251679744" coordsize="21600,21600" filled="f" stroked="f">
            <v:stroke joinstyle="miter"/>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80"/>
                    <w:gridCol w:w="2220"/>
                    <w:gridCol w:w="5528"/>
                  </w:tblGrid>
                  <w:tr>
                    <w:tblPrEx>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67"/>
                    </w:trPr>
                    <w:tc>
                      <w:tcPr>
                        <w:tcW w:w="680" w:type="dxa"/>
                        <w:tcBorders>
                          <w:left w:val="nil"/>
                        </w:tcBorders>
                      </w:tcPr>
                      <w:p>
                        <w:pPr>
                          <w:pStyle w:val="TableParagraph"/>
                          <w:spacing w:before="148"/>
                          <w:ind w:left="112" w:right="101"/>
                          <w:jc w:val="center"/>
                          <w:rPr>
                            <w:b/>
                            <w:sz w:val="21"/>
                          </w:rPr>
                        </w:pPr>
                        <w:r>
                          <w:rPr>
                            <w:b/>
                            <w:sz w:val="21"/>
                          </w:rPr>
                          <w:t>序号</w:t>
                        </w:r>
                      </w:p>
                    </w:tc>
                    <w:tc>
                      <w:tcPr>
                        <w:tcW w:w="2220" w:type="dxa"/>
                      </w:tcPr>
                      <w:p>
                        <w:pPr>
                          <w:pStyle w:val="TableParagraph"/>
                          <w:spacing w:before="148"/>
                          <w:ind w:left="145" w:right="135"/>
                          <w:jc w:val="center"/>
                          <w:rPr>
                            <w:b/>
                            <w:sz w:val="21"/>
                          </w:rPr>
                        </w:pPr>
                        <w:r>
                          <w:rPr>
                            <w:b/>
                            <w:sz w:val="21"/>
                          </w:rPr>
                          <w:t>污染因子</w:t>
                        </w:r>
                      </w:p>
                    </w:tc>
                    <w:tc>
                      <w:tcPr>
                        <w:tcW w:w="5528" w:type="dxa"/>
                        <w:tcBorders>
                          <w:right w:val="nil"/>
                        </w:tcBorders>
                      </w:tcPr>
                      <w:p>
                        <w:pPr>
                          <w:pStyle w:val="TableParagraph"/>
                          <w:spacing w:before="148"/>
                          <w:ind w:left="410" w:right="409"/>
                          <w:jc w:val="center"/>
                          <w:rPr>
                            <w:b/>
                            <w:sz w:val="21"/>
                          </w:rPr>
                        </w:pPr>
                        <w:r>
                          <w:rPr>
                            <w:b/>
                            <w:sz w:val="21"/>
                          </w:rPr>
                          <w:t>主要污染工序</w:t>
                        </w:r>
                      </w:p>
                    </w:tc>
                  </w:tr>
                  <w:tr>
                    <w:tblPrEx>
                      <w:tblW w:w="0" w:type="auto"/>
                      <w:tblInd w:w="7" w:type="dxa"/>
                      <w:tblLayout w:type="fixed"/>
                      <w:tblCellMar>
                        <w:top w:w="0" w:type="dxa"/>
                        <w:left w:w="0" w:type="dxa"/>
                        <w:bottom w:w="0" w:type="dxa"/>
                        <w:right w:w="0" w:type="dxa"/>
                      </w:tblCellMar>
                    </w:tblPrEx>
                    <w:trPr>
                      <w:trHeight w:val="936"/>
                    </w:trPr>
                    <w:tc>
                      <w:tcPr>
                        <w:tcW w:w="680" w:type="dxa"/>
                        <w:tcBorders>
                          <w:left w:val="nil"/>
                        </w:tcBorders>
                      </w:tcPr>
                      <w:p>
                        <w:pPr>
                          <w:pStyle w:val="TableParagraph"/>
                          <w:spacing w:before="2"/>
                          <w:rPr>
                            <w:sz w:val="27"/>
                          </w:rPr>
                        </w:pPr>
                      </w:p>
                      <w:p>
                        <w:pPr>
                          <w:pStyle w:val="TableParagraph"/>
                          <w:ind w:left="12"/>
                          <w:jc w:val="center"/>
                          <w:rPr>
                            <w:rFonts w:ascii="Times New Roman"/>
                            <w:sz w:val="21"/>
                          </w:rPr>
                        </w:pPr>
                        <w:r>
                          <w:rPr>
                            <w:rFonts w:ascii="Times New Roman"/>
                            <w:w w:val="99"/>
                            <w:sz w:val="21"/>
                          </w:rPr>
                          <w:t>1</w:t>
                        </w:r>
                      </w:p>
                    </w:tc>
                    <w:tc>
                      <w:tcPr>
                        <w:tcW w:w="2220" w:type="dxa"/>
                      </w:tcPr>
                      <w:p>
                        <w:pPr>
                          <w:pStyle w:val="TableParagraph"/>
                          <w:spacing w:before="1"/>
                          <w:rPr>
                            <w:sz w:val="26"/>
                          </w:rPr>
                        </w:pPr>
                      </w:p>
                      <w:p>
                        <w:pPr>
                          <w:pStyle w:val="TableParagraph"/>
                          <w:ind w:left="140" w:right="135"/>
                          <w:jc w:val="center"/>
                          <w:rPr>
                            <w:sz w:val="21"/>
                          </w:rPr>
                        </w:pPr>
                        <w:r>
                          <w:rPr>
                            <w:sz w:val="21"/>
                          </w:rPr>
                          <w:t>施工噪声</w:t>
                        </w:r>
                      </w:p>
                    </w:tc>
                    <w:tc>
                      <w:tcPr>
                        <w:tcW w:w="5528" w:type="dxa"/>
                        <w:tcBorders>
                          <w:right w:val="nil"/>
                        </w:tcBorders>
                      </w:tcPr>
                      <w:p>
                        <w:pPr>
                          <w:pStyle w:val="TableParagraph"/>
                          <w:numPr>
                            <w:ilvl w:val="0"/>
                            <w:numId w:val="21"/>
                          </w:numPr>
                          <w:tabs>
                            <w:tab w:val="left" w:pos="687"/>
                          </w:tabs>
                          <w:spacing w:before="22" w:after="0" w:line="278" w:lineRule="auto"/>
                          <w:ind w:left="107" w:right="101" w:firstLine="420"/>
                          <w:jc w:val="left"/>
                          <w:rPr>
                            <w:sz w:val="21"/>
                          </w:rPr>
                        </w:pPr>
                        <w:r>
                          <w:rPr>
                            <w:spacing w:val="-7"/>
                            <w:w w:val="95"/>
                            <w:sz w:val="21"/>
                          </w:rPr>
                          <w:t>施工期间机械设备产生的施工噪声</w:t>
                        </w:r>
                        <w:r>
                          <w:rPr>
                            <w:w w:val="95"/>
                            <w:sz w:val="21"/>
                          </w:rPr>
                          <w:t xml:space="preserve">（施工主要机械有 </w:t>
                        </w:r>
                        <w:r>
                          <w:rPr>
                            <w:sz w:val="21"/>
                          </w:rPr>
                          <w:t>混凝土搅拌车、推土机、挖掘机等）；</w:t>
                        </w:r>
                      </w:p>
                      <w:p>
                        <w:pPr>
                          <w:pStyle w:val="TableParagraph"/>
                          <w:numPr>
                            <w:ilvl w:val="0"/>
                            <w:numId w:val="21"/>
                          </w:numPr>
                          <w:tabs>
                            <w:tab w:val="left" w:pos="687"/>
                          </w:tabs>
                          <w:spacing w:before="0" w:after="0" w:line="269" w:lineRule="exact"/>
                          <w:ind w:left="686" w:right="0" w:hanging="160"/>
                          <w:jc w:val="left"/>
                          <w:rPr>
                            <w:sz w:val="21"/>
                          </w:rPr>
                        </w:pPr>
                        <w:r>
                          <w:rPr>
                            <w:sz w:val="21"/>
                          </w:rPr>
                          <w:t>运输车辆行驶期间产生的噪声。</w:t>
                        </w:r>
                      </w:p>
                    </w:tc>
                  </w:tr>
                  <w:tr>
                    <w:tblPrEx>
                      <w:tblW w:w="0" w:type="auto"/>
                      <w:tblInd w:w="7" w:type="dxa"/>
                      <w:tblLayout w:type="fixed"/>
                      <w:tblCellMar>
                        <w:top w:w="0" w:type="dxa"/>
                        <w:left w:w="0" w:type="dxa"/>
                        <w:bottom w:w="0" w:type="dxa"/>
                        <w:right w:w="0" w:type="dxa"/>
                      </w:tblCellMar>
                    </w:tblPrEx>
                    <w:trPr>
                      <w:trHeight w:val="935"/>
                    </w:trPr>
                    <w:tc>
                      <w:tcPr>
                        <w:tcW w:w="680" w:type="dxa"/>
                        <w:tcBorders>
                          <w:left w:val="nil"/>
                        </w:tcBorders>
                      </w:tcPr>
                      <w:p>
                        <w:pPr>
                          <w:pStyle w:val="TableParagraph"/>
                          <w:spacing w:before="1"/>
                          <w:rPr>
                            <w:sz w:val="27"/>
                          </w:rPr>
                        </w:pPr>
                      </w:p>
                      <w:p>
                        <w:pPr>
                          <w:pStyle w:val="TableParagraph"/>
                          <w:spacing w:before="1"/>
                          <w:ind w:left="12"/>
                          <w:jc w:val="center"/>
                          <w:rPr>
                            <w:rFonts w:ascii="Times New Roman"/>
                            <w:sz w:val="21"/>
                          </w:rPr>
                        </w:pPr>
                        <w:r>
                          <w:rPr>
                            <w:rFonts w:ascii="Times New Roman"/>
                            <w:w w:val="99"/>
                            <w:sz w:val="21"/>
                          </w:rPr>
                          <w:t>2</w:t>
                        </w:r>
                      </w:p>
                    </w:tc>
                    <w:tc>
                      <w:tcPr>
                        <w:tcW w:w="2220" w:type="dxa"/>
                      </w:tcPr>
                      <w:p>
                        <w:pPr>
                          <w:pStyle w:val="TableParagraph"/>
                          <w:rPr>
                            <w:sz w:val="26"/>
                          </w:rPr>
                        </w:pPr>
                      </w:p>
                      <w:p>
                        <w:pPr>
                          <w:pStyle w:val="TableParagraph"/>
                          <w:ind w:left="145" w:right="135"/>
                          <w:jc w:val="center"/>
                          <w:rPr>
                            <w:sz w:val="21"/>
                          </w:rPr>
                        </w:pPr>
                        <w:r>
                          <w:rPr>
                            <w:sz w:val="21"/>
                          </w:rPr>
                          <w:t>施工扬尘和燃油废气</w:t>
                        </w:r>
                      </w:p>
                    </w:tc>
                    <w:tc>
                      <w:tcPr>
                        <w:tcW w:w="5528" w:type="dxa"/>
                        <w:tcBorders>
                          <w:right w:val="nil"/>
                        </w:tcBorders>
                      </w:tcPr>
                      <w:p>
                        <w:pPr>
                          <w:pStyle w:val="TableParagraph"/>
                          <w:numPr>
                            <w:ilvl w:val="0"/>
                            <w:numId w:val="22"/>
                          </w:numPr>
                          <w:tabs>
                            <w:tab w:val="left" w:pos="687"/>
                          </w:tabs>
                          <w:spacing w:before="22" w:after="0" w:line="278" w:lineRule="auto"/>
                          <w:ind w:left="107" w:right="0" w:firstLine="420"/>
                          <w:jc w:val="left"/>
                          <w:rPr>
                            <w:sz w:val="21"/>
                          </w:rPr>
                        </w:pPr>
                        <w:r>
                          <w:rPr>
                            <w:spacing w:val="-10"/>
                            <w:sz w:val="21"/>
                          </w:rPr>
                          <w:t>电缆沟基础开挖、电缆终端塔架设、材料和设备装卸</w:t>
                        </w:r>
                        <w:r>
                          <w:rPr>
                            <w:spacing w:val="-9"/>
                            <w:w w:val="95"/>
                            <w:sz w:val="21"/>
                          </w:rPr>
                          <w:t>和堆放、运输车辆以及施工机械在工作过程中产生的扬尘；</w:t>
                        </w:r>
                      </w:p>
                      <w:p>
                        <w:pPr>
                          <w:pStyle w:val="TableParagraph"/>
                          <w:numPr>
                            <w:ilvl w:val="0"/>
                            <w:numId w:val="22"/>
                          </w:numPr>
                          <w:tabs>
                            <w:tab w:val="left" w:pos="687"/>
                          </w:tabs>
                          <w:spacing w:before="0" w:after="0" w:line="269" w:lineRule="exact"/>
                          <w:ind w:left="686" w:right="0" w:hanging="160"/>
                          <w:jc w:val="left"/>
                          <w:rPr>
                            <w:sz w:val="21"/>
                          </w:rPr>
                        </w:pPr>
                        <w:r>
                          <w:rPr>
                            <w:sz w:val="21"/>
                          </w:rPr>
                          <w:t>施工机械和运输车辆排放的尾气。</w:t>
                        </w:r>
                      </w:p>
                    </w:tc>
                  </w:tr>
                  <w:tr>
                    <w:tblPrEx>
                      <w:tblW w:w="0" w:type="auto"/>
                      <w:tblInd w:w="7" w:type="dxa"/>
                      <w:tblLayout w:type="fixed"/>
                      <w:tblCellMar>
                        <w:top w:w="0" w:type="dxa"/>
                        <w:left w:w="0" w:type="dxa"/>
                        <w:bottom w:w="0" w:type="dxa"/>
                        <w:right w:w="0" w:type="dxa"/>
                      </w:tblCellMar>
                    </w:tblPrEx>
                    <w:trPr>
                      <w:trHeight w:val="1247"/>
                    </w:trPr>
                    <w:tc>
                      <w:tcPr>
                        <w:tcW w:w="680" w:type="dxa"/>
                        <w:tcBorders>
                          <w:left w:val="nil"/>
                        </w:tcBorders>
                      </w:tcPr>
                      <w:p>
                        <w:pPr>
                          <w:pStyle w:val="TableParagraph"/>
                          <w:rPr>
                            <w:sz w:val="22"/>
                          </w:rPr>
                        </w:pPr>
                      </w:p>
                      <w:p>
                        <w:pPr>
                          <w:pStyle w:val="TableParagraph"/>
                          <w:spacing w:before="3"/>
                          <w:rPr>
                            <w:sz w:val="17"/>
                          </w:rPr>
                        </w:pPr>
                      </w:p>
                      <w:p>
                        <w:pPr>
                          <w:pStyle w:val="TableParagraph"/>
                          <w:ind w:left="12"/>
                          <w:jc w:val="center"/>
                          <w:rPr>
                            <w:rFonts w:ascii="Times New Roman"/>
                            <w:sz w:val="21"/>
                          </w:rPr>
                        </w:pPr>
                        <w:r>
                          <w:rPr>
                            <w:rFonts w:ascii="Times New Roman"/>
                            <w:w w:val="99"/>
                            <w:sz w:val="21"/>
                          </w:rPr>
                          <w:t>3</w:t>
                        </w:r>
                      </w:p>
                    </w:tc>
                    <w:tc>
                      <w:tcPr>
                        <w:tcW w:w="2220" w:type="dxa"/>
                      </w:tcPr>
                      <w:p>
                        <w:pPr>
                          <w:pStyle w:val="TableParagraph"/>
                          <w:rPr>
                            <w:sz w:val="20"/>
                          </w:rPr>
                        </w:pPr>
                      </w:p>
                      <w:p>
                        <w:pPr>
                          <w:pStyle w:val="TableParagraph"/>
                          <w:spacing w:before="2"/>
                          <w:rPr>
                            <w:sz w:val="18"/>
                          </w:rPr>
                        </w:pPr>
                      </w:p>
                      <w:p>
                        <w:pPr>
                          <w:pStyle w:val="TableParagraph"/>
                          <w:ind w:left="142" w:right="135"/>
                          <w:jc w:val="center"/>
                          <w:rPr>
                            <w:sz w:val="21"/>
                          </w:rPr>
                        </w:pPr>
                        <w:r>
                          <w:rPr>
                            <w:sz w:val="21"/>
                          </w:rPr>
                          <w:t>废水</w:t>
                        </w:r>
                      </w:p>
                    </w:tc>
                    <w:tc>
                      <w:tcPr>
                        <w:tcW w:w="5528" w:type="dxa"/>
                        <w:tcBorders>
                          <w:right w:val="nil"/>
                        </w:tcBorders>
                      </w:tcPr>
                      <w:p>
                        <w:pPr>
                          <w:pStyle w:val="TableParagraph"/>
                          <w:numPr>
                            <w:ilvl w:val="0"/>
                            <w:numId w:val="23"/>
                          </w:numPr>
                          <w:tabs>
                            <w:tab w:val="left" w:pos="687"/>
                          </w:tabs>
                          <w:spacing w:before="21" w:after="0" w:line="240" w:lineRule="auto"/>
                          <w:ind w:left="686" w:right="0" w:hanging="160"/>
                          <w:jc w:val="left"/>
                          <w:rPr>
                            <w:sz w:val="21"/>
                          </w:rPr>
                        </w:pPr>
                        <w:r>
                          <w:rPr>
                            <w:sz w:val="21"/>
                          </w:rPr>
                          <w:t>施工人员生活污水；</w:t>
                        </w:r>
                      </w:p>
                      <w:p>
                        <w:pPr>
                          <w:pStyle w:val="TableParagraph"/>
                          <w:numPr>
                            <w:ilvl w:val="0"/>
                            <w:numId w:val="23"/>
                          </w:numPr>
                          <w:tabs>
                            <w:tab w:val="left" w:pos="687"/>
                          </w:tabs>
                          <w:spacing w:before="43" w:after="0" w:line="240" w:lineRule="auto"/>
                          <w:ind w:left="686" w:right="0" w:hanging="160"/>
                          <w:jc w:val="left"/>
                          <w:rPr>
                            <w:sz w:val="21"/>
                          </w:rPr>
                        </w:pPr>
                        <w:r>
                          <w:rPr>
                            <w:sz w:val="21"/>
                          </w:rPr>
                          <w:t>施工产生的施工废水；</w:t>
                        </w:r>
                      </w:p>
                      <w:p>
                        <w:pPr>
                          <w:pStyle w:val="TableParagraph"/>
                          <w:numPr>
                            <w:ilvl w:val="0"/>
                            <w:numId w:val="23"/>
                          </w:numPr>
                          <w:tabs>
                            <w:tab w:val="left" w:pos="687"/>
                          </w:tabs>
                          <w:spacing w:before="43" w:after="0" w:line="240" w:lineRule="auto"/>
                          <w:ind w:left="686" w:right="0" w:hanging="160"/>
                          <w:jc w:val="left"/>
                          <w:rPr>
                            <w:sz w:val="21"/>
                          </w:rPr>
                        </w:pPr>
                        <w:r>
                          <w:rPr>
                            <w:sz w:val="21"/>
                          </w:rPr>
                          <w:t>运输车辆、机械设备冲洗废水；</w:t>
                        </w:r>
                      </w:p>
                      <w:p>
                        <w:pPr>
                          <w:pStyle w:val="TableParagraph"/>
                          <w:numPr>
                            <w:ilvl w:val="0"/>
                            <w:numId w:val="23"/>
                          </w:numPr>
                          <w:tabs>
                            <w:tab w:val="left" w:pos="687"/>
                          </w:tabs>
                          <w:spacing w:before="43" w:after="0" w:line="240" w:lineRule="auto"/>
                          <w:ind w:left="686" w:right="0" w:hanging="160"/>
                          <w:jc w:val="left"/>
                          <w:rPr>
                            <w:sz w:val="21"/>
                          </w:rPr>
                        </w:pPr>
                        <w:r>
                          <w:rPr>
                            <w:sz w:val="21"/>
                          </w:rPr>
                          <w:t>雨水冲刷开挖土方及裸露地表产生的污水。</w:t>
                        </w:r>
                      </w:p>
                    </w:tc>
                  </w:tr>
                  <w:tr>
                    <w:tblPrEx>
                      <w:tblW w:w="0" w:type="auto"/>
                      <w:tblInd w:w="7" w:type="dxa"/>
                      <w:tblLayout w:type="fixed"/>
                      <w:tblCellMar>
                        <w:top w:w="0" w:type="dxa"/>
                        <w:left w:w="0" w:type="dxa"/>
                        <w:bottom w:w="0" w:type="dxa"/>
                        <w:right w:w="0" w:type="dxa"/>
                      </w:tblCellMar>
                    </w:tblPrEx>
                    <w:trPr>
                      <w:trHeight w:val="1248"/>
                    </w:trPr>
                    <w:tc>
                      <w:tcPr>
                        <w:tcW w:w="680" w:type="dxa"/>
                        <w:tcBorders>
                          <w:left w:val="nil"/>
                        </w:tcBorders>
                      </w:tcPr>
                      <w:p>
                        <w:pPr>
                          <w:pStyle w:val="TableParagraph"/>
                          <w:rPr>
                            <w:sz w:val="22"/>
                          </w:rPr>
                        </w:pPr>
                      </w:p>
                      <w:p>
                        <w:pPr>
                          <w:pStyle w:val="TableParagraph"/>
                          <w:spacing w:before="3"/>
                          <w:rPr>
                            <w:sz w:val="17"/>
                          </w:rPr>
                        </w:pPr>
                      </w:p>
                      <w:p>
                        <w:pPr>
                          <w:pStyle w:val="TableParagraph"/>
                          <w:ind w:left="12"/>
                          <w:jc w:val="center"/>
                          <w:rPr>
                            <w:rFonts w:ascii="Times New Roman"/>
                            <w:sz w:val="21"/>
                          </w:rPr>
                        </w:pPr>
                        <w:r>
                          <w:rPr>
                            <w:rFonts w:ascii="Times New Roman"/>
                            <w:w w:val="99"/>
                            <w:sz w:val="21"/>
                          </w:rPr>
                          <w:t>4</w:t>
                        </w:r>
                      </w:p>
                    </w:tc>
                    <w:tc>
                      <w:tcPr>
                        <w:tcW w:w="2220" w:type="dxa"/>
                      </w:tcPr>
                      <w:p>
                        <w:pPr>
                          <w:pStyle w:val="TableParagraph"/>
                          <w:rPr>
                            <w:sz w:val="20"/>
                          </w:rPr>
                        </w:pPr>
                      </w:p>
                      <w:p>
                        <w:pPr>
                          <w:pStyle w:val="TableParagraph"/>
                          <w:spacing w:before="2"/>
                          <w:rPr>
                            <w:sz w:val="18"/>
                          </w:rPr>
                        </w:pPr>
                      </w:p>
                      <w:p>
                        <w:pPr>
                          <w:pStyle w:val="TableParagraph"/>
                          <w:ind w:left="140" w:right="135"/>
                          <w:jc w:val="center"/>
                          <w:rPr>
                            <w:sz w:val="21"/>
                          </w:rPr>
                        </w:pPr>
                        <w:r>
                          <w:rPr>
                            <w:sz w:val="21"/>
                          </w:rPr>
                          <w:t>固体废物</w:t>
                        </w:r>
                      </w:p>
                    </w:tc>
                    <w:tc>
                      <w:tcPr>
                        <w:tcW w:w="5528" w:type="dxa"/>
                        <w:tcBorders>
                          <w:right w:val="nil"/>
                        </w:tcBorders>
                      </w:tcPr>
                      <w:p>
                        <w:pPr>
                          <w:pStyle w:val="TableParagraph"/>
                          <w:numPr>
                            <w:ilvl w:val="0"/>
                            <w:numId w:val="24"/>
                          </w:numPr>
                          <w:tabs>
                            <w:tab w:val="left" w:pos="687"/>
                          </w:tabs>
                          <w:spacing w:before="21" w:after="0" w:line="240" w:lineRule="auto"/>
                          <w:ind w:left="686" w:right="0" w:hanging="160"/>
                          <w:jc w:val="left"/>
                          <w:rPr>
                            <w:sz w:val="21"/>
                          </w:rPr>
                        </w:pPr>
                        <w:r>
                          <w:rPr>
                            <w:w w:val="95"/>
                            <w:sz w:val="21"/>
                          </w:rPr>
                          <w:t>电缆沟、电缆终端塔基础开挖产生的土方；</w:t>
                        </w:r>
                      </w:p>
                      <w:p>
                        <w:pPr>
                          <w:pStyle w:val="TableParagraph"/>
                          <w:numPr>
                            <w:ilvl w:val="0"/>
                            <w:numId w:val="24"/>
                          </w:numPr>
                          <w:tabs>
                            <w:tab w:val="left" w:pos="687"/>
                          </w:tabs>
                          <w:spacing w:before="43" w:after="0" w:line="240" w:lineRule="auto"/>
                          <w:ind w:left="686" w:right="0" w:hanging="160"/>
                          <w:jc w:val="left"/>
                          <w:rPr>
                            <w:sz w:val="21"/>
                          </w:rPr>
                        </w:pPr>
                        <w:r>
                          <w:rPr>
                            <w:w w:val="95"/>
                            <w:sz w:val="21"/>
                          </w:rPr>
                          <w:t>旧塔基和架空线路的拆除产生的废弃材料；</w:t>
                        </w:r>
                      </w:p>
                      <w:p>
                        <w:pPr>
                          <w:pStyle w:val="TableParagraph"/>
                          <w:numPr>
                            <w:ilvl w:val="0"/>
                            <w:numId w:val="24"/>
                          </w:numPr>
                          <w:tabs>
                            <w:tab w:val="left" w:pos="687"/>
                          </w:tabs>
                          <w:spacing w:before="43" w:after="0" w:line="240" w:lineRule="auto"/>
                          <w:ind w:left="686" w:right="0" w:hanging="160"/>
                          <w:jc w:val="left"/>
                          <w:rPr>
                            <w:sz w:val="21"/>
                          </w:rPr>
                        </w:pPr>
                        <w:r>
                          <w:rPr>
                            <w:w w:val="95"/>
                            <w:sz w:val="21"/>
                          </w:rPr>
                          <w:t>施工过程可能产生的建筑垃圾和废弃材料；</w:t>
                        </w:r>
                      </w:p>
                      <w:p>
                        <w:pPr>
                          <w:pStyle w:val="TableParagraph"/>
                          <w:numPr>
                            <w:ilvl w:val="0"/>
                            <w:numId w:val="24"/>
                          </w:numPr>
                          <w:tabs>
                            <w:tab w:val="left" w:pos="687"/>
                          </w:tabs>
                          <w:spacing w:before="43" w:after="0" w:line="240" w:lineRule="auto"/>
                          <w:ind w:left="686" w:right="0" w:hanging="160"/>
                          <w:jc w:val="left"/>
                          <w:rPr>
                            <w:sz w:val="21"/>
                          </w:rPr>
                        </w:pPr>
                        <w:r>
                          <w:rPr>
                            <w:sz w:val="21"/>
                          </w:rPr>
                          <w:t>施工人员的生活垃圾。</w:t>
                        </w:r>
                      </w:p>
                    </w:tc>
                  </w:tr>
                  <w:tr>
                    <w:tblPrEx>
                      <w:tblW w:w="0" w:type="auto"/>
                      <w:tblInd w:w="7" w:type="dxa"/>
                      <w:tblLayout w:type="fixed"/>
                      <w:tblCellMar>
                        <w:top w:w="0" w:type="dxa"/>
                        <w:left w:w="0" w:type="dxa"/>
                        <w:bottom w:w="0" w:type="dxa"/>
                        <w:right w:w="0" w:type="dxa"/>
                      </w:tblCellMar>
                    </w:tblPrEx>
                    <w:trPr>
                      <w:trHeight w:val="935"/>
                    </w:trPr>
                    <w:tc>
                      <w:tcPr>
                        <w:tcW w:w="680" w:type="dxa"/>
                        <w:tcBorders>
                          <w:left w:val="nil"/>
                        </w:tcBorders>
                      </w:tcPr>
                      <w:p>
                        <w:pPr>
                          <w:pStyle w:val="TableParagraph"/>
                          <w:rPr>
                            <w:sz w:val="27"/>
                          </w:rPr>
                        </w:pPr>
                      </w:p>
                      <w:p>
                        <w:pPr>
                          <w:pStyle w:val="TableParagraph"/>
                          <w:ind w:left="12"/>
                          <w:jc w:val="center"/>
                          <w:rPr>
                            <w:rFonts w:ascii="Times New Roman"/>
                            <w:sz w:val="21"/>
                          </w:rPr>
                        </w:pPr>
                        <w:r>
                          <w:rPr>
                            <w:rFonts w:ascii="Times New Roman"/>
                            <w:w w:val="99"/>
                            <w:sz w:val="21"/>
                          </w:rPr>
                          <w:t>5</w:t>
                        </w:r>
                      </w:p>
                    </w:tc>
                    <w:tc>
                      <w:tcPr>
                        <w:tcW w:w="2220" w:type="dxa"/>
                      </w:tcPr>
                      <w:p>
                        <w:pPr>
                          <w:pStyle w:val="TableParagraph"/>
                          <w:spacing w:before="12"/>
                          <w:rPr>
                            <w:sz w:val="25"/>
                          </w:rPr>
                        </w:pPr>
                      </w:p>
                      <w:p>
                        <w:pPr>
                          <w:pStyle w:val="TableParagraph"/>
                          <w:ind w:left="145" w:right="135"/>
                          <w:jc w:val="center"/>
                          <w:rPr>
                            <w:sz w:val="21"/>
                          </w:rPr>
                        </w:pPr>
                        <w:r>
                          <w:rPr>
                            <w:sz w:val="21"/>
                          </w:rPr>
                          <w:t>水土流失和植被破坏</w:t>
                        </w:r>
                      </w:p>
                    </w:tc>
                    <w:tc>
                      <w:tcPr>
                        <w:tcW w:w="5528" w:type="dxa"/>
                        <w:tcBorders>
                          <w:right w:val="nil"/>
                        </w:tcBorders>
                      </w:tcPr>
                      <w:p>
                        <w:pPr>
                          <w:pStyle w:val="TableParagraph"/>
                          <w:numPr>
                            <w:ilvl w:val="0"/>
                            <w:numId w:val="25"/>
                          </w:numPr>
                          <w:tabs>
                            <w:tab w:val="left" w:pos="687"/>
                          </w:tabs>
                          <w:spacing w:before="20" w:after="0" w:line="240" w:lineRule="auto"/>
                          <w:ind w:left="686" w:right="0" w:hanging="160"/>
                          <w:jc w:val="left"/>
                          <w:rPr>
                            <w:sz w:val="21"/>
                          </w:rPr>
                        </w:pPr>
                        <w:r>
                          <w:rPr>
                            <w:sz w:val="21"/>
                          </w:rPr>
                          <w:t>电缆沟、电缆终端塔等土石方工程的基础开挖及回</w:t>
                        </w:r>
                      </w:p>
                      <w:p>
                        <w:pPr>
                          <w:pStyle w:val="TableParagraph"/>
                          <w:spacing w:before="43"/>
                          <w:ind w:left="107"/>
                          <w:rPr>
                            <w:sz w:val="21"/>
                          </w:rPr>
                        </w:pPr>
                        <w:r>
                          <w:rPr>
                            <w:sz w:val="21"/>
                          </w:rPr>
                          <w:t>填；</w:t>
                        </w:r>
                      </w:p>
                      <w:p>
                        <w:pPr>
                          <w:pStyle w:val="TableParagraph"/>
                          <w:numPr>
                            <w:ilvl w:val="0"/>
                            <w:numId w:val="25"/>
                          </w:numPr>
                          <w:tabs>
                            <w:tab w:val="left" w:pos="687"/>
                          </w:tabs>
                          <w:spacing w:before="43" w:after="0" w:line="240" w:lineRule="auto"/>
                          <w:ind w:left="686" w:right="0" w:hanging="160"/>
                          <w:jc w:val="left"/>
                          <w:rPr>
                            <w:sz w:val="21"/>
                          </w:rPr>
                        </w:pPr>
                        <w:r>
                          <w:rPr>
                            <w:sz w:val="21"/>
                          </w:rPr>
                          <w:t>材料堆放、土方临时堆放以及运输过程。</w:t>
                        </w:r>
                      </w:p>
                    </w:tc>
                  </w:tr>
                  <w:tr>
                    <w:tblPrEx>
                      <w:tblW w:w="0" w:type="auto"/>
                      <w:tblInd w:w="7" w:type="dxa"/>
                      <w:tblLayout w:type="fixed"/>
                      <w:tblCellMar>
                        <w:top w:w="0" w:type="dxa"/>
                        <w:left w:w="0" w:type="dxa"/>
                        <w:bottom w:w="0" w:type="dxa"/>
                        <w:right w:w="0" w:type="dxa"/>
                      </w:tblCellMar>
                    </w:tblPrEx>
                    <w:trPr>
                      <w:trHeight w:val="648"/>
                    </w:trPr>
                    <w:tc>
                      <w:tcPr>
                        <w:tcW w:w="680" w:type="dxa"/>
                        <w:tcBorders>
                          <w:left w:val="nil"/>
                        </w:tcBorders>
                      </w:tcPr>
                      <w:p>
                        <w:pPr>
                          <w:pStyle w:val="TableParagraph"/>
                          <w:spacing w:before="9"/>
                          <w:rPr>
                            <w:sz w:val="15"/>
                          </w:rPr>
                        </w:pPr>
                      </w:p>
                      <w:p>
                        <w:pPr>
                          <w:pStyle w:val="TableParagraph"/>
                          <w:spacing w:before="1"/>
                          <w:ind w:left="12"/>
                          <w:jc w:val="center"/>
                          <w:rPr>
                            <w:rFonts w:ascii="Times New Roman"/>
                            <w:sz w:val="21"/>
                          </w:rPr>
                        </w:pPr>
                        <w:r>
                          <w:rPr>
                            <w:rFonts w:ascii="Times New Roman"/>
                            <w:w w:val="99"/>
                            <w:sz w:val="21"/>
                          </w:rPr>
                          <w:t>6</w:t>
                        </w:r>
                      </w:p>
                    </w:tc>
                    <w:tc>
                      <w:tcPr>
                        <w:tcW w:w="2220" w:type="dxa"/>
                      </w:tcPr>
                      <w:p>
                        <w:pPr>
                          <w:pStyle w:val="TableParagraph"/>
                          <w:spacing w:before="8"/>
                          <w:rPr>
                            <w:sz w:val="14"/>
                          </w:rPr>
                        </w:pPr>
                      </w:p>
                      <w:p>
                        <w:pPr>
                          <w:pStyle w:val="TableParagraph"/>
                          <w:spacing w:before="1"/>
                          <w:ind w:left="140" w:right="135"/>
                          <w:jc w:val="center"/>
                          <w:rPr>
                            <w:sz w:val="21"/>
                          </w:rPr>
                        </w:pPr>
                        <w:r>
                          <w:rPr>
                            <w:sz w:val="21"/>
                          </w:rPr>
                          <w:t>土地占用</w:t>
                        </w:r>
                      </w:p>
                    </w:tc>
                    <w:tc>
                      <w:tcPr>
                        <w:tcW w:w="5528" w:type="dxa"/>
                        <w:tcBorders>
                          <w:right w:val="nil"/>
                        </w:tcBorders>
                      </w:tcPr>
                      <w:p>
                        <w:pPr>
                          <w:pStyle w:val="TableParagraph"/>
                          <w:spacing w:before="188"/>
                          <w:ind w:left="506" w:right="409"/>
                          <w:jc w:val="center"/>
                          <w:rPr>
                            <w:sz w:val="21"/>
                          </w:rPr>
                        </w:pPr>
                        <w:r>
                          <w:rPr>
                            <w:rFonts w:ascii="Times New Roman" w:eastAsia="Times New Roman"/>
                            <w:sz w:val="21"/>
                          </w:rPr>
                          <w:t>1.</w:t>
                        </w:r>
                        <w:r>
                          <w:rPr>
                            <w:sz w:val="21"/>
                          </w:rPr>
                          <w:t>施工过程中材料堆放、土方堆放等临时占用土地</w:t>
                        </w:r>
                      </w:p>
                    </w:tc>
                  </w:tr>
                </w:tbl>
                <w:p>
                  <w:pPr>
                    <w:pStyle w:val="BodyText"/>
                  </w:pPr>
                </w:p>
              </w:txbxContent>
            </v:textbox>
          </v:shape>
        </w:pict>
      </w:r>
      <w:r>
        <w:rPr>
          <w:b/>
          <w:sz w:val="21"/>
        </w:rPr>
        <w:t>表</w:t>
      </w:r>
      <w:r>
        <w:rPr>
          <w:b/>
          <w:spacing w:val="-55"/>
          <w:sz w:val="21"/>
        </w:rPr>
        <w:t xml:space="preserve"> </w:t>
      </w:r>
      <w:r>
        <w:rPr>
          <w:rFonts w:ascii="Times New Roman" w:eastAsia="Times New Roman"/>
          <w:b/>
          <w:sz w:val="21"/>
        </w:rPr>
        <w:t>4-1</w:t>
      </w:r>
      <w:r>
        <w:rPr>
          <w:rFonts w:ascii="Times New Roman" w:eastAsia="Times New Roman"/>
          <w:b/>
          <w:sz w:val="21"/>
        </w:rPr>
        <w:tab/>
      </w:r>
      <w:r>
        <w:rPr>
          <w:b/>
          <w:sz w:val="21"/>
        </w:rPr>
        <w:t>施工期环境影响因子及其主要污染工序表</w:t>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11"/>
        <w:rPr>
          <w:b/>
          <w:sz w:val="28"/>
        </w:rPr>
      </w:pPr>
    </w:p>
    <w:p>
      <w:pPr>
        <w:pStyle w:val="BodyText"/>
        <w:spacing w:line="242" w:lineRule="auto"/>
        <w:ind w:left="548" w:right="9295"/>
        <w:jc w:val="both"/>
      </w:pPr>
      <w:r>
        <w:t>施工期生态环境影响分析</w:t>
      </w:r>
    </w:p>
    <w:p>
      <w:pPr>
        <w:pStyle w:val="BodyText"/>
      </w:pPr>
    </w:p>
    <w:p>
      <w:pPr>
        <w:pStyle w:val="BodyText"/>
      </w:pPr>
    </w:p>
    <w:p>
      <w:pPr>
        <w:pStyle w:val="BodyText"/>
      </w:pPr>
    </w:p>
    <w:p>
      <w:pPr>
        <w:pStyle w:val="Heading3"/>
        <w:numPr>
          <w:ilvl w:val="0"/>
          <w:numId w:val="20"/>
        </w:numPr>
        <w:tabs>
          <w:tab w:val="left" w:pos="1255"/>
        </w:tabs>
        <w:spacing w:before="207" w:after="0" w:line="240" w:lineRule="auto"/>
        <w:ind w:left="1254" w:right="0" w:hanging="241"/>
        <w:jc w:val="left"/>
      </w:pPr>
      <w:r>
        <w:t>施工期声环境影响分析</w:t>
      </w:r>
    </w:p>
    <w:p>
      <w:pPr>
        <w:pStyle w:val="Heading3"/>
        <w:numPr>
          <w:ilvl w:val="1"/>
          <w:numId w:val="20"/>
        </w:numPr>
        <w:tabs>
          <w:tab w:val="left" w:pos="1435"/>
        </w:tabs>
        <w:spacing w:before="160" w:after="0" w:line="240" w:lineRule="auto"/>
        <w:ind w:left="1434" w:right="0" w:hanging="421"/>
        <w:jc w:val="both"/>
      </w:pPr>
      <w:r>
        <w:t>施工噪声污染源</w:t>
      </w:r>
    </w:p>
    <w:p>
      <w:pPr>
        <w:pStyle w:val="BodyText"/>
        <w:spacing w:before="161" w:line="364" w:lineRule="auto"/>
        <w:ind w:left="1014" w:right="576" w:firstLine="487"/>
        <w:jc w:val="both"/>
      </w:pPr>
      <w:r>
        <w:t>本项目电缆在横琴粤澳深度合作区环岛北路电缆隧道（综合管廊）、横琴隧道电力舱、宝琴路电缆隧道施工过程在地下，其施工活动和施工设备经地面隔声后对外界声环境质量影响很小；本项目架空线路的拆除，由于不需要使用大型施工设备，对外界声环境质量影响很小。</w:t>
      </w:r>
    </w:p>
    <w:p>
      <w:pPr>
        <w:pStyle w:val="BodyText"/>
        <w:spacing w:before="2" w:line="364" w:lineRule="auto"/>
        <w:ind w:left="1014" w:right="578" w:firstLine="487"/>
      </w:pPr>
      <w:r>
        <w:t>因此，本项目施工过程中主要是电缆沟以及电缆终端塔基础开挖的土石方过程会对周边声环境产生较大影响。</w:t>
      </w:r>
    </w:p>
    <w:p>
      <w:pPr>
        <w:spacing w:after="0" w:line="364"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3" w:history="1">
        <w:r>
          <w:rPr>
            <w:rFonts w:ascii="SimSun" w:eastAsia="SimSun" w:hAnsi="SimSun" w:cs="SimSun"/>
            <w:b/>
            <w:bCs/>
            <w:color w:val="0000EE"/>
            <w:sz w:val="30"/>
            <w:szCs w:val="30"/>
            <w:u w:val="single" w:color="0000EE"/>
          </w:rPr>
          <w:t>https://d.book118.com/665021224040011124</w:t>
        </w:r>
      </w:hyperlink>
    </w:p>
    <w:p>
      <w:pPr>
        <w:spacing w:after="0" w:line="364" w:lineRule="auto"/>
      </w:pPr>
    </w:p>
    <w:sectPr>
      <w:footerReference w:type="default" r:id="rId54"/>
      <w:pgSz w:w="11910" w:h="16840"/>
      <w:pgMar w:top="1500" w:right="901" w:bottom="1160" w:left="920" w:header="0" w:footer="963" w:gutter="0"/>
      <w:pgNumType w:start="33"/>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401FF" w:csb1="00000000"/>
  </w:font>
  <w:font w:name="MS Gothic">
    <w:panose1 w:val="020B0609070205080204"/>
    <w:charset w:val="80"/>
    <w:family w:val="modern"/>
    <w:pitch w:val="default"/>
    <w:sig w:usb0="E00002FF" w:usb1="6AC7FDFB" w:usb2="08000012" w:usb3="00000000" w:csb0="4002009F" w:csb1="DFD70000"/>
  </w:font>
  <w:font w:name="等线">
    <w:panose1 w:val="02010600030101010101"/>
    <w:charset w:val="86"/>
    <w:family w:val="auto"/>
    <w:pitch w:val="default"/>
    <w:sig w:usb0="A00002BF" w:usb1="38CF7CFA" w:usb2="00000016" w:usb3="00000000" w:csb0="0004000F" w:csb1="00000000"/>
  </w:font>
  <w:font w:name="MT Extra">
    <w:panose1 w:val="05050102010205020202"/>
    <w:charset w:val="02"/>
    <w:family w:val="roman"/>
    <w:pitch w:val="default"/>
    <w:sig w:usb0="80000000" w:usb1="0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49" type="#_x0000_t202" style="width:8.75pt;height:11.4pt;margin-top:778.8pt;margin-left:293.3pt;mso-height-relative:page;mso-position-horizontal-relative:page;mso-position-vertical-relative:page;mso-width-relative:page;position:absolute;z-index:-251658240"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1</w:t>
                </w:r>
                <w: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8" type="#_x0000_t202" style="width:8.75pt;height:11.4pt;margin-top:532.1pt;margin-left:416.65pt;mso-height-relative:page;mso-position-horizontal-relative:page;mso-position-vertical-relative:page;mso-width-relative:page;position:absolute;z-index:-251649024"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9</w:t>
                </w:r>
                <w: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59" type="#_x0000_t202" style="width:13.55pt;height:11.4pt;margin-top:778.8pt;margin-left:290.9pt;mso-height-relative:page;mso-position-horizontal-relative:page;mso-position-vertical-relative:page;mso-width-relative:page;position:absolute;z-index:-251648000"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10</w:t>
                </w:r>
                <w:r>
                  <w:fldChar w:fldCharType="end"/>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0" type="#_x0000_t202" style="width:13.55pt;height:11.4pt;margin-top:778.8pt;margin-left:290.9pt;mso-height-relative:page;mso-position-horizontal-relative:page;mso-position-vertical-relative:page;mso-width-relative:page;position:absolute;z-index:-251646976"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11</w:t>
                </w:r>
                <w:r>
                  <w:fldChar w:fldCharType="end"/>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1" type="#_x0000_t202" style="width:13.55pt;height:11.4pt;margin-top:778.8pt;margin-left:290.9pt;mso-height-relative:page;mso-position-horizontal-relative:page;mso-position-vertical-relative:page;mso-width-relative:page;position:absolute;z-index:-251645952"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12</w:t>
                </w:r>
                <w:r>
                  <w:fldChar w:fldCharType="end"/>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2" type="#_x0000_t202" style="width:13.55pt;height:11.4pt;margin-top:778.8pt;margin-left:290.9pt;mso-height-relative:page;mso-position-horizontal-relative:page;mso-position-vertical-relative:page;mso-width-relative:page;position:absolute;z-index:-251644928"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13</w:t>
                </w:r>
                <w:r>
                  <w:fldChar w:fldCharType="end"/>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3" type="#_x0000_t202" style="width:13.55pt;height:11.4pt;margin-top:778.8pt;margin-left:290.9pt;mso-height-relative:page;mso-position-horizontal-relative:page;mso-position-vertical-relative:page;mso-width-relative:page;position:absolute;z-index:-251643904"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19</w:t>
                </w:r>
                <w:r>
                  <w:fldChar w:fldCharType="end"/>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4" type="#_x0000_t202" style="width:13.55pt;height:11.4pt;margin-top:778.8pt;margin-left:290.9pt;mso-height-relative:page;mso-position-horizontal-relative:page;mso-position-vertical-relative:page;mso-width-relative:page;position:absolute;z-index:-251642880"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19</w:t>
                </w:r>
                <w:r>
                  <w:fldChar w:fldCharType="end"/>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5" type="#_x0000_t202" style="width:13.55pt;height:11.4pt;margin-top:778.8pt;margin-left:290.9pt;mso-height-relative:page;mso-position-horizontal-relative:page;mso-position-vertical-relative:page;mso-width-relative:page;position:absolute;z-index:-251641856"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19</w:t>
                </w:r>
                <w:r>
                  <w:fldChar w:fldCharType="end"/>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6" type="#_x0000_t202" style="width:13.55pt;height:11.4pt;margin-top:778.8pt;margin-left:290.9pt;mso-height-relative:page;mso-position-horizontal-relative:page;mso-position-vertical-relative:page;mso-width-relative:page;position:absolute;z-index:-251640832"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17</w:t>
                </w:r>
                <w:r>
                  <w:fldChar w:fldCharType="end"/>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7" type="#_x0000_t202" style="width:13.55pt;height:11.4pt;margin-top:778.8pt;margin-left:290.9pt;mso-height-relative:page;mso-position-horizontal-relative:page;mso-position-vertical-relative:page;mso-width-relative:page;position:absolute;z-index:-251639808"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18</w:t>
                </w:r>
                <w: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0" type="#_x0000_t202" style="width:8.75pt;height:11.4pt;margin-top:778.8pt;margin-left:293.3pt;mso-height-relative:page;mso-position-horizontal-relative:page;mso-position-vertical-relative:page;mso-width-relative:page;position:absolute;z-index:-251657216"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2</w:t>
                </w:r>
                <w:r>
                  <w:fldChar w:fldCharType="end"/>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8" type="#_x0000_t202" style="width:13.55pt;height:11.4pt;margin-top:778.8pt;margin-left:290.9pt;mso-height-relative:page;mso-position-horizontal-relative:page;mso-position-vertical-relative:page;mso-width-relative:page;position:absolute;z-index:-251638784"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19</w:t>
                </w:r>
                <w:r>
                  <w:fldChar w:fldCharType="end"/>
                </w:r>
              </w:p>
            </w:txbxContent>
          </v:textbox>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9" type="#_x0000_t202" style="width:13.55pt;height:11.4pt;margin-top:778.8pt;margin-left:290.9pt;mso-height-relative:page;mso-position-horizontal-relative:page;mso-position-vertical-relative:page;mso-width-relative:page;position:absolute;z-index:-251637760"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20</w:t>
                </w:r>
                <w:r>
                  <w:fldChar w:fldCharType="end"/>
                </w:r>
              </w:p>
            </w:txbxContent>
          </v:textbox>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70" type="#_x0000_t202" style="width:13.55pt;height:11.4pt;margin-top:778.8pt;margin-left:290.9pt;mso-height-relative:page;mso-position-horizontal-relative:page;mso-position-vertical-relative:page;mso-width-relative:page;position:absolute;z-index:-251636736"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21</w:t>
                </w:r>
                <w:r>
                  <w:fldChar w:fldCharType="end"/>
                </w:r>
              </w:p>
            </w:txbxContent>
          </v:textbox>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71" type="#_x0000_t202" style="width:13.55pt;height:11.4pt;margin-top:778.8pt;margin-left:290.9pt;mso-height-relative:page;mso-position-horizontal-relative:page;mso-position-vertical-relative:page;mso-width-relative:page;position:absolute;z-index:-251635712"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22</w:t>
                </w:r>
                <w:r>
                  <w:fldChar w:fldCharType="end"/>
                </w:r>
              </w:p>
            </w:txbxContent>
          </v:textbox>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2" o:spid="_x0000_s2072" type="#_x0000_t202" style="width:13.55pt;height:11.4pt;margin-top:778.8pt;margin-left:290.9pt;mso-height-relative:page;mso-position-horizontal-relative:page;mso-position-vertical-relative:page;mso-width-relative:page;position:absolute;z-index:-251634688"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20</w:t>
                </w:r>
                <w:r>
                  <w:fldChar w:fldCharType="end"/>
                </w:r>
              </w:p>
            </w:txbxContent>
          </v:textbox>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2" o:spid="_x0000_s2073" type="#_x0000_t202" style="width:13.55pt;height:11.4pt;margin-top:778.8pt;margin-left:290.9pt;mso-height-relative:page;mso-position-horizontal-relative:page;mso-position-vertical-relative:page;mso-width-relative:page;position:absolute;z-index:-251633664"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21</w:t>
                </w:r>
                <w:r>
                  <w:fldChar w:fldCharType="end"/>
                </w:r>
              </w:p>
            </w:txbxContent>
          </v:textbox>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2" o:spid="_x0000_s2074" type="#_x0000_t202" style="width:13.55pt;height:11.4pt;margin-top:778.8pt;margin-left:290.9pt;mso-height-relative:page;mso-position-horizontal-relative:page;mso-position-vertical-relative:page;mso-width-relative:page;position:absolute;z-index:-251632640"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22</w:t>
                </w:r>
                <w:r>
                  <w:fldChar w:fldCharType="end"/>
                </w:r>
              </w:p>
            </w:txbxContent>
          </v:textbox>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2" o:spid="_x0000_s2075" type="#_x0000_t202" style="width:13.55pt;height:11.4pt;margin-top:778.8pt;margin-left:290.9pt;mso-height-relative:page;mso-position-horizontal-relative:page;mso-position-vertical-relative:page;mso-width-relative:page;position:absolute;z-index:-251631616"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23</w:t>
                </w:r>
                <w:r>
                  <w:fldChar w:fldCharType="end"/>
                </w:r>
              </w:p>
            </w:txbxContent>
          </v:textbox>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2" o:spid="_x0000_s2076" type="#_x0000_t202" style="width:13.55pt;height:11.4pt;margin-top:778.8pt;margin-left:290.9pt;mso-height-relative:page;mso-position-horizontal-relative:page;mso-position-vertical-relative:page;mso-width-relative:page;position:absolute;z-index:-251630592"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24</w:t>
                </w:r>
                <w:r>
                  <w:fldChar w:fldCharType="end"/>
                </w:r>
              </w:p>
            </w:txbxContent>
          </v:textbox>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2" o:spid="_x0000_s2077" type="#_x0000_t202" style="width:13.55pt;height:11.4pt;margin-top:778.8pt;margin-left:290.9pt;mso-height-relative:page;mso-position-horizontal-relative:page;mso-position-vertical-relative:page;mso-width-relative:page;position:absolute;z-index:-251629568"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25</w:t>
                </w:r>
                <w: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1" type="#_x0000_t202" style="width:8.75pt;height:11.4pt;margin-top:778.8pt;margin-left:293.3pt;mso-height-relative:page;mso-position-horizontal-relative:page;mso-position-vertical-relative:page;mso-width-relative:page;position:absolute;z-index:-251656192"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3</w:t>
                </w:r>
                <w:r>
                  <w:fldChar w:fldCharType="end"/>
                </w:r>
              </w:p>
            </w:txbxContent>
          </v:textbox>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2" o:spid="_x0000_s2078" type="#_x0000_t202" style="width:13.55pt;height:11.4pt;margin-top:778.8pt;margin-left:290.9pt;mso-height-relative:page;mso-position-horizontal-relative:page;mso-position-vertical-relative:page;mso-width-relative:page;position:absolute;z-index:-251628544"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26</w:t>
                </w:r>
                <w:r>
                  <w:fldChar w:fldCharType="end"/>
                </w:r>
              </w:p>
            </w:txbxContent>
          </v:textbox>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2" o:spid="_x0000_s2079" type="#_x0000_t202" style="width:13.55pt;height:11.4pt;margin-top:778.8pt;margin-left:290.9pt;mso-height-relative:page;mso-position-horizontal-relative:page;mso-position-vertical-relative:page;mso-width-relative:page;position:absolute;z-index:-251627520"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27</w:t>
                </w:r>
                <w:r>
                  <w:fldChar w:fldCharType="end"/>
                </w:r>
              </w:p>
            </w:txbxContent>
          </v:textbox>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2" o:spid="_x0000_s2080" type="#_x0000_t202" style="width:13.55pt;height:11.4pt;margin-top:778.8pt;margin-left:290.9pt;mso-height-relative:page;mso-position-horizontal-relative:page;mso-position-vertical-relative:page;mso-width-relative:page;position:absolute;z-index:-251626496"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28</w:t>
                </w:r>
                <w:r>
                  <w:fldChar w:fldCharType="end"/>
                </w:r>
              </w:p>
            </w:txbxContent>
          </v:textbox>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2" o:spid="_x0000_s2081" type="#_x0000_t202" style="width:13.55pt;height:11.4pt;margin-top:778.8pt;margin-left:290.9pt;mso-height-relative:page;mso-position-horizontal-relative:page;mso-position-vertical-relative:page;mso-width-relative:page;position:absolute;z-index:-251625472"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29</w:t>
                </w:r>
                <w:r>
                  <w:fldChar w:fldCharType="end"/>
                </w:r>
              </w:p>
            </w:txbxContent>
          </v:textbox>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2" o:spid="_x0000_s2082" type="#_x0000_t202" style="width:13.55pt;height:11.4pt;margin-top:778.8pt;margin-left:290.9pt;mso-height-relative:page;mso-position-horizontal-relative:page;mso-position-vertical-relative:page;mso-width-relative:page;position:absolute;z-index:-251624448"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30</w:t>
                </w:r>
                <w:r>
                  <w:fldChar w:fldCharType="end"/>
                </w:r>
              </w:p>
            </w:txbxContent>
          </v:textbox>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o:spid="_x0000_s2083" type="#_x0000_t202" style="width:13.55pt;height:11.4pt;margin-top:778.8pt;margin-left:290.9pt;mso-height-relative:page;mso-position-horizontal-relative:page;mso-position-vertical-relative:page;mso-width-relative:page;position:absolute;z-index:-251623424"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30</w:t>
                </w:r>
                <w:r>
                  <w:fldChar w:fldCharType="end"/>
                </w:r>
              </w:p>
            </w:txbxContent>
          </v:textbox>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o:spid="_x0000_s2084" type="#_x0000_t202" style="width:13.55pt;height:11.4pt;margin-top:778.8pt;margin-left:290.9pt;mso-height-relative:page;mso-position-horizontal-relative:page;mso-position-vertical-relative:page;mso-width-relative:page;position:absolute;z-index:-251622400"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31</w:t>
                </w:r>
                <w:r>
                  <w:fldChar w:fldCharType="end"/>
                </w:r>
              </w:p>
            </w:txbxContent>
          </v:textbox>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o:spid="_x0000_s2085" type="#_x0000_t202" style="width:13.55pt;height:11.4pt;margin-top:778.8pt;margin-left:290.9pt;mso-height-relative:page;mso-position-horizontal-relative:page;mso-position-vertical-relative:page;mso-width-relative:page;position:absolute;z-index:-251621376"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32</w:t>
                </w:r>
                <w:r>
                  <w:fldChar w:fldCharType="end"/>
                </w:r>
              </w:p>
            </w:txbxContent>
          </v:textbox>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o:spid="_x0000_s2086" type="#_x0000_t202" style="width:13.55pt;height:11.4pt;margin-top:778.8pt;margin-left:290.9pt;mso-height-relative:page;mso-position-horizontal-relative:page;mso-position-vertical-relative:page;mso-width-relative:page;position:absolute;z-index:-251620352"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33</w:t>
                </w:r>
                <w: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2" type="#_x0000_t202" style="width:8.75pt;height:11.4pt;margin-top:778.8pt;margin-left:293.3pt;mso-height-relative:page;mso-position-horizontal-relative:page;mso-position-vertical-relative:page;mso-width-relative:page;position:absolute;z-index:-251655168"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4</w:t>
                </w:r>
                <w: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3" type="#_x0000_t202" style="width:8.75pt;height:11.4pt;margin-top:778.8pt;margin-left:293.3pt;mso-height-relative:page;mso-position-horizontal-relative:page;mso-position-vertical-relative:page;mso-width-relative:page;position:absolute;z-index:-251654144"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5</w:t>
                </w:r>
                <w: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4" type="#_x0000_t202" style="width:8.75pt;height:11.4pt;margin-top:778.8pt;margin-left:293.3pt;mso-height-relative:page;mso-position-horizontal-relative:page;mso-position-vertical-relative:page;mso-width-relative:page;position:absolute;z-index:-251653120"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6</w:t>
                </w:r>
                <w: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5" type="#_x0000_t202" style="width:8.75pt;height:11.4pt;margin-top:778.8pt;margin-left:293.3pt;mso-height-relative:page;mso-position-horizontal-relative:page;mso-position-vertical-relative:page;mso-width-relative:page;position:absolute;z-index:-251652096"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7</w:t>
                </w:r>
                <w: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6" type="#_x0000_t202" style="width:8.75pt;height:11.4pt;margin-top:532.1pt;margin-left:416.65pt;mso-height-relative:page;mso-position-horizontal-relative:page;mso-position-vertical-relative:page;mso-width-relative:page;position:absolute;z-index:-251651072"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7</w:t>
                </w:r>
                <w: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7" type="#_x0000_t202" style="width:8.75pt;height:11.4pt;margin-top:532.1pt;margin-left:416.65pt;mso-height-relative:page;mso-position-horizontal-relative:page;mso-position-vertical-relative:page;mso-width-relative:page;position:absolute;z-index:-251650048" coordsize="21600,21600" filled="f" stroked="f">
          <v:stroke joinstyle="miter"/>
          <v:textbox inset="0,0,0,0">
            <w:txbxContent>
              <w:p>
                <w:pPr>
                  <w:spacing w:before="0" w:line="228" w:lineRule="exact"/>
                  <w:ind w:left="40" w:right="0" w:firstLine="0"/>
                  <w:jc w:val="left"/>
                  <w:rPr>
                    <w:rFonts w:ascii="等线"/>
                    <w:sz w:val="18"/>
                  </w:rPr>
                </w:pPr>
                <w:r>
                  <w:fldChar w:fldCharType="begin"/>
                </w:r>
                <w:r>
                  <w:rPr>
                    <w:rFonts w:ascii="等线"/>
                    <w:sz w:val="18"/>
                  </w:rPr>
                  <w:instrText xml:space="preserve"> PAGE </w:instrText>
                </w:r>
                <w:r>
                  <w:fldChar w:fldCharType="separate"/>
                </w:r>
                <w:r>
                  <w:rPr>
                    <w:rFonts w:ascii="等线"/>
                    <w:sz w:val="18"/>
                  </w:rPr>
                  <w:t>8</w:t>
                </w:r>
                <w: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4994F45"/>
    <w:multiLevelType w:val="multilevel"/>
    <w:tmpl w:val="84994F45"/>
    <w:lvl w:ilvl="0">
      <w:start w:val="8"/>
      <w:numFmt w:val="decimal"/>
      <w:lvlText w:val="%1"/>
      <w:lvlJc w:val="left"/>
      <w:pPr>
        <w:ind w:left="1254" w:hanging="240"/>
        <w:jc w:val="left"/>
      </w:pPr>
      <w:rPr>
        <w:rFonts w:ascii="Times New Roman" w:eastAsia="Times New Roman" w:hAnsi="Times New Roman" w:cs="Times New Roman" w:hint="default"/>
        <w:b/>
        <w:bCs/>
        <w:w w:val="99"/>
        <w:sz w:val="24"/>
        <w:szCs w:val="24"/>
        <w:lang w:val="zh-CN" w:eastAsia="zh-CN" w:bidi="zh-CN"/>
      </w:rPr>
    </w:lvl>
    <w:lvl w:ilvl="1">
      <w:start w:val="0"/>
      <w:numFmt w:val="bullet"/>
      <w:lvlText w:val="•"/>
      <w:lvlJc w:val="left"/>
      <w:pPr>
        <w:ind w:left="2100" w:hanging="240"/>
      </w:pPr>
      <w:rPr>
        <w:rFonts w:hint="default"/>
        <w:lang w:val="zh-CN" w:eastAsia="zh-CN" w:bidi="zh-CN"/>
      </w:rPr>
    </w:lvl>
    <w:lvl w:ilvl="2">
      <w:start w:val="0"/>
      <w:numFmt w:val="bullet"/>
      <w:lvlText w:val="•"/>
      <w:lvlJc w:val="left"/>
      <w:pPr>
        <w:ind w:left="2987" w:hanging="240"/>
      </w:pPr>
      <w:rPr>
        <w:rFonts w:hint="default"/>
        <w:lang w:val="zh-CN" w:eastAsia="zh-CN" w:bidi="zh-CN"/>
      </w:rPr>
    </w:lvl>
    <w:lvl w:ilvl="3">
      <w:start w:val="0"/>
      <w:numFmt w:val="bullet"/>
      <w:lvlText w:val="•"/>
      <w:lvlJc w:val="left"/>
      <w:pPr>
        <w:ind w:left="3874" w:hanging="240"/>
      </w:pPr>
      <w:rPr>
        <w:rFonts w:hint="default"/>
        <w:lang w:val="zh-CN" w:eastAsia="zh-CN" w:bidi="zh-CN"/>
      </w:rPr>
    </w:lvl>
    <w:lvl w:ilvl="4">
      <w:start w:val="0"/>
      <w:numFmt w:val="bullet"/>
      <w:lvlText w:val="•"/>
      <w:lvlJc w:val="left"/>
      <w:pPr>
        <w:ind w:left="4762" w:hanging="240"/>
      </w:pPr>
      <w:rPr>
        <w:rFonts w:hint="default"/>
        <w:lang w:val="zh-CN" w:eastAsia="zh-CN" w:bidi="zh-CN"/>
      </w:rPr>
    </w:lvl>
    <w:lvl w:ilvl="5">
      <w:start w:val="0"/>
      <w:numFmt w:val="bullet"/>
      <w:lvlText w:val="•"/>
      <w:lvlJc w:val="left"/>
      <w:pPr>
        <w:ind w:left="5649" w:hanging="240"/>
      </w:pPr>
      <w:rPr>
        <w:rFonts w:hint="default"/>
        <w:lang w:val="zh-CN" w:eastAsia="zh-CN" w:bidi="zh-CN"/>
      </w:rPr>
    </w:lvl>
    <w:lvl w:ilvl="6">
      <w:start w:val="0"/>
      <w:numFmt w:val="bullet"/>
      <w:lvlText w:val="•"/>
      <w:lvlJc w:val="left"/>
      <w:pPr>
        <w:ind w:left="6536" w:hanging="240"/>
      </w:pPr>
      <w:rPr>
        <w:rFonts w:hint="default"/>
        <w:lang w:val="zh-CN" w:eastAsia="zh-CN" w:bidi="zh-CN"/>
      </w:rPr>
    </w:lvl>
    <w:lvl w:ilvl="7">
      <w:start w:val="0"/>
      <w:numFmt w:val="bullet"/>
      <w:lvlText w:val="•"/>
      <w:lvlJc w:val="left"/>
      <w:pPr>
        <w:ind w:left="7424" w:hanging="240"/>
      </w:pPr>
      <w:rPr>
        <w:rFonts w:hint="default"/>
        <w:lang w:val="zh-CN" w:eastAsia="zh-CN" w:bidi="zh-CN"/>
      </w:rPr>
    </w:lvl>
    <w:lvl w:ilvl="8">
      <w:start w:val="0"/>
      <w:numFmt w:val="bullet"/>
      <w:lvlText w:val="•"/>
      <w:lvlJc w:val="left"/>
      <w:pPr>
        <w:ind w:left="8311" w:hanging="240"/>
      </w:pPr>
      <w:rPr>
        <w:rFonts w:hint="default"/>
        <w:lang w:val="zh-CN" w:eastAsia="zh-CN" w:bidi="zh-CN"/>
      </w:rPr>
    </w:lvl>
  </w:abstractNum>
  <w:abstractNum w:abstractNumId="1">
    <w:nsid w:val="9017BA21"/>
    <w:multiLevelType w:val="multilevel"/>
    <w:tmpl w:val="9017BA21"/>
    <w:lvl w:ilvl="0">
      <w:start w:val="1"/>
      <w:numFmt w:val="decimal"/>
      <w:lvlText w:val="（%1）"/>
      <w:lvlJc w:val="left"/>
      <w:pPr>
        <w:ind w:left="1161" w:hanging="601"/>
        <w:jc w:val="right"/>
      </w:pPr>
      <w:rPr>
        <w:rFonts w:ascii="宋体" w:eastAsia="宋体" w:hAnsi="宋体" w:cs="宋体" w:hint="default"/>
        <w:w w:val="100"/>
        <w:sz w:val="22"/>
        <w:szCs w:val="22"/>
        <w:lang w:val="zh-CN" w:eastAsia="zh-CN" w:bidi="zh-CN"/>
      </w:rPr>
    </w:lvl>
    <w:lvl w:ilvl="1">
      <w:start w:val="0"/>
      <w:numFmt w:val="bullet"/>
      <w:lvlText w:val="•"/>
      <w:lvlJc w:val="left"/>
      <w:pPr>
        <w:ind w:left="2052" w:hanging="601"/>
      </w:pPr>
      <w:rPr>
        <w:rFonts w:hint="default"/>
        <w:lang w:val="zh-CN" w:eastAsia="zh-CN" w:bidi="zh-CN"/>
      </w:rPr>
    </w:lvl>
    <w:lvl w:ilvl="2">
      <w:start w:val="0"/>
      <w:numFmt w:val="bullet"/>
      <w:lvlText w:val="•"/>
      <w:lvlJc w:val="left"/>
      <w:pPr>
        <w:ind w:left="2945" w:hanging="601"/>
      </w:pPr>
      <w:rPr>
        <w:rFonts w:hint="default"/>
        <w:lang w:val="zh-CN" w:eastAsia="zh-CN" w:bidi="zh-CN"/>
      </w:rPr>
    </w:lvl>
    <w:lvl w:ilvl="3">
      <w:start w:val="0"/>
      <w:numFmt w:val="bullet"/>
      <w:lvlText w:val="•"/>
      <w:lvlJc w:val="left"/>
      <w:pPr>
        <w:ind w:left="3837" w:hanging="601"/>
      </w:pPr>
      <w:rPr>
        <w:rFonts w:hint="default"/>
        <w:lang w:val="zh-CN" w:eastAsia="zh-CN" w:bidi="zh-CN"/>
      </w:rPr>
    </w:lvl>
    <w:lvl w:ilvl="4">
      <w:start w:val="0"/>
      <w:numFmt w:val="bullet"/>
      <w:lvlText w:val="•"/>
      <w:lvlJc w:val="left"/>
      <w:pPr>
        <w:ind w:left="4730" w:hanging="601"/>
      </w:pPr>
      <w:rPr>
        <w:rFonts w:hint="default"/>
        <w:lang w:val="zh-CN" w:eastAsia="zh-CN" w:bidi="zh-CN"/>
      </w:rPr>
    </w:lvl>
    <w:lvl w:ilvl="5">
      <w:start w:val="0"/>
      <w:numFmt w:val="bullet"/>
      <w:lvlText w:val="•"/>
      <w:lvlJc w:val="left"/>
      <w:pPr>
        <w:ind w:left="5623" w:hanging="601"/>
      </w:pPr>
      <w:rPr>
        <w:rFonts w:hint="default"/>
        <w:lang w:val="zh-CN" w:eastAsia="zh-CN" w:bidi="zh-CN"/>
      </w:rPr>
    </w:lvl>
    <w:lvl w:ilvl="6">
      <w:start w:val="0"/>
      <w:numFmt w:val="bullet"/>
      <w:lvlText w:val="•"/>
      <w:lvlJc w:val="left"/>
      <w:pPr>
        <w:ind w:left="6515" w:hanging="601"/>
      </w:pPr>
      <w:rPr>
        <w:rFonts w:hint="default"/>
        <w:lang w:val="zh-CN" w:eastAsia="zh-CN" w:bidi="zh-CN"/>
      </w:rPr>
    </w:lvl>
    <w:lvl w:ilvl="7">
      <w:start w:val="0"/>
      <w:numFmt w:val="bullet"/>
      <w:lvlText w:val="•"/>
      <w:lvlJc w:val="left"/>
      <w:pPr>
        <w:ind w:left="7408" w:hanging="601"/>
      </w:pPr>
      <w:rPr>
        <w:rFonts w:hint="default"/>
        <w:lang w:val="zh-CN" w:eastAsia="zh-CN" w:bidi="zh-CN"/>
      </w:rPr>
    </w:lvl>
    <w:lvl w:ilvl="8">
      <w:start w:val="0"/>
      <w:numFmt w:val="bullet"/>
      <w:lvlText w:val="•"/>
      <w:lvlJc w:val="left"/>
      <w:pPr>
        <w:ind w:left="8300" w:hanging="601"/>
      </w:pPr>
      <w:rPr>
        <w:rFonts w:hint="default"/>
        <w:lang w:val="zh-CN" w:eastAsia="zh-CN" w:bidi="zh-CN"/>
      </w:rPr>
    </w:lvl>
  </w:abstractNum>
  <w:abstractNum w:abstractNumId="2">
    <w:nsid w:val="930EE254"/>
    <w:multiLevelType w:val="multilevel"/>
    <w:tmpl w:val="930EE254"/>
    <w:lvl w:ilvl="0">
      <w:start w:val="1"/>
      <w:numFmt w:val="decimal"/>
      <w:lvlText w:val="%1"/>
      <w:lvlJc w:val="left"/>
      <w:pPr>
        <w:ind w:left="1254" w:hanging="240"/>
        <w:jc w:val="left"/>
      </w:pPr>
      <w:rPr>
        <w:rFonts w:ascii="Times New Roman" w:eastAsia="Times New Roman" w:hAnsi="Times New Roman" w:cs="Times New Roman" w:hint="default"/>
        <w:b/>
        <w:bCs/>
        <w:w w:val="99"/>
        <w:sz w:val="24"/>
        <w:szCs w:val="24"/>
        <w:lang w:val="zh-CN" w:eastAsia="zh-CN" w:bidi="zh-CN"/>
      </w:rPr>
    </w:lvl>
    <w:lvl w:ilvl="1">
      <w:start w:val="1"/>
      <w:numFmt w:val="decimal"/>
      <w:lvlText w:val="%1.%2"/>
      <w:lvlJc w:val="left"/>
      <w:pPr>
        <w:ind w:left="1434" w:hanging="420"/>
        <w:jc w:val="left"/>
      </w:pPr>
      <w:rPr>
        <w:rFonts w:ascii="Times New Roman" w:eastAsia="Times New Roman" w:hAnsi="Times New Roman" w:cs="Times New Roman" w:hint="default"/>
        <w:b/>
        <w:bCs/>
        <w:w w:val="99"/>
        <w:sz w:val="24"/>
        <w:szCs w:val="24"/>
        <w:lang w:val="zh-CN" w:eastAsia="zh-CN" w:bidi="zh-CN"/>
      </w:rPr>
    </w:lvl>
    <w:lvl w:ilvl="2">
      <w:start w:val="1"/>
      <w:numFmt w:val="decimal"/>
      <w:lvlText w:val="（%3）"/>
      <w:lvlJc w:val="left"/>
      <w:pPr>
        <w:ind w:left="2095" w:hanging="601"/>
        <w:jc w:val="left"/>
      </w:pPr>
      <w:rPr>
        <w:rFonts w:ascii="宋体" w:eastAsia="宋体" w:hAnsi="宋体" w:cs="宋体" w:hint="default"/>
        <w:w w:val="100"/>
        <w:sz w:val="22"/>
        <w:szCs w:val="22"/>
        <w:lang w:val="zh-CN" w:eastAsia="zh-CN" w:bidi="zh-CN"/>
      </w:rPr>
    </w:lvl>
    <w:lvl w:ilvl="3">
      <w:start w:val="0"/>
      <w:numFmt w:val="bullet"/>
      <w:lvlText w:val="•"/>
      <w:lvlJc w:val="left"/>
      <w:pPr>
        <w:ind w:left="2100" w:hanging="601"/>
      </w:pPr>
      <w:rPr>
        <w:rFonts w:hint="default"/>
        <w:lang w:val="zh-CN" w:eastAsia="zh-CN" w:bidi="zh-CN"/>
      </w:rPr>
    </w:lvl>
    <w:lvl w:ilvl="4">
      <w:start w:val="0"/>
      <w:numFmt w:val="bullet"/>
      <w:lvlText w:val="•"/>
      <w:lvlJc w:val="left"/>
      <w:pPr>
        <w:ind w:left="3240" w:hanging="601"/>
      </w:pPr>
      <w:rPr>
        <w:rFonts w:hint="default"/>
        <w:lang w:val="zh-CN" w:eastAsia="zh-CN" w:bidi="zh-CN"/>
      </w:rPr>
    </w:lvl>
    <w:lvl w:ilvl="5">
      <w:start w:val="0"/>
      <w:numFmt w:val="bullet"/>
      <w:lvlText w:val="•"/>
      <w:lvlJc w:val="left"/>
      <w:pPr>
        <w:ind w:left="4381" w:hanging="601"/>
      </w:pPr>
      <w:rPr>
        <w:rFonts w:hint="default"/>
        <w:lang w:val="zh-CN" w:eastAsia="zh-CN" w:bidi="zh-CN"/>
      </w:rPr>
    </w:lvl>
    <w:lvl w:ilvl="6">
      <w:start w:val="0"/>
      <w:numFmt w:val="bullet"/>
      <w:lvlText w:val="•"/>
      <w:lvlJc w:val="left"/>
      <w:pPr>
        <w:ind w:left="5522" w:hanging="601"/>
      </w:pPr>
      <w:rPr>
        <w:rFonts w:hint="default"/>
        <w:lang w:val="zh-CN" w:eastAsia="zh-CN" w:bidi="zh-CN"/>
      </w:rPr>
    </w:lvl>
    <w:lvl w:ilvl="7">
      <w:start w:val="0"/>
      <w:numFmt w:val="bullet"/>
      <w:lvlText w:val="•"/>
      <w:lvlJc w:val="left"/>
      <w:pPr>
        <w:ind w:left="6663" w:hanging="601"/>
      </w:pPr>
      <w:rPr>
        <w:rFonts w:hint="default"/>
        <w:lang w:val="zh-CN" w:eastAsia="zh-CN" w:bidi="zh-CN"/>
      </w:rPr>
    </w:lvl>
    <w:lvl w:ilvl="8">
      <w:start w:val="0"/>
      <w:numFmt w:val="bullet"/>
      <w:lvlText w:val="•"/>
      <w:lvlJc w:val="left"/>
      <w:pPr>
        <w:ind w:left="7804" w:hanging="601"/>
      </w:pPr>
      <w:rPr>
        <w:rFonts w:hint="default"/>
        <w:lang w:val="zh-CN" w:eastAsia="zh-CN" w:bidi="zh-CN"/>
      </w:rPr>
    </w:lvl>
  </w:abstractNum>
  <w:abstractNum w:abstractNumId="3">
    <w:nsid w:val="941D12A9"/>
    <w:multiLevelType w:val="multilevel"/>
    <w:tmpl w:val="941D12A9"/>
    <w:lvl w:ilvl="0">
      <w:start w:val="9"/>
      <w:numFmt w:val="decimal"/>
      <w:lvlText w:val="%1"/>
      <w:lvlJc w:val="left"/>
      <w:pPr>
        <w:ind w:left="353" w:hanging="240"/>
        <w:jc w:val="left"/>
      </w:pPr>
      <w:rPr>
        <w:rFonts w:ascii="Times New Roman" w:eastAsia="Times New Roman" w:hAnsi="Times New Roman" w:cs="Times New Roman" w:hint="default"/>
        <w:b/>
        <w:bCs/>
        <w:w w:val="99"/>
        <w:sz w:val="24"/>
        <w:szCs w:val="24"/>
        <w:lang w:val="zh-CN" w:eastAsia="zh-CN" w:bidi="zh-CN"/>
      </w:rPr>
    </w:lvl>
    <w:lvl w:ilvl="1">
      <w:start w:val="1"/>
      <w:numFmt w:val="decimal"/>
      <w:lvlText w:val="%1.%2"/>
      <w:lvlJc w:val="left"/>
      <w:pPr>
        <w:ind w:left="533" w:hanging="420"/>
        <w:jc w:val="left"/>
      </w:pPr>
      <w:rPr>
        <w:rFonts w:ascii="Times New Roman" w:eastAsia="Times New Roman" w:hAnsi="Times New Roman" w:cs="Times New Roman" w:hint="default"/>
        <w:b/>
        <w:bCs/>
        <w:w w:val="99"/>
        <w:sz w:val="24"/>
        <w:szCs w:val="24"/>
        <w:lang w:val="zh-CN" w:eastAsia="zh-CN" w:bidi="zh-CN"/>
      </w:rPr>
    </w:lvl>
    <w:lvl w:ilvl="2">
      <w:start w:val="0"/>
      <w:numFmt w:val="bullet"/>
      <w:lvlText w:val="•"/>
      <w:lvlJc w:val="left"/>
      <w:pPr>
        <w:ind w:left="1476" w:hanging="420"/>
      </w:pPr>
      <w:rPr>
        <w:rFonts w:hint="default"/>
        <w:lang w:val="zh-CN" w:eastAsia="zh-CN" w:bidi="zh-CN"/>
      </w:rPr>
    </w:lvl>
    <w:lvl w:ilvl="3">
      <w:start w:val="0"/>
      <w:numFmt w:val="bullet"/>
      <w:lvlText w:val="•"/>
      <w:lvlJc w:val="left"/>
      <w:pPr>
        <w:ind w:left="2412" w:hanging="420"/>
      </w:pPr>
      <w:rPr>
        <w:rFonts w:hint="default"/>
        <w:lang w:val="zh-CN" w:eastAsia="zh-CN" w:bidi="zh-CN"/>
      </w:rPr>
    </w:lvl>
    <w:lvl w:ilvl="4">
      <w:start w:val="0"/>
      <w:numFmt w:val="bullet"/>
      <w:lvlText w:val="•"/>
      <w:lvlJc w:val="left"/>
      <w:pPr>
        <w:ind w:left="3348" w:hanging="420"/>
      </w:pPr>
      <w:rPr>
        <w:rFonts w:hint="default"/>
        <w:lang w:val="zh-CN" w:eastAsia="zh-CN" w:bidi="zh-CN"/>
      </w:rPr>
    </w:lvl>
    <w:lvl w:ilvl="5">
      <w:start w:val="0"/>
      <w:numFmt w:val="bullet"/>
      <w:lvlText w:val="•"/>
      <w:lvlJc w:val="left"/>
      <w:pPr>
        <w:ind w:left="4284" w:hanging="420"/>
      </w:pPr>
      <w:rPr>
        <w:rFonts w:hint="default"/>
        <w:lang w:val="zh-CN" w:eastAsia="zh-CN" w:bidi="zh-CN"/>
      </w:rPr>
    </w:lvl>
    <w:lvl w:ilvl="6">
      <w:start w:val="0"/>
      <w:numFmt w:val="bullet"/>
      <w:lvlText w:val="•"/>
      <w:lvlJc w:val="left"/>
      <w:pPr>
        <w:ind w:left="5220" w:hanging="420"/>
      </w:pPr>
      <w:rPr>
        <w:rFonts w:hint="default"/>
        <w:lang w:val="zh-CN" w:eastAsia="zh-CN" w:bidi="zh-CN"/>
      </w:rPr>
    </w:lvl>
    <w:lvl w:ilvl="7">
      <w:start w:val="0"/>
      <w:numFmt w:val="bullet"/>
      <w:lvlText w:val="•"/>
      <w:lvlJc w:val="left"/>
      <w:pPr>
        <w:ind w:left="6156" w:hanging="420"/>
      </w:pPr>
      <w:rPr>
        <w:rFonts w:hint="default"/>
        <w:lang w:val="zh-CN" w:eastAsia="zh-CN" w:bidi="zh-CN"/>
      </w:rPr>
    </w:lvl>
    <w:lvl w:ilvl="8">
      <w:start w:val="0"/>
      <w:numFmt w:val="bullet"/>
      <w:lvlText w:val="•"/>
      <w:lvlJc w:val="left"/>
      <w:pPr>
        <w:ind w:left="7092" w:hanging="420"/>
      </w:pPr>
      <w:rPr>
        <w:rFonts w:hint="default"/>
        <w:lang w:val="zh-CN" w:eastAsia="zh-CN" w:bidi="zh-CN"/>
      </w:rPr>
    </w:lvl>
  </w:abstractNum>
  <w:abstractNum w:abstractNumId="4">
    <w:nsid w:val="9B1F845E"/>
    <w:multiLevelType w:val="multilevel"/>
    <w:tmpl w:val="9B1F845E"/>
    <w:lvl w:ilvl="0">
      <w:start w:val="1"/>
      <w:numFmt w:val="decimal"/>
      <w:lvlText w:val="%1"/>
      <w:lvlJc w:val="left"/>
      <w:pPr>
        <w:ind w:left="452" w:hanging="240"/>
        <w:jc w:val="right"/>
      </w:pPr>
      <w:rPr>
        <w:rFonts w:ascii="Times New Roman" w:eastAsia="Times New Roman" w:hAnsi="Times New Roman" w:cs="Times New Roman" w:hint="default"/>
        <w:b/>
        <w:bCs/>
        <w:w w:val="99"/>
        <w:sz w:val="24"/>
        <w:szCs w:val="24"/>
        <w:lang w:val="zh-CN" w:eastAsia="zh-CN" w:bidi="zh-CN"/>
      </w:rPr>
    </w:lvl>
    <w:lvl w:ilvl="1">
      <w:start w:val="1"/>
      <w:numFmt w:val="decimal"/>
      <w:lvlText w:val="%1.%2"/>
      <w:lvlJc w:val="left"/>
      <w:pPr>
        <w:ind w:left="632" w:hanging="420"/>
        <w:jc w:val="left"/>
      </w:pPr>
      <w:rPr>
        <w:rFonts w:ascii="Times New Roman" w:eastAsia="Times New Roman" w:hAnsi="Times New Roman" w:cs="Times New Roman" w:hint="default"/>
        <w:b/>
        <w:bCs/>
        <w:w w:val="99"/>
        <w:sz w:val="24"/>
        <w:szCs w:val="24"/>
        <w:lang w:val="zh-CN" w:eastAsia="zh-CN" w:bidi="zh-CN"/>
      </w:rPr>
    </w:lvl>
    <w:lvl w:ilvl="2">
      <w:start w:val="1"/>
      <w:numFmt w:val="decimal"/>
      <w:lvlText w:val="（%3）"/>
      <w:lvlJc w:val="left"/>
      <w:pPr>
        <w:ind w:left="1277" w:hanging="601"/>
        <w:jc w:val="left"/>
      </w:pPr>
      <w:rPr>
        <w:rFonts w:ascii="宋体" w:eastAsia="宋体" w:hAnsi="宋体" w:cs="宋体" w:hint="default"/>
        <w:spacing w:val="-60"/>
        <w:w w:val="100"/>
        <w:sz w:val="22"/>
        <w:szCs w:val="22"/>
        <w:lang w:val="zh-CN" w:eastAsia="zh-CN" w:bidi="zh-CN"/>
      </w:rPr>
    </w:lvl>
    <w:lvl w:ilvl="3">
      <w:start w:val="0"/>
      <w:numFmt w:val="bullet"/>
      <w:lvlText w:val="•"/>
      <w:lvlJc w:val="left"/>
      <w:pPr>
        <w:ind w:left="2380" w:hanging="601"/>
      </w:pPr>
      <w:rPr>
        <w:rFonts w:hint="default"/>
        <w:lang w:val="zh-CN" w:eastAsia="zh-CN" w:bidi="zh-CN"/>
      </w:rPr>
    </w:lvl>
    <w:lvl w:ilvl="4">
      <w:start w:val="0"/>
      <w:numFmt w:val="bullet"/>
      <w:lvlText w:val="•"/>
      <w:lvlJc w:val="left"/>
      <w:pPr>
        <w:ind w:left="3481" w:hanging="601"/>
      </w:pPr>
      <w:rPr>
        <w:rFonts w:hint="default"/>
        <w:lang w:val="zh-CN" w:eastAsia="zh-CN" w:bidi="zh-CN"/>
      </w:rPr>
    </w:lvl>
    <w:lvl w:ilvl="5">
      <w:start w:val="0"/>
      <w:numFmt w:val="bullet"/>
      <w:lvlText w:val="•"/>
      <w:lvlJc w:val="left"/>
      <w:pPr>
        <w:ind w:left="4582" w:hanging="601"/>
      </w:pPr>
      <w:rPr>
        <w:rFonts w:hint="default"/>
        <w:lang w:val="zh-CN" w:eastAsia="zh-CN" w:bidi="zh-CN"/>
      </w:rPr>
    </w:lvl>
    <w:lvl w:ilvl="6">
      <w:start w:val="0"/>
      <w:numFmt w:val="bullet"/>
      <w:lvlText w:val="•"/>
      <w:lvlJc w:val="left"/>
      <w:pPr>
        <w:ind w:left="5683" w:hanging="601"/>
      </w:pPr>
      <w:rPr>
        <w:rFonts w:hint="default"/>
        <w:lang w:val="zh-CN" w:eastAsia="zh-CN" w:bidi="zh-CN"/>
      </w:rPr>
    </w:lvl>
    <w:lvl w:ilvl="7">
      <w:start w:val="0"/>
      <w:numFmt w:val="bullet"/>
      <w:lvlText w:val="•"/>
      <w:lvlJc w:val="left"/>
      <w:pPr>
        <w:ind w:left="6783" w:hanging="601"/>
      </w:pPr>
      <w:rPr>
        <w:rFonts w:hint="default"/>
        <w:lang w:val="zh-CN" w:eastAsia="zh-CN" w:bidi="zh-CN"/>
      </w:rPr>
    </w:lvl>
    <w:lvl w:ilvl="8">
      <w:start w:val="0"/>
      <w:numFmt w:val="bullet"/>
      <w:lvlText w:val="•"/>
      <w:lvlJc w:val="left"/>
      <w:pPr>
        <w:ind w:left="7884" w:hanging="601"/>
      </w:pPr>
      <w:rPr>
        <w:rFonts w:hint="default"/>
        <w:lang w:val="zh-CN" w:eastAsia="zh-CN" w:bidi="zh-CN"/>
      </w:rPr>
    </w:lvl>
  </w:abstractNum>
  <w:abstractNum w:abstractNumId="5">
    <w:nsid w:val="9CD0C84A"/>
    <w:multiLevelType w:val="multilevel"/>
    <w:tmpl w:val="9CD0C84A"/>
    <w:lvl w:ilvl="0">
      <w:start w:val="9"/>
      <w:numFmt w:val="decimal"/>
      <w:lvlText w:val="%1"/>
      <w:lvlJc w:val="left"/>
      <w:pPr>
        <w:ind w:left="752" w:hanging="540"/>
        <w:jc w:val="left"/>
      </w:pPr>
      <w:rPr>
        <w:rFonts w:hint="default"/>
        <w:lang w:val="zh-CN" w:eastAsia="zh-CN" w:bidi="zh-CN"/>
      </w:rPr>
    </w:lvl>
    <w:lvl w:ilvl="1">
      <w:start w:val="2"/>
      <w:numFmt w:val="decimal"/>
      <w:lvlText w:val="%1.%2"/>
      <w:lvlJc w:val="left"/>
      <w:pPr>
        <w:ind w:left="752" w:hanging="540"/>
        <w:jc w:val="left"/>
      </w:pPr>
      <w:rPr>
        <w:rFonts w:hint="default"/>
        <w:lang w:val="zh-CN" w:eastAsia="zh-CN" w:bidi="zh-CN"/>
      </w:rPr>
    </w:lvl>
    <w:lvl w:ilvl="2">
      <w:start w:val="1"/>
      <w:numFmt w:val="decimal"/>
      <w:lvlText w:val="%1.%2.%3"/>
      <w:lvlJc w:val="left"/>
      <w:pPr>
        <w:ind w:left="752" w:hanging="540"/>
        <w:jc w:val="right"/>
      </w:pPr>
      <w:rPr>
        <w:rFonts w:ascii="Times New Roman" w:eastAsia="Times New Roman" w:hAnsi="Times New Roman" w:cs="Times New Roman" w:hint="default"/>
        <w:b/>
        <w:bCs/>
        <w:w w:val="99"/>
        <w:sz w:val="24"/>
        <w:szCs w:val="24"/>
        <w:lang w:val="zh-CN" w:eastAsia="zh-CN" w:bidi="zh-CN"/>
      </w:rPr>
    </w:lvl>
    <w:lvl w:ilvl="3">
      <w:start w:val="1"/>
      <w:numFmt w:val="decimal"/>
      <w:lvlText w:val="%1.%2.%3.%4"/>
      <w:lvlJc w:val="left"/>
      <w:pPr>
        <w:ind w:left="932" w:hanging="720"/>
        <w:jc w:val="left"/>
      </w:pPr>
      <w:rPr>
        <w:rFonts w:ascii="Times New Roman" w:eastAsia="Times New Roman" w:hAnsi="Times New Roman" w:cs="Times New Roman" w:hint="default"/>
        <w:b/>
        <w:bCs/>
        <w:spacing w:val="-59"/>
        <w:w w:val="99"/>
        <w:sz w:val="24"/>
        <w:szCs w:val="24"/>
        <w:lang w:val="zh-CN" w:eastAsia="zh-CN" w:bidi="zh-CN"/>
      </w:rPr>
    </w:lvl>
    <w:lvl w:ilvl="4">
      <w:start w:val="1"/>
      <w:numFmt w:val="decimal"/>
      <w:lvlText w:val="（%5）"/>
      <w:lvlJc w:val="left"/>
      <w:pPr>
        <w:ind w:left="1365" w:hanging="601"/>
        <w:jc w:val="right"/>
      </w:pPr>
      <w:rPr>
        <w:rFonts w:ascii="宋体" w:eastAsia="宋体" w:hAnsi="宋体" w:cs="宋体" w:hint="default"/>
        <w:b/>
        <w:bCs/>
        <w:w w:val="99"/>
        <w:sz w:val="22"/>
        <w:szCs w:val="22"/>
        <w:lang w:val="zh-CN" w:eastAsia="zh-CN" w:bidi="zh-CN"/>
      </w:rPr>
    </w:lvl>
    <w:lvl w:ilvl="5">
      <w:start w:val="0"/>
      <w:numFmt w:val="bullet"/>
      <w:lvlText w:val="•"/>
      <w:lvlJc w:val="left"/>
      <w:pPr>
        <w:ind w:left="4632" w:hanging="601"/>
      </w:pPr>
      <w:rPr>
        <w:rFonts w:hint="default"/>
        <w:lang w:val="zh-CN" w:eastAsia="zh-CN" w:bidi="zh-CN"/>
      </w:rPr>
    </w:lvl>
    <w:lvl w:ilvl="6">
      <w:start w:val="0"/>
      <w:numFmt w:val="bullet"/>
      <w:lvlText w:val="•"/>
      <w:lvlJc w:val="left"/>
      <w:pPr>
        <w:ind w:left="5723" w:hanging="601"/>
      </w:pPr>
      <w:rPr>
        <w:rFonts w:hint="default"/>
        <w:lang w:val="zh-CN" w:eastAsia="zh-CN" w:bidi="zh-CN"/>
      </w:rPr>
    </w:lvl>
    <w:lvl w:ilvl="7">
      <w:start w:val="0"/>
      <w:numFmt w:val="bullet"/>
      <w:lvlText w:val="•"/>
      <w:lvlJc w:val="left"/>
      <w:pPr>
        <w:ind w:left="6813" w:hanging="601"/>
      </w:pPr>
      <w:rPr>
        <w:rFonts w:hint="default"/>
        <w:lang w:val="zh-CN" w:eastAsia="zh-CN" w:bidi="zh-CN"/>
      </w:rPr>
    </w:lvl>
    <w:lvl w:ilvl="8">
      <w:start w:val="0"/>
      <w:numFmt w:val="bullet"/>
      <w:lvlText w:val="•"/>
      <w:lvlJc w:val="left"/>
      <w:pPr>
        <w:ind w:left="7904" w:hanging="601"/>
      </w:pPr>
      <w:rPr>
        <w:rFonts w:hint="default"/>
        <w:lang w:val="zh-CN" w:eastAsia="zh-CN" w:bidi="zh-CN"/>
      </w:rPr>
    </w:lvl>
  </w:abstractNum>
  <w:abstractNum w:abstractNumId="6">
    <w:nsid w:val="9D9F4F4D"/>
    <w:multiLevelType w:val="multilevel"/>
    <w:tmpl w:val="9D9F4F4D"/>
    <w:lvl w:ilvl="0">
      <w:start w:val="1"/>
      <w:numFmt w:val="decimal"/>
      <w:lvlText w:val="（%1）"/>
      <w:lvlJc w:val="left"/>
      <w:pPr>
        <w:ind w:left="112" w:hanging="608"/>
        <w:jc w:val="left"/>
      </w:pPr>
      <w:rPr>
        <w:rFonts w:ascii="宋体" w:eastAsia="宋体" w:hAnsi="宋体" w:cs="宋体" w:hint="default"/>
        <w:spacing w:val="2"/>
        <w:w w:val="100"/>
        <w:sz w:val="22"/>
        <w:szCs w:val="22"/>
        <w:lang w:val="zh-CN" w:eastAsia="zh-CN" w:bidi="zh-CN"/>
      </w:rPr>
    </w:lvl>
    <w:lvl w:ilvl="1">
      <w:start w:val="0"/>
      <w:numFmt w:val="bullet"/>
      <w:lvlText w:val="•"/>
      <w:lvlJc w:val="left"/>
      <w:pPr>
        <w:ind w:left="962" w:hanging="608"/>
      </w:pPr>
      <w:rPr>
        <w:rFonts w:hint="default"/>
        <w:lang w:val="zh-CN" w:eastAsia="zh-CN" w:bidi="zh-CN"/>
      </w:rPr>
    </w:lvl>
    <w:lvl w:ilvl="2">
      <w:start w:val="0"/>
      <w:numFmt w:val="bullet"/>
      <w:lvlText w:val="•"/>
      <w:lvlJc w:val="left"/>
      <w:pPr>
        <w:ind w:left="1805" w:hanging="608"/>
      </w:pPr>
      <w:rPr>
        <w:rFonts w:hint="default"/>
        <w:lang w:val="zh-CN" w:eastAsia="zh-CN" w:bidi="zh-CN"/>
      </w:rPr>
    </w:lvl>
    <w:lvl w:ilvl="3">
      <w:start w:val="0"/>
      <w:numFmt w:val="bullet"/>
      <w:lvlText w:val="•"/>
      <w:lvlJc w:val="left"/>
      <w:pPr>
        <w:ind w:left="2647" w:hanging="608"/>
      </w:pPr>
      <w:rPr>
        <w:rFonts w:hint="default"/>
        <w:lang w:val="zh-CN" w:eastAsia="zh-CN" w:bidi="zh-CN"/>
      </w:rPr>
    </w:lvl>
    <w:lvl w:ilvl="4">
      <w:start w:val="0"/>
      <w:numFmt w:val="bullet"/>
      <w:lvlText w:val="•"/>
      <w:lvlJc w:val="left"/>
      <w:pPr>
        <w:ind w:left="3490" w:hanging="608"/>
      </w:pPr>
      <w:rPr>
        <w:rFonts w:hint="default"/>
        <w:lang w:val="zh-CN" w:eastAsia="zh-CN" w:bidi="zh-CN"/>
      </w:rPr>
    </w:lvl>
    <w:lvl w:ilvl="5">
      <w:start w:val="0"/>
      <w:numFmt w:val="bullet"/>
      <w:lvlText w:val="•"/>
      <w:lvlJc w:val="left"/>
      <w:pPr>
        <w:ind w:left="4333" w:hanging="608"/>
      </w:pPr>
      <w:rPr>
        <w:rFonts w:hint="default"/>
        <w:lang w:val="zh-CN" w:eastAsia="zh-CN" w:bidi="zh-CN"/>
      </w:rPr>
    </w:lvl>
    <w:lvl w:ilvl="6">
      <w:start w:val="0"/>
      <w:numFmt w:val="bullet"/>
      <w:lvlText w:val="•"/>
      <w:lvlJc w:val="left"/>
      <w:pPr>
        <w:ind w:left="5175" w:hanging="608"/>
      </w:pPr>
      <w:rPr>
        <w:rFonts w:hint="default"/>
        <w:lang w:val="zh-CN" w:eastAsia="zh-CN" w:bidi="zh-CN"/>
      </w:rPr>
    </w:lvl>
    <w:lvl w:ilvl="7">
      <w:start w:val="0"/>
      <w:numFmt w:val="bullet"/>
      <w:lvlText w:val="•"/>
      <w:lvlJc w:val="left"/>
      <w:pPr>
        <w:ind w:left="6018" w:hanging="608"/>
      </w:pPr>
      <w:rPr>
        <w:rFonts w:hint="default"/>
        <w:lang w:val="zh-CN" w:eastAsia="zh-CN" w:bidi="zh-CN"/>
      </w:rPr>
    </w:lvl>
    <w:lvl w:ilvl="8">
      <w:start w:val="0"/>
      <w:numFmt w:val="bullet"/>
      <w:lvlText w:val="•"/>
      <w:lvlJc w:val="left"/>
      <w:pPr>
        <w:ind w:left="6860" w:hanging="608"/>
      </w:pPr>
      <w:rPr>
        <w:rFonts w:hint="default"/>
        <w:lang w:val="zh-CN" w:eastAsia="zh-CN" w:bidi="zh-CN"/>
      </w:rPr>
    </w:lvl>
  </w:abstractNum>
  <w:abstractNum w:abstractNumId="7">
    <w:nsid w:val="9F91FE98"/>
    <w:multiLevelType w:val="multilevel"/>
    <w:tmpl w:val="9F91FE98"/>
    <w:lvl w:ilvl="0">
      <w:start w:val="1"/>
      <w:numFmt w:val="decimal"/>
      <w:lvlText w:val="%1）"/>
      <w:lvlJc w:val="left"/>
      <w:pPr>
        <w:ind w:left="212" w:hanging="361"/>
        <w:jc w:val="left"/>
      </w:pPr>
      <w:rPr>
        <w:rFonts w:ascii="Times New Roman" w:eastAsia="Times New Roman" w:hAnsi="Times New Roman" w:cs="Times New Roman" w:hint="default"/>
        <w:spacing w:val="-60"/>
        <w:w w:val="100"/>
        <w:sz w:val="22"/>
        <w:szCs w:val="22"/>
        <w:lang w:val="zh-CN" w:eastAsia="zh-CN" w:bidi="zh-CN"/>
      </w:rPr>
    </w:lvl>
    <w:lvl w:ilvl="1">
      <w:start w:val="0"/>
      <w:numFmt w:val="bullet"/>
      <w:lvlText w:val="•"/>
      <w:lvlJc w:val="left"/>
      <w:pPr>
        <w:ind w:left="1206" w:hanging="361"/>
      </w:pPr>
      <w:rPr>
        <w:rFonts w:hint="default"/>
        <w:lang w:val="zh-CN" w:eastAsia="zh-CN" w:bidi="zh-CN"/>
      </w:rPr>
    </w:lvl>
    <w:lvl w:ilvl="2">
      <w:start w:val="0"/>
      <w:numFmt w:val="bullet"/>
      <w:lvlText w:val="•"/>
      <w:lvlJc w:val="left"/>
      <w:pPr>
        <w:ind w:left="2193" w:hanging="361"/>
      </w:pPr>
      <w:rPr>
        <w:rFonts w:hint="default"/>
        <w:lang w:val="zh-CN" w:eastAsia="zh-CN" w:bidi="zh-CN"/>
      </w:rPr>
    </w:lvl>
    <w:lvl w:ilvl="3">
      <w:start w:val="0"/>
      <w:numFmt w:val="bullet"/>
      <w:lvlText w:val="•"/>
      <w:lvlJc w:val="left"/>
      <w:pPr>
        <w:ind w:left="3179" w:hanging="361"/>
      </w:pPr>
      <w:rPr>
        <w:rFonts w:hint="default"/>
        <w:lang w:val="zh-CN" w:eastAsia="zh-CN" w:bidi="zh-CN"/>
      </w:rPr>
    </w:lvl>
    <w:lvl w:ilvl="4">
      <w:start w:val="0"/>
      <w:numFmt w:val="bullet"/>
      <w:lvlText w:val="•"/>
      <w:lvlJc w:val="left"/>
      <w:pPr>
        <w:ind w:left="4166" w:hanging="361"/>
      </w:pPr>
      <w:rPr>
        <w:rFonts w:hint="default"/>
        <w:lang w:val="zh-CN" w:eastAsia="zh-CN" w:bidi="zh-CN"/>
      </w:rPr>
    </w:lvl>
    <w:lvl w:ilvl="5">
      <w:start w:val="0"/>
      <w:numFmt w:val="bullet"/>
      <w:lvlText w:val="•"/>
      <w:lvlJc w:val="left"/>
      <w:pPr>
        <w:ind w:left="5153" w:hanging="361"/>
      </w:pPr>
      <w:rPr>
        <w:rFonts w:hint="default"/>
        <w:lang w:val="zh-CN" w:eastAsia="zh-CN" w:bidi="zh-CN"/>
      </w:rPr>
    </w:lvl>
    <w:lvl w:ilvl="6">
      <w:start w:val="0"/>
      <w:numFmt w:val="bullet"/>
      <w:lvlText w:val="•"/>
      <w:lvlJc w:val="left"/>
      <w:pPr>
        <w:ind w:left="6139" w:hanging="361"/>
      </w:pPr>
      <w:rPr>
        <w:rFonts w:hint="default"/>
        <w:lang w:val="zh-CN" w:eastAsia="zh-CN" w:bidi="zh-CN"/>
      </w:rPr>
    </w:lvl>
    <w:lvl w:ilvl="7">
      <w:start w:val="0"/>
      <w:numFmt w:val="bullet"/>
      <w:lvlText w:val="•"/>
      <w:lvlJc w:val="left"/>
      <w:pPr>
        <w:ind w:left="7126" w:hanging="361"/>
      </w:pPr>
      <w:rPr>
        <w:rFonts w:hint="default"/>
        <w:lang w:val="zh-CN" w:eastAsia="zh-CN" w:bidi="zh-CN"/>
      </w:rPr>
    </w:lvl>
    <w:lvl w:ilvl="8">
      <w:start w:val="0"/>
      <w:numFmt w:val="bullet"/>
      <w:lvlText w:val="•"/>
      <w:lvlJc w:val="left"/>
      <w:pPr>
        <w:ind w:left="8112" w:hanging="361"/>
      </w:pPr>
      <w:rPr>
        <w:rFonts w:hint="default"/>
        <w:lang w:val="zh-CN" w:eastAsia="zh-CN" w:bidi="zh-CN"/>
      </w:rPr>
    </w:lvl>
  </w:abstractNum>
  <w:abstractNum w:abstractNumId="8">
    <w:nsid w:val="A5435042"/>
    <w:multiLevelType w:val="multilevel"/>
    <w:tmpl w:val="A5435042"/>
    <w:lvl w:ilvl="0">
      <w:start w:val="3"/>
      <w:numFmt w:val="decimal"/>
      <w:lvlText w:val="%1"/>
      <w:lvlJc w:val="left"/>
      <w:pPr>
        <w:ind w:left="1482" w:hanging="600"/>
        <w:jc w:val="left"/>
      </w:pPr>
      <w:rPr>
        <w:rFonts w:hint="default"/>
        <w:lang w:val="zh-CN" w:eastAsia="zh-CN" w:bidi="zh-CN"/>
      </w:rPr>
    </w:lvl>
    <w:lvl w:ilvl="1">
      <w:start w:val="2"/>
      <w:numFmt w:val="decimal"/>
      <w:lvlText w:val="%1.%2"/>
      <w:lvlJc w:val="left"/>
      <w:pPr>
        <w:ind w:left="1482" w:hanging="600"/>
        <w:jc w:val="left"/>
      </w:pPr>
      <w:rPr>
        <w:rFonts w:hint="default"/>
        <w:lang w:val="zh-CN" w:eastAsia="zh-CN" w:bidi="zh-CN"/>
      </w:rPr>
    </w:lvl>
    <w:lvl w:ilvl="2">
      <w:start w:val="3"/>
      <w:numFmt w:val="decimal"/>
      <w:lvlText w:val="%1.%2.%3"/>
      <w:lvlJc w:val="left"/>
      <w:pPr>
        <w:ind w:left="1482" w:hanging="600"/>
        <w:jc w:val="left"/>
      </w:pPr>
      <w:rPr>
        <w:rFonts w:ascii="Times New Roman" w:eastAsia="Times New Roman" w:hAnsi="Times New Roman" w:cs="Times New Roman" w:hint="default"/>
        <w:b/>
        <w:bCs/>
        <w:w w:val="99"/>
        <w:sz w:val="24"/>
        <w:szCs w:val="24"/>
        <w:lang w:val="zh-CN" w:eastAsia="zh-CN" w:bidi="zh-CN"/>
      </w:rPr>
    </w:lvl>
    <w:lvl w:ilvl="3">
      <w:start w:val="1"/>
      <w:numFmt w:val="decimal"/>
      <w:lvlText w:val="（%4）"/>
      <w:lvlJc w:val="left"/>
      <w:pPr>
        <w:ind w:left="1963" w:hanging="601"/>
        <w:jc w:val="left"/>
      </w:pPr>
      <w:rPr>
        <w:rFonts w:ascii="宋体" w:eastAsia="宋体" w:hAnsi="宋体" w:cs="宋体" w:hint="default"/>
        <w:w w:val="100"/>
        <w:sz w:val="22"/>
        <w:szCs w:val="22"/>
        <w:lang w:val="zh-CN" w:eastAsia="zh-CN" w:bidi="zh-CN"/>
      </w:rPr>
    </w:lvl>
    <w:lvl w:ilvl="4">
      <w:start w:val="0"/>
      <w:numFmt w:val="bullet"/>
      <w:lvlText w:val="•"/>
      <w:lvlJc w:val="left"/>
      <w:pPr>
        <w:ind w:left="4668" w:hanging="601"/>
      </w:pPr>
      <w:rPr>
        <w:rFonts w:hint="default"/>
        <w:lang w:val="zh-CN" w:eastAsia="zh-CN" w:bidi="zh-CN"/>
      </w:rPr>
    </w:lvl>
    <w:lvl w:ilvl="5">
      <w:start w:val="0"/>
      <w:numFmt w:val="bullet"/>
      <w:lvlText w:val="•"/>
      <w:lvlJc w:val="left"/>
      <w:pPr>
        <w:ind w:left="5571" w:hanging="601"/>
      </w:pPr>
      <w:rPr>
        <w:rFonts w:hint="default"/>
        <w:lang w:val="zh-CN" w:eastAsia="zh-CN" w:bidi="zh-CN"/>
      </w:rPr>
    </w:lvl>
    <w:lvl w:ilvl="6">
      <w:start w:val="0"/>
      <w:numFmt w:val="bullet"/>
      <w:lvlText w:val="•"/>
      <w:lvlJc w:val="left"/>
      <w:pPr>
        <w:ind w:left="6474" w:hanging="601"/>
      </w:pPr>
      <w:rPr>
        <w:rFonts w:hint="default"/>
        <w:lang w:val="zh-CN" w:eastAsia="zh-CN" w:bidi="zh-CN"/>
      </w:rPr>
    </w:lvl>
    <w:lvl w:ilvl="7">
      <w:start w:val="0"/>
      <w:numFmt w:val="bullet"/>
      <w:lvlText w:val="•"/>
      <w:lvlJc w:val="left"/>
      <w:pPr>
        <w:ind w:left="7377" w:hanging="601"/>
      </w:pPr>
      <w:rPr>
        <w:rFonts w:hint="default"/>
        <w:lang w:val="zh-CN" w:eastAsia="zh-CN" w:bidi="zh-CN"/>
      </w:rPr>
    </w:lvl>
    <w:lvl w:ilvl="8">
      <w:start w:val="0"/>
      <w:numFmt w:val="bullet"/>
      <w:lvlText w:val="•"/>
      <w:lvlJc w:val="left"/>
      <w:pPr>
        <w:ind w:left="8280" w:hanging="601"/>
      </w:pPr>
      <w:rPr>
        <w:rFonts w:hint="default"/>
        <w:lang w:val="zh-CN" w:eastAsia="zh-CN" w:bidi="zh-CN"/>
      </w:rPr>
    </w:lvl>
  </w:abstractNum>
  <w:abstractNum w:abstractNumId="9">
    <w:nsid w:val="B0082E4F"/>
    <w:multiLevelType w:val="multilevel"/>
    <w:tmpl w:val="B0082E4F"/>
    <w:lvl w:ilvl="0">
      <w:start w:val="2"/>
      <w:numFmt w:val="decimal"/>
      <w:lvlText w:val="（%1）"/>
      <w:lvlJc w:val="left"/>
      <w:pPr>
        <w:ind w:left="119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49" w:hanging="601"/>
      </w:pPr>
      <w:rPr>
        <w:rFonts w:hint="default"/>
        <w:lang w:val="zh-CN" w:eastAsia="zh-CN" w:bidi="zh-CN"/>
      </w:rPr>
    </w:lvl>
    <w:lvl w:ilvl="2">
      <w:start w:val="0"/>
      <w:numFmt w:val="bullet"/>
      <w:lvlText w:val="•"/>
      <w:lvlJc w:val="left"/>
      <w:pPr>
        <w:ind w:left="2698" w:hanging="601"/>
      </w:pPr>
      <w:rPr>
        <w:rFonts w:hint="default"/>
        <w:lang w:val="zh-CN" w:eastAsia="zh-CN" w:bidi="zh-CN"/>
      </w:rPr>
    </w:lvl>
    <w:lvl w:ilvl="3">
      <w:start w:val="0"/>
      <w:numFmt w:val="bullet"/>
      <w:lvlText w:val="•"/>
      <w:lvlJc w:val="left"/>
      <w:pPr>
        <w:ind w:left="3447" w:hanging="601"/>
      </w:pPr>
      <w:rPr>
        <w:rFonts w:hint="default"/>
        <w:lang w:val="zh-CN" w:eastAsia="zh-CN" w:bidi="zh-CN"/>
      </w:rPr>
    </w:lvl>
    <w:lvl w:ilvl="4">
      <w:start w:val="0"/>
      <w:numFmt w:val="bullet"/>
      <w:lvlText w:val="•"/>
      <w:lvlJc w:val="left"/>
      <w:pPr>
        <w:ind w:left="4197" w:hanging="601"/>
      </w:pPr>
      <w:rPr>
        <w:rFonts w:hint="default"/>
        <w:lang w:val="zh-CN" w:eastAsia="zh-CN" w:bidi="zh-CN"/>
      </w:rPr>
    </w:lvl>
    <w:lvl w:ilvl="5">
      <w:start w:val="0"/>
      <w:numFmt w:val="bullet"/>
      <w:lvlText w:val="•"/>
      <w:lvlJc w:val="left"/>
      <w:pPr>
        <w:ind w:left="4946" w:hanging="601"/>
      </w:pPr>
      <w:rPr>
        <w:rFonts w:hint="default"/>
        <w:lang w:val="zh-CN" w:eastAsia="zh-CN" w:bidi="zh-CN"/>
      </w:rPr>
    </w:lvl>
    <w:lvl w:ilvl="6">
      <w:start w:val="0"/>
      <w:numFmt w:val="bullet"/>
      <w:lvlText w:val="•"/>
      <w:lvlJc w:val="left"/>
      <w:pPr>
        <w:ind w:left="5695" w:hanging="601"/>
      </w:pPr>
      <w:rPr>
        <w:rFonts w:hint="default"/>
        <w:lang w:val="zh-CN" w:eastAsia="zh-CN" w:bidi="zh-CN"/>
      </w:rPr>
    </w:lvl>
    <w:lvl w:ilvl="7">
      <w:start w:val="0"/>
      <w:numFmt w:val="bullet"/>
      <w:lvlText w:val="•"/>
      <w:lvlJc w:val="left"/>
      <w:pPr>
        <w:ind w:left="6445" w:hanging="601"/>
      </w:pPr>
      <w:rPr>
        <w:rFonts w:hint="default"/>
        <w:lang w:val="zh-CN" w:eastAsia="zh-CN" w:bidi="zh-CN"/>
      </w:rPr>
    </w:lvl>
    <w:lvl w:ilvl="8">
      <w:start w:val="0"/>
      <w:numFmt w:val="bullet"/>
      <w:lvlText w:val="•"/>
      <w:lvlJc w:val="left"/>
      <w:pPr>
        <w:ind w:left="7194" w:hanging="601"/>
      </w:pPr>
      <w:rPr>
        <w:rFonts w:hint="default"/>
        <w:lang w:val="zh-CN" w:eastAsia="zh-CN" w:bidi="zh-CN"/>
      </w:rPr>
    </w:lvl>
  </w:abstractNum>
  <w:abstractNum w:abstractNumId="10">
    <w:nsid w:val="B15ABE86"/>
    <w:multiLevelType w:val="multilevel"/>
    <w:tmpl w:val="B15ABE86"/>
    <w:lvl w:ilvl="0">
      <w:start w:val="3"/>
      <w:numFmt w:val="decimal"/>
      <w:lvlText w:val="%1"/>
      <w:lvlJc w:val="left"/>
      <w:pPr>
        <w:ind w:left="383" w:hanging="272"/>
        <w:jc w:val="left"/>
      </w:pPr>
      <w:rPr>
        <w:rFonts w:ascii="Times New Roman" w:eastAsia="Times New Roman" w:hAnsi="Times New Roman" w:cs="Times New Roman" w:hint="default"/>
        <w:b/>
        <w:bCs/>
        <w:spacing w:val="-29"/>
        <w:w w:val="99"/>
        <w:sz w:val="24"/>
        <w:szCs w:val="24"/>
        <w:lang w:val="zh-CN" w:eastAsia="zh-CN" w:bidi="zh-CN"/>
      </w:rPr>
    </w:lvl>
    <w:lvl w:ilvl="1">
      <w:start w:val="1"/>
      <w:numFmt w:val="decimal"/>
      <w:lvlText w:val="%1.%2"/>
      <w:lvlJc w:val="left"/>
      <w:pPr>
        <w:ind w:left="582" w:hanging="471"/>
        <w:jc w:val="left"/>
      </w:pPr>
      <w:rPr>
        <w:rFonts w:ascii="Times New Roman" w:eastAsia="Times New Roman" w:hAnsi="Times New Roman" w:cs="Times New Roman" w:hint="default"/>
        <w:b/>
        <w:bCs/>
        <w:spacing w:val="-27"/>
        <w:w w:val="99"/>
        <w:sz w:val="24"/>
        <w:szCs w:val="24"/>
        <w:lang w:val="zh-CN" w:eastAsia="zh-CN" w:bidi="zh-CN"/>
      </w:rPr>
    </w:lvl>
    <w:lvl w:ilvl="2">
      <w:start w:val="1"/>
      <w:numFmt w:val="decimal"/>
      <w:lvlText w:val="%1.%2.%3"/>
      <w:lvlJc w:val="left"/>
      <w:pPr>
        <w:ind w:left="781" w:hanging="670"/>
        <w:jc w:val="left"/>
      </w:pPr>
      <w:rPr>
        <w:rFonts w:ascii="Times New Roman" w:eastAsia="Times New Roman" w:hAnsi="Times New Roman" w:cs="Times New Roman" w:hint="default"/>
        <w:b/>
        <w:bCs/>
        <w:spacing w:val="-27"/>
        <w:w w:val="99"/>
        <w:sz w:val="24"/>
        <w:szCs w:val="24"/>
        <w:lang w:val="zh-CN" w:eastAsia="zh-CN" w:bidi="zh-CN"/>
      </w:rPr>
    </w:lvl>
    <w:lvl w:ilvl="3">
      <w:start w:val="0"/>
      <w:numFmt w:val="bullet"/>
      <w:lvlText w:val="•"/>
      <w:lvlJc w:val="left"/>
      <w:pPr>
        <w:ind w:left="1750" w:hanging="670"/>
      </w:pPr>
      <w:rPr>
        <w:rFonts w:hint="default"/>
        <w:lang w:val="zh-CN" w:eastAsia="zh-CN" w:bidi="zh-CN"/>
      </w:rPr>
    </w:lvl>
    <w:lvl w:ilvl="4">
      <w:start w:val="0"/>
      <w:numFmt w:val="bullet"/>
      <w:lvlText w:val="•"/>
      <w:lvlJc w:val="left"/>
      <w:pPr>
        <w:ind w:left="2721" w:hanging="670"/>
      </w:pPr>
      <w:rPr>
        <w:rFonts w:hint="default"/>
        <w:lang w:val="zh-CN" w:eastAsia="zh-CN" w:bidi="zh-CN"/>
      </w:rPr>
    </w:lvl>
    <w:lvl w:ilvl="5">
      <w:start w:val="0"/>
      <w:numFmt w:val="bullet"/>
      <w:lvlText w:val="•"/>
      <w:lvlJc w:val="left"/>
      <w:pPr>
        <w:ind w:left="3692" w:hanging="670"/>
      </w:pPr>
      <w:rPr>
        <w:rFonts w:hint="default"/>
        <w:lang w:val="zh-CN" w:eastAsia="zh-CN" w:bidi="zh-CN"/>
      </w:rPr>
    </w:lvl>
    <w:lvl w:ilvl="6">
      <w:start w:val="0"/>
      <w:numFmt w:val="bullet"/>
      <w:lvlText w:val="•"/>
      <w:lvlJc w:val="left"/>
      <w:pPr>
        <w:ind w:left="4663" w:hanging="670"/>
      </w:pPr>
      <w:rPr>
        <w:rFonts w:hint="default"/>
        <w:lang w:val="zh-CN" w:eastAsia="zh-CN" w:bidi="zh-CN"/>
      </w:rPr>
    </w:lvl>
    <w:lvl w:ilvl="7">
      <w:start w:val="0"/>
      <w:numFmt w:val="bullet"/>
      <w:lvlText w:val="•"/>
      <w:lvlJc w:val="left"/>
      <w:pPr>
        <w:ind w:left="5633" w:hanging="670"/>
      </w:pPr>
      <w:rPr>
        <w:rFonts w:hint="default"/>
        <w:lang w:val="zh-CN" w:eastAsia="zh-CN" w:bidi="zh-CN"/>
      </w:rPr>
    </w:lvl>
    <w:lvl w:ilvl="8">
      <w:start w:val="0"/>
      <w:numFmt w:val="bullet"/>
      <w:lvlText w:val="•"/>
      <w:lvlJc w:val="left"/>
      <w:pPr>
        <w:ind w:left="6604" w:hanging="670"/>
      </w:pPr>
      <w:rPr>
        <w:rFonts w:hint="default"/>
        <w:lang w:val="zh-CN" w:eastAsia="zh-CN" w:bidi="zh-CN"/>
      </w:rPr>
    </w:lvl>
  </w:abstractNum>
  <w:abstractNum w:abstractNumId="11">
    <w:nsid w:val="B5601969"/>
    <w:multiLevelType w:val="multilevel"/>
    <w:tmpl w:val="B5601969"/>
    <w:lvl w:ilvl="0">
      <w:start w:val="1"/>
      <w:numFmt w:val="decimal"/>
      <w:lvlText w:val="%1."/>
      <w:lvlJc w:val="left"/>
      <w:pPr>
        <w:ind w:left="107"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642" w:hanging="159"/>
      </w:pPr>
      <w:rPr>
        <w:rFonts w:hint="default"/>
        <w:lang w:val="zh-CN" w:eastAsia="zh-CN" w:bidi="zh-CN"/>
      </w:rPr>
    </w:lvl>
    <w:lvl w:ilvl="2">
      <w:start w:val="0"/>
      <w:numFmt w:val="bullet"/>
      <w:lvlText w:val="•"/>
      <w:lvlJc w:val="left"/>
      <w:pPr>
        <w:ind w:left="1184" w:hanging="159"/>
      </w:pPr>
      <w:rPr>
        <w:rFonts w:hint="default"/>
        <w:lang w:val="zh-CN" w:eastAsia="zh-CN" w:bidi="zh-CN"/>
      </w:rPr>
    </w:lvl>
    <w:lvl w:ilvl="3">
      <w:start w:val="0"/>
      <w:numFmt w:val="bullet"/>
      <w:lvlText w:val="•"/>
      <w:lvlJc w:val="left"/>
      <w:pPr>
        <w:ind w:left="1726" w:hanging="159"/>
      </w:pPr>
      <w:rPr>
        <w:rFonts w:hint="default"/>
        <w:lang w:val="zh-CN" w:eastAsia="zh-CN" w:bidi="zh-CN"/>
      </w:rPr>
    </w:lvl>
    <w:lvl w:ilvl="4">
      <w:start w:val="0"/>
      <w:numFmt w:val="bullet"/>
      <w:lvlText w:val="•"/>
      <w:lvlJc w:val="left"/>
      <w:pPr>
        <w:ind w:left="2269" w:hanging="159"/>
      </w:pPr>
      <w:rPr>
        <w:rFonts w:hint="default"/>
        <w:lang w:val="zh-CN" w:eastAsia="zh-CN" w:bidi="zh-CN"/>
      </w:rPr>
    </w:lvl>
    <w:lvl w:ilvl="5">
      <w:start w:val="0"/>
      <w:numFmt w:val="bullet"/>
      <w:lvlText w:val="•"/>
      <w:lvlJc w:val="left"/>
      <w:pPr>
        <w:ind w:left="2811" w:hanging="159"/>
      </w:pPr>
      <w:rPr>
        <w:rFonts w:hint="default"/>
        <w:lang w:val="zh-CN" w:eastAsia="zh-CN" w:bidi="zh-CN"/>
      </w:rPr>
    </w:lvl>
    <w:lvl w:ilvl="6">
      <w:start w:val="0"/>
      <w:numFmt w:val="bullet"/>
      <w:lvlText w:val="•"/>
      <w:lvlJc w:val="left"/>
      <w:pPr>
        <w:ind w:left="3353" w:hanging="159"/>
      </w:pPr>
      <w:rPr>
        <w:rFonts w:hint="default"/>
        <w:lang w:val="zh-CN" w:eastAsia="zh-CN" w:bidi="zh-CN"/>
      </w:rPr>
    </w:lvl>
    <w:lvl w:ilvl="7">
      <w:start w:val="0"/>
      <w:numFmt w:val="bullet"/>
      <w:lvlText w:val="•"/>
      <w:lvlJc w:val="left"/>
      <w:pPr>
        <w:ind w:left="3896" w:hanging="159"/>
      </w:pPr>
      <w:rPr>
        <w:rFonts w:hint="default"/>
        <w:lang w:val="zh-CN" w:eastAsia="zh-CN" w:bidi="zh-CN"/>
      </w:rPr>
    </w:lvl>
    <w:lvl w:ilvl="8">
      <w:start w:val="0"/>
      <w:numFmt w:val="bullet"/>
      <w:lvlText w:val="•"/>
      <w:lvlJc w:val="left"/>
      <w:pPr>
        <w:ind w:left="4438" w:hanging="159"/>
      </w:pPr>
      <w:rPr>
        <w:rFonts w:hint="default"/>
        <w:lang w:val="zh-CN" w:eastAsia="zh-CN" w:bidi="zh-CN"/>
      </w:rPr>
    </w:lvl>
  </w:abstractNum>
  <w:abstractNum w:abstractNumId="12">
    <w:nsid w:val="B5CF74F5"/>
    <w:multiLevelType w:val="multilevel"/>
    <w:tmpl w:val="B5CF74F5"/>
    <w:lvl w:ilvl="0">
      <w:start w:val="1"/>
      <w:numFmt w:val="decimal"/>
      <w:lvlText w:val="%1."/>
      <w:lvlJc w:val="left"/>
      <w:pPr>
        <w:ind w:left="686"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1164" w:hanging="159"/>
      </w:pPr>
      <w:rPr>
        <w:rFonts w:hint="default"/>
        <w:lang w:val="zh-CN" w:eastAsia="zh-CN" w:bidi="zh-CN"/>
      </w:rPr>
    </w:lvl>
    <w:lvl w:ilvl="2">
      <w:start w:val="0"/>
      <w:numFmt w:val="bullet"/>
      <w:lvlText w:val="•"/>
      <w:lvlJc w:val="left"/>
      <w:pPr>
        <w:ind w:left="1648" w:hanging="159"/>
      </w:pPr>
      <w:rPr>
        <w:rFonts w:hint="default"/>
        <w:lang w:val="zh-CN" w:eastAsia="zh-CN" w:bidi="zh-CN"/>
      </w:rPr>
    </w:lvl>
    <w:lvl w:ilvl="3">
      <w:start w:val="0"/>
      <w:numFmt w:val="bullet"/>
      <w:lvlText w:val="•"/>
      <w:lvlJc w:val="left"/>
      <w:pPr>
        <w:ind w:left="2132" w:hanging="159"/>
      </w:pPr>
      <w:rPr>
        <w:rFonts w:hint="default"/>
        <w:lang w:val="zh-CN" w:eastAsia="zh-CN" w:bidi="zh-CN"/>
      </w:rPr>
    </w:lvl>
    <w:lvl w:ilvl="4">
      <w:start w:val="0"/>
      <w:numFmt w:val="bullet"/>
      <w:lvlText w:val="•"/>
      <w:lvlJc w:val="left"/>
      <w:pPr>
        <w:ind w:left="2617" w:hanging="159"/>
      </w:pPr>
      <w:rPr>
        <w:rFonts w:hint="default"/>
        <w:lang w:val="zh-CN" w:eastAsia="zh-CN" w:bidi="zh-CN"/>
      </w:rPr>
    </w:lvl>
    <w:lvl w:ilvl="5">
      <w:start w:val="0"/>
      <w:numFmt w:val="bullet"/>
      <w:lvlText w:val="•"/>
      <w:lvlJc w:val="left"/>
      <w:pPr>
        <w:ind w:left="3101" w:hanging="159"/>
      </w:pPr>
      <w:rPr>
        <w:rFonts w:hint="default"/>
        <w:lang w:val="zh-CN" w:eastAsia="zh-CN" w:bidi="zh-CN"/>
      </w:rPr>
    </w:lvl>
    <w:lvl w:ilvl="6">
      <w:start w:val="0"/>
      <w:numFmt w:val="bullet"/>
      <w:lvlText w:val="•"/>
      <w:lvlJc w:val="left"/>
      <w:pPr>
        <w:ind w:left="3585" w:hanging="159"/>
      </w:pPr>
      <w:rPr>
        <w:rFonts w:hint="default"/>
        <w:lang w:val="zh-CN" w:eastAsia="zh-CN" w:bidi="zh-CN"/>
      </w:rPr>
    </w:lvl>
    <w:lvl w:ilvl="7">
      <w:start w:val="0"/>
      <w:numFmt w:val="bullet"/>
      <w:lvlText w:val="•"/>
      <w:lvlJc w:val="left"/>
      <w:pPr>
        <w:ind w:left="4070" w:hanging="159"/>
      </w:pPr>
      <w:rPr>
        <w:rFonts w:hint="default"/>
        <w:lang w:val="zh-CN" w:eastAsia="zh-CN" w:bidi="zh-CN"/>
      </w:rPr>
    </w:lvl>
    <w:lvl w:ilvl="8">
      <w:start w:val="0"/>
      <w:numFmt w:val="bullet"/>
      <w:lvlText w:val="•"/>
      <w:lvlJc w:val="left"/>
      <w:pPr>
        <w:ind w:left="4554" w:hanging="159"/>
      </w:pPr>
      <w:rPr>
        <w:rFonts w:hint="default"/>
        <w:lang w:val="zh-CN" w:eastAsia="zh-CN" w:bidi="zh-CN"/>
      </w:rPr>
    </w:lvl>
  </w:abstractNum>
  <w:abstractNum w:abstractNumId="13">
    <w:nsid w:val="B99465BD"/>
    <w:multiLevelType w:val="multilevel"/>
    <w:tmpl w:val="B99465BD"/>
    <w:lvl w:ilvl="0">
      <w:start w:val="1"/>
      <w:numFmt w:val="decimal"/>
      <w:lvlText w:val="%1"/>
      <w:lvlJc w:val="left"/>
      <w:pPr>
        <w:ind w:left="582" w:hanging="471"/>
        <w:jc w:val="left"/>
      </w:pPr>
      <w:rPr>
        <w:rFonts w:hint="default"/>
        <w:lang w:val="zh-CN" w:eastAsia="zh-CN" w:bidi="zh-CN"/>
      </w:rPr>
    </w:lvl>
    <w:lvl w:ilvl="1">
      <w:start w:val="2"/>
      <w:numFmt w:val="decimal"/>
      <w:lvlText w:val="%1.%2"/>
      <w:lvlJc w:val="left"/>
      <w:pPr>
        <w:ind w:left="582" w:hanging="471"/>
        <w:jc w:val="left"/>
      </w:pPr>
      <w:rPr>
        <w:rFonts w:ascii="Times New Roman" w:eastAsia="Times New Roman" w:hAnsi="Times New Roman" w:cs="Times New Roman" w:hint="default"/>
        <w:b/>
        <w:bCs/>
        <w:spacing w:val="-27"/>
        <w:w w:val="99"/>
        <w:sz w:val="24"/>
        <w:szCs w:val="24"/>
        <w:lang w:val="zh-CN" w:eastAsia="zh-CN" w:bidi="zh-CN"/>
      </w:rPr>
    </w:lvl>
    <w:lvl w:ilvl="2">
      <w:start w:val="1"/>
      <w:numFmt w:val="decimal"/>
      <w:lvlText w:val="（%3）"/>
      <w:lvlJc w:val="left"/>
      <w:pPr>
        <w:ind w:left="1193" w:hanging="601"/>
        <w:jc w:val="left"/>
      </w:pPr>
      <w:rPr>
        <w:rFonts w:ascii="宋体" w:eastAsia="宋体" w:hAnsi="宋体" w:cs="宋体" w:hint="default"/>
        <w:w w:val="100"/>
        <w:sz w:val="22"/>
        <w:szCs w:val="22"/>
        <w:lang w:val="zh-CN" w:eastAsia="zh-CN" w:bidi="zh-CN"/>
      </w:rPr>
    </w:lvl>
    <w:lvl w:ilvl="3">
      <w:start w:val="0"/>
      <w:numFmt w:val="bullet"/>
      <w:lvlText w:val="•"/>
      <w:lvlJc w:val="left"/>
      <w:pPr>
        <w:ind w:left="2832" w:hanging="601"/>
      </w:pPr>
      <w:rPr>
        <w:rFonts w:hint="default"/>
        <w:lang w:val="zh-CN" w:eastAsia="zh-CN" w:bidi="zh-CN"/>
      </w:rPr>
    </w:lvl>
    <w:lvl w:ilvl="4">
      <w:start w:val="0"/>
      <w:numFmt w:val="bullet"/>
      <w:lvlText w:val="•"/>
      <w:lvlJc w:val="left"/>
      <w:pPr>
        <w:ind w:left="3648" w:hanging="601"/>
      </w:pPr>
      <w:rPr>
        <w:rFonts w:hint="default"/>
        <w:lang w:val="zh-CN" w:eastAsia="zh-CN" w:bidi="zh-CN"/>
      </w:rPr>
    </w:lvl>
    <w:lvl w:ilvl="5">
      <w:start w:val="0"/>
      <w:numFmt w:val="bullet"/>
      <w:lvlText w:val="•"/>
      <w:lvlJc w:val="left"/>
      <w:pPr>
        <w:ind w:left="4464" w:hanging="601"/>
      </w:pPr>
      <w:rPr>
        <w:rFonts w:hint="default"/>
        <w:lang w:val="zh-CN" w:eastAsia="zh-CN" w:bidi="zh-CN"/>
      </w:rPr>
    </w:lvl>
    <w:lvl w:ilvl="6">
      <w:start w:val="0"/>
      <w:numFmt w:val="bullet"/>
      <w:lvlText w:val="•"/>
      <w:lvlJc w:val="left"/>
      <w:pPr>
        <w:ind w:left="5281" w:hanging="601"/>
      </w:pPr>
      <w:rPr>
        <w:rFonts w:hint="default"/>
        <w:lang w:val="zh-CN" w:eastAsia="zh-CN" w:bidi="zh-CN"/>
      </w:rPr>
    </w:lvl>
    <w:lvl w:ilvl="7">
      <w:start w:val="0"/>
      <w:numFmt w:val="bullet"/>
      <w:lvlText w:val="•"/>
      <w:lvlJc w:val="left"/>
      <w:pPr>
        <w:ind w:left="6097" w:hanging="601"/>
      </w:pPr>
      <w:rPr>
        <w:rFonts w:hint="default"/>
        <w:lang w:val="zh-CN" w:eastAsia="zh-CN" w:bidi="zh-CN"/>
      </w:rPr>
    </w:lvl>
    <w:lvl w:ilvl="8">
      <w:start w:val="0"/>
      <w:numFmt w:val="bullet"/>
      <w:lvlText w:val="•"/>
      <w:lvlJc w:val="left"/>
      <w:pPr>
        <w:ind w:left="6913" w:hanging="601"/>
      </w:pPr>
      <w:rPr>
        <w:rFonts w:hint="default"/>
        <w:lang w:val="zh-CN" w:eastAsia="zh-CN" w:bidi="zh-CN"/>
      </w:rPr>
    </w:lvl>
  </w:abstractNum>
  <w:abstractNum w:abstractNumId="14">
    <w:nsid w:val="BA550FDB"/>
    <w:multiLevelType w:val="multilevel"/>
    <w:tmpl w:val="BA550FDB"/>
    <w:lvl w:ilvl="0">
      <w:start w:val="2"/>
      <w:numFmt w:val="decimal"/>
      <w:lvlText w:val="%1"/>
      <w:lvlJc w:val="left"/>
      <w:pPr>
        <w:ind w:left="383" w:hanging="272"/>
        <w:jc w:val="left"/>
      </w:pPr>
      <w:rPr>
        <w:rFonts w:ascii="Times New Roman" w:eastAsia="Times New Roman" w:hAnsi="Times New Roman" w:cs="Times New Roman" w:hint="default"/>
        <w:b/>
        <w:bCs/>
        <w:spacing w:val="-29"/>
        <w:w w:val="99"/>
        <w:sz w:val="24"/>
        <w:szCs w:val="24"/>
        <w:lang w:val="zh-CN" w:eastAsia="zh-CN" w:bidi="zh-CN"/>
      </w:rPr>
    </w:lvl>
    <w:lvl w:ilvl="1">
      <w:start w:val="1"/>
      <w:numFmt w:val="decimal"/>
      <w:lvlText w:val="%1.%2"/>
      <w:lvlJc w:val="left"/>
      <w:pPr>
        <w:ind w:left="582" w:hanging="471"/>
        <w:jc w:val="left"/>
      </w:pPr>
      <w:rPr>
        <w:rFonts w:ascii="Times New Roman" w:eastAsia="Times New Roman" w:hAnsi="Times New Roman" w:cs="Times New Roman" w:hint="default"/>
        <w:b/>
        <w:bCs/>
        <w:spacing w:val="-27"/>
        <w:w w:val="99"/>
        <w:sz w:val="24"/>
        <w:szCs w:val="24"/>
        <w:lang w:val="zh-CN" w:eastAsia="zh-CN" w:bidi="zh-CN"/>
      </w:rPr>
    </w:lvl>
    <w:lvl w:ilvl="2">
      <w:start w:val="0"/>
      <w:numFmt w:val="bullet"/>
      <w:lvlText w:val="•"/>
      <w:lvlJc w:val="left"/>
      <w:pPr>
        <w:ind w:left="1465" w:hanging="471"/>
      </w:pPr>
      <w:rPr>
        <w:rFonts w:hint="default"/>
        <w:lang w:val="zh-CN" w:eastAsia="zh-CN" w:bidi="zh-CN"/>
      </w:rPr>
    </w:lvl>
    <w:lvl w:ilvl="3">
      <w:start w:val="0"/>
      <w:numFmt w:val="bullet"/>
      <w:lvlText w:val="•"/>
      <w:lvlJc w:val="left"/>
      <w:pPr>
        <w:ind w:left="2350" w:hanging="471"/>
      </w:pPr>
      <w:rPr>
        <w:rFonts w:hint="default"/>
        <w:lang w:val="zh-CN" w:eastAsia="zh-CN" w:bidi="zh-CN"/>
      </w:rPr>
    </w:lvl>
    <w:lvl w:ilvl="4">
      <w:start w:val="0"/>
      <w:numFmt w:val="bullet"/>
      <w:lvlText w:val="•"/>
      <w:lvlJc w:val="left"/>
      <w:pPr>
        <w:ind w:left="3235" w:hanging="471"/>
      </w:pPr>
      <w:rPr>
        <w:rFonts w:hint="default"/>
        <w:lang w:val="zh-CN" w:eastAsia="zh-CN" w:bidi="zh-CN"/>
      </w:rPr>
    </w:lvl>
    <w:lvl w:ilvl="5">
      <w:start w:val="0"/>
      <w:numFmt w:val="bullet"/>
      <w:lvlText w:val="•"/>
      <w:lvlJc w:val="left"/>
      <w:pPr>
        <w:ind w:left="4120" w:hanging="471"/>
      </w:pPr>
      <w:rPr>
        <w:rFonts w:hint="default"/>
        <w:lang w:val="zh-CN" w:eastAsia="zh-CN" w:bidi="zh-CN"/>
      </w:rPr>
    </w:lvl>
    <w:lvl w:ilvl="6">
      <w:start w:val="0"/>
      <w:numFmt w:val="bullet"/>
      <w:lvlText w:val="•"/>
      <w:lvlJc w:val="left"/>
      <w:pPr>
        <w:ind w:left="5005" w:hanging="471"/>
      </w:pPr>
      <w:rPr>
        <w:rFonts w:hint="default"/>
        <w:lang w:val="zh-CN" w:eastAsia="zh-CN" w:bidi="zh-CN"/>
      </w:rPr>
    </w:lvl>
    <w:lvl w:ilvl="7">
      <w:start w:val="0"/>
      <w:numFmt w:val="bullet"/>
      <w:lvlText w:val="•"/>
      <w:lvlJc w:val="left"/>
      <w:pPr>
        <w:ind w:left="5890" w:hanging="471"/>
      </w:pPr>
      <w:rPr>
        <w:rFonts w:hint="default"/>
        <w:lang w:val="zh-CN" w:eastAsia="zh-CN" w:bidi="zh-CN"/>
      </w:rPr>
    </w:lvl>
    <w:lvl w:ilvl="8">
      <w:start w:val="0"/>
      <w:numFmt w:val="bullet"/>
      <w:lvlText w:val="•"/>
      <w:lvlJc w:val="left"/>
      <w:pPr>
        <w:ind w:left="6775" w:hanging="471"/>
      </w:pPr>
      <w:rPr>
        <w:rFonts w:hint="default"/>
        <w:lang w:val="zh-CN" w:eastAsia="zh-CN" w:bidi="zh-CN"/>
      </w:rPr>
    </w:lvl>
  </w:abstractNum>
  <w:abstractNum w:abstractNumId="15">
    <w:nsid w:val="BC837A95"/>
    <w:multiLevelType w:val="multilevel"/>
    <w:tmpl w:val="BC837A95"/>
    <w:lvl w:ilvl="0">
      <w:start w:val="1"/>
      <w:numFmt w:val="decimal"/>
      <w:lvlText w:val="（%1）"/>
      <w:lvlJc w:val="left"/>
      <w:pPr>
        <w:ind w:left="1014" w:hanging="601"/>
        <w:jc w:val="left"/>
      </w:pPr>
      <w:rPr>
        <w:rFonts w:ascii="宋体" w:eastAsia="宋体" w:hAnsi="宋体" w:cs="宋体" w:hint="default"/>
        <w:spacing w:val="-10"/>
        <w:w w:val="100"/>
        <w:sz w:val="22"/>
        <w:szCs w:val="22"/>
        <w:lang w:val="zh-CN" w:eastAsia="zh-CN" w:bidi="zh-CN"/>
      </w:rPr>
    </w:lvl>
    <w:lvl w:ilvl="1">
      <w:start w:val="0"/>
      <w:numFmt w:val="bullet"/>
      <w:lvlText w:val="•"/>
      <w:lvlJc w:val="left"/>
      <w:pPr>
        <w:ind w:left="1926" w:hanging="601"/>
      </w:pPr>
      <w:rPr>
        <w:rFonts w:hint="default"/>
        <w:lang w:val="zh-CN" w:eastAsia="zh-CN" w:bidi="zh-CN"/>
      </w:rPr>
    </w:lvl>
    <w:lvl w:ilvl="2">
      <w:start w:val="0"/>
      <w:numFmt w:val="bullet"/>
      <w:lvlText w:val="•"/>
      <w:lvlJc w:val="left"/>
      <w:pPr>
        <w:ind w:left="2833" w:hanging="601"/>
      </w:pPr>
      <w:rPr>
        <w:rFonts w:hint="default"/>
        <w:lang w:val="zh-CN" w:eastAsia="zh-CN" w:bidi="zh-CN"/>
      </w:rPr>
    </w:lvl>
    <w:lvl w:ilvl="3">
      <w:start w:val="0"/>
      <w:numFmt w:val="bullet"/>
      <w:lvlText w:val="•"/>
      <w:lvlJc w:val="left"/>
      <w:pPr>
        <w:ind w:left="3739" w:hanging="601"/>
      </w:pPr>
      <w:rPr>
        <w:rFonts w:hint="default"/>
        <w:lang w:val="zh-CN" w:eastAsia="zh-CN" w:bidi="zh-CN"/>
      </w:rPr>
    </w:lvl>
    <w:lvl w:ilvl="4">
      <w:start w:val="0"/>
      <w:numFmt w:val="bullet"/>
      <w:lvlText w:val="•"/>
      <w:lvlJc w:val="left"/>
      <w:pPr>
        <w:ind w:left="4646" w:hanging="601"/>
      </w:pPr>
      <w:rPr>
        <w:rFonts w:hint="default"/>
        <w:lang w:val="zh-CN" w:eastAsia="zh-CN" w:bidi="zh-CN"/>
      </w:rPr>
    </w:lvl>
    <w:lvl w:ilvl="5">
      <w:start w:val="0"/>
      <w:numFmt w:val="bullet"/>
      <w:lvlText w:val="•"/>
      <w:lvlJc w:val="left"/>
      <w:pPr>
        <w:ind w:left="5553" w:hanging="601"/>
      </w:pPr>
      <w:rPr>
        <w:rFonts w:hint="default"/>
        <w:lang w:val="zh-CN" w:eastAsia="zh-CN" w:bidi="zh-CN"/>
      </w:rPr>
    </w:lvl>
    <w:lvl w:ilvl="6">
      <w:start w:val="0"/>
      <w:numFmt w:val="bullet"/>
      <w:lvlText w:val="•"/>
      <w:lvlJc w:val="left"/>
      <w:pPr>
        <w:ind w:left="6459" w:hanging="601"/>
      </w:pPr>
      <w:rPr>
        <w:rFonts w:hint="default"/>
        <w:lang w:val="zh-CN" w:eastAsia="zh-CN" w:bidi="zh-CN"/>
      </w:rPr>
    </w:lvl>
    <w:lvl w:ilvl="7">
      <w:start w:val="0"/>
      <w:numFmt w:val="bullet"/>
      <w:lvlText w:val="•"/>
      <w:lvlJc w:val="left"/>
      <w:pPr>
        <w:ind w:left="7366" w:hanging="601"/>
      </w:pPr>
      <w:rPr>
        <w:rFonts w:hint="default"/>
        <w:lang w:val="zh-CN" w:eastAsia="zh-CN" w:bidi="zh-CN"/>
      </w:rPr>
    </w:lvl>
    <w:lvl w:ilvl="8">
      <w:start w:val="0"/>
      <w:numFmt w:val="bullet"/>
      <w:lvlText w:val="•"/>
      <w:lvlJc w:val="left"/>
      <w:pPr>
        <w:ind w:left="8272" w:hanging="601"/>
      </w:pPr>
      <w:rPr>
        <w:rFonts w:hint="default"/>
        <w:lang w:val="zh-CN" w:eastAsia="zh-CN" w:bidi="zh-CN"/>
      </w:rPr>
    </w:lvl>
  </w:abstractNum>
  <w:abstractNum w:abstractNumId="16">
    <w:nsid w:val="C0283A65"/>
    <w:multiLevelType w:val="multilevel"/>
    <w:tmpl w:val="C0283A65"/>
    <w:lvl w:ilvl="0">
      <w:start w:val="2"/>
      <w:numFmt w:val="decimal"/>
      <w:lvlText w:val="%1"/>
      <w:lvlJc w:val="left"/>
      <w:pPr>
        <w:ind w:left="2356" w:hanging="240"/>
        <w:jc w:val="left"/>
      </w:pPr>
      <w:rPr>
        <w:rFonts w:ascii="Times New Roman" w:eastAsia="Times New Roman" w:hAnsi="Times New Roman" w:cs="Times New Roman" w:hint="default"/>
        <w:b/>
        <w:bCs/>
        <w:spacing w:val="-1"/>
        <w:w w:val="99"/>
        <w:sz w:val="24"/>
        <w:szCs w:val="24"/>
        <w:lang w:val="zh-CN" w:eastAsia="zh-CN" w:bidi="zh-CN"/>
      </w:rPr>
    </w:lvl>
    <w:lvl w:ilvl="1">
      <w:start w:val="1"/>
      <w:numFmt w:val="decimal"/>
      <w:lvlText w:val="（%2）"/>
      <w:lvlJc w:val="left"/>
      <w:pPr>
        <w:ind w:left="3187" w:hanging="601"/>
        <w:jc w:val="left"/>
      </w:pPr>
      <w:rPr>
        <w:rFonts w:ascii="宋体" w:eastAsia="宋体" w:hAnsi="宋体" w:cs="宋体" w:hint="default"/>
        <w:b/>
        <w:bCs/>
        <w:w w:val="99"/>
        <w:sz w:val="22"/>
        <w:szCs w:val="22"/>
        <w:lang w:val="zh-CN" w:eastAsia="zh-CN" w:bidi="zh-CN"/>
      </w:rPr>
    </w:lvl>
    <w:lvl w:ilvl="2">
      <w:start w:val="0"/>
      <w:numFmt w:val="bullet"/>
      <w:lvlText w:val="•"/>
      <w:lvlJc w:val="left"/>
      <w:pPr>
        <w:ind w:left="3874" w:hanging="601"/>
      </w:pPr>
      <w:rPr>
        <w:rFonts w:hint="default"/>
        <w:lang w:val="zh-CN" w:eastAsia="zh-CN" w:bidi="zh-CN"/>
      </w:rPr>
    </w:lvl>
    <w:lvl w:ilvl="3">
      <w:start w:val="0"/>
      <w:numFmt w:val="bullet"/>
      <w:lvlText w:val="•"/>
      <w:lvlJc w:val="left"/>
      <w:pPr>
        <w:ind w:left="4568" w:hanging="601"/>
      </w:pPr>
      <w:rPr>
        <w:rFonts w:hint="default"/>
        <w:lang w:val="zh-CN" w:eastAsia="zh-CN" w:bidi="zh-CN"/>
      </w:rPr>
    </w:lvl>
    <w:lvl w:ilvl="4">
      <w:start w:val="0"/>
      <w:numFmt w:val="bullet"/>
      <w:lvlText w:val="•"/>
      <w:lvlJc w:val="left"/>
      <w:pPr>
        <w:ind w:left="5262" w:hanging="601"/>
      </w:pPr>
      <w:rPr>
        <w:rFonts w:hint="default"/>
        <w:lang w:val="zh-CN" w:eastAsia="zh-CN" w:bidi="zh-CN"/>
      </w:rPr>
    </w:lvl>
    <w:lvl w:ilvl="5">
      <w:start w:val="0"/>
      <w:numFmt w:val="bullet"/>
      <w:lvlText w:val="•"/>
      <w:lvlJc w:val="left"/>
      <w:pPr>
        <w:ind w:left="5956" w:hanging="601"/>
      </w:pPr>
      <w:rPr>
        <w:rFonts w:hint="default"/>
        <w:lang w:val="zh-CN" w:eastAsia="zh-CN" w:bidi="zh-CN"/>
      </w:rPr>
    </w:lvl>
    <w:lvl w:ilvl="6">
      <w:start w:val="0"/>
      <w:numFmt w:val="bullet"/>
      <w:lvlText w:val="•"/>
      <w:lvlJc w:val="left"/>
      <w:pPr>
        <w:ind w:left="6650" w:hanging="601"/>
      </w:pPr>
      <w:rPr>
        <w:rFonts w:hint="default"/>
        <w:lang w:val="zh-CN" w:eastAsia="zh-CN" w:bidi="zh-CN"/>
      </w:rPr>
    </w:lvl>
    <w:lvl w:ilvl="7">
      <w:start w:val="0"/>
      <w:numFmt w:val="bullet"/>
      <w:lvlText w:val="•"/>
      <w:lvlJc w:val="left"/>
      <w:pPr>
        <w:ind w:left="7344" w:hanging="601"/>
      </w:pPr>
      <w:rPr>
        <w:rFonts w:hint="default"/>
        <w:lang w:val="zh-CN" w:eastAsia="zh-CN" w:bidi="zh-CN"/>
      </w:rPr>
    </w:lvl>
    <w:lvl w:ilvl="8">
      <w:start w:val="0"/>
      <w:numFmt w:val="bullet"/>
      <w:lvlText w:val="•"/>
      <w:lvlJc w:val="left"/>
      <w:pPr>
        <w:ind w:left="8038" w:hanging="601"/>
      </w:pPr>
      <w:rPr>
        <w:rFonts w:hint="default"/>
        <w:lang w:val="zh-CN" w:eastAsia="zh-CN" w:bidi="zh-CN"/>
      </w:rPr>
    </w:lvl>
  </w:abstractNum>
  <w:abstractNum w:abstractNumId="17">
    <w:nsid w:val="CB94649F"/>
    <w:multiLevelType w:val="multilevel"/>
    <w:tmpl w:val="CB94649F"/>
    <w:lvl w:ilvl="0">
      <w:start w:val="1"/>
      <w:numFmt w:val="decimal"/>
      <w:lvlText w:val="%1"/>
      <w:lvlJc w:val="left"/>
      <w:pPr>
        <w:ind w:left="1180" w:hanging="240"/>
        <w:jc w:val="left"/>
      </w:pPr>
      <w:rPr>
        <w:rFonts w:ascii="Times New Roman" w:eastAsia="Times New Roman" w:hAnsi="Times New Roman" w:cs="Times New Roman" w:hint="default"/>
        <w:b/>
        <w:bCs/>
        <w:w w:val="99"/>
        <w:sz w:val="24"/>
        <w:szCs w:val="24"/>
        <w:lang w:val="zh-CN" w:eastAsia="zh-CN" w:bidi="zh-CN"/>
      </w:rPr>
    </w:lvl>
    <w:lvl w:ilvl="1">
      <w:start w:val="1"/>
      <w:numFmt w:val="decimal"/>
      <w:lvlText w:val="%1.%2"/>
      <w:lvlJc w:val="left"/>
      <w:pPr>
        <w:ind w:left="1360" w:hanging="420"/>
        <w:jc w:val="left"/>
      </w:pPr>
      <w:rPr>
        <w:rFonts w:ascii="Times New Roman" w:eastAsia="Times New Roman" w:hAnsi="Times New Roman" w:cs="Times New Roman" w:hint="default"/>
        <w:b/>
        <w:bCs/>
        <w:w w:val="99"/>
        <w:sz w:val="24"/>
        <w:szCs w:val="24"/>
        <w:lang w:val="zh-CN" w:eastAsia="zh-CN" w:bidi="zh-CN"/>
      </w:rPr>
    </w:lvl>
    <w:lvl w:ilvl="2">
      <w:start w:val="1"/>
      <w:numFmt w:val="decimal"/>
      <w:lvlText w:val="（%3）"/>
      <w:lvlJc w:val="left"/>
      <w:pPr>
        <w:ind w:left="1992" w:hanging="601"/>
        <w:jc w:val="left"/>
      </w:pPr>
      <w:rPr>
        <w:rFonts w:ascii="宋体" w:eastAsia="宋体" w:hAnsi="宋体" w:cs="宋体" w:hint="default"/>
        <w:w w:val="100"/>
        <w:sz w:val="22"/>
        <w:szCs w:val="22"/>
        <w:lang w:val="zh-CN" w:eastAsia="zh-CN" w:bidi="zh-CN"/>
      </w:rPr>
    </w:lvl>
    <w:lvl w:ilvl="3">
      <w:start w:val="0"/>
      <w:numFmt w:val="bullet"/>
      <w:lvlText w:val="•"/>
      <w:lvlJc w:val="left"/>
      <w:pPr>
        <w:ind w:left="3010" w:hanging="601"/>
      </w:pPr>
      <w:rPr>
        <w:rFonts w:hint="default"/>
        <w:lang w:val="zh-CN" w:eastAsia="zh-CN" w:bidi="zh-CN"/>
      </w:rPr>
    </w:lvl>
    <w:lvl w:ilvl="4">
      <w:start w:val="0"/>
      <w:numFmt w:val="bullet"/>
      <w:lvlText w:val="•"/>
      <w:lvlJc w:val="left"/>
      <w:pPr>
        <w:ind w:left="4021" w:hanging="601"/>
      </w:pPr>
      <w:rPr>
        <w:rFonts w:hint="default"/>
        <w:lang w:val="zh-CN" w:eastAsia="zh-CN" w:bidi="zh-CN"/>
      </w:rPr>
    </w:lvl>
    <w:lvl w:ilvl="5">
      <w:start w:val="0"/>
      <w:numFmt w:val="bullet"/>
      <w:lvlText w:val="•"/>
      <w:lvlJc w:val="left"/>
      <w:pPr>
        <w:ind w:left="5032" w:hanging="601"/>
      </w:pPr>
      <w:rPr>
        <w:rFonts w:hint="default"/>
        <w:lang w:val="zh-CN" w:eastAsia="zh-CN" w:bidi="zh-CN"/>
      </w:rPr>
    </w:lvl>
    <w:lvl w:ilvl="6">
      <w:start w:val="0"/>
      <w:numFmt w:val="bullet"/>
      <w:lvlText w:val="•"/>
      <w:lvlJc w:val="left"/>
      <w:pPr>
        <w:ind w:left="6043" w:hanging="601"/>
      </w:pPr>
      <w:rPr>
        <w:rFonts w:hint="default"/>
        <w:lang w:val="zh-CN" w:eastAsia="zh-CN" w:bidi="zh-CN"/>
      </w:rPr>
    </w:lvl>
    <w:lvl w:ilvl="7">
      <w:start w:val="0"/>
      <w:numFmt w:val="bullet"/>
      <w:lvlText w:val="•"/>
      <w:lvlJc w:val="left"/>
      <w:pPr>
        <w:ind w:left="7053" w:hanging="601"/>
      </w:pPr>
      <w:rPr>
        <w:rFonts w:hint="default"/>
        <w:lang w:val="zh-CN" w:eastAsia="zh-CN" w:bidi="zh-CN"/>
      </w:rPr>
    </w:lvl>
    <w:lvl w:ilvl="8">
      <w:start w:val="0"/>
      <w:numFmt w:val="bullet"/>
      <w:lvlText w:val="•"/>
      <w:lvlJc w:val="left"/>
      <w:pPr>
        <w:ind w:left="8064" w:hanging="601"/>
      </w:pPr>
      <w:rPr>
        <w:rFonts w:hint="default"/>
        <w:lang w:val="zh-CN" w:eastAsia="zh-CN" w:bidi="zh-CN"/>
      </w:rPr>
    </w:lvl>
  </w:abstractNum>
  <w:abstractNum w:abstractNumId="18">
    <w:nsid w:val="D5F12F34"/>
    <w:multiLevelType w:val="multilevel"/>
    <w:tmpl w:val="D5F12F34"/>
    <w:lvl w:ilvl="0">
      <w:start w:val="2"/>
      <w:numFmt w:val="decimal"/>
      <w:lvlText w:val="（%1）"/>
      <w:lvlJc w:val="left"/>
      <w:pPr>
        <w:ind w:left="1203" w:hanging="601"/>
        <w:jc w:val="left"/>
      </w:pPr>
      <w:rPr>
        <w:rFonts w:ascii="宋体" w:eastAsia="宋体" w:hAnsi="宋体" w:cs="宋体" w:hint="default"/>
        <w:b/>
        <w:bCs/>
        <w:w w:val="99"/>
        <w:sz w:val="22"/>
        <w:szCs w:val="22"/>
        <w:lang w:val="zh-CN" w:eastAsia="zh-CN" w:bidi="zh-CN"/>
      </w:rPr>
    </w:lvl>
    <w:lvl w:ilvl="1">
      <w:start w:val="0"/>
      <w:numFmt w:val="bullet"/>
      <w:lvlText w:val="•"/>
      <w:lvlJc w:val="left"/>
      <w:pPr>
        <w:ind w:left="1963" w:hanging="601"/>
      </w:pPr>
      <w:rPr>
        <w:rFonts w:hint="default"/>
        <w:lang w:val="zh-CN" w:eastAsia="zh-CN" w:bidi="zh-CN"/>
      </w:rPr>
    </w:lvl>
    <w:lvl w:ilvl="2">
      <w:start w:val="0"/>
      <w:numFmt w:val="bullet"/>
      <w:lvlText w:val="•"/>
      <w:lvlJc w:val="left"/>
      <w:pPr>
        <w:ind w:left="2726" w:hanging="601"/>
      </w:pPr>
      <w:rPr>
        <w:rFonts w:hint="default"/>
        <w:lang w:val="zh-CN" w:eastAsia="zh-CN" w:bidi="zh-CN"/>
      </w:rPr>
    </w:lvl>
    <w:lvl w:ilvl="3">
      <w:start w:val="0"/>
      <w:numFmt w:val="bullet"/>
      <w:lvlText w:val="•"/>
      <w:lvlJc w:val="left"/>
      <w:pPr>
        <w:ind w:left="3489" w:hanging="601"/>
      </w:pPr>
      <w:rPr>
        <w:rFonts w:hint="default"/>
        <w:lang w:val="zh-CN" w:eastAsia="zh-CN" w:bidi="zh-CN"/>
      </w:rPr>
    </w:lvl>
    <w:lvl w:ilvl="4">
      <w:start w:val="0"/>
      <w:numFmt w:val="bullet"/>
      <w:lvlText w:val="•"/>
      <w:lvlJc w:val="left"/>
      <w:pPr>
        <w:ind w:left="4252" w:hanging="601"/>
      </w:pPr>
      <w:rPr>
        <w:rFonts w:hint="default"/>
        <w:lang w:val="zh-CN" w:eastAsia="zh-CN" w:bidi="zh-CN"/>
      </w:rPr>
    </w:lvl>
    <w:lvl w:ilvl="5">
      <w:start w:val="0"/>
      <w:numFmt w:val="bullet"/>
      <w:lvlText w:val="•"/>
      <w:lvlJc w:val="left"/>
      <w:pPr>
        <w:ind w:left="5015" w:hanging="601"/>
      </w:pPr>
      <w:rPr>
        <w:rFonts w:hint="default"/>
        <w:lang w:val="zh-CN" w:eastAsia="zh-CN" w:bidi="zh-CN"/>
      </w:rPr>
    </w:lvl>
    <w:lvl w:ilvl="6">
      <w:start w:val="0"/>
      <w:numFmt w:val="bullet"/>
      <w:lvlText w:val="•"/>
      <w:lvlJc w:val="left"/>
      <w:pPr>
        <w:ind w:left="5778" w:hanging="601"/>
      </w:pPr>
      <w:rPr>
        <w:rFonts w:hint="default"/>
        <w:lang w:val="zh-CN" w:eastAsia="zh-CN" w:bidi="zh-CN"/>
      </w:rPr>
    </w:lvl>
    <w:lvl w:ilvl="7">
      <w:start w:val="0"/>
      <w:numFmt w:val="bullet"/>
      <w:lvlText w:val="•"/>
      <w:lvlJc w:val="left"/>
      <w:pPr>
        <w:ind w:left="6541" w:hanging="601"/>
      </w:pPr>
      <w:rPr>
        <w:rFonts w:hint="default"/>
        <w:lang w:val="zh-CN" w:eastAsia="zh-CN" w:bidi="zh-CN"/>
      </w:rPr>
    </w:lvl>
    <w:lvl w:ilvl="8">
      <w:start w:val="0"/>
      <w:numFmt w:val="bullet"/>
      <w:lvlText w:val="•"/>
      <w:lvlJc w:val="left"/>
      <w:pPr>
        <w:ind w:left="7304" w:hanging="601"/>
      </w:pPr>
      <w:rPr>
        <w:rFonts w:hint="default"/>
        <w:lang w:val="zh-CN" w:eastAsia="zh-CN" w:bidi="zh-CN"/>
      </w:rPr>
    </w:lvl>
  </w:abstractNum>
  <w:abstractNum w:abstractNumId="19">
    <w:nsid w:val="E93EBC56"/>
    <w:multiLevelType w:val="multilevel"/>
    <w:tmpl w:val="E93EBC56"/>
    <w:lvl w:ilvl="0">
      <w:start w:val="1"/>
      <w:numFmt w:val="decimal"/>
      <w:lvlText w:val="%1."/>
      <w:lvlJc w:val="left"/>
      <w:pPr>
        <w:ind w:left="685" w:hanging="159"/>
        <w:jc w:val="left"/>
      </w:pPr>
      <w:rPr>
        <w:rFonts w:ascii="Times New Roman" w:eastAsia="Times New Roman" w:hAnsi="Times New Roman" w:cs="Times New Roman" w:hint="default"/>
        <w:spacing w:val="0"/>
        <w:w w:val="99"/>
        <w:sz w:val="19"/>
        <w:szCs w:val="19"/>
        <w:lang w:val="zh-CN" w:eastAsia="zh-CN" w:bidi="zh-CN"/>
      </w:rPr>
    </w:lvl>
    <w:lvl w:ilvl="1">
      <w:start w:val="0"/>
      <w:numFmt w:val="bullet"/>
      <w:lvlText w:val="•"/>
      <w:lvlJc w:val="left"/>
      <w:pPr>
        <w:ind w:left="1194" w:hanging="159"/>
      </w:pPr>
      <w:rPr>
        <w:rFonts w:hint="default"/>
        <w:lang w:val="zh-CN" w:eastAsia="zh-CN" w:bidi="zh-CN"/>
      </w:rPr>
    </w:lvl>
    <w:lvl w:ilvl="2">
      <w:start w:val="0"/>
      <w:numFmt w:val="bullet"/>
      <w:lvlText w:val="•"/>
      <w:lvlJc w:val="left"/>
      <w:pPr>
        <w:ind w:left="1708" w:hanging="159"/>
      </w:pPr>
      <w:rPr>
        <w:rFonts w:hint="default"/>
        <w:lang w:val="zh-CN" w:eastAsia="zh-CN" w:bidi="zh-CN"/>
      </w:rPr>
    </w:lvl>
    <w:lvl w:ilvl="3">
      <w:start w:val="0"/>
      <w:numFmt w:val="bullet"/>
      <w:lvlText w:val="•"/>
      <w:lvlJc w:val="left"/>
      <w:pPr>
        <w:ind w:left="2222" w:hanging="159"/>
      </w:pPr>
      <w:rPr>
        <w:rFonts w:hint="default"/>
        <w:lang w:val="zh-CN" w:eastAsia="zh-CN" w:bidi="zh-CN"/>
      </w:rPr>
    </w:lvl>
    <w:lvl w:ilvl="4">
      <w:start w:val="0"/>
      <w:numFmt w:val="bullet"/>
      <w:lvlText w:val="•"/>
      <w:lvlJc w:val="left"/>
      <w:pPr>
        <w:ind w:left="2736" w:hanging="159"/>
      </w:pPr>
      <w:rPr>
        <w:rFonts w:hint="default"/>
        <w:lang w:val="zh-CN" w:eastAsia="zh-CN" w:bidi="zh-CN"/>
      </w:rPr>
    </w:lvl>
    <w:lvl w:ilvl="5">
      <w:start w:val="0"/>
      <w:numFmt w:val="bullet"/>
      <w:lvlText w:val="•"/>
      <w:lvlJc w:val="left"/>
      <w:pPr>
        <w:ind w:left="3250" w:hanging="159"/>
      </w:pPr>
      <w:rPr>
        <w:rFonts w:hint="default"/>
        <w:lang w:val="zh-CN" w:eastAsia="zh-CN" w:bidi="zh-CN"/>
      </w:rPr>
    </w:lvl>
    <w:lvl w:ilvl="6">
      <w:start w:val="0"/>
      <w:numFmt w:val="bullet"/>
      <w:lvlText w:val="•"/>
      <w:lvlJc w:val="left"/>
      <w:pPr>
        <w:ind w:left="3764" w:hanging="159"/>
      </w:pPr>
      <w:rPr>
        <w:rFonts w:hint="default"/>
        <w:lang w:val="zh-CN" w:eastAsia="zh-CN" w:bidi="zh-CN"/>
      </w:rPr>
    </w:lvl>
    <w:lvl w:ilvl="7">
      <w:start w:val="0"/>
      <w:numFmt w:val="bullet"/>
      <w:lvlText w:val="•"/>
      <w:lvlJc w:val="left"/>
      <w:pPr>
        <w:ind w:left="4278" w:hanging="159"/>
      </w:pPr>
      <w:rPr>
        <w:rFonts w:hint="default"/>
        <w:lang w:val="zh-CN" w:eastAsia="zh-CN" w:bidi="zh-CN"/>
      </w:rPr>
    </w:lvl>
    <w:lvl w:ilvl="8">
      <w:start w:val="0"/>
      <w:numFmt w:val="bullet"/>
      <w:lvlText w:val="•"/>
      <w:lvlJc w:val="left"/>
      <w:pPr>
        <w:ind w:left="4792" w:hanging="159"/>
      </w:pPr>
      <w:rPr>
        <w:rFonts w:hint="default"/>
        <w:lang w:val="zh-CN" w:eastAsia="zh-CN" w:bidi="zh-CN"/>
      </w:rPr>
    </w:lvl>
  </w:abstractNum>
  <w:abstractNum w:abstractNumId="20">
    <w:nsid w:val="EFCECDC7"/>
    <w:multiLevelType w:val="multilevel"/>
    <w:tmpl w:val="EFCECDC7"/>
    <w:lvl w:ilvl="0">
      <w:start w:val="1"/>
      <w:numFmt w:val="decimal"/>
      <w:lvlText w:val="（%1）"/>
      <w:lvlJc w:val="left"/>
      <w:pPr>
        <w:ind w:left="1301" w:hanging="601"/>
        <w:jc w:val="left"/>
      </w:pPr>
      <w:rPr>
        <w:rFonts w:ascii="宋体" w:eastAsia="宋体" w:hAnsi="宋体" w:cs="宋体" w:hint="default"/>
        <w:b/>
        <w:bCs/>
        <w:w w:val="99"/>
        <w:sz w:val="22"/>
        <w:szCs w:val="22"/>
        <w:lang w:val="zh-CN" w:eastAsia="zh-CN" w:bidi="zh-CN"/>
      </w:rPr>
    </w:lvl>
    <w:lvl w:ilvl="1">
      <w:start w:val="0"/>
      <w:numFmt w:val="bullet"/>
      <w:lvlText w:val="•"/>
      <w:lvlJc w:val="left"/>
      <w:pPr>
        <w:ind w:left="2178" w:hanging="601"/>
      </w:pPr>
      <w:rPr>
        <w:rFonts w:hint="default"/>
        <w:lang w:val="zh-CN" w:eastAsia="zh-CN" w:bidi="zh-CN"/>
      </w:rPr>
    </w:lvl>
    <w:lvl w:ilvl="2">
      <w:start w:val="0"/>
      <w:numFmt w:val="bullet"/>
      <w:lvlText w:val="•"/>
      <w:lvlJc w:val="left"/>
      <w:pPr>
        <w:ind w:left="3057" w:hanging="601"/>
      </w:pPr>
      <w:rPr>
        <w:rFonts w:hint="default"/>
        <w:lang w:val="zh-CN" w:eastAsia="zh-CN" w:bidi="zh-CN"/>
      </w:rPr>
    </w:lvl>
    <w:lvl w:ilvl="3">
      <w:start w:val="0"/>
      <w:numFmt w:val="bullet"/>
      <w:lvlText w:val="•"/>
      <w:lvlJc w:val="left"/>
      <w:pPr>
        <w:ind w:left="3935" w:hanging="601"/>
      </w:pPr>
      <w:rPr>
        <w:rFonts w:hint="default"/>
        <w:lang w:val="zh-CN" w:eastAsia="zh-CN" w:bidi="zh-CN"/>
      </w:rPr>
    </w:lvl>
    <w:lvl w:ilvl="4">
      <w:start w:val="0"/>
      <w:numFmt w:val="bullet"/>
      <w:lvlText w:val="•"/>
      <w:lvlJc w:val="left"/>
      <w:pPr>
        <w:ind w:left="4814" w:hanging="601"/>
      </w:pPr>
      <w:rPr>
        <w:rFonts w:hint="default"/>
        <w:lang w:val="zh-CN" w:eastAsia="zh-CN" w:bidi="zh-CN"/>
      </w:rPr>
    </w:lvl>
    <w:lvl w:ilvl="5">
      <w:start w:val="0"/>
      <w:numFmt w:val="bullet"/>
      <w:lvlText w:val="•"/>
      <w:lvlJc w:val="left"/>
      <w:pPr>
        <w:ind w:left="5693" w:hanging="601"/>
      </w:pPr>
      <w:rPr>
        <w:rFonts w:hint="default"/>
        <w:lang w:val="zh-CN" w:eastAsia="zh-CN" w:bidi="zh-CN"/>
      </w:rPr>
    </w:lvl>
    <w:lvl w:ilvl="6">
      <w:start w:val="0"/>
      <w:numFmt w:val="bullet"/>
      <w:lvlText w:val="•"/>
      <w:lvlJc w:val="left"/>
      <w:pPr>
        <w:ind w:left="6571" w:hanging="601"/>
      </w:pPr>
      <w:rPr>
        <w:rFonts w:hint="default"/>
        <w:lang w:val="zh-CN" w:eastAsia="zh-CN" w:bidi="zh-CN"/>
      </w:rPr>
    </w:lvl>
    <w:lvl w:ilvl="7">
      <w:start w:val="0"/>
      <w:numFmt w:val="bullet"/>
      <w:lvlText w:val="•"/>
      <w:lvlJc w:val="left"/>
      <w:pPr>
        <w:ind w:left="7450" w:hanging="601"/>
      </w:pPr>
      <w:rPr>
        <w:rFonts w:hint="default"/>
        <w:lang w:val="zh-CN" w:eastAsia="zh-CN" w:bidi="zh-CN"/>
      </w:rPr>
    </w:lvl>
    <w:lvl w:ilvl="8">
      <w:start w:val="0"/>
      <w:numFmt w:val="bullet"/>
      <w:lvlText w:val="•"/>
      <w:lvlJc w:val="left"/>
      <w:pPr>
        <w:ind w:left="8328" w:hanging="601"/>
      </w:pPr>
      <w:rPr>
        <w:rFonts w:hint="default"/>
        <w:lang w:val="zh-CN" w:eastAsia="zh-CN" w:bidi="zh-CN"/>
      </w:rPr>
    </w:lvl>
  </w:abstractNum>
  <w:abstractNum w:abstractNumId="21">
    <w:nsid w:val="F066642F"/>
    <w:multiLevelType w:val="multilevel"/>
    <w:tmpl w:val="F066642F"/>
    <w:lvl w:ilvl="0">
      <w:start w:val="3"/>
      <w:numFmt w:val="decimal"/>
      <w:lvlText w:val="%1"/>
      <w:lvlJc w:val="left"/>
      <w:pPr>
        <w:ind w:left="610" w:hanging="600"/>
        <w:jc w:val="left"/>
      </w:pPr>
      <w:rPr>
        <w:rFonts w:hint="default"/>
        <w:lang w:val="zh-CN" w:eastAsia="zh-CN" w:bidi="zh-CN"/>
      </w:rPr>
    </w:lvl>
    <w:lvl w:ilvl="1">
      <w:start w:val="2"/>
      <w:numFmt w:val="decimal"/>
      <w:lvlText w:val="%1.%2"/>
      <w:lvlJc w:val="left"/>
      <w:pPr>
        <w:ind w:left="610" w:hanging="600"/>
        <w:jc w:val="left"/>
      </w:pPr>
      <w:rPr>
        <w:rFonts w:hint="default"/>
        <w:lang w:val="zh-CN" w:eastAsia="zh-CN" w:bidi="zh-CN"/>
      </w:rPr>
    </w:lvl>
    <w:lvl w:ilvl="2">
      <w:start w:val="1"/>
      <w:numFmt w:val="decimal"/>
      <w:lvlText w:val="%1.%2.%3"/>
      <w:lvlJc w:val="left"/>
      <w:pPr>
        <w:ind w:left="610" w:hanging="600"/>
        <w:jc w:val="left"/>
      </w:pPr>
      <w:rPr>
        <w:rFonts w:ascii="Times New Roman" w:eastAsia="Times New Roman" w:hAnsi="Times New Roman" w:cs="Times New Roman" w:hint="default"/>
        <w:b/>
        <w:bCs/>
        <w:w w:val="99"/>
        <w:sz w:val="24"/>
        <w:szCs w:val="24"/>
        <w:lang w:val="zh-CN" w:eastAsia="zh-CN" w:bidi="zh-CN"/>
      </w:rPr>
    </w:lvl>
    <w:lvl w:ilvl="3">
      <w:start w:val="1"/>
      <w:numFmt w:val="decimal"/>
      <w:lvlText w:val="%4）"/>
      <w:lvlJc w:val="left"/>
      <w:pPr>
        <w:ind w:left="10" w:hanging="361"/>
        <w:jc w:val="left"/>
      </w:pPr>
      <w:rPr>
        <w:rFonts w:ascii="Times New Roman" w:eastAsia="Times New Roman" w:hAnsi="Times New Roman" w:cs="Times New Roman" w:hint="default"/>
        <w:spacing w:val="-51"/>
        <w:w w:val="100"/>
        <w:sz w:val="22"/>
        <w:szCs w:val="22"/>
        <w:lang w:val="zh-CN" w:eastAsia="zh-CN" w:bidi="zh-CN"/>
      </w:rPr>
    </w:lvl>
    <w:lvl w:ilvl="4">
      <w:start w:val="0"/>
      <w:numFmt w:val="bullet"/>
      <w:lvlText w:val="•"/>
      <w:lvlJc w:val="left"/>
      <w:pPr>
        <w:ind w:left="3367" w:hanging="361"/>
      </w:pPr>
      <w:rPr>
        <w:rFonts w:hint="default"/>
        <w:lang w:val="zh-CN" w:eastAsia="zh-CN" w:bidi="zh-CN"/>
      </w:rPr>
    </w:lvl>
    <w:lvl w:ilvl="5">
      <w:start w:val="0"/>
      <w:numFmt w:val="bullet"/>
      <w:lvlText w:val="•"/>
      <w:lvlJc w:val="left"/>
      <w:pPr>
        <w:ind w:left="4282" w:hanging="361"/>
      </w:pPr>
      <w:rPr>
        <w:rFonts w:hint="default"/>
        <w:lang w:val="zh-CN" w:eastAsia="zh-CN" w:bidi="zh-CN"/>
      </w:rPr>
    </w:lvl>
    <w:lvl w:ilvl="6">
      <w:start w:val="0"/>
      <w:numFmt w:val="bullet"/>
      <w:lvlText w:val="•"/>
      <w:lvlJc w:val="left"/>
      <w:pPr>
        <w:ind w:left="5198" w:hanging="361"/>
      </w:pPr>
      <w:rPr>
        <w:rFonts w:hint="default"/>
        <w:lang w:val="zh-CN" w:eastAsia="zh-CN" w:bidi="zh-CN"/>
      </w:rPr>
    </w:lvl>
    <w:lvl w:ilvl="7">
      <w:start w:val="0"/>
      <w:numFmt w:val="bullet"/>
      <w:lvlText w:val="•"/>
      <w:lvlJc w:val="left"/>
      <w:pPr>
        <w:ind w:left="6114" w:hanging="361"/>
      </w:pPr>
      <w:rPr>
        <w:rFonts w:hint="default"/>
        <w:lang w:val="zh-CN" w:eastAsia="zh-CN" w:bidi="zh-CN"/>
      </w:rPr>
    </w:lvl>
    <w:lvl w:ilvl="8">
      <w:start w:val="0"/>
      <w:numFmt w:val="bullet"/>
      <w:lvlText w:val="•"/>
      <w:lvlJc w:val="left"/>
      <w:pPr>
        <w:ind w:left="7029" w:hanging="361"/>
      </w:pPr>
      <w:rPr>
        <w:rFonts w:hint="default"/>
        <w:lang w:val="zh-CN" w:eastAsia="zh-CN" w:bidi="zh-CN"/>
      </w:rPr>
    </w:lvl>
  </w:abstractNum>
  <w:abstractNum w:abstractNumId="22">
    <w:nsid w:val="F30FC083"/>
    <w:multiLevelType w:val="multilevel"/>
    <w:tmpl w:val="F30FC083"/>
    <w:lvl w:ilvl="0">
      <w:start w:val="1"/>
      <w:numFmt w:val="decimal"/>
      <w:lvlText w:val="（%1）"/>
      <w:lvlJc w:val="left"/>
      <w:pPr>
        <w:ind w:left="71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531" w:hanging="601"/>
      </w:pPr>
      <w:rPr>
        <w:rFonts w:hint="default"/>
        <w:lang w:val="zh-CN" w:eastAsia="zh-CN" w:bidi="zh-CN"/>
      </w:rPr>
    </w:lvl>
    <w:lvl w:ilvl="2">
      <w:start w:val="0"/>
      <w:numFmt w:val="bullet"/>
      <w:lvlText w:val="•"/>
      <w:lvlJc w:val="left"/>
      <w:pPr>
        <w:ind w:left="2342" w:hanging="601"/>
      </w:pPr>
      <w:rPr>
        <w:rFonts w:hint="default"/>
        <w:lang w:val="zh-CN" w:eastAsia="zh-CN" w:bidi="zh-CN"/>
      </w:rPr>
    </w:lvl>
    <w:lvl w:ilvl="3">
      <w:start w:val="0"/>
      <w:numFmt w:val="bullet"/>
      <w:lvlText w:val="•"/>
      <w:lvlJc w:val="left"/>
      <w:pPr>
        <w:ind w:left="3153" w:hanging="601"/>
      </w:pPr>
      <w:rPr>
        <w:rFonts w:hint="default"/>
        <w:lang w:val="zh-CN" w:eastAsia="zh-CN" w:bidi="zh-CN"/>
      </w:rPr>
    </w:lvl>
    <w:lvl w:ilvl="4">
      <w:start w:val="0"/>
      <w:numFmt w:val="bullet"/>
      <w:lvlText w:val="•"/>
      <w:lvlJc w:val="left"/>
      <w:pPr>
        <w:ind w:left="3964" w:hanging="601"/>
      </w:pPr>
      <w:rPr>
        <w:rFonts w:hint="default"/>
        <w:lang w:val="zh-CN" w:eastAsia="zh-CN" w:bidi="zh-CN"/>
      </w:rPr>
    </w:lvl>
    <w:lvl w:ilvl="5">
      <w:start w:val="0"/>
      <w:numFmt w:val="bullet"/>
      <w:lvlText w:val="•"/>
      <w:lvlJc w:val="left"/>
      <w:pPr>
        <w:ind w:left="4775" w:hanging="601"/>
      </w:pPr>
      <w:rPr>
        <w:rFonts w:hint="default"/>
        <w:lang w:val="zh-CN" w:eastAsia="zh-CN" w:bidi="zh-CN"/>
      </w:rPr>
    </w:lvl>
    <w:lvl w:ilvl="6">
      <w:start w:val="0"/>
      <w:numFmt w:val="bullet"/>
      <w:lvlText w:val="•"/>
      <w:lvlJc w:val="left"/>
      <w:pPr>
        <w:ind w:left="5586" w:hanging="601"/>
      </w:pPr>
      <w:rPr>
        <w:rFonts w:hint="default"/>
        <w:lang w:val="zh-CN" w:eastAsia="zh-CN" w:bidi="zh-CN"/>
      </w:rPr>
    </w:lvl>
    <w:lvl w:ilvl="7">
      <w:start w:val="0"/>
      <w:numFmt w:val="bullet"/>
      <w:lvlText w:val="•"/>
      <w:lvlJc w:val="left"/>
      <w:pPr>
        <w:ind w:left="6397" w:hanging="601"/>
      </w:pPr>
      <w:rPr>
        <w:rFonts w:hint="default"/>
        <w:lang w:val="zh-CN" w:eastAsia="zh-CN" w:bidi="zh-CN"/>
      </w:rPr>
    </w:lvl>
    <w:lvl w:ilvl="8">
      <w:start w:val="0"/>
      <w:numFmt w:val="bullet"/>
      <w:lvlText w:val="•"/>
      <w:lvlJc w:val="left"/>
      <w:pPr>
        <w:ind w:left="7208" w:hanging="601"/>
      </w:pPr>
      <w:rPr>
        <w:rFonts w:hint="default"/>
        <w:lang w:val="zh-CN" w:eastAsia="zh-CN" w:bidi="zh-CN"/>
      </w:rPr>
    </w:lvl>
  </w:abstractNum>
  <w:abstractNum w:abstractNumId="23">
    <w:nsid w:val="F97CED97"/>
    <w:multiLevelType w:val="multilevel"/>
    <w:tmpl w:val="F97CED97"/>
    <w:lvl w:ilvl="0">
      <w:start w:val="1"/>
      <w:numFmt w:val="decimal"/>
      <w:lvlText w:val="（%1）"/>
      <w:lvlJc w:val="left"/>
      <w:pPr>
        <w:ind w:left="1200" w:hanging="601"/>
        <w:jc w:val="left"/>
      </w:pPr>
      <w:rPr>
        <w:rFonts w:ascii="宋体" w:eastAsia="宋体" w:hAnsi="宋体" w:cs="宋体" w:hint="default"/>
        <w:b/>
        <w:bCs/>
        <w:w w:val="99"/>
        <w:sz w:val="22"/>
        <w:szCs w:val="22"/>
        <w:lang w:val="zh-CN" w:eastAsia="zh-CN" w:bidi="zh-CN"/>
      </w:rPr>
    </w:lvl>
    <w:lvl w:ilvl="1">
      <w:start w:val="0"/>
      <w:numFmt w:val="bullet"/>
      <w:lvlText w:val="•"/>
      <w:lvlJc w:val="left"/>
      <w:pPr>
        <w:ind w:left="1934" w:hanging="601"/>
      </w:pPr>
      <w:rPr>
        <w:rFonts w:hint="default"/>
        <w:lang w:val="zh-CN" w:eastAsia="zh-CN" w:bidi="zh-CN"/>
      </w:rPr>
    </w:lvl>
    <w:lvl w:ilvl="2">
      <w:start w:val="0"/>
      <w:numFmt w:val="bullet"/>
      <w:lvlText w:val="•"/>
      <w:lvlJc w:val="left"/>
      <w:pPr>
        <w:ind w:left="2669" w:hanging="601"/>
      </w:pPr>
      <w:rPr>
        <w:rFonts w:hint="default"/>
        <w:lang w:val="zh-CN" w:eastAsia="zh-CN" w:bidi="zh-CN"/>
      </w:rPr>
    </w:lvl>
    <w:lvl w:ilvl="3">
      <w:start w:val="0"/>
      <w:numFmt w:val="bullet"/>
      <w:lvlText w:val="•"/>
      <w:lvlJc w:val="left"/>
      <w:pPr>
        <w:ind w:left="3403" w:hanging="601"/>
      </w:pPr>
      <w:rPr>
        <w:rFonts w:hint="default"/>
        <w:lang w:val="zh-CN" w:eastAsia="zh-CN" w:bidi="zh-CN"/>
      </w:rPr>
    </w:lvl>
    <w:lvl w:ilvl="4">
      <w:start w:val="0"/>
      <w:numFmt w:val="bullet"/>
      <w:lvlText w:val="•"/>
      <w:lvlJc w:val="left"/>
      <w:pPr>
        <w:ind w:left="4138" w:hanging="601"/>
      </w:pPr>
      <w:rPr>
        <w:rFonts w:hint="default"/>
        <w:lang w:val="zh-CN" w:eastAsia="zh-CN" w:bidi="zh-CN"/>
      </w:rPr>
    </w:lvl>
    <w:lvl w:ilvl="5">
      <w:start w:val="0"/>
      <w:numFmt w:val="bullet"/>
      <w:lvlText w:val="•"/>
      <w:lvlJc w:val="left"/>
      <w:pPr>
        <w:ind w:left="4873" w:hanging="601"/>
      </w:pPr>
      <w:rPr>
        <w:rFonts w:hint="default"/>
        <w:lang w:val="zh-CN" w:eastAsia="zh-CN" w:bidi="zh-CN"/>
      </w:rPr>
    </w:lvl>
    <w:lvl w:ilvl="6">
      <w:start w:val="0"/>
      <w:numFmt w:val="bullet"/>
      <w:lvlText w:val="•"/>
      <w:lvlJc w:val="left"/>
      <w:pPr>
        <w:ind w:left="5607" w:hanging="601"/>
      </w:pPr>
      <w:rPr>
        <w:rFonts w:hint="default"/>
        <w:lang w:val="zh-CN" w:eastAsia="zh-CN" w:bidi="zh-CN"/>
      </w:rPr>
    </w:lvl>
    <w:lvl w:ilvl="7">
      <w:start w:val="0"/>
      <w:numFmt w:val="bullet"/>
      <w:lvlText w:val="•"/>
      <w:lvlJc w:val="left"/>
      <w:pPr>
        <w:ind w:left="6342" w:hanging="601"/>
      </w:pPr>
      <w:rPr>
        <w:rFonts w:hint="default"/>
        <w:lang w:val="zh-CN" w:eastAsia="zh-CN" w:bidi="zh-CN"/>
      </w:rPr>
    </w:lvl>
    <w:lvl w:ilvl="8">
      <w:start w:val="0"/>
      <w:numFmt w:val="bullet"/>
      <w:lvlText w:val="•"/>
      <w:lvlJc w:val="left"/>
      <w:pPr>
        <w:ind w:left="7076" w:hanging="601"/>
      </w:pPr>
      <w:rPr>
        <w:rFonts w:hint="default"/>
        <w:lang w:val="zh-CN" w:eastAsia="zh-CN" w:bidi="zh-CN"/>
      </w:rPr>
    </w:lvl>
  </w:abstractNum>
  <w:abstractNum w:abstractNumId="24">
    <w:nsid w:val="FCC85EE2"/>
    <w:multiLevelType w:val="multilevel"/>
    <w:tmpl w:val="FCC85EE2"/>
    <w:lvl w:ilvl="0">
      <w:start w:val="2"/>
      <w:numFmt w:val="decimal"/>
      <w:lvlText w:val="（%1）"/>
      <w:lvlJc w:val="left"/>
      <w:pPr>
        <w:ind w:left="71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531" w:hanging="601"/>
      </w:pPr>
      <w:rPr>
        <w:rFonts w:hint="default"/>
        <w:lang w:val="zh-CN" w:eastAsia="zh-CN" w:bidi="zh-CN"/>
      </w:rPr>
    </w:lvl>
    <w:lvl w:ilvl="2">
      <w:start w:val="0"/>
      <w:numFmt w:val="bullet"/>
      <w:lvlText w:val="•"/>
      <w:lvlJc w:val="left"/>
      <w:pPr>
        <w:ind w:left="2342" w:hanging="601"/>
      </w:pPr>
      <w:rPr>
        <w:rFonts w:hint="default"/>
        <w:lang w:val="zh-CN" w:eastAsia="zh-CN" w:bidi="zh-CN"/>
      </w:rPr>
    </w:lvl>
    <w:lvl w:ilvl="3">
      <w:start w:val="0"/>
      <w:numFmt w:val="bullet"/>
      <w:lvlText w:val="•"/>
      <w:lvlJc w:val="left"/>
      <w:pPr>
        <w:ind w:left="3153" w:hanging="601"/>
      </w:pPr>
      <w:rPr>
        <w:rFonts w:hint="default"/>
        <w:lang w:val="zh-CN" w:eastAsia="zh-CN" w:bidi="zh-CN"/>
      </w:rPr>
    </w:lvl>
    <w:lvl w:ilvl="4">
      <w:start w:val="0"/>
      <w:numFmt w:val="bullet"/>
      <w:lvlText w:val="•"/>
      <w:lvlJc w:val="left"/>
      <w:pPr>
        <w:ind w:left="3964" w:hanging="601"/>
      </w:pPr>
      <w:rPr>
        <w:rFonts w:hint="default"/>
        <w:lang w:val="zh-CN" w:eastAsia="zh-CN" w:bidi="zh-CN"/>
      </w:rPr>
    </w:lvl>
    <w:lvl w:ilvl="5">
      <w:start w:val="0"/>
      <w:numFmt w:val="bullet"/>
      <w:lvlText w:val="•"/>
      <w:lvlJc w:val="left"/>
      <w:pPr>
        <w:ind w:left="4775" w:hanging="601"/>
      </w:pPr>
      <w:rPr>
        <w:rFonts w:hint="default"/>
        <w:lang w:val="zh-CN" w:eastAsia="zh-CN" w:bidi="zh-CN"/>
      </w:rPr>
    </w:lvl>
    <w:lvl w:ilvl="6">
      <w:start w:val="0"/>
      <w:numFmt w:val="bullet"/>
      <w:lvlText w:val="•"/>
      <w:lvlJc w:val="left"/>
      <w:pPr>
        <w:ind w:left="5586" w:hanging="601"/>
      </w:pPr>
      <w:rPr>
        <w:rFonts w:hint="default"/>
        <w:lang w:val="zh-CN" w:eastAsia="zh-CN" w:bidi="zh-CN"/>
      </w:rPr>
    </w:lvl>
    <w:lvl w:ilvl="7">
      <w:start w:val="0"/>
      <w:numFmt w:val="bullet"/>
      <w:lvlText w:val="•"/>
      <w:lvlJc w:val="left"/>
      <w:pPr>
        <w:ind w:left="6397" w:hanging="601"/>
      </w:pPr>
      <w:rPr>
        <w:rFonts w:hint="default"/>
        <w:lang w:val="zh-CN" w:eastAsia="zh-CN" w:bidi="zh-CN"/>
      </w:rPr>
    </w:lvl>
    <w:lvl w:ilvl="8">
      <w:start w:val="0"/>
      <w:numFmt w:val="bullet"/>
      <w:lvlText w:val="•"/>
      <w:lvlJc w:val="left"/>
      <w:pPr>
        <w:ind w:left="7208" w:hanging="601"/>
      </w:pPr>
      <w:rPr>
        <w:rFonts w:hint="default"/>
        <w:lang w:val="zh-CN" w:eastAsia="zh-CN" w:bidi="zh-CN"/>
      </w:rPr>
    </w:lvl>
  </w:abstractNum>
  <w:abstractNum w:abstractNumId="25">
    <w:nsid w:val="0258E135"/>
    <w:multiLevelType w:val="multilevel"/>
    <w:tmpl w:val="0258E135"/>
    <w:lvl w:ilvl="0">
      <w:start w:val="3"/>
      <w:numFmt w:val="decimal"/>
      <w:lvlText w:val="%1"/>
      <w:lvlJc w:val="left"/>
      <w:pPr>
        <w:ind w:left="388" w:hanging="380"/>
        <w:jc w:val="left"/>
      </w:pPr>
      <w:rPr>
        <w:rFonts w:hint="default"/>
        <w:lang w:val="zh-CN" w:eastAsia="zh-CN" w:bidi="zh-CN"/>
      </w:rPr>
    </w:lvl>
    <w:lvl w:ilvl="1">
      <w:start w:val="2"/>
      <w:numFmt w:val="decimal"/>
      <w:lvlText w:val="%1.%2"/>
      <w:lvlJc w:val="left"/>
      <w:pPr>
        <w:ind w:left="388" w:hanging="380"/>
        <w:jc w:val="left"/>
      </w:pPr>
      <w:rPr>
        <w:rFonts w:ascii="Times New Roman" w:eastAsia="Times New Roman" w:hAnsi="Times New Roman" w:cs="Times New Roman" w:hint="default"/>
        <w:b/>
        <w:bCs/>
        <w:spacing w:val="0"/>
        <w:w w:val="99"/>
        <w:sz w:val="24"/>
        <w:szCs w:val="24"/>
        <w:lang w:val="zh-CN" w:eastAsia="zh-CN" w:bidi="zh-CN"/>
      </w:rPr>
    </w:lvl>
    <w:lvl w:ilvl="2">
      <w:start w:val="1"/>
      <w:numFmt w:val="decimal"/>
      <w:lvlText w:val="%1.%2.%3"/>
      <w:lvlJc w:val="left"/>
      <w:pPr>
        <w:ind w:left="568" w:hanging="560"/>
        <w:jc w:val="left"/>
      </w:pPr>
      <w:rPr>
        <w:rFonts w:ascii="Times New Roman" w:eastAsia="Times New Roman" w:hAnsi="Times New Roman" w:cs="Times New Roman" w:hint="default"/>
        <w:b/>
        <w:bCs/>
        <w:spacing w:val="0"/>
        <w:w w:val="99"/>
        <w:sz w:val="24"/>
        <w:szCs w:val="24"/>
        <w:lang w:val="zh-CN" w:eastAsia="zh-CN" w:bidi="zh-CN"/>
      </w:rPr>
    </w:lvl>
    <w:lvl w:ilvl="3">
      <w:start w:val="0"/>
      <w:numFmt w:val="bullet"/>
      <w:lvlText w:val="•"/>
      <w:lvlJc w:val="left"/>
      <w:pPr>
        <w:ind w:left="2311" w:hanging="560"/>
      </w:pPr>
      <w:rPr>
        <w:rFonts w:hint="default"/>
        <w:lang w:val="zh-CN" w:eastAsia="zh-CN" w:bidi="zh-CN"/>
      </w:rPr>
    </w:lvl>
    <w:lvl w:ilvl="4">
      <w:start w:val="0"/>
      <w:numFmt w:val="bullet"/>
      <w:lvlText w:val="•"/>
      <w:lvlJc w:val="left"/>
      <w:pPr>
        <w:ind w:left="3187" w:hanging="560"/>
      </w:pPr>
      <w:rPr>
        <w:rFonts w:hint="default"/>
        <w:lang w:val="zh-CN" w:eastAsia="zh-CN" w:bidi="zh-CN"/>
      </w:rPr>
    </w:lvl>
    <w:lvl w:ilvl="5">
      <w:start w:val="0"/>
      <w:numFmt w:val="bullet"/>
      <w:lvlText w:val="•"/>
      <w:lvlJc w:val="left"/>
      <w:pPr>
        <w:ind w:left="4063" w:hanging="560"/>
      </w:pPr>
      <w:rPr>
        <w:rFonts w:hint="default"/>
        <w:lang w:val="zh-CN" w:eastAsia="zh-CN" w:bidi="zh-CN"/>
      </w:rPr>
    </w:lvl>
    <w:lvl w:ilvl="6">
      <w:start w:val="0"/>
      <w:numFmt w:val="bullet"/>
      <w:lvlText w:val="•"/>
      <w:lvlJc w:val="left"/>
      <w:pPr>
        <w:ind w:left="4939" w:hanging="560"/>
      </w:pPr>
      <w:rPr>
        <w:rFonts w:hint="default"/>
        <w:lang w:val="zh-CN" w:eastAsia="zh-CN" w:bidi="zh-CN"/>
      </w:rPr>
    </w:lvl>
    <w:lvl w:ilvl="7">
      <w:start w:val="0"/>
      <w:numFmt w:val="bullet"/>
      <w:lvlText w:val="•"/>
      <w:lvlJc w:val="left"/>
      <w:pPr>
        <w:ind w:left="5815" w:hanging="560"/>
      </w:pPr>
      <w:rPr>
        <w:rFonts w:hint="default"/>
        <w:lang w:val="zh-CN" w:eastAsia="zh-CN" w:bidi="zh-CN"/>
      </w:rPr>
    </w:lvl>
    <w:lvl w:ilvl="8">
      <w:start w:val="0"/>
      <w:numFmt w:val="bullet"/>
      <w:lvlText w:val="•"/>
      <w:lvlJc w:val="left"/>
      <w:pPr>
        <w:ind w:left="6691" w:hanging="560"/>
      </w:pPr>
      <w:rPr>
        <w:rFonts w:hint="default"/>
        <w:lang w:val="zh-CN" w:eastAsia="zh-CN" w:bidi="zh-CN"/>
      </w:rPr>
    </w:lvl>
  </w:abstractNum>
  <w:abstractNum w:abstractNumId="26">
    <w:nsid w:val="054FB505"/>
    <w:multiLevelType w:val="multilevel"/>
    <w:tmpl w:val="D5F12F34"/>
    <w:lvl w:ilvl="0">
      <w:start w:val="2"/>
      <w:numFmt w:val="decimal"/>
      <w:lvlText w:val="（%1）"/>
      <w:lvlJc w:val="left"/>
      <w:pPr>
        <w:ind w:left="1203" w:hanging="601"/>
        <w:jc w:val="left"/>
      </w:pPr>
      <w:rPr>
        <w:rFonts w:ascii="宋体" w:eastAsia="宋体" w:hAnsi="宋体" w:cs="宋体" w:hint="default"/>
        <w:b/>
        <w:bCs/>
        <w:w w:val="99"/>
        <w:sz w:val="22"/>
        <w:szCs w:val="22"/>
        <w:lang w:val="zh-CN" w:eastAsia="zh-CN" w:bidi="zh-CN"/>
      </w:rPr>
    </w:lvl>
    <w:lvl w:ilvl="1">
      <w:start w:val="0"/>
      <w:numFmt w:val="bullet"/>
      <w:lvlText w:val="•"/>
      <w:lvlJc w:val="left"/>
      <w:pPr>
        <w:ind w:left="1963" w:hanging="601"/>
      </w:pPr>
      <w:rPr>
        <w:rFonts w:hint="default"/>
        <w:lang w:val="zh-CN" w:eastAsia="zh-CN" w:bidi="zh-CN"/>
      </w:rPr>
    </w:lvl>
    <w:lvl w:ilvl="2">
      <w:start w:val="0"/>
      <w:numFmt w:val="bullet"/>
      <w:lvlText w:val="•"/>
      <w:lvlJc w:val="left"/>
      <w:pPr>
        <w:ind w:left="2726" w:hanging="601"/>
      </w:pPr>
      <w:rPr>
        <w:rFonts w:hint="default"/>
        <w:lang w:val="zh-CN" w:eastAsia="zh-CN" w:bidi="zh-CN"/>
      </w:rPr>
    </w:lvl>
    <w:lvl w:ilvl="3">
      <w:start w:val="0"/>
      <w:numFmt w:val="bullet"/>
      <w:lvlText w:val="•"/>
      <w:lvlJc w:val="left"/>
      <w:pPr>
        <w:ind w:left="3489" w:hanging="601"/>
      </w:pPr>
      <w:rPr>
        <w:rFonts w:hint="default"/>
        <w:lang w:val="zh-CN" w:eastAsia="zh-CN" w:bidi="zh-CN"/>
      </w:rPr>
    </w:lvl>
    <w:lvl w:ilvl="4">
      <w:start w:val="0"/>
      <w:numFmt w:val="bullet"/>
      <w:lvlText w:val="•"/>
      <w:lvlJc w:val="left"/>
      <w:pPr>
        <w:ind w:left="4252" w:hanging="601"/>
      </w:pPr>
      <w:rPr>
        <w:rFonts w:hint="default"/>
        <w:lang w:val="zh-CN" w:eastAsia="zh-CN" w:bidi="zh-CN"/>
      </w:rPr>
    </w:lvl>
    <w:lvl w:ilvl="5">
      <w:start w:val="0"/>
      <w:numFmt w:val="bullet"/>
      <w:lvlText w:val="•"/>
      <w:lvlJc w:val="left"/>
      <w:pPr>
        <w:ind w:left="5015" w:hanging="601"/>
      </w:pPr>
      <w:rPr>
        <w:rFonts w:hint="default"/>
        <w:lang w:val="zh-CN" w:eastAsia="zh-CN" w:bidi="zh-CN"/>
      </w:rPr>
    </w:lvl>
    <w:lvl w:ilvl="6">
      <w:start w:val="0"/>
      <w:numFmt w:val="bullet"/>
      <w:lvlText w:val="•"/>
      <w:lvlJc w:val="left"/>
      <w:pPr>
        <w:ind w:left="5778" w:hanging="601"/>
      </w:pPr>
      <w:rPr>
        <w:rFonts w:hint="default"/>
        <w:lang w:val="zh-CN" w:eastAsia="zh-CN" w:bidi="zh-CN"/>
      </w:rPr>
    </w:lvl>
    <w:lvl w:ilvl="7">
      <w:start w:val="0"/>
      <w:numFmt w:val="bullet"/>
      <w:lvlText w:val="•"/>
      <w:lvlJc w:val="left"/>
      <w:pPr>
        <w:ind w:left="6541" w:hanging="601"/>
      </w:pPr>
      <w:rPr>
        <w:rFonts w:hint="default"/>
        <w:lang w:val="zh-CN" w:eastAsia="zh-CN" w:bidi="zh-CN"/>
      </w:rPr>
    </w:lvl>
    <w:lvl w:ilvl="8">
      <w:start w:val="0"/>
      <w:numFmt w:val="bullet"/>
      <w:lvlText w:val="•"/>
      <w:lvlJc w:val="left"/>
      <w:pPr>
        <w:ind w:left="7304" w:hanging="601"/>
      </w:pPr>
      <w:rPr>
        <w:rFonts w:hint="default"/>
        <w:lang w:val="zh-CN" w:eastAsia="zh-CN" w:bidi="zh-CN"/>
      </w:rPr>
    </w:lvl>
  </w:abstractNum>
  <w:abstractNum w:abstractNumId="27">
    <w:nsid w:val="07F2E950"/>
    <w:multiLevelType w:val="multilevel"/>
    <w:tmpl w:val="07F2E950"/>
    <w:lvl w:ilvl="0">
      <w:start w:val="9"/>
      <w:numFmt w:val="decimal"/>
      <w:lvlText w:val="%1"/>
      <w:lvlJc w:val="left"/>
      <w:pPr>
        <w:ind w:left="932" w:hanging="720"/>
        <w:jc w:val="left"/>
      </w:pPr>
      <w:rPr>
        <w:rFonts w:hint="default"/>
        <w:lang w:val="zh-CN" w:eastAsia="zh-CN" w:bidi="zh-CN"/>
      </w:rPr>
    </w:lvl>
    <w:lvl w:ilvl="1">
      <w:start w:val="2"/>
      <w:numFmt w:val="decimal"/>
      <w:lvlText w:val="%1.%2"/>
      <w:lvlJc w:val="left"/>
      <w:pPr>
        <w:ind w:left="932" w:hanging="720"/>
        <w:jc w:val="left"/>
      </w:pPr>
      <w:rPr>
        <w:rFonts w:hint="default"/>
        <w:lang w:val="zh-CN" w:eastAsia="zh-CN" w:bidi="zh-CN"/>
      </w:rPr>
    </w:lvl>
    <w:lvl w:ilvl="2">
      <w:start w:val="5"/>
      <w:numFmt w:val="decimal"/>
      <w:lvlText w:val="%1.%2.%3"/>
      <w:lvlJc w:val="left"/>
      <w:pPr>
        <w:ind w:left="932" w:hanging="720"/>
        <w:jc w:val="left"/>
      </w:pPr>
      <w:rPr>
        <w:rFonts w:hint="default"/>
        <w:lang w:val="zh-CN" w:eastAsia="zh-CN" w:bidi="zh-CN"/>
      </w:rPr>
    </w:lvl>
    <w:lvl w:ilvl="3">
      <w:start w:val="1"/>
      <w:numFmt w:val="decimal"/>
      <w:lvlText w:val="%1.%2.%3.%4"/>
      <w:lvlJc w:val="left"/>
      <w:pPr>
        <w:ind w:left="932" w:hanging="720"/>
        <w:jc w:val="left"/>
      </w:pPr>
      <w:rPr>
        <w:rFonts w:ascii="Times New Roman" w:eastAsia="Times New Roman" w:hAnsi="Times New Roman" w:cs="Times New Roman" w:hint="default"/>
        <w:b/>
        <w:bCs/>
        <w:spacing w:val="-59"/>
        <w:w w:val="99"/>
        <w:sz w:val="24"/>
        <w:szCs w:val="24"/>
        <w:lang w:val="zh-CN" w:eastAsia="zh-CN" w:bidi="zh-CN"/>
      </w:rPr>
    </w:lvl>
    <w:lvl w:ilvl="4">
      <w:start w:val="1"/>
      <w:numFmt w:val="decimal"/>
      <w:lvlText w:val="（%5）"/>
      <w:lvlJc w:val="left"/>
      <w:pPr>
        <w:ind w:left="1365" w:hanging="601"/>
        <w:jc w:val="right"/>
      </w:pPr>
      <w:rPr>
        <w:rFonts w:ascii="宋体" w:eastAsia="宋体" w:hAnsi="宋体" w:cs="宋体" w:hint="default"/>
        <w:b/>
        <w:bCs/>
        <w:w w:val="99"/>
        <w:sz w:val="22"/>
        <w:szCs w:val="22"/>
        <w:lang w:val="zh-CN" w:eastAsia="zh-CN" w:bidi="zh-CN"/>
      </w:rPr>
    </w:lvl>
    <w:lvl w:ilvl="5">
      <w:start w:val="0"/>
      <w:numFmt w:val="bullet"/>
      <w:lvlText w:val="•"/>
      <w:lvlJc w:val="left"/>
      <w:pPr>
        <w:ind w:left="5238" w:hanging="601"/>
      </w:pPr>
      <w:rPr>
        <w:rFonts w:hint="default"/>
        <w:lang w:val="zh-CN" w:eastAsia="zh-CN" w:bidi="zh-CN"/>
      </w:rPr>
    </w:lvl>
    <w:lvl w:ilvl="6">
      <w:start w:val="0"/>
      <w:numFmt w:val="bullet"/>
      <w:lvlText w:val="•"/>
      <w:lvlJc w:val="left"/>
      <w:pPr>
        <w:ind w:left="6207" w:hanging="601"/>
      </w:pPr>
      <w:rPr>
        <w:rFonts w:hint="default"/>
        <w:lang w:val="zh-CN" w:eastAsia="zh-CN" w:bidi="zh-CN"/>
      </w:rPr>
    </w:lvl>
    <w:lvl w:ilvl="7">
      <w:start w:val="0"/>
      <w:numFmt w:val="bullet"/>
      <w:lvlText w:val="•"/>
      <w:lvlJc w:val="left"/>
      <w:pPr>
        <w:ind w:left="7177" w:hanging="601"/>
      </w:pPr>
      <w:rPr>
        <w:rFonts w:hint="default"/>
        <w:lang w:val="zh-CN" w:eastAsia="zh-CN" w:bidi="zh-CN"/>
      </w:rPr>
    </w:lvl>
    <w:lvl w:ilvl="8">
      <w:start w:val="0"/>
      <w:numFmt w:val="bullet"/>
      <w:lvlText w:val="•"/>
      <w:lvlJc w:val="left"/>
      <w:pPr>
        <w:ind w:left="8146" w:hanging="601"/>
      </w:pPr>
      <w:rPr>
        <w:rFonts w:hint="default"/>
        <w:lang w:val="zh-CN" w:eastAsia="zh-CN" w:bidi="zh-CN"/>
      </w:rPr>
    </w:lvl>
  </w:abstractNum>
  <w:abstractNum w:abstractNumId="28">
    <w:nsid w:val="0CCB9E98"/>
    <w:multiLevelType w:val="multilevel"/>
    <w:tmpl w:val="0CCB9E98"/>
    <w:lvl w:ilvl="0">
      <w:start w:val="1"/>
      <w:numFmt w:val="decimal"/>
      <w:lvlText w:val="%1）"/>
      <w:lvlJc w:val="left"/>
      <w:pPr>
        <w:ind w:left="953" w:hanging="36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1718" w:hanging="361"/>
      </w:pPr>
      <w:rPr>
        <w:rFonts w:hint="default"/>
        <w:lang w:val="zh-CN" w:eastAsia="zh-CN" w:bidi="zh-CN"/>
      </w:rPr>
    </w:lvl>
    <w:lvl w:ilvl="2">
      <w:start w:val="0"/>
      <w:numFmt w:val="bullet"/>
      <w:lvlText w:val="•"/>
      <w:lvlJc w:val="left"/>
      <w:pPr>
        <w:ind w:left="2477" w:hanging="361"/>
      </w:pPr>
      <w:rPr>
        <w:rFonts w:hint="default"/>
        <w:lang w:val="zh-CN" w:eastAsia="zh-CN" w:bidi="zh-CN"/>
      </w:rPr>
    </w:lvl>
    <w:lvl w:ilvl="3">
      <w:start w:val="0"/>
      <w:numFmt w:val="bullet"/>
      <w:lvlText w:val="•"/>
      <w:lvlJc w:val="left"/>
      <w:pPr>
        <w:ind w:left="3235" w:hanging="361"/>
      </w:pPr>
      <w:rPr>
        <w:rFonts w:hint="default"/>
        <w:lang w:val="zh-CN" w:eastAsia="zh-CN" w:bidi="zh-CN"/>
      </w:rPr>
    </w:lvl>
    <w:lvl w:ilvl="4">
      <w:start w:val="0"/>
      <w:numFmt w:val="bullet"/>
      <w:lvlText w:val="•"/>
      <w:lvlJc w:val="left"/>
      <w:pPr>
        <w:ind w:left="3994" w:hanging="361"/>
      </w:pPr>
      <w:rPr>
        <w:rFonts w:hint="default"/>
        <w:lang w:val="zh-CN" w:eastAsia="zh-CN" w:bidi="zh-CN"/>
      </w:rPr>
    </w:lvl>
    <w:lvl w:ilvl="5">
      <w:start w:val="0"/>
      <w:numFmt w:val="bullet"/>
      <w:lvlText w:val="•"/>
      <w:lvlJc w:val="left"/>
      <w:pPr>
        <w:ind w:left="4753" w:hanging="361"/>
      </w:pPr>
      <w:rPr>
        <w:rFonts w:hint="default"/>
        <w:lang w:val="zh-CN" w:eastAsia="zh-CN" w:bidi="zh-CN"/>
      </w:rPr>
    </w:lvl>
    <w:lvl w:ilvl="6">
      <w:start w:val="0"/>
      <w:numFmt w:val="bullet"/>
      <w:lvlText w:val="•"/>
      <w:lvlJc w:val="left"/>
      <w:pPr>
        <w:ind w:left="5511" w:hanging="361"/>
      </w:pPr>
      <w:rPr>
        <w:rFonts w:hint="default"/>
        <w:lang w:val="zh-CN" w:eastAsia="zh-CN" w:bidi="zh-CN"/>
      </w:rPr>
    </w:lvl>
    <w:lvl w:ilvl="7">
      <w:start w:val="0"/>
      <w:numFmt w:val="bullet"/>
      <w:lvlText w:val="•"/>
      <w:lvlJc w:val="left"/>
      <w:pPr>
        <w:ind w:left="6270" w:hanging="361"/>
      </w:pPr>
      <w:rPr>
        <w:rFonts w:hint="default"/>
        <w:lang w:val="zh-CN" w:eastAsia="zh-CN" w:bidi="zh-CN"/>
      </w:rPr>
    </w:lvl>
    <w:lvl w:ilvl="8">
      <w:start w:val="0"/>
      <w:numFmt w:val="bullet"/>
      <w:lvlText w:val="•"/>
      <w:lvlJc w:val="left"/>
      <w:pPr>
        <w:ind w:left="7028" w:hanging="361"/>
      </w:pPr>
      <w:rPr>
        <w:rFonts w:hint="default"/>
        <w:lang w:val="zh-CN" w:eastAsia="zh-CN" w:bidi="zh-CN"/>
      </w:rPr>
    </w:lvl>
  </w:abstractNum>
  <w:abstractNum w:abstractNumId="29">
    <w:nsid w:val="0F929F01"/>
    <w:multiLevelType w:val="multilevel"/>
    <w:tmpl w:val="0F929F01"/>
    <w:lvl w:ilvl="0">
      <w:start w:val="3"/>
      <w:numFmt w:val="decimal"/>
      <w:lvlText w:val="%1"/>
      <w:lvlJc w:val="left"/>
      <w:pPr>
        <w:ind w:left="628" w:hanging="620"/>
        <w:jc w:val="left"/>
      </w:pPr>
      <w:rPr>
        <w:rFonts w:hint="default"/>
        <w:lang w:val="zh-CN" w:eastAsia="zh-CN" w:bidi="zh-CN"/>
      </w:rPr>
    </w:lvl>
    <w:lvl w:ilvl="1">
      <w:start w:val="1"/>
      <w:numFmt w:val="decimal"/>
      <w:lvlText w:val="%1.%2"/>
      <w:lvlJc w:val="left"/>
      <w:pPr>
        <w:ind w:left="628" w:hanging="620"/>
        <w:jc w:val="left"/>
      </w:pPr>
      <w:rPr>
        <w:rFonts w:hint="default"/>
        <w:lang w:val="zh-CN" w:eastAsia="zh-CN" w:bidi="zh-CN"/>
      </w:rPr>
    </w:lvl>
    <w:lvl w:ilvl="2">
      <w:start w:val="3"/>
      <w:numFmt w:val="decimal"/>
      <w:lvlText w:val="%1.%2.%3"/>
      <w:lvlJc w:val="left"/>
      <w:pPr>
        <w:ind w:left="628" w:hanging="620"/>
        <w:jc w:val="left"/>
      </w:pPr>
      <w:rPr>
        <w:rFonts w:ascii="Times New Roman" w:eastAsia="Times New Roman" w:hAnsi="Times New Roman" w:cs="Times New Roman" w:hint="default"/>
        <w:b/>
        <w:bCs/>
        <w:spacing w:val="0"/>
        <w:w w:val="99"/>
        <w:sz w:val="24"/>
        <w:szCs w:val="24"/>
        <w:lang w:val="zh-CN" w:eastAsia="zh-CN" w:bidi="zh-CN"/>
      </w:rPr>
    </w:lvl>
    <w:lvl w:ilvl="3">
      <w:start w:val="1"/>
      <w:numFmt w:val="decimal"/>
      <w:lvlText w:val="（%4）"/>
      <w:lvlJc w:val="left"/>
      <w:pPr>
        <w:ind w:left="1090" w:hanging="601"/>
        <w:jc w:val="left"/>
      </w:pPr>
      <w:rPr>
        <w:rFonts w:ascii="宋体" w:eastAsia="宋体" w:hAnsi="宋体" w:cs="宋体" w:hint="default"/>
        <w:w w:val="100"/>
        <w:sz w:val="22"/>
        <w:szCs w:val="22"/>
        <w:lang w:val="zh-CN" w:eastAsia="zh-CN" w:bidi="zh-CN"/>
      </w:rPr>
    </w:lvl>
    <w:lvl w:ilvl="4">
      <w:start w:val="0"/>
      <w:numFmt w:val="bullet"/>
      <w:lvlText w:val="•"/>
      <w:lvlJc w:val="left"/>
      <w:pPr>
        <w:ind w:left="3547" w:hanging="601"/>
      </w:pPr>
      <w:rPr>
        <w:rFonts w:hint="default"/>
        <w:lang w:val="zh-CN" w:eastAsia="zh-CN" w:bidi="zh-CN"/>
      </w:rPr>
    </w:lvl>
    <w:lvl w:ilvl="5">
      <w:start w:val="0"/>
      <w:numFmt w:val="bullet"/>
      <w:lvlText w:val="•"/>
      <w:lvlJc w:val="left"/>
      <w:pPr>
        <w:ind w:left="4363" w:hanging="601"/>
      </w:pPr>
      <w:rPr>
        <w:rFonts w:hint="default"/>
        <w:lang w:val="zh-CN" w:eastAsia="zh-CN" w:bidi="zh-CN"/>
      </w:rPr>
    </w:lvl>
    <w:lvl w:ilvl="6">
      <w:start w:val="0"/>
      <w:numFmt w:val="bullet"/>
      <w:lvlText w:val="•"/>
      <w:lvlJc w:val="left"/>
      <w:pPr>
        <w:ind w:left="5179" w:hanging="601"/>
      </w:pPr>
      <w:rPr>
        <w:rFonts w:hint="default"/>
        <w:lang w:val="zh-CN" w:eastAsia="zh-CN" w:bidi="zh-CN"/>
      </w:rPr>
    </w:lvl>
    <w:lvl w:ilvl="7">
      <w:start w:val="0"/>
      <w:numFmt w:val="bullet"/>
      <w:lvlText w:val="•"/>
      <w:lvlJc w:val="left"/>
      <w:pPr>
        <w:ind w:left="5995" w:hanging="601"/>
      </w:pPr>
      <w:rPr>
        <w:rFonts w:hint="default"/>
        <w:lang w:val="zh-CN" w:eastAsia="zh-CN" w:bidi="zh-CN"/>
      </w:rPr>
    </w:lvl>
    <w:lvl w:ilvl="8">
      <w:start w:val="0"/>
      <w:numFmt w:val="bullet"/>
      <w:lvlText w:val="•"/>
      <w:lvlJc w:val="left"/>
      <w:pPr>
        <w:ind w:left="6811" w:hanging="601"/>
      </w:pPr>
      <w:rPr>
        <w:rFonts w:hint="default"/>
        <w:lang w:val="zh-CN" w:eastAsia="zh-CN" w:bidi="zh-CN"/>
      </w:rPr>
    </w:lvl>
  </w:abstractNum>
  <w:abstractNum w:abstractNumId="30">
    <w:nsid w:val="13660E3F"/>
    <w:multiLevelType w:val="multilevel"/>
    <w:tmpl w:val="13660E3F"/>
    <w:lvl w:ilvl="0">
      <w:start w:val="10"/>
      <w:numFmt w:val="decimal"/>
      <w:lvlText w:val="%1"/>
      <w:lvlJc w:val="left"/>
      <w:pPr>
        <w:ind w:left="472" w:hanging="360"/>
        <w:jc w:val="left"/>
      </w:pPr>
      <w:rPr>
        <w:rFonts w:ascii="Times New Roman" w:eastAsia="Times New Roman" w:hAnsi="Times New Roman" w:cs="Times New Roman" w:hint="default"/>
        <w:b/>
        <w:bCs/>
        <w:w w:val="99"/>
        <w:sz w:val="24"/>
        <w:szCs w:val="24"/>
        <w:lang w:val="zh-CN" w:eastAsia="zh-CN" w:bidi="zh-CN"/>
      </w:rPr>
    </w:lvl>
    <w:lvl w:ilvl="1">
      <w:start w:val="0"/>
      <w:numFmt w:val="bullet"/>
      <w:lvlText w:val="•"/>
      <w:lvlJc w:val="left"/>
      <w:pPr>
        <w:ind w:left="1301" w:hanging="360"/>
      </w:pPr>
      <w:rPr>
        <w:rFonts w:hint="default"/>
        <w:lang w:val="zh-CN" w:eastAsia="zh-CN" w:bidi="zh-CN"/>
      </w:rPr>
    </w:lvl>
    <w:lvl w:ilvl="2">
      <w:start w:val="0"/>
      <w:numFmt w:val="bullet"/>
      <w:lvlText w:val="•"/>
      <w:lvlJc w:val="left"/>
      <w:pPr>
        <w:ind w:left="2122" w:hanging="360"/>
      </w:pPr>
      <w:rPr>
        <w:rFonts w:hint="default"/>
        <w:lang w:val="zh-CN" w:eastAsia="zh-CN" w:bidi="zh-CN"/>
      </w:rPr>
    </w:lvl>
    <w:lvl w:ilvl="3">
      <w:start w:val="0"/>
      <w:numFmt w:val="bullet"/>
      <w:lvlText w:val="•"/>
      <w:lvlJc w:val="left"/>
      <w:pPr>
        <w:ind w:left="2943" w:hanging="360"/>
      </w:pPr>
      <w:rPr>
        <w:rFonts w:hint="default"/>
        <w:lang w:val="zh-CN" w:eastAsia="zh-CN" w:bidi="zh-CN"/>
      </w:rPr>
    </w:lvl>
    <w:lvl w:ilvl="4">
      <w:start w:val="0"/>
      <w:numFmt w:val="bullet"/>
      <w:lvlText w:val="•"/>
      <w:lvlJc w:val="left"/>
      <w:pPr>
        <w:ind w:left="3765" w:hanging="360"/>
      </w:pPr>
      <w:rPr>
        <w:rFonts w:hint="default"/>
        <w:lang w:val="zh-CN" w:eastAsia="zh-CN" w:bidi="zh-CN"/>
      </w:rPr>
    </w:lvl>
    <w:lvl w:ilvl="5">
      <w:start w:val="0"/>
      <w:numFmt w:val="bullet"/>
      <w:lvlText w:val="•"/>
      <w:lvlJc w:val="left"/>
      <w:pPr>
        <w:ind w:left="4586" w:hanging="360"/>
      </w:pPr>
      <w:rPr>
        <w:rFonts w:hint="default"/>
        <w:lang w:val="zh-CN" w:eastAsia="zh-CN" w:bidi="zh-CN"/>
      </w:rPr>
    </w:lvl>
    <w:lvl w:ilvl="6">
      <w:start w:val="0"/>
      <w:numFmt w:val="bullet"/>
      <w:lvlText w:val="•"/>
      <w:lvlJc w:val="left"/>
      <w:pPr>
        <w:ind w:left="5407" w:hanging="360"/>
      </w:pPr>
      <w:rPr>
        <w:rFonts w:hint="default"/>
        <w:lang w:val="zh-CN" w:eastAsia="zh-CN" w:bidi="zh-CN"/>
      </w:rPr>
    </w:lvl>
    <w:lvl w:ilvl="7">
      <w:start w:val="0"/>
      <w:numFmt w:val="bullet"/>
      <w:lvlText w:val="•"/>
      <w:lvlJc w:val="left"/>
      <w:pPr>
        <w:ind w:left="6229" w:hanging="360"/>
      </w:pPr>
      <w:rPr>
        <w:rFonts w:hint="default"/>
        <w:lang w:val="zh-CN" w:eastAsia="zh-CN" w:bidi="zh-CN"/>
      </w:rPr>
    </w:lvl>
    <w:lvl w:ilvl="8">
      <w:start w:val="0"/>
      <w:numFmt w:val="bullet"/>
      <w:lvlText w:val="•"/>
      <w:lvlJc w:val="left"/>
      <w:pPr>
        <w:ind w:left="7050" w:hanging="360"/>
      </w:pPr>
      <w:rPr>
        <w:rFonts w:hint="default"/>
        <w:lang w:val="zh-CN" w:eastAsia="zh-CN" w:bidi="zh-CN"/>
      </w:rPr>
    </w:lvl>
  </w:abstractNum>
  <w:abstractNum w:abstractNumId="31">
    <w:nsid w:val="192B173A"/>
    <w:multiLevelType w:val="multilevel"/>
    <w:tmpl w:val="192B173A"/>
    <w:lvl w:ilvl="0">
      <w:start w:val="1"/>
      <w:numFmt w:val="decimal"/>
      <w:lvlText w:val="%1"/>
      <w:lvlJc w:val="left"/>
      <w:pPr>
        <w:ind w:left="582" w:hanging="471"/>
        <w:jc w:val="left"/>
      </w:pPr>
      <w:rPr>
        <w:rFonts w:hint="default"/>
        <w:lang w:val="zh-CN" w:eastAsia="zh-CN" w:bidi="zh-CN"/>
      </w:rPr>
    </w:lvl>
    <w:lvl w:ilvl="1">
      <w:start w:val="4"/>
      <w:numFmt w:val="decimal"/>
      <w:lvlText w:val="%1.%2"/>
      <w:lvlJc w:val="left"/>
      <w:pPr>
        <w:ind w:left="582" w:hanging="471"/>
        <w:jc w:val="left"/>
      </w:pPr>
      <w:rPr>
        <w:rFonts w:ascii="Times New Roman" w:eastAsia="Times New Roman" w:hAnsi="Times New Roman" w:cs="Times New Roman" w:hint="default"/>
        <w:b/>
        <w:bCs/>
        <w:spacing w:val="-27"/>
        <w:w w:val="99"/>
        <w:sz w:val="24"/>
        <w:szCs w:val="24"/>
        <w:lang w:val="zh-CN" w:eastAsia="zh-CN" w:bidi="zh-CN"/>
      </w:rPr>
    </w:lvl>
    <w:lvl w:ilvl="2">
      <w:start w:val="1"/>
      <w:numFmt w:val="decimal"/>
      <w:lvlText w:val="（%3）"/>
      <w:lvlJc w:val="left"/>
      <w:pPr>
        <w:ind w:left="112" w:hanging="605"/>
        <w:jc w:val="left"/>
      </w:pPr>
      <w:rPr>
        <w:rFonts w:hint="default"/>
        <w:w w:val="100"/>
        <w:lang w:val="zh-CN" w:eastAsia="zh-CN" w:bidi="zh-CN"/>
      </w:rPr>
    </w:lvl>
    <w:lvl w:ilvl="3">
      <w:start w:val="0"/>
      <w:numFmt w:val="bullet"/>
      <w:lvlText w:val="•"/>
      <w:lvlJc w:val="left"/>
      <w:pPr>
        <w:ind w:left="2350" w:hanging="605"/>
      </w:pPr>
      <w:rPr>
        <w:rFonts w:hint="default"/>
        <w:lang w:val="zh-CN" w:eastAsia="zh-CN" w:bidi="zh-CN"/>
      </w:rPr>
    </w:lvl>
    <w:lvl w:ilvl="4">
      <w:start w:val="0"/>
      <w:numFmt w:val="bullet"/>
      <w:lvlText w:val="•"/>
      <w:lvlJc w:val="left"/>
      <w:pPr>
        <w:ind w:left="3235" w:hanging="605"/>
      </w:pPr>
      <w:rPr>
        <w:rFonts w:hint="default"/>
        <w:lang w:val="zh-CN" w:eastAsia="zh-CN" w:bidi="zh-CN"/>
      </w:rPr>
    </w:lvl>
    <w:lvl w:ilvl="5">
      <w:start w:val="0"/>
      <w:numFmt w:val="bullet"/>
      <w:lvlText w:val="•"/>
      <w:lvlJc w:val="left"/>
      <w:pPr>
        <w:ind w:left="4120" w:hanging="605"/>
      </w:pPr>
      <w:rPr>
        <w:rFonts w:hint="default"/>
        <w:lang w:val="zh-CN" w:eastAsia="zh-CN" w:bidi="zh-CN"/>
      </w:rPr>
    </w:lvl>
    <w:lvl w:ilvl="6">
      <w:start w:val="0"/>
      <w:numFmt w:val="bullet"/>
      <w:lvlText w:val="•"/>
      <w:lvlJc w:val="left"/>
      <w:pPr>
        <w:ind w:left="5005" w:hanging="605"/>
      </w:pPr>
      <w:rPr>
        <w:rFonts w:hint="default"/>
        <w:lang w:val="zh-CN" w:eastAsia="zh-CN" w:bidi="zh-CN"/>
      </w:rPr>
    </w:lvl>
    <w:lvl w:ilvl="7">
      <w:start w:val="0"/>
      <w:numFmt w:val="bullet"/>
      <w:lvlText w:val="•"/>
      <w:lvlJc w:val="left"/>
      <w:pPr>
        <w:ind w:left="5890" w:hanging="605"/>
      </w:pPr>
      <w:rPr>
        <w:rFonts w:hint="default"/>
        <w:lang w:val="zh-CN" w:eastAsia="zh-CN" w:bidi="zh-CN"/>
      </w:rPr>
    </w:lvl>
    <w:lvl w:ilvl="8">
      <w:start w:val="0"/>
      <w:numFmt w:val="bullet"/>
      <w:lvlText w:val="•"/>
      <w:lvlJc w:val="left"/>
      <w:pPr>
        <w:ind w:left="6775" w:hanging="605"/>
      </w:pPr>
      <w:rPr>
        <w:rFonts w:hint="default"/>
        <w:lang w:val="zh-CN" w:eastAsia="zh-CN" w:bidi="zh-CN"/>
      </w:rPr>
    </w:lvl>
  </w:abstractNum>
  <w:abstractNum w:abstractNumId="32">
    <w:nsid w:val="1C01D09A"/>
    <w:multiLevelType w:val="multilevel"/>
    <w:tmpl w:val="1C01D09A"/>
    <w:lvl w:ilvl="0">
      <w:start w:val="1"/>
      <w:numFmt w:val="decimal"/>
      <w:lvlText w:val="%1."/>
      <w:lvlJc w:val="left"/>
      <w:pPr>
        <w:ind w:left="106" w:hanging="159"/>
        <w:jc w:val="left"/>
      </w:pPr>
      <w:rPr>
        <w:rFonts w:ascii="Times New Roman" w:eastAsia="Times New Roman" w:hAnsi="Times New Roman" w:cs="Times New Roman" w:hint="default"/>
        <w:spacing w:val="0"/>
        <w:w w:val="99"/>
        <w:sz w:val="19"/>
        <w:szCs w:val="19"/>
        <w:lang w:val="zh-CN" w:eastAsia="zh-CN" w:bidi="zh-CN"/>
      </w:rPr>
    </w:lvl>
    <w:lvl w:ilvl="1">
      <w:start w:val="0"/>
      <w:numFmt w:val="bullet"/>
      <w:lvlText w:val="•"/>
      <w:lvlJc w:val="left"/>
      <w:pPr>
        <w:ind w:left="672" w:hanging="159"/>
      </w:pPr>
      <w:rPr>
        <w:rFonts w:hint="default"/>
        <w:lang w:val="zh-CN" w:eastAsia="zh-CN" w:bidi="zh-CN"/>
      </w:rPr>
    </w:lvl>
    <w:lvl w:ilvl="2">
      <w:start w:val="0"/>
      <w:numFmt w:val="bullet"/>
      <w:lvlText w:val="•"/>
      <w:lvlJc w:val="left"/>
      <w:pPr>
        <w:ind w:left="1244" w:hanging="159"/>
      </w:pPr>
      <w:rPr>
        <w:rFonts w:hint="default"/>
        <w:lang w:val="zh-CN" w:eastAsia="zh-CN" w:bidi="zh-CN"/>
      </w:rPr>
    </w:lvl>
    <w:lvl w:ilvl="3">
      <w:start w:val="0"/>
      <w:numFmt w:val="bullet"/>
      <w:lvlText w:val="•"/>
      <w:lvlJc w:val="left"/>
      <w:pPr>
        <w:ind w:left="1816" w:hanging="159"/>
      </w:pPr>
      <w:rPr>
        <w:rFonts w:hint="default"/>
        <w:lang w:val="zh-CN" w:eastAsia="zh-CN" w:bidi="zh-CN"/>
      </w:rPr>
    </w:lvl>
    <w:lvl w:ilvl="4">
      <w:start w:val="0"/>
      <w:numFmt w:val="bullet"/>
      <w:lvlText w:val="•"/>
      <w:lvlJc w:val="left"/>
      <w:pPr>
        <w:ind w:left="2388" w:hanging="159"/>
      </w:pPr>
      <w:rPr>
        <w:rFonts w:hint="default"/>
        <w:lang w:val="zh-CN" w:eastAsia="zh-CN" w:bidi="zh-CN"/>
      </w:rPr>
    </w:lvl>
    <w:lvl w:ilvl="5">
      <w:start w:val="0"/>
      <w:numFmt w:val="bullet"/>
      <w:lvlText w:val="•"/>
      <w:lvlJc w:val="left"/>
      <w:pPr>
        <w:ind w:left="2960" w:hanging="159"/>
      </w:pPr>
      <w:rPr>
        <w:rFonts w:hint="default"/>
        <w:lang w:val="zh-CN" w:eastAsia="zh-CN" w:bidi="zh-CN"/>
      </w:rPr>
    </w:lvl>
    <w:lvl w:ilvl="6">
      <w:start w:val="0"/>
      <w:numFmt w:val="bullet"/>
      <w:lvlText w:val="•"/>
      <w:lvlJc w:val="left"/>
      <w:pPr>
        <w:ind w:left="3532" w:hanging="159"/>
      </w:pPr>
      <w:rPr>
        <w:rFonts w:hint="default"/>
        <w:lang w:val="zh-CN" w:eastAsia="zh-CN" w:bidi="zh-CN"/>
      </w:rPr>
    </w:lvl>
    <w:lvl w:ilvl="7">
      <w:start w:val="0"/>
      <w:numFmt w:val="bullet"/>
      <w:lvlText w:val="•"/>
      <w:lvlJc w:val="left"/>
      <w:pPr>
        <w:ind w:left="4104" w:hanging="159"/>
      </w:pPr>
      <w:rPr>
        <w:rFonts w:hint="default"/>
        <w:lang w:val="zh-CN" w:eastAsia="zh-CN" w:bidi="zh-CN"/>
      </w:rPr>
    </w:lvl>
    <w:lvl w:ilvl="8">
      <w:start w:val="0"/>
      <w:numFmt w:val="bullet"/>
      <w:lvlText w:val="•"/>
      <w:lvlJc w:val="left"/>
      <w:pPr>
        <w:ind w:left="4676" w:hanging="159"/>
      </w:pPr>
      <w:rPr>
        <w:rFonts w:hint="default"/>
        <w:lang w:val="zh-CN" w:eastAsia="zh-CN" w:bidi="zh-CN"/>
      </w:rPr>
    </w:lvl>
  </w:abstractNum>
  <w:abstractNum w:abstractNumId="33">
    <w:nsid w:val="269945CE"/>
    <w:multiLevelType w:val="multilevel"/>
    <w:tmpl w:val="269945CE"/>
    <w:lvl w:ilvl="0">
      <w:start w:val="6"/>
      <w:numFmt w:val="decimal"/>
      <w:lvlText w:val="%1"/>
      <w:lvlJc w:val="left"/>
      <w:pPr>
        <w:ind w:left="353" w:hanging="240"/>
        <w:jc w:val="left"/>
      </w:pPr>
      <w:rPr>
        <w:rFonts w:ascii="Times New Roman" w:eastAsia="Times New Roman" w:hAnsi="Times New Roman" w:cs="Times New Roman" w:hint="default"/>
        <w:b/>
        <w:bCs/>
        <w:w w:val="99"/>
        <w:sz w:val="24"/>
        <w:szCs w:val="24"/>
        <w:lang w:val="zh-CN" w:eastAsia="zh-CN" w:bidi="zh-CN"/>
      </w:rPr>
    </w:lvl>
    <w:lvl w:ilvl="1">
      <w:start w:val="1"/>
      <w:numFmt w:val="decimal"/>
      <w:lvlText w:val="%1.%2"/>
      <w:lvlJc w:val="left"/>
      <w:pPr>
        <w:ind w:left="533" w:hanging="420"/>
        <w:jc w:val="left"/>
      </w:pPr>
      <w:rPr>
        <w:rFonts w:ascii="Times New Roman" w:eastAsia="Times New Roman" w:hAnsi="Times New Roman" w:cs="Times New Roman" w:hint="default"/>
        <w:b/>
        <w:bCs/>
        <w:w w:val="99"/>
        <w:sz w:val="24"/>
        <w:szCs w:val="24"/>
        <w:lang w:val="zh-CN" w:eastAsia="zh-CN" w:bidi="zh-CN"/>
      </w:rPr>
    </w:lvl>
    <w:lvl w:ilvl="2">
      <w:start w:val="0"/>
      <w:numFmt w:val="bullet"/>
      <w:lvlText w:val="•"/>
      <w:lvlJc w:val="left"/>
      <w:pPr>
        <w:ind w:left="1476" w:hanging="420"/>
      </w:pPr>
      <w:rPr>
        <w:rFonts w:hint="default"/>
        <w:lang w:val="zh-CN" w:eastAsia="zh-CN" w:bidi="zh-CN"/>
      </w:rPr>
    </w:lvl>
    <w:lvl w:ilvl="3">
      <w:start w:val="0"/>
      <w:numFmt w:val="bullet"/>
      <w:lvlText w:val="•"/>
      <w:lvlJc w:val="left"/>
      <w:pPr>
        <w:ind w:left="2412" w:hanging="420"/>
      </w:pPr>
      <w:rPr>
        <w:rFonts w:hint="default"/>
        <w:lang w:val="zh-CN" w:eastAsia="zh-CN" w:bidi="zh-CN"/>
      </w:rPr>
    </w:lvl>
    <w:lvl w:ilvl="4">
      <w:start w:val="0"/>
      <w:numFmt w:val="bullet"/>
      <w:lvlText w:val="•"/>
      <w:lvlJc w:val="left"/>
      <w:pPr>
        <w:ind w:left="3348" w:hanging="420"/>
      </w:pPr>
      <w:rPr>
        <w:rFonts w:hint="default"/>
        <w:lang w:val="zh-CN" w:eastAsia="zh-CN" w:bidi="zh-CN"/>
      </w:rPr>
    </w:lvl>
    <w:lvl w:ilvl="5">
      <w:start w:val="0"/>
      <w:numFmt w:val="bullet"/>
      <w:lvlText w:val="•"/>
      <w:lvlJc w:val="left"/>
      <w:pPr>
        <w:ind w:left="4284" w:hanging="420"/>
      </w:pPr>
      <w:rPr>
        <w:rFonts w:hint="default"/>
        <w:lang w:val="zh-CN" w:eastAsia="zh-CN" w:bidi="zh-CN"/>
      </w:rPr>
    </w:lvl>
    <w:lvl w:ilvl="6">
      <w:start w:val="0"/>
      <w:numFmt w:val="bullet"/>
      <w:lvlText w:val="•"/>
      <w:lvlJc w:val="left"/>
      <w:pPr>
        <w:ind w:left="5220" w:hanging="420"/>
      </w:pPr>
      <w:rPr>
        <w:rFonts w:hint="default"/>
        <w:lang w:val="zh-CN" w:eastAsia="zh-CN" w:bidi="zh-CN"/>
      </w:rPr>
    </w:lvl>
    <w:lvl w:ilvl="7">
      <w:start w:val="0"/>
      <w:numFmt w:val="bullet"/>
      <w:lvlText w:val="•"/>
      <w:lvlJc w:val="left"/>
      <w:pPr>
        <w:ind w:left="6156" w:hanging="420"/>
      </w:pPr>
      <w:rPr>
        <w:rFonts w:hint="default"/>
        <w:lang w:val="zh-CN" w:eastAsia="zh-CN" w:bidi="zh-CN"/>
      </w:rPr>
    </w:lvl>
    <w:lvl w:ilvl="8">
      <w:start w:val="0"/>
      <w:numFmt w:val="bullet"/>
      <w:lvlText w:val="•"/>
      <w:lvlJc w:val="left"/>
      <w:pPr>
        <w:ind w:left="7092" w:hanging="420"/>
      </w:pPr>
      <w:rPr>
        <w:rFonts w:hint="default"/>
        <w:lang w:val="zh-CN" w:eastAsia="zh-CN" w:bidi="zh-CN"/>
      </w:rPr>
    </w:lvl>
  </w:abstractNum>
  <w:abstractNum w:abstractNumId="34">
    <w:nsid w:val="274D3D9B"/>
    <w:multiLevelType w:val="multilevel"/>
    <w:tmpl w:val="274D3D9B"/>
    <w:lvl w:ilvl="0">
      <w:start w:val="3"/>
      <w:numFmt w:val="decimal"/>
      <w:lvlText w:val="%1"/>
      <w:lvlJc w:val="left"/>
      <w:pPr>
        <w:ind w:left="250" w:hanging="240"/>
        <w:jc w:val="left"/>
      </w:pPr>
      <w:rPr>
        <w:rFonts w:ascii="Times New Roman" w:eastAsia="Times New Roman" w:hAnsi="Times New Roman" w:cs="Times New Roman" w:hint="default"/>
        <w:b/>
        <w:bCs/>
        <w:w w:val="99"/>
        <w:sz w:val="24"/>
        <w:szCs w:val="24"/>
        <w:lang w:val="zh-CN" w:eastAsia="zh-CN" w:bidi="zh-CN"/>
      </w:rPr>
    </w:lvl>
    <w:lvl w:ilvl="1">
      <w:start w:val="1"/>
      <w:numFmt w:val="decimal"/>
      <w:lvlText w:val="%1.%2"/>
      <w:lvlJc w:val="left"/>
      <w:pPr>
        <w:ind w:left="430" w:hanging="420"/>
        <w:jc w:val="left"/>
      </w:pPr>
      <w:rPr>
        <w:rFonts w:ascii="Times New Roman" w:eastAsia="Times New Roman" w:hAnsi="Times New Roman" w:cs="Times New Roman" w:hint="default"/>
        <w:b/>
        <w:bCs/>
        <w:w w:val="99"/>
        <w:sz w:val="24"/>
        <w:szCs w:val="24"/>
        <w:lang w:val="zh-CN" w:eastAsia="zh-CN" w:bidi="zh-CN"/>
      </w:rPr>
    </w:lvl>
    <w:lvl w:ilvl="2">
      <w:start w:val="0"/>
      <w:numFmt w:val="bullet"/>
      <w:lvlText w:val="•"/>
      <w:lvlJc w:val="left"/>
      <w:pPr>
        <w:ind w:left="1375" w:hanging="420"/>
      </w:pPr>
      <w:rPr>
        <w:rFonts w:hint="default"/>
        <w:lang w:val="zh-CN" w:eastAsia="zh-CN" w:bidi="zh-CN"/>
      </w:rPr>
    </w:lvl>
    <w:lvl w:ilvl="3">
      <w:start w:val="0"/>
      <w:numFmt w:val="bullet"/>
      <w:lvlText w:val="•"/>
      <w:lvlJc w:val="left"/>
      <w:pPr>
        <w:ind w:left="2311" w:hanging="420"/>
      </w:pPr>
      <w:rPr>
        <w:rFonts w:hint="default"/>
        <w:lang w:val="zh-CN" w:eastAsia="zh-CN" w:bidi="zh-CN"/>
      </w:rPr>
    </w:lvl>
    <w:lvl w:ilvl="4">
      <w:start w:val="0"/>
      <w:numFmt w:val="bullet"/>
      <w:lvlText w:val="•"/>
      <w:lvlJc w:val="left"/>
      <w:pPr>
        <w:ind w:left="3247" w:hanging="420"/>
      </w:pPr>
      <w:rPr>
        <w:rFonts w:hint="default"/>
        <w:lang w:val="zh-CN" w:eastAsia="zh-CN" w:bidi="zh-CN"/>
      </w:rPr>
    </w:lvl>
    <w:lvl w:ilvl="5">
      <w:start w:val="0"/>
      <w:numFmt w:val="bullet"/>
      <w:lvlText w:val="•"/>
      <w:lvlJc w:val="left"/>
      <w:pPr>
        <w:ind w:left="4182" w:hanging="420"/>
      </w:pPr>
      <w:rPr>
        <w:rFonts w:hint="default"/>
        <w:lang w:val="zh-CN" w:eastAsia="zh-CN" w:bidi="zh-CN"/>
      </w:rPr>
    </w:lvl>
    <w:lvl w:ilvl="6">
      <w:start w:val="0"/>
      <w:numFmt w:val="bullet"/>
      <w:lvlText w:val="•"/>
      <w:lvlJc w:val="left"/>
      <w:pPr>
        <w:ind w:left="5118" w:hanging="420"/>
      </w:pPr>
      <w:rPr>
        <w:rFonts w:hint="default"/>
        <w:lang w:val="zh-CN" w:eastAsia="zh-CN" w:bidi="zh-CN"/>
      </w:rPr>
    </w:lvl>
    <w:lvl w:ilvl="7">
      <w:start w:val="0"/>
      <w:numFmt w:val="bullet"/>
      <w:lvlText w:val="•"/>
      <w:lvlJc w:val="left"/>
      <w:pPr>
        <w:ind w:left="6054" w:hanging="420"/>
      </w:pPr>
      <w:rPr>
        <w:rFonts w:hint="default"/>
        <w:lang w:val="zh-CN" w:eastAsia="zh-CN" w:bidi="zh-CN"/>
      </w:rPr>
    </w:lvl>
    <w:lvl w:ilvl="8">
      <w:start w:val="0"/>
      <w:numFmt w:val="bullet"/>
      <w:lvlText w:val="•"/>
      <w:lvlJc w:val="left"/>
      <w:pPr>
        <w:ind w:left="6989" w:hanging="420"/>
      </w:pPr>
      <w:rPr>
        <w:rFonts w:hint="default"/>
        <w:lang w:val="zh-CN" w:eastAsia="zh-CN" w:bidi="zh-CN"/>
      </w:rPr>
    </w:lvl>
  </w:abstractNum>
  <w:abstractNum w:abstractNumId="35">
    <w:nsid w:val="329A4FD1"/>
    <w:multiLevelType w:val="multilevel"/>
    <w:tmpl w:val="329A4FD1"/>
    <w:lvl w:ilvl="0">
      <w:start w:val="4"/>
      <w:numFmt w:val="decimal"/>
      <w:lvlText w:val="%1"/>
      <w:lvlJc w:val="left"/>
      <w:pPr>
        <w:ind w:left="352" w:hanging="240"/>
        <w:jc w:val="left"/>
      </w:pPr>
      <w:rPr>
        <w:rFonts w:ascii="Times New Roman" w:eastAsia="Times New Roman" w:hAnsi="Times New Roman" w:cs="Times New Roman" w:hint="default"/>
        <w:b/>
        <w:bCs/>
        <w:w w:val="99"/>
        <w:sz w:val="24"/>
        <w:szCs w:val="24"/>
        <w:lang w:val="zh-CN" w:eastAsia="zh-CN" w:bidi="zh-CN"/>
      </w:rPr>
    </w:lvl>
    <w:lvl w:ilvl="1">
      <w:start w:val="1"/>
      <w:numFmt w:val="decimal"/>
      <w:lvlText w:val="%1.%2"/>
      <w:lvlJc w:val="left"/>
      <w:pPr>
        <w:ind w:left="532" w:hanging="420"/>
        <w:jc w:val="left"/>
      </w:pPr>
      <w:rPr>
        <w:rFonts w:ascii="Times New Roman" w:eastAsia="Times New Roman" w:hAnsi="Times New Roman" w:cs="Times New Roman" w:hint="default"/>
        <w:b/>
        <w:bCs/>
        <w:w w:val="99"/>
        <w:sz w:val="24"/>
        <w:szCs w:val="24"/>
        <w:lang w:val="zh-CN" w:eastAsia="zh-CN" w:bidi="zh-CN"/>
      </w:rPr>
    </w:lvl>
    <w:lvl w:ilvl="2">
      <w:start w:val="0"/>
      <w:numFmt w:val="bullet"/>
      <w:lvlText w:val="•"/>
      <w:lvlJc w:val="left"/>
      <w:pPr>
        <w:ind w:left="1462" w:hanging="420"/>
      </w:pPr>
      <w:rPr>
        <w:rFonts w:hint="default"/>
        <w:lang w:val="zh-CN" w:eastAsia="zh-CN" w:bidi="zh-CN"/>
      </w:rPr>
    </w:lvl>
    <w:lvl w:ilvl="3">
      <w:start w:val="0"/>
      <w:numFmt w:val="bullet"/>
      <w:lvlText w:val="•"/>
      <w:lvlJc w:val="left"/>
      <w:pPr>
        <w:ind w:left="2384" w:hanging="420"/>
      </w:pPr>
      <w:rPr>
        <w:rFonts w:hint="default"/>
        <w:lang w:val="zh-CN" w:eastAsia="zh-CN" w:bidi="zh-CN"/>
      </w:rPr>
    </w:lvl>
    <w:lvl w:ilvl="4">
      <w:start w:val="0"/>
      <w:numFmt w:val="bullet"/>
      <w:lvlText w:val="•"/>
      <w:lvlJc w:val="left"/>
      <w:pPr>
        <w:ind w:left="3306" w:hanging="420"/>
      </w:pPr>
      <w:rPr>
        <w:rFonts w:hint="default"/>
        <w:lang w:val="zh-CN" w:eastAsia="zh-CN" w:bidi="zh-CN"/>
      </w:rPr>
    </w:lvl>
    <w:lvl w:ilvl="5">
      <w:start w:val="0"/>
      <w:numFmt w:val="bullet"/>
      <w:lvlText w:val="•"/>
      <w:lvlJc w:val="left"/>
      <w:pPr>
        <w:ind w:left="4228" w:hanging="420"/>
      </w:pPr>
      <w:rPr>
        <w:rFonts w:hint="default"/>
        <w:lang w:val="zh-CN" w:eastAsia="zh-CN" w:bidi="zh-CN"/>
      </w:rPr>
    </w:lvl>
    <w:lvl w:ilvl="6">
      <w:start w:val="0"/>
      <w:numFmt w:val="bullet"/>
      <w:lvlText w:val="•"/>
      <w:lvlJc w:val="left"/>
      <w:pPr>
        <w:ind w:left="5151" w:hanging="420"/>
      </w:pPr>
      <w:rPr>
        <w:rFonts w:hint="default"/>
        <w:lang w:val="zh-CN" w:eastAsia="zh-CN" w:bidi="zh-CN"/>
      </w:rPr>
    </w:lvl>
    <w:lvl w:ilvl="7">
      <w:start w:val="0"/>
      <w:numFmt w:val="bullet"/>
      <w:lvlText w:val="•"/>
      <w:lvlJc w:val="left"/>
      <w:pPr>
        <w:ind w:left="6073" w:hanging="420"/>
      </w:pPr>
      <w:rPr>
        <w:rFonts w:hint="default"/>
        <w:lang w:val="zh-CN" w:eastAsia="zh-CN" w:bidi="zh-CN"/>
      </w:rPr>
    </w:lvl>
    <w:lvl w:ilvl="8">
      <w:start w:val="0"/>
      <w:numFmt w:val="bullet"/>
      <w:lvlText w:val="•"/>
      <w:lvlJc w:val="left"/>
      <w:pPr>
        <w:ind w:left="6995" w:hanging="420"/>
      </w:pPr>
      <w:rPr>
        <w:rFonts w:hint="default"/>
        <w:lang w:val="zh-CN" w:eastAsia="zh-CN" w:bidi="zh-CN"/>
      </w:rPr>
    </w:lvl>
  </w:abstractNum>
  <w:abstractNum w:abstractNumId="36">
    <w:nsid w:val="333E8B90"/>
    <w:multiLevelType w:val="multilevel"/>
    <w:tmpl w:val="333E8B90"/>
    <w:lvl w:ilvl="0">
      <w:start w:val="6"/>
      <w:numFmt w:val="decimal"/>
      <w:lvlText w:val="%1"/>
      <w:lvlJc w:val="left"/>
      <w:pPr>
        <w:ind w:left="532" w:hanging="420"/>
        <w:jc w:val="left"/>
      </w:pPr>
      <w:rPr>
        <w:rFonts w:hint="default"/>
        <w:lang w:val="zh-CN" w:eastAsia="zh-CN" w:bidi="zh-CN"/>
      </w:rPr>
    </w:lvl>
    <w:lvl w:ilvl="1">
      <w:start w:val="2"/>
      <w:numFmt w:val="decimal"/>
      <w:lvlText w:val="%1.%2"/>
      <w:lvlJc w:val="left"/>
      <w:pPr>
        <w:ind w:left="532" w:hanging="420"/>
        <w:jc w:val="left"/>
      </w:pPr>
      <w:rPr>
        <w:rFonts w:ascii="Times New Roman" w:eastAsia="Times New Roman" w:hAnsi="Times New Roman" w:cs="Times New Roman" w:hint="default"/>
        <w:b/>
        <w:bCs/>
        <w:w w:val="99"/>
        <w:sz w:val="24"/>
        <w:szCs w:val="24"/>
        <w:lang w:val="zh-CN" w:eastAsia="zh-CN" w:bidi="zh-CN"/>
      </w:rPr>
    </w:lvl>
    <w:lvl w:ilvl="2">
      <w:start w:val="0"/>
      <w:numFmt w:val="bullet"/>
      <w:lvlText w:val="•"/>
      <w:lvlJc w:val="left"/>
      <w:pPr>
        <w:ind w:left="2170" w:hanging="420"/>
      </w:pPr>
      <w:rPr>
        <w:rFonts w:hint="default"/>
        <w:lang w:val="zh-CN" w:eastAsia="zh-CN" w:bidi="zh-CN"/>
      </w:rPr>
    </w:lvl>
    <w:lvl w:ilvl="3">
      <w:start w:val="0"/>
      <w:numFmt w:val="bullet"/>
      <w:lvlText w:val="•"/>
      <w:lvlJc w:val="left"/>
      <w:pPr>
        <w:ind w:left="2985" w:hanging="420"/>
      </w:pPr>
      <w:rPr>
        <w:rFonts w:hint="default"/>
        <w:lang w:val="zh-CN" w:eastAsia="zh-CN" w:bidi="zh-CN"/>
      </w:rPr>
    </w:lvl>
    <w:lvl w:ilvl="4">
      <w:start w:val="0"/>
      <w:numFmt w:val="bullet"/>
      <w:lvlText w:val="•"/>
      <w:lvlJc w:val="left"/>
      <w:pPr>
        <w:ind w:left="3801" w:hanging="420"/>
      </w:pPr>
      <w:rPr>
        <w:rFonts w:hint="default"/>
        <w:lang w:val="zh-CN" w:eastAsia="zh-CN" w:bidi="zh-CN"/>
      </w:rPr>
    </w:lvl>
    <w:lvl w:ilvl="5">
      <w:start w:val="0"/>
      <w:numFmt w:val="bullet"/>
      <w:lvlText w:val="•"/>
      <w:lvlJc w:val="left"/>
      <w:pPr>
        <w:ind w:left="4616" w:hanging="420"/>
      </w:pPr>
      <w:rPr>
        <w:rFonts w:hint="default"/>
        <w:lang w:val="zh-CN" w:eastAsia="zh-CN" w:bidi="zh-CN"/>
      </w:rPr>
    </w:lvl>
    <w:lvl w:ilvl="6">
      <w:start w:val="0"/>
      <w:numFmt w:val="bullet"/>
      <w:lvlText w:val="•"/>
      <w:lvlJc w:val="left"/>
      <w:pPr>
        <w:ind w:left="5431" w:hanging="420"/>
      </w:pPr>
      <w:rPr>
        <w:rFonts w:hint="default"/>
        <w:lang w:val="zh-CN" w:eastAsia="zh-CN" w:bidi="zh-CN"/>
      </w:rPr>
    </w:lvl>
    <w:lvl w:ilvl="7">
      <w:start w:val="0"/>
      <w:numFmt w:val="bullet"/>
      <w:lvlText w:val="•"/>
      <w:lvlJc w:val="left"/>
      <w:pPr>
        <w:ind w:left="6247" w:hanging="420"/>
      </w:pPr>
      <w:rPr>
        <w:rFonts w:hint="default"/>
        <w:lang w:val="zh-CN" w:eastAsia="zh-CN" w:bidi="zh-CN"/>
      </w:rPr>
    </w:lvl>
    <w:lvl w:ilvl="8">
      <w:start w:val="0"/>
      <w:numFmt w:val="bullet"/>
      <w:lvlText w:val="•"/>
      <w:lvlJc w:val="left"/>
      <w:pPr>
        <w:ind w:left="7062" w:hanging="420"/>
      </w:pPr>
      <w:rPr>
        <w:rFonts w:hint="default"/>
        <w:lang w:val="zh-CN" w:eastAsia="zh-CN" w:bidi="zh-CN"/>
      </w:rPr>
    </w:lvl>
  </w:abstractNum>
  <w:abstractNum w:abstractNumId="37">
    <w:nsid w:val="3664A4D1"/>
    <w:multiLevelType w:val="multilevel"/>
    <w:tmpl w:val="3664A4D1"/>
    <w:lvl w:ilvl="0">
      <w:start w:val="3"/>
      <w:numFmt w:val="decimal"/>
      <w:lvlText w:val="%1"/>
      <w:lvlJc w:val="left"/>
      <w:pPr>
        <w:ind w:left="628" w:hanging="620"/>
        <w:jc w:val="left"/>
      </w:pPr>
      <w:rPr>
        <w:rFonts w:hint="default"/>
        <w:lang w:val="zh-CN" w:eastAsia="zh-CN" w:bidi="zh-CN"/>
      </w:rPr>
    </w:lvl>
    <w:lvl w:ilvl="1">
      <w:start w:val="1"/>
      <w:numFmt w:val="decimal"/>
      <w:lvlText w:val="%1.%2"/>
      <w:lvlJc w:val="left"/>
      <w:pPr>
        <w:ind w:left="628" w:hanging="620"/>
        <w:jc w:val="left"/>
      </w:pPr>
      <w:rPr>
        <w:rFonts w:hint="default"/>
        <w:lang w:val="zh-CN" w:eastAsia="zh-CN" w:bidi="zh-CN"/>
      </w:rPr>
    </w:lvl>
    <w:lvl w:ilvl="2">
      <w:start w:val="4"/>
      <w:numFmt w:val="decimal"/>
      <w:lvlText w:val="%1.%2.%3"/>
      <w:lvlJc w:val="left"/>
      <w:pPr>
        <w:ind w:left="628" w:hanging="620"/>
        <w:jc w:val="left"/>
      </w:pPr>
      <w:rPr>
        <w:rFonts w:ascii="Times New Roman" w:eastAsia="Times New Roman" w:hAnsi="Times New Roman" w:cs="Times New Roman" w:hint="default"/>
        <w:b/>
        <w:bCs/>
        <w:spacing w:val="0"/>
        <w:w w:val="99"/>
        <w:sz w:val="24"/>
        <w:szCs w:val="24"/>
        <w:lang w:val="zh-CN" w:eastAsia="zh-CN" w:bidi="zh-CN"/>
      </w:rPr>
    </w:lvl>
    <w:lvl w:ilvl="3">
      <w:start w:val="1"/>
      <w:numFmt w:val="decimal"/>
      <w:lvlText w:val="（%4）"/>
      <w:lvlJc w:val="left"/>
      <w:pPr>
        <w:ind w:left="1090" w:hanging="601"/>
        <w:jc w:val="left"/>
      </w:pPr>
      <w:rPr>
        <w:rFonts w:ascii="宋体" w:eastAsia="宋体" w:hAnsi="宋体" w:cs="宋体" w:hint="default"/>
        <w:w w:val="100"/>
        <w:sz w:val="22"/>
        <w:szCs w:val="22"/>
        <w:lang w:val="zh-CN" w:eastAsia="zh-CN" w:bidi="zh-CN"/>
      </w:rPr>
    </w:lvl>
    <w:lvl w:ilvl="4">
      <w:start w:val="0"/>
      <w:numFmt w:val="bullet"/>
      <w:lvlText w:val="•"/>
      <w:lvlJc w:val="left"/>
      <w:pPr>
        <w:ind w:left="3547" w:hanging="601"/>
      </w:pPr>
      <w:rPr>
        <w:rFonts w:hint="default"/>
        <w:lang w:val="zh-CN" w:eastAsia="zh-CN" w:bidi="zh-CN"/>
      </w:rPr>
    </w:lvl>
    <w:lvl w:ilvl="5">
      <w:start w:val="0"/>
      <w:numFmt w:val="bullet"/>
      <w:lvlText w:val="•"/>
      <w:lvlJc w:val="left"/>
      <w:pPr>
        <w:ind w:left="4363" w:hanging="601"/>
      </w:pPr>
      <w:rPr>
        <w:rFonts w:hint="default"/>
        <w:lang w:val="zh-CN" w:eastAsia="zh-CN" w:bidi="zh-CN"/>
      </w:rPr>
    </w:lvl>
    <w:lvl w:ilvl="6">
      <w:start w:val="0"/>
      <w:numFmt w:val="bullet"/>
      <w:lvlText w:val="•"/>
      <w:lvlJc w:val="left"/>
      <w:pPr>
        <w:ind w:left="5179" w:hanging="601"/>
      </w:pPr>
      <w:rPr>
        <w:rFonts w:hint="default"/>
        <w:lang w:val="zh-CN" w:eastAsia="zh-CN" w:bidi="zh-CN"/>
      </w:rPr>
    </w:lvl>
    <w:lvl w:ilvl="7">
      <w:start w:val="0"/>
      <w:numFmt w:val="bullet"/>
      <w:lvlText w:val="•"/>
      <w:lvlJc w:val="left"/>
      <w:pPr>
        <w:ind w:left="5995" w:hanging="601"/>
      </w:pPr>
      <w:rPr>
        <w:rFonts w:hint="default"/>
        <w:lang w:val="zh-CN" w:eastAsia="zh-CN" w:bidi="zh-CN"/>
      </w:rPr>
    </w:lvl>
    <w:lvl w:ilvl="8">
      <w:start w:val="0"/>
      <w:numFmt w:val="bullet"/>
      <w:lvlText w:val="•"/>
      <w:lvlJc w:val="left"/>
      <w:pPr>
        <w:ind w:left="6811" w:hanging="601"/>
      </w:pPr>
      <w:rPr>
        <w:rFonts w:hint="default"/>
        <w:lang w:val="zh-CN" w:eastAsia="zh-CN" w:bidi="zh-CN"/>
      </w:rPr>
    </w:lvl>
  </w:abstractNum>
  <w:abstractNum w:abstractNumId="38">
    <w:nsid w:val="408860E8"/>
    <w:multiLevelType w:val="multilevel"/>
    <w:tmpl w:val="408860E8"/>
    <w:lvl w:ilvl="0">
      <w:start w:val="2"/>
      <w:numFmt w:val="decimal"/>
      <w:lvlText w:val="%1）"/>
      <w:lvlJc w:val="left"/>
      <w:pPr>
        <w:ind w:left="112" w:hanging="316"/>
        <w:jc w:val="left"/>
      </w:pPr>
      <w:rPr>
        <w:rFonts w:ascii="Times New Roman" w:eastAsia="Times New Roman" w:hAnsi="Times New Roman" w:cs="Times New Roman" w:hint="default"/>
        <w:spacing w:val="-1"/>
        <w:w w:val="99"/>
        <w:sz w:val="19"/>
        <w:szCs w:val="19"/>
        <w:lang w:val="zh-CN" w:eastAsia="zh-CN" w:bidi="zh-CN"/>
      </w:rPr>
    </w:lvl>
    <w:lvl w:ilvl="1">
      <w:start w:val="0"/>
      <w:numFmt w:val="bullet"/>
      <w:lvlText w:val="•"/>
      <w:lvlJc w:val="left"/>
      <w:pPr>
        <w:ind w:left="570" w:hanging="316"/>
      </w:pPr>
      <w:rPr>
        <w:rFonts w:hint="default"/>
        <w:lang w:val="zh-CN" w:eastAsia="zh-CN" w:bidi="zh-CN"/>
      </w:rPr>
    </w:lvl>
    <w:lvl w:ilvl="2">
      <w:start w:val="0"/>
      <w:numFmt w:val="bullet"/>
      <w:lvlText w:val="•"/>
      <w:lvlJc w:val="left"/>
      <w:pPr>
        <w:ind w:left="1020" w:hanging="316"/>
      </w:pPr>
      <w:rPr>
        <w:rFonts w:hint="default"/>
        <w:lang w:val="zh-CN" w:eastAsia="zh-CN" w:bidi="zh-CN"/>
      </w:rPr>
    </w:lvl>
    <w:lvl w:ilvl="3">
      <w:start w:val="0"/>
      <w:numFmt w:val="bullet"/>
      <w:lvlText w:val="•"/>
      <w:lvlJc w:val="left"/>
      <w:pPr>
        <w:ind w:left="1470" w:hanging="316"/>
      </w:pPr>
      <w:rPr>
        <w:rFonts w:hint="default"/>
        <w:lang w:val="zh-CN" w:eastAsia="zh-CN" w:bidi="zh-CN"/>
      </w:rPr>
    </w:lvl>
    <w:lvl w:ilvl="4">
      <w:start w:val="0"/>
      <w:numFmt w:val="bullet"/>
      <w:lvlText w:val="•"/>
      <w:lvlJc w:val="left"/>
      <w:pPr>
        <w:ind w:left="1921" w:hanging="316"/>
      </w:pPr>
      <w:rPr>
        <w:rFonts w:hint="default"/>
        <w:lang w:val="zh-CN" w:eastAsia="zh-CN" w:bidi="zh-CN"/>
      </w:rPr>
    </w:lvl>
    <w:lvl w:ilvl="5">
      <w:start w:val="0"/>
      <w:numFmt w:val="bullet"/>
      <w:lvlText w:val="•"/>
      <w:lvlJc w:val="left"/>
      <w:pPr>
        <w:ind w:left="2371" w:hanging="316"/>
      </w:pPr>
      <w:rPr>
        <w:rFonts w:hint="default"/>
        <w:lang w:val="zh-CN" w:eastAsia="zh-CN" w:bidi="zh-CN"/>
      </w:rPr>
    </w:lvl>
    <w:lvl w:ilvl="6">
      <w:start w:val="0"/>
      <w:numFmt w:val="bullet"/>
      <w:lvlText w:val="•"/>
      <w:lvlJc w:val="left"/>
      <w:pPr>
        <w:ind w:left="2821" w:hanging="316"/>
      </w:pPr>
      <w:rPr>
        <w:rFonts w:hint="default"/>
        <w:lang w:val="zh-CN" w:eastAsia="zh-CN" w:bidi="zh-CN"/>
      </w:rPr>
    </w:lvl>
    <w:lvl w:ilvl="7">
      <w:start w:val="0"/>
      <w:numFmt w:val="bullet"/>
      <w:lvlText w:val="•"/>
      <w:lvlJc w:val="left"/>
      <w:pPr>
        <w:ind w:left="3272" w:hanging="316"/>
      </w:pPr>
      <w:rPr>
        <w:rFonts w:hint="default"/>
        <w:lang w:val="zh-CN" w:eastAsia="zh-CN" w:bidi="zh-CN"/>
      </w:rPr>
    </w:lvl>
    <w:lvl w:ilvl="8">
      <w:start w:val="0"/>
      <w:numFmt w:val="bullet"/>
      <w:lvlText w:val="•"/>
      <w:lvlJc w:val="left"/>
      <w:pPr>
        <w:ind w:left="3722" w:hanging="316"/>
      </w:pPr>
      <w:rPr>
        <w:rFonts w:hint="default"/>
        <w:lang w:val="zh-CN" w:eastAsia="zh-CN" w:bidi="zh-CN"/>
      </w:rPr>
    </w:lvl>
  </w:abstractNum>
  <w:abstractNum w:abstractNumId="39">
    <w:nsid w:val="429CD0B5"/>
    <w:multiLevelType w:val="multilevel"/>
    <w:tmpl w:val="429CD0B5"/>
    <w:lvl w:ilvl="0">
      <w:start w:val="1"/>
      <w:numFmt w:val="decimal"/>
      <w:lvlText w:val="%1."/>
      <w:lvlJc w:val="left"/>
      <w:pPr>
        <w:ind w:left="107"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642" w:hanging="159"/>
      </w:pPr>
      <w:rPr>
        <w:rFonts w:hint="default"/>
        <w:lang w:val="zh-CN" w:eastAsia="zh-CN" w:bidi="zh-CN"/>
      </w:rPr>
    </w:lvl>
    <w:lvl w:ilvl="2">
      <w:start w:val="0"/>
      <w:numFmt w:val="bullet"/>
      <w:lvlText w:val="•"/>
      <w:lvlJc w:val="left"/>
      <w:pPr>
        <w:ind w:left="1184" w:hanging="159"/>
      </w:pPr>
      <w:rPr>
        <w:rFonts w:hint="default"/>
        <w:lang w:val="zh-CN" w:eastAsia="zh-CN" w:bidi="zh-CN"/>
      </w:rPr>
    </w:lvl>
    <w:lvl w:ilvl="3">
      <w:start w:val="0"/>
      <w:numFmt w:val="bullet"/>
      <w:lvlText w:val="•"/>
      <w:lvlJc w:val="left"/>
      <w:pPr>
        <w:ind w:left="1726" w:hanging="159"/>
      </w:pPr>
      <w:rPr>
        <w:rFonts w:hint="default"/>
        <w:lang w:val="zh-CN" w:eastAsia="zh-CN" w:bidi="zh-CN"/>
      </w:rPr>
    </w:lvl>
    <w:lvl w:ilvl="4">
      <w:start w:val="0"/>
      <w:numFmt w:val="bullet"/>
      <w:lvlText w:val="•"/>
      <w:lvlJc w:val="left"/>
      <w:pPr>
        <w:ind w:left="2269" w:hanging="159"/>
      </w:pPr>
      <w:rPr>
        <w:rFonts w:hint="default"/>
        <w:lang w:val="zh-CN" w:eastAsia="zh-CN" w:bidi="zh-CN"/>
      </w:rPr>
    </w:lvl>
    <w:lvl w:ilvl="5">
      <w:start w:val="0"/>
      <w:numFmt w:val="bullet"/>
      <w:lvlText w:val="•"/>
      <w:lvlJc w:val="left"/>
      <w:pPr>
        <w:ind w:left="2811" w:hanging="159"/>
      </w:pPr>
      <w:rPr>
        <w:rFonts w:hint="default"/>
        <w:lang w:val="zh-CN" w:eastAsia="zh-CN" w:bidi="zh-CN"/>
      </w:rPr>
    </w:lvl>
    <w:lvl w:ilvl="6">
      <w:start w:val="0"/>
      <w:numFmt w:val="bullet"/>
      <w:lvlText w:val="•"/>
      <w:lvlJc w:val="left"/>
      <w:pPr>
        <w:ind w:left="3353" w:hanging="159"/>
      </w:pPr>
      <w:rPr>
        <w:rFonts w:hint="default"/>
        <w:lang w:val="zh-CN" w:eastAsia="zh-CN" w:bidi="zh-CN"/>
      </w:rPr>
    </w:lvl>
    <w:lvl w:ilvl="7">
      <w:start w:val="0"/>
      <w:numFmt w:val="bullet"/>
      <w:lvlText w:val="•"/>
      <w:lvlJc w:val="left"/>
      <w:pPr>
        <w:ind w:left="3896" w:hanging="159"/>
      </w:pPr>
      <w:rPr>
        <w:rFonts w:hint="default"/>
        <w:lang w:val="zh-CN" w:eastAsia="zh-CN" w:bidi="zh-CN"/>
      </w:rPr>
    </w:lvl>
    <w:lvl w:ilvl="8">
      <w:start w:val="0"/>
      <w:numFmt w:val="bullet"/>
      <w:lvlText w:val="•"/>
      <w:lvlJc w:val="left"/>
      <w:pPr>
        <w:ind w:left="4438" w:hanging="159"/>
      </w:pPr>
      <w:rPr>
        <w:rFonts w:hint="default"/>
        <w:lang w:val="zh-CN" w:eastAsia="zh-CN" w:bidi="zh-CN"/>
      </w:rPr>
    </w:lvl>
  </w:abstractNum>
  <w:abstractNum w:abstractNumId="40">
    <w:nsid w:val="4E709187"/>
    <w:multiLevelType w:val="multilevel"/>
    <w:tmpl w:val="4E709187"/>
    <w:lvl w:ilvl="0">
      <w:start w:val="9"/>
      <w:numFmt w:val="decimal"/>
      <w:lvlText w:val="%1"/>
      <w:lvlJc w:val="left"/>
      <w:pPr>
        <w:ind w:left="812" w:hanging="600"/>
        <w:jc w:val="left"/>
      </w:pPr>
      <w:rPr>
        <w:rFonts w:hint="default"/>
        <w:lang w:val="zh-CN" w:eastAsia="zh-CN" w:bidi="zh-CN"/>
      </w:rPr>
    </w:lvl>
    <w:lvl w:ilvl="1">
      <w:start w:val="1"/>
      <w:numFmt w:val="decimal"/>
      <w:lvlText w:val="%1.%2"/>
      <w:lvlJc w:val="left"/>
      <w:pPr>
        <w:ind w:left="812" w:hanging="600"/>
        <w:jc w:val="left"/>
      </w:pPr>
      <w:rPr>
        <w:rFonts w:hint="default"/>
        <w:lang w:val="zh-CN" w:eastAsia="zh-CN" w:bidi="zh-CN"/>
      </w:rPr>
    </w:lvl>
    <w:lvl w:ilvl="2">
      <w:start w:val="1"/>
      <w:numFmt w:val="decimal"/>
      <w:lvlText w:val="%1.%2.%3"/>
      <w:lvlJc w:val="left"/>
      <w:pPr>
        <w:ind w:left="812" w:hanging="600"/>
        <w:jc w:val="left"/>
      </w:pPr>
      <w:rPr>
        <w:rFonts w:ascii="Times New Roman" w:eastAsia="Times New Roman" w:hAnsi="Times New Roman" w:cs="Times New Roman" w:hint="default"/>
        <w:b/>
        <w:bCs/>
        <w:w w:val="99"/>
        <w:sz w:val="24"/>
        <w:szCs w:val="24"/>
        <w:lang w:val="zh-CN" w:eastAsia="zh-CN" w:bidi="zh-CN"/>
      </w:rPr>
    </w:lvl>
    <w:lvl w:ilvl="3">
      <w:start w:val="2"/>
      <w:numFmt w:val="lowerLetter"/>
      <w:lvlText w:val="（%4）"/>
      <w:lvlJc w:val="left"/>
      <w:pPr>
        <w:ind w:left="1161" w:hanging="601"/>
        <w:jc w:val="left"/>
      </w:pPr>
      <w:rPr>
        <w:rFonts w:ascii="宋体" w:eastAsia="宋体" w:hAnsi="宋体" w:cs="宋体" w:hint="default"/>
        <w:w w:val="100"/>
        <w:sz w:val="22"/>
        <w:szCs w:val="22"/>
        <w:lang w:val="zh-CN" w:eastAsia="zh-CN" w:bidi="zh-CN"/>
      </w:rPr>
    </w:lvl>
    <w:lvl w:ilvl="4">
      <w:start w:val="0"/>
      <w:numFmt w:val="bullet"/>
      <w:lvlText w:val="•"/>
      <w:lvlJc w:val="left"/>
      <w:pPr>
        <w:ind w:left="4300" w:hanging="601"/>
      </w:pPr>
      <w:rPr>
        <w:rFonts w:hint="default"/>
        <w:lang w:val="zh-CN" w:eastAsia="zh-CN" w:bidi="zh-CN"/>
      </w:rPr>
    </w:lvl>
    <w:lvl w:ilvl="5">
      <w:start w:val="0"/>
      <w:numFmt w:val="bullet"/>
      <w:lvlText w:val="•"/>
      <w:lvlJc w:val="left"/>
      <w:pPr>
        <w:ind w:left="5264" w:hanging="601"/>
      </w:pPr>
      <w:rPr>
        <w:rFonts w:hint="default"/>
        <w:lang w:val="zh-CN" w:eastAsia="zh-CN" w:bidi="zh-CN"/>
      </w:rPr>
    </w:lvl>
    <w:lvl w:ilvl="6">
      <w:start w:val="0"/>
      <w:numFmt w:val="bullet"/>
      <w:lvlText w:val="•"/>
      <w:lvlJc w:val="left"/>
      <w:pPr>
        <w:ind w:left="6228" w:hanging="601"/>
      </w:pPr>
      <w:rPr>
        <w:rFonts w:hint="default"/>
        <w:lang w:val="zh-CN" w:eastAsia="zh-CN" w:bidi="zh-CN"/>
      </w:rPr>
    </w:lvl>
    <w:lvl w:ilvl="7">
      <w:start w:val="0"/>
      <w:numFmt w:val="bullet"/>
      <w:lvlText w:val="•"/>
      <w:lvlJc w:val="left"/>
      <w:pPr>
        <w:ind w:left="7193" w:hanging="601"/>
      </w:pPr>
      <w:rPr>
        <w:rFonts w:hint="default"/>
        <w:lang w:val="zh-CN" w:eastAsia="zh-CN" w:bidi="zh-CN"/>
      </w:rPr>
    </w:lvl>
    <w:lvl w:ilvl="8">
      <w:start w:val="0"/>
      <w:numFmt w:val="bullet"/>
      <w:lvlText w:val="•"/>
      <w:lvlJc w:val="left"/>
      <w:pPr>
        <w:ind w:left="8157" w:hanging="601"/>
      </w:pPr>
      <w:rPr>
        <w:rFonts w:hint="default"/>
        <w:lang w:val="zh-CN" w:eastAsia="zh-CN" w:bidi="zh-CN"/>
      </w:rPr>
    </w:lvl>
  </w:abstractNum>
  <w:abstractNum w:abstractNumId="41">
    <w:nsid w:val="4EA76503"/>
    <w:multiLevelType w:val="multilevel"/>
    <w:tmpl w:val="4EA76503"/>
    <w:lvl w:ilvl="0">
      <w:start w:val="12"/>
      <w:numFmt w:val="decimal"/>
      <w:lvlText w:val="%1"/>
      <w:lvlJc w:val="left"/>
      <w:pPr>
        <w:ind w:left="472" w:hanging="360"/>
        <w:jc w:val="left"/>
      </w:pPr>
      <w:rPr>
        <w:rFonts w:ascii="Times New Roman" w:eastAsia="Times New Roman" w:hAnsi="Times New Roman" w:cs="Times New Roman" w:hint="default"/>
        <w:b/>
        <w:bCs/>
        <w:w w:val="99"/>
        <w:sz w:val="24"/>
        <w:szCs w:val="24"/>
        <w:lang w:val="zh-CN" w:eastAsia="zh-CN" w:bidi="zh-CN"/>
      </w:rPr>
    </w:lvl>
    <w:lvl w:ilvl="1">
      <w:start w:val="0"/>
      <w:numFmt w:val="bullet"/>
      <w:lvlText w:val="•"/>
      <w:lvlJc w:val="left"/>
      <w:pPr>
        <w:ind w:left="1301" w:hanging="360"/>
      </w:pPr>
      <w:rPr>
        <w:rFonts w:hint="default"/>
        <w:lang w:val="zh-CN" w:eastAsia="zh-CN" w:bidi="zh-CN"/>
      </w:rPr>
    </w:lvl>
    <w:lvl w:ilvl="2">
      <w:start w:val="0"/>
      <w:numFmt w:val="bullet"/>
      <w:lvlText w:val="•"/>
      <w:lvlJc w:val="left"/>
      <w:pPr>
        <w:ind w:left="2122" w:hanging="360"/>
      </w:pPr>
      <w:rPr>
        <w:rFonts w:hint="default"/>
        <w:lang w:val="zh-CN" w:eastAsia="zh-CN" w:bidi="zh-CN"/>
      </w:rPr>
    </w:lvl>
    <w:lvl w:ilvl="3">
      <w:start w:val="0"/>
      <w:numFmt w:val="bullet"/>
      <w:lvlText w:val="•"/>
      <w:lvlJc w:val="left"/>
      <w:pPr>
        <w:ind w:left="2943" w:hanging="360"/>
      </w:pPr>
      <w:rPr>
        <w:rFonts w:hint="default"/>
        <w:lang w:val="zh-CN" w:eastAsia="zh-CN" w:bidi="zh-CN"/>
      </w:rPr>
    </w:lvl>
    <w:lvl w:ilvl="4">
      <w:start w:val="0"/>
      <w:numFmt w:val="bullet"/>
      <w:lvlText w:val="•"/>
      <w:lvlJc w:val="left"/>
      <w:pPr>
        <w:ind w:left="3765" w:hanging="360"/>
      </w:pPr>
      <w:rPr>
        <w:rFonts w:hint="default"/>
        <w:lang w:val="zh-CN" w:eastAsia="zh-CN" w:bidi="zh-CN"/>
      </w:rPr>
    </w:lvl>
    <w:lvl w:ilvl="5">
      <w:start w:val="0"/>
      <w:numFmt w:val="bullet"/>
      <w:lvlText w:val="•"/>
      <w:lvlJc w:val="left"/>
      <w:pPr>
        <w:ind w:left="4586" w:hanging="360"/>
      </w:pPr>
      <w:rPr>
        <w:rFonts w:hint="default"/>
        <w:lang w:val="zh-CN" w:eastAsia="zh-CN" w:bidi="zh-CN"/>
      </w:rPr>
    </w:lvl>
    <w:lvl w:ilvl="6">
      <w:start w:val="0"/>
      <w:numFmt w:val="bullet"/>
      <w:lvlText w:val="•"/>
      <w:lvlJc w:val="left"/>
      <w:pPr>
        <w:ind w:left="5407" w:hanging="360"/>
      </w:pPr>
      <w:rPr>
        <w:rFonts w:hint="default"/>
        <w:lang w:val="zh-CN" w:eastAsia="zh-CN" w:bidi="zh-CN"/>
      </w:rPr>
    </w:lvl>
    <w:lvl w:ilvl="7">
      <w:start w:val="0"/>
      <w:numFmt w:val="bullet"/>
      <w:lvlText w:val="•"/>
      <w:lvlJc w:val="left"/>
      <w:pPr>
        <w:ind w:left="6229" w:hanging="360"/>
      </w:pPr>
      <w:rPr>
        <w:rFonts w:hint="default"/>
        <w:lang w:val="zh-CN" w:eastAsia="zh-CN" w:bidi="zh-CN"/>
      </w:rPr>
    </w:lvl>
    <w:lvl w:ilvl="8">
      <w:start w:val="0"/>
      <w:numFmt w:val="bullet"/>
      <w:lvlText w:val="•"/>
      <w:lvlJc w:val="left"/>
      <w:pPr>
        <w:ind w:left="7050" w:hanging="360"/>
      </w:pPr>
      <w:rPr>
        <w:rFonts w:hint="default"/>
        <w:lang w:val="zh-CN" w:eastAsia="zh-CN" w:bidi="zh-CN"/>
      </w:rPr>
    </w:lvl>
  </w:abstractNum>
  <w:abstractNum w:abstractNumId="42">
    <w:nsid w:val="4F00C6B4"/>
    <w:multiLevelType w:val="multilevel"/>
    <w:tmpl w:val="4F00C6B4"/>
    <w:lvl w:ilvl="0">
      <w:start w:val="1"/>
      <w:numFmt w:val="decimal"/>
      <w:lvlText w:val="%1."/>
      <w:lvlJc w:val="left"/>
      <w:pPr>
        <w:ind w:left="686"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1164" w:hanging="159"/>
      </w:pPr>
      <w:rPr>
        <w:rFonts w:hint="default"/>
        <w:lang w:val="zh-CN" w:eastAsia="zh-CN" w:bidi="zh-CN"/>
      </w:rPr>
    </w:lvl>
    <w:lvl w:ilvl="2">
      <w:start w:val="0"/>
      <w:numFmt w:val="bullet"/>
      <w:lvlText w:val="•"/>
      <w:lvlJc w:val="left"/>
      <w:pPr>
        <w:ind w:left="1648" w:hanging="159"/>
      </w:pPr>
      <w:rPr>
        <w:rFonts w:hint="default"/>
        <w:lang w:val="zh-CN" w:eastAsia="zh-CN" w:bidi="zh-CN"/>
      </w:rPr>
    </w:lvl>
    <w:lvl w:ilvl="3">
      <w:start w:val="0"/>
      <w:numFmt w:val="bullet"/>
      <w:lvlText w:val="•"/>
      <w:lvlJc w:val="left"/>
      <w:pPr>
        <w:ind w:left="2132" w:hanging="159"/>
      </w:pPr>
      <w:rPr>
        <w:rFonts w:hint="default"/>
        <w:lang w:val="zh-CN" w:eastAsia="zh-CN" w:bidi="zh-CN"/>
      </w:rPr>
    </w:lvl>
    <w:lvl w:ilvl="4">
      <w:start w:val="0"/>
      <w:numFmt w:val="bullet"/>
      <w:lvlText w:val="•"/>
      <w:lvlJc w:val="left"/>
      <w:pPr>
        <w:ind w:left="2617" w:hanging="159"/>
      </w:pPr>
      <w:rPr>
        <w:rFonts w:hint="default"/>
        <w:lang w:val="zh-CN" w:eastAsia="zh-CN" w:bidi="zh-CN"/>
      </w:rPr>
    </w:lvl>
    <w:lvl w:ilvl="5">
      <w:start w:val="0"/>
      <w:numFmt w:val="bullet"/>
      <w:lvlText w:val="•"/>
      <w:lvlJc w:val="left"/>
      <w:pPr>
        <w:ind w:left="3101" w:hanging="159"/>
      </w:pPr>
      <w:rPr>
        <w:rFonts w:hint="default"/>
        <w:lang w:val="zh-CN" w:eastAsia="zh-CN" w:bidi="zh-CN"/>
      </w:rPr>
    </w:lvl>
    <w:lvl w:ilvl="6">
      <w:start w:val="0"/>
      <w:numFmt w:val="bullet"/>
      <w:lvlText w:val="•"/>
      <w:lvlJc w:val="left"/>
      <w:pPr>
        <w:ind w:left="3585" w:hanging="159"/>
      </w:pPr>
      <w:rPr>
        <w:rFonts w:hint="default"/>
        <w:lang w:val="zh-CN" w:eastAsia="zh-CN" w:bidi="zh-CN"/>
      </w:rPr>
    </w:lvl>
    <w:lvl w:ilvl="7">
      <w:start w:val="0"/>
      <w:numFmt w:val="bullet"/>
      <w:lvlText w:val="•"/>
      <w:lvlJc w:val="left"/>
      <w:pPr>
        <w:ind w:left="4070" w:hanging="159"/>
      </w:pPr>
      <w:rPr>
        <w:rFonts w:hint="default"/>
        <w:lang w:val="zh-CN" w:eastAsia="zh-CN" w:bidi="zh-CN"/>
      </w:rPr>
    </w:lvl>
    <w:lvl w:ilvl="8">
      <w:start w:val="0"/>
      <w:numFmt w:val="bullet"/>
      <w:lvlText w:val="•"/>
      <w:lvlJc w:val="left"/>
      <w:pPr>
        <w:ind w:left="4554" w:hanging="159"/>
      </w:pPr>
      <w:rPr>
        <w:rFonts w:hint="default"/>
        <w:lang w:val="zh-CN" w:eastAsia="zh-CN" w:bidi="zh-CN"/>
      </w:rPr>
    </w:lvl>
  </w:abstractNum>
  <w:abstractNum w:abstractNumId="43">
    <w:nsid w:val="4FA7FC34"/>
    <w:multiLevelType w:val="multilevel"/>
    <w:tmpl w:val="4FA7FC34"/>
    <w:lvl w:ilvl="0">
      <w:start w:val="1"/>
      <w:numFmt w:val="decimal"/>
      <w:lvlText w:val="%1."/>
      <w:lvlJc w:val="left"/>
      <w:pPr>
        <w:ind w:left="267" w:hanging="212"/>
        <w:jc w:val="left"/>
      </w:pPr>
      <w:rPr>
        <w:rFonts w:ascii="宋体" w:eastAsia="宋体" w:hAnsi="宋体" w:cs="宋体" w:hint="default"/>
        <w:spacing w:val="1"/>
        <w:w w:val="99"/>
        <w:sz w:val="19"/>
        <w:szCs w:val="19"/>
        <w:lang w:val="zh-CN" w:eastAsia="zh-CN" w:bidi="zh-CN"/>
      </w:rPr>
    </w:lvl>
    <w:lvl w:ilvl="1">
      <w:start w:val="0"/>
      <w:numFmt w:val="bullet"/>
      <w:lvlText w:val="•"/>
      <w:lvlJc w:val="left"/>
      <w:pPr>
        <w:ind w:left="1032" w:hanging="212"/>
      </w:pPr>
      <w:rPr>
        <w:rFonts w:hint="default"/>
        <w:lang w:val="zh-CN" w:eastAsia="zh-CN" w:bidi="zh-CN"/>
      </w:rPr>
    </w:lvl>
    <w:lvl w:ilvl="2">
      <w:start w:val="0"/>
      <w:numFmt w:val="bullet"/>
      <w:lvlText w:val="•"/>
      <w:lvlJc w:val="left"/>
      <w:pPr>
        <w:ind w:left="1805" w:hanging="212"/>
      </w:pPr>
      <w:rPr>
        <w:rFonts w:hint="default"/>
        <w:lang w:val="zh-CN" w:eastAsia="zh-CN" w:bidi="zh-CN"/>
      </w:rPr>
    </w:lvl>
    <w:lvl w:ilvl="3">
      <w:start w:val="0"/>
      <w:numFmt w:val="bullet"/>
      <w:lvlText w:val="•"/>
      <w:lvlJc w:val="left"/>
      <w:pPr>
        <w:ind w:left="2578" w:hanging="212"/>
      </w:pPr>
      <w:rPr>
        <w:rFonts w:hint="default"/>
        <w:lang w:val="zh-CN" w:eastAsia="zh-CN" w:bidi="zh-CN"/>
      </w:rPr>
    </w:lvl>
    <w:lvl w:ilvl="4">
      <w:start w:val="0"/>
      <w:numFmt w:val="bullet"/>
      <w:lvlText w:val="•"/>
      <w:lvlJc w:val="left"/>
      <w:pPr>
        <w:ind w:left="3351" w:hanging="212"/>
      </w:pPr>
      <w:rPr>
        <w:rFonts w:hint="default"/>
        <w:lang w:val="zh-CN" w:eastAsia="zh-CN" w:bidi="zh-CN"/>
      </w:rPr>
    </w:lvl>
    <w:lvl w:ilvl="5">
      <w:start w:val="0"/>
      <w:numFmt w:val="bullet"/>
      <w:lvlText w:val="•"/>
      <w:lvlJc w:val="left"/>
      <w:pPr>
        <w:ind w:left="4124" w:hanging="212"/>
      </w:pPr>
      <w:rPr>
        <w:rFonts w:hint="default"/>
        <w:lang w:val="zh-CN" w:eastAsia="zh-CN" w:bidi="zh-CN"/>
      </w:rPr>
    </w:lvl>
    <w:lvl w:ilvl="6">
      <w:start w:val="0"/>
      <w:numFmt w:val="bullet"/>
      <w:lvlText w:val="•"/>
      <w:lvlJc w:val="left"/>
      <w:pPr>
        <w:ind w:left="4896" w:hanging="212"/>
      </w:pPr>
      <w:rPr>
        <w:rFonts w:hint="default"/>
        <w:lang w:val="zh-CN" w:eastAsia="zh-CN" w:bidi="zh-CN"/>
      </w:rPr>
    </w:lvl>
    <w:lvl w:ilvl="7">
      <w:start w:val="0"/>
      <w:numFmt w:val="bullet"/>
      <w:lvlText w:val="•"/>
      <w:lvlJc w:val="left"/>
      <w:pPr>
        <w:ind w:left="5669" w:hanging="212"/>
      </w:pPr>
      <w:rPr>
        <w:rFonts w:hint="default"/>
        <w:lang w:val="zh-CN" w:eastAsia="zh-CN" w:bidi="zh-CN"/>
      </w:rPr>
    </w:lvl>
    <w:lvl w:ilvl="8">
      <w:start w:val="0"/>
      <w:numFmt w:val="bullet"/>
      <w:lvlText w:val="•"/>
      <w:lvlJc w:val="left"/>
      <w:pPr>
        <w:ind w:left="6442" w:hanging="212"/>
      </w:pPr>
      <w:rPr>
        <w:rFonts w:hint="default"/>
        <w:lang w:val="zh-CN" w:eastAsia="zh-CN" w:bidi="zh-CN"/>
      </w:rPr>
    </w:lvl>
  </w:abstractNum>
  <w:abstractNum w:abstractNumId="44">
    <w:nsid w:val="5495C6A0"/>
    <w:multiLevelType w:val="multilevel"/>
    <w:tmpl w:val="C0283A65"/>
    <w:lvl w:ilvl="0">
      <w:start w:val="2"/>
      <w:numFmt w:val="decimal"/>
      <w:lvlText w:val="%1"/>
      <w:lvlJc w:val="left"/>
      <w:pPr>
        <w:ind w:left="2356" w:hanging="240"/>
        <w:jc w:val="left"/>
      </w:pPr>
      <w:rPr>
        <w:rFonts w:ascii="Times New Roman" w:eastAsia="Times New Roman" w:hAnsi="Times New Roman" w:cs="Times New Roman" w:hint="default"/>
        <w:b/>
        <w:bCs/>
        <w:spacing w:val="-1"/>
        <w:w w:val="99"/>
        <w:sz w:val="24"/>
        <w:szCs w:val="24"/>
        <w:lang w:val="zh-CN" w:eastAsia="zh-CN" w:bidi="zh-CN"/>
      </w:rPr>
    </w:lvl>
    <w:lvl w:ilvl="1">
      <w:start w:val="1"/>
      <w:numFmt w:val="decimal"/>
      <w:lvlText w:val="（%2）"/>
      <w:lvlJc w:val="left"/>
      <w:pPr>
        <w:ind w:left="3187" w:hanging="601"/>
        <w:jc w:val="left"/>
      </w:pPr>
      <w:rPr>
        <w:rFonts w:ascii="宋体" w:eastAsia="宋体" w:hAnsi="宋体" w:cs="宋体" w:hint="default"/>
        <w:b/>
        <w:bCs/>
        <w:w w:val="99"/>
        <w:sz w:val="22"/>
        <w:szCs w:val="22"/>
        <w:lang w:val="zh-CN" w:eastAsia="zh-CN" w:bidi="zh-CN"/>
      </w:rPr>
    </w:lvl>
    <w:lvl w:ilvl="2">
      <w:start w:val="0"/>
      <w:numFmt w:val="bullet"/>
      <w:lvlText w:val="•"/>
      <w:lvlJc w:val="left"/>
      <w:pPr>
        <w:ind w:left="3874" w:hanging="601"/>
      </w:pPr>
      <w:rPr>
        <w:rFonts w:hint="default"/>
        <w:lang w:val="zh-CN" w:eastAsia="zh-CN" w:bidi="zh-CN"/>
      </w:rPr>
    </w:lvl>
    <w:lvl w:ilvl="3">
      <w:start w:val="0"/>
      <w:numFmt w:val="bullet"/>
      <w:lvlText w:val="•"/>
      <w:lvlJc w:val="left"/>
      <w:pPr>
        <w:ind w:left="4568" w:hanging="601"/>
      </w:pPr>
      <w:rPr>
        <w:rFonts w:hint="default"/>
        <w:lang w:val="zh-CN" w:eastAsia="zh-CN" w:bidi="zh-CN"/>
      </w:rPr>
    </w:lvl>
    <w:lvl w:ilvl="4">
      <w:start w:val="0"/>
      <w:numFmt w:val="bullet"/>
      <w:lvlText w:val="•"/>
      <w:lvlJc w:val="left"/>
      <w:pPr>
        <w:ind w:left="5262" w:hanging="601"/>
      </w:pPr>
      <w:rPr>
        <w:rFonts w:hint="default"/>
        <w:lang w:val="zh-CN" w:eastAsia="zh-CN" w:bidi="zh-CN"/>
      </w:rPr>
    </w:lvl>
    <w:lvl w:ilvl="5">
      <w:start w:val="0"/>
      <w:numFmt w:val="bullet"/>
      <w:lvlText w:val="•"/>
      <w:lvlJc w:val="left"/>
      <w:pPr>
        <w:ind w:left="5956" w:hanging="601"/>
      </w:pPr>
      <w:rPr>
        <w:rFonts w:hint="default"/>
        <w:lang w:val="zh-CN" w:eastAsia="zh-CN" w:bidi="zh-CN"/>
      </w:rPr>
    </w:lvl>
    <w:lvl w:ilvl="6">
      <w:start w:val="0"/>
      <w:numFmt w:val="bullet"/>
      <w:lvlText w:val="•"/>
      <w:lvlJc w:val="left"/>
      <w:pPr>
        <w:ind w:left="6650" w:hanging="601"/>
      </w:pPr>
      <w:rPr>
        <w:rFonts w:hint="default"/>
        <w:lang w:val="zh-CN" w:eastAsia="zh-CN" w:bidi="zh-CN"/>
      </w:rPr>
    </w:lvl>
    <w:lvl w:ilvl="7">
      <w:start w:val="0"/>
      <w:numFmt w:val="bullet"/>
      <w:lvlText w:val="•"/>
      <w:lvlJc w:val="left"/>
      <w:pPr>
        <w:ind w:left="7344" w:hanging="601"/>
      </w:pPr>
      <w:rPr>
        <w:rFonts w:hint="default"/>
        <w:lang w:val="zh-CN" w:eastAsia="zh-CN" w:bidi="zh-CN"/>
      </w:rPr>
    </w:lvl>
    <w:lvl w:ilvl="8">
      <w:start w:val="0"/>
      <w:numFmt w:val="bullet"/>
      <w:lvlText w:val="•"/>
      <w:lvlJc w:val="left"/>
      <w:pPr>
        <w:ind w:left="8038" w:hanging="601"/>
      </w:pPr>
      <w:rPr>
        <w:rFonts w:hint="default"/>
        <w:lang w:val="zh-CN" w:eastAsia="zh-CN" w:bidi="zh-CN"/>
      </w:rPr>
    </w:lvl>
  </w:abstractNum>
  <w:abstractNum w:abstractNumId="45">
    <w:nsid w:val="5646D07B"/>
    <w:multiLevelType w:val="multilevel"/>
    <w:tmpl w:val="408860E8"/>
    <w:lvl w:ilvl="0">
      <w:start w:val="2"/>
      <w:numFmt w:val="decimal"/>
      <w:lvlText w:val="%1）"/>
      <w:lvlJc w:val="left"/>
      <w:pPr>
        <w:ind w:left="112" w:hanging="316"/>
        <w:jc w:val="left"/>
      </w:pPr>
      <w:rPr>
        <w:rFonts w:ascii="Times New Roman" w:eastAsia="Times New Roman" w:hAnsi="Times New Roman" w:cs="Times New Roman" w:hint="default"/>
        <w:spacing w:val="-1"/>
        <w:w w:val="99"/>
        <w:sz w:val="19"/>
        <w:szCs w:val="19"/>
        <w:lang w:val="zh-CN" w:eastAsia="zh-CN" w:bidi="zh-CN"/>
      </w:rPr>
    </w:lvl>
    <w:lvl w:ilvl="1">
      <w:start w:val="0"/>
      <w:numFmt w:val="bullet"/>
      <w:lvlText w:val="•"/>
      <w:lvlJc w:val="left"/>
      <w:pPr>
        <w:ind w:left="570" w:hanging="316"/>
      </w:pPr>
      <w:rPr>
        <w:rFonts w:hint="default"/>
        <w:lang w:val="zh-CN" w:eastAsia="zh-CN" w:bidi="zh-CN"/>
      </w:rPr>
    </w:lvl>
    <w:lvl w:ilvl="2">
      <w:start w:val="0"/>
      <w:numFmt w:val="bullet"/>
      <w:lvlText w:val="•"/>
      <w:lvlJc w:val="left"/>
      <w:pPr>
        <w:ind w:left="1020" w:hanging="316"/>
      </w:pPr>
      <w:rPr>
        <w:rFonts w:hint="default"/>
        <w:lang w:val="zh-CN" w:eastAsia="zh-CN" w:bidi="zh-CN"/>
      </w:rPr>
    </w:lvl>
    <w:lvl w:ilvl="3">
      <w:start w:val="0"/>
      <w:numFmt w:val="bullet"/>
      <w:lvlText w:val="•"/>
      <w:lvlJc w:val="left"/>
      <w:pPr>
        <w:ind w:left="1470" w:hanging="316"/>
      </w:pPr>
      <w:rPr>
        <w:rFonts w:hint="default"/>
        <w:lang w:val="zh-CN" w:eastAsia="zh-CN" w:bidi="zh-CN"/>
      </w:rPr>
    </w:lvl>
    <w:lvl w:ilvl="4">
      <w:start w:val="0"/>
      <w:numFmt w:val="bullet"/>
      <w:lvlText w:val="•"/>
      <w:lvlJc w:val="left"/>
      <w:pPr>
        <w:ind w:left="1921" w:hanging="316"/>
      </w:pPr>
      <w:rPr>
        <w:rFonts w:hint="default"/>
        <w:lang w:val="zh-CN" w:eastAsia="zh-CN" w:bidi="zh-CN"/>
      </w:rPr>
    </w:lvl>
    <w:lvl w:ilvl="5">
      <w:start w:val="0"/>
      <w:numFmt w:val="bullet"/>
      <w:lvlText w:val="•"/>
      <w:lvlJc w:val="left"/>
      <w:pPr>
        <w:ind w:left="2371" w:hanging="316"/>
      </w:pPr>
      <w:rPr>
        <w:rFonts w:hint="default"/>
        <w:lang w:val="zh-CN" w:eastAsia="zh-CN" w:bidi="zh-CN"/>
      </w:rPr>
    </w:lvl>
    <w:lvl w:ilvl="6">
      <w:start w:val="0"/>
      <w:numFmt w:val="bullet"/>
      <w:lvlText w:val="•"/>
      <w:lvlJc w:val="left"/>
      <w:pPr>
        <w:ind w:left="2821" w:hanging="316"/>
      </w:pPr>
      <w:rPr>
        <w:rFonts w:hint="default"/>
        <w:lang w:val="zh-CN" w:eastAsia="zh-CN" w:bidi="zh-CN"/>
      </w:rPr>
    </w:lvl>
    <w:lvl w:ilvl="7">
      <w:start w:val="0"/>
      <w:numFmt w:val="bullet"/>
      <w:lvlText w:val="•"/>
      <w:lvlJc w:val="left"/>
      <w:pPr>
        <w:ind w:left="3272" w:hanging="316"/>
      </w:pPr>
      <w:rPr>
        <w:rFonts w:hint="default"/>
        <w:lang w:val="zh-CN" w:eastAsia="zh-CN" w:bidi="zh-CN"/>
      </w:rPr>
    </w:lvl>
    <w:lvl w:ilvl="8">
      <w:start w:val="0"/>
      <w:numFmt w:val="bullet"/>
      <w:lvlText w:val="•"/>
      <w:lvlJc w:val="left"/>
      <w:pPr>
        <w:ind w:left="3722" w:hanging="316"/>
      </w:pPr>
      <w:rPr>
        <w:rFonts w:hint="default"/>
        <w:lang w:val="zh-CN" w:eastAsia="zh-CN" w:bidi="zh-CN"/>
      </w:rPr>
    </w:lvl>
  </w:abstractNum>
  <w:abstractNum w:abstractNumId="46">
    <w:nsid w:val="598DAF6D"/>
    <w:multiLevelType w:val="multilevel"/>
    <w:tmpl w:val="598DAF6D"/>
    <w:lvl w:ilvl="0">
      <w:start w:val="1"/>
      <w:numFmt w:val="decimal"/>
      <w:lvlText w:val="（%1）"/>
      <w:lvlJc w:val="left"/>
      <w:pPr>
        <w:ind w:left="1305" w:hanging="601"/>
        <w:jc w:val="left"/>
      </w:pPr>
      <w:rPr>
        <w:rFonts w:ascii="宋体" w:eastAsia="宋体" w:hAnsi="宋体" w:cs="宋体" w:hint="default"/>
        <w:spacing w:val="-3"/>
        <w:w w:val="100"/>
        <w:sz w:val="22"/>
        <w:szCs w:val="22"/>
        <w:lang w:val="zh-CN" w:eastAsia="zh-CN" w:bidi="zh-CN"/>
      </w:rPr>
    </w:lvl>
    <w:lvl w:ilvl="1">
      <w:start w:val="0"/>
      <w:numFmt w:val="bullet"/>
      <w:lvlText w:val="•"/>
      <w:lvlJc w:val="left"/>
      <w:pPr>
        <w:ind w:left="2178" w:hanging="601"/>
      </w:pPr>
      <w:rPr>
        <w:rFonts w:hint="default"/>
        <w:lang w:val="zh-CN" w:eastAsia="zh-CN" w:bidi="zh-CN"/>
      </w:rPr>
    </w:lvl>
    <w:lvl w:ilvl="2">
      <w:start w:val="0"/>
      <w:numFmt w:val="bullet"/>
      <w:lvlText w:val="•"/>
      <w:lvlJc w:val="left"/>
      <w:pPr>
        <w:ind w:left="3057" w:hanging="601"/>
      </w:pPr>
      <w:rPr>
        <w:rFonts w:hint="default"/>
        <w:lang w:val="zh-CN" w:eastAsia="zh-CN" w:bidi="zh-CN"/>
      </w:rPr>
    </w:lvl>
    <w:lvl w:ilvl="3">
      <w:start w:val="0"/>
      <w:numFmt w:val="bullet"/>
      <w:lvlText w:val="•"/>
      <w:lvlJc w:val="left"/>
      <w:pPr>
        <w:ind w:left="3935" w:hanging="601"/>
      </w:pPr>
      <w:rPr>
        <w:rFonts w:hint="default"/>
        <w:lang w:val="zh-CN" w:eastAsia="zh-CN" w:bidi="zh-CN"/>
      </w:rPr>
    </w:lvl>
    <w:lvl w:ilvl="4">
      <w:start w:val="0"/>
      <w:numFmt w:val="bullet"/>
      <w:lvlText w:val="•"/>
      <w:lvlJc w:val="left"/>
      <w:pPr>
        <w:ind w:left="4814" w:hanging="601"/>
      </w:pPr>
      <w:rPr>
        <w:rFonts w:hint="default"/>
        <w:lang w:val="zh-CN" w:eastAsia="zh-CN" w:bidi="zh-CN"/>
      </w:rPr>
    </w:lvl>
    <w:lvl w:ilvl="5">
      <w:start w:val="0"/>
      <w:numFmt w:val="bullet"/>
      <w:lvlText w:val="•"/>
      <w:lvlJc w:val="left"/>
      <w:pPr>
        <w:ind w:left="5693" w:hanging="601"/>
      </w:pPr>
      <w:rPr>
        <w:rFonts w:hint="default"/>
        <w:lang w:val="zh-CN" w:eastAsia="zh-CN" w:bidi="zh-CN"/>
      </w:rPr>
    </w:lvl>
    <w:lvl w:ilvl="6">
      <w:start w:val="0"/>
      <w:numFmt w:val="bullet"/>
      <w:lvlText w:val="•"/>
      <w:lvlJc w:val="left"/>
      <w:pPr>
        <w:ind w:left="6571" w:hanging="601"/>
      </w:pPr>
      <w:rPr>
        <w:rFonts w:hint="default"/>
        <w:lang w:val="zh-CN" w:eastAsia="zh-CN" w:bidi="zh-CN"/>
      </w:rPr>
    </w:lvl>
    <w:lvl w:ilvl="7">
      <w:start w:val="0"/>
      <w:numFmt w:val="bullet"/>
      <w:lvlText w:val="•"/>
      <w:lvlJc w:val="left"/>
      <w:pPr>
        <w:ind w:left="7450" w:hanging="601"/>
      </w:pPr>
      <w:rPr>
        <w:rFonts w:hint="default"/>
        <w:lang w:val="zh-CN" w:eastAsia="zh-CN" w:bidi="zh-CN"/>
      </w:rPr>
    </w:lvl>
    <w:lvl w:ilvl="8">
      <w:start w:val="0"/>
      <w:numFmt w:val="bullet"/>
      <w:lvlText w:val="•"/>
      <w:lvlJc w:val="left"/>
      <w:pPr>
        <w:ind w:left="8328" w:hanging="601"/>
      </w:pPr>
      <w:rPr>
        <w:rFonts w:hint="default"/>
        <w:lang w:val="zh-CN" w:eastAsia="zh-CN" w:bidi="zh-CN"/>
      </w:rPr>
    </w:lvl>
  </w:abstractNum>
  <w:abstractNum w:abstractNumId="47">
    <w:nsid w:val="5A8377A7"/>
    <w:multiLevelType w:val="multilevel"/>
    <w:tmpl w:val="5A8377A7"/>
    <w:lvl w:ilvl="0">
      <w:start w:val="1"/>
      <w:numFmt w:val="decimal"/>
      <w:lvlText w:val="（%1）"/>
      <w:lvlJc w:val="left"/>
      <w:pPr>
        <w:ind w:left="207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880" w:hanging="601"/>
      </w:pPr>
      <w:rPr>
        <w:rFonts w:hint="default"/>
        <w:lang w:val="zh-CN" w:eastAsia="zh-CN" w:bidi="zh-CN"/>
      </w:rPr>
    </w:lvl>
    <w:lvl w:ilvl="2">
      <w:start w:val="0"/>
      <w:numFmt w:val="bullet"/>
      <w:lvlText w:val="•"/>
      <w:lvlJc w:val="left"/>
      <w:pPr>
        <w:ind w:left="3681" w:hanging="601"/>
      </w:pPr>
      <w:rPr>
        <w:rFonts w:hint="default"/>
        <w:lang w:val="zh-CN" w:eastAsia="zh-CN" w:bidi="zh-CN"/>
      </w:rPr>
    </w:lvl>
    <w:lvl w:ilvl="3">
      <w:start w:val="0"/>
      <w:numFmt w:val="bullet"/>
      <w:lvlText w:val="•"/>
      <w:lvlJc w:val="left"/>
      <w:pPr>
        <w:ind w:left="4481" w:hanging="601"/>
      </w:pPr>
      <w:rPr>
        <w:rFonts w:hint="default"/>
        <w:lang w:val="zh-CN" w:eastAsia="zh-CN" w:bidi="zh-CN"/>
      </w:rPr>
    </w:lvl>
    <w:lvl w:ilvl="4">
      <w:start w:val="0"/>
      <w:numFmt w:val="bullet"/>
      <w:lvlText w:val="•"/>
      <w:lvlJc w:val="left"/>
      <w:pPr>
        <w:ind w:left="5282" w:hanging="601"/>
      </w:pPr>
      <w:rPr>
        <w:rFonts w:hint="default"/>
        <w:lang w:val="zh-CN" w:eastAsia="zh-CN" w:bidi="zh-CN"/>
      </w:rPr>
    </w:lvl>
    <w:lvl w:ilvl="5">
      <w:start w:val="0"/>
      <w:numFmt w:val="bullet"/>
      <w:lvlText w:val="•"/>
      <w:lvlJc w:val="left"/>
      <w:pPr>
        <w:ind w:left="6083" w:hanging="601"/>
      </w:pPr>
      <w:rPr>
        <w:rFonts w:hint="default"/>
        <w:lang w:val="zh-CN" w:eastAsia="zh-CN" w:bidi="zh-CN"/>
      </w:rPr>
    </w:lvl>
    <w:lvl w:ilvl="6">
      <w:start w:val="0"/>
      <w:numFmt w:val="bullet"/>
      <w:lvlText w:val="•"/>
      <w:lvlJc w:val="left"/>
      <w:pPr>
        <w:ind w:left="6883" w:hanging="601"/>
      </w:pPr>
      <w:rPr>
        <w:rFonts w:hint="default"/>
        <w:lang w:val="zh-CN" w:eastAsia="zh-CN" w:bidi="zh-CN"/>
      </w:rPr>
    </w:lvl>
    <w:lvl w:ilvl="7">
      <w:start w:val="0"/>
      <w:numFmt w:val="bullet"/>
      <w:lvlText w:val="•"/>
      <w:lvlJc w:val="left"/>
      <w:pPr>
        <w:ind w:left="7684" w:hanging="601"/>
      </w:pPr>
      <w:rPr>
        <w:rFonts w:hint="default"/>
        <w:lang w:val="zh-CN" w:eastAsia="zh-CN" w:bidi="zh-CN"/>
      </w:rPr>
    </w:lvl>
    <w:lvl w:ilvl="8">
      <w:start w:val="0"/>
      <w:numFmt w:val="bullet"/>
      <w:lvlText w:val="•"/>
      <w:lvlJc w:val="left"/>
      <w:pPr>
        <w:ind w:left="8484" w:hanging="601"/>
      </w:pPr>
      <w:rPr>
        <w:rFonts w:hint="default"/>
        <w:lang w:val="zh-CN" w:eastAsia="zh-CN" w:bidi="zh-CN"/>
      </w:rPr>
    </w:lvl>
  </w:abstractNum>
  <w:abstractNum w:abstractNumId="48">
    <w:nsid w:val="63B12E74"/>
    <w:multiLevelType w:val="multilevel"/>
    <w:tmpl w:val="63B12E74"/>
    <w:lvl w:ilvl="0">
      <w:start w:val="1"/>
      <w:numFmt w:val="decimal"/>
      <w:lvlText w:val="（%1）"/>
      <w:lvlJc w:val="left"/>
      <w:pPr>
        <w:ind w:left="119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63" w:hanging="601"/>
      </w:pPr>
      <w:rPr>
        <w:rFonts w:hint="default"/>
        <w:lang w:val="zh-CN" w:eastAsia="zh-CN" w:bidi="zh-CN"/>
      </w:rPr>
    </w:lvl>
    <w:lvl w:ilvl="2">
      <w:start w:val="0"/>
      <w:numFmt w:val="bullet"/>
      <w:lvlText w:val="•"/>
      <w:lvlJc w:val="left"/>
      <w:pPr>
        <w:ind w:left="2726" w:hanging="601"/>
      </w:pPr>
      <w:rPr>
        <w:rFonts w:hint="default"/>
        <w:lang w:val="zh-CN" w:eastAsia="zh-CN" w:bidi="zh-CN"/>
      </w:rPr>
    </w:lvl>
    <w:lvl w:ilvl="3">
      <w:start w:val="0"/>
      <w:numFmt w:val="bullet"/>
      <w:lvlText w:val="•"/>
      <w:lvlJc w:val="left"/>
      <w:pPr>
        <w:ind w:left="3489" w:hanging="601"/>
      </w:pPr>
      <w:rPr>
        <w:rFonts w:hint="default"/>
        <w:lang w:val="zh-CN" w:eastAsia="zh-CN" w:bidi="zh-CN"/>
      </w:rPr>
    </w:lvl>
    <w:lvl w:ilvl="4">
      <w:start w:val="0"/>
      <w:numFmt w:val="bullet"/>
      <w:lvlText w:val="•"/>
      <w:lvlJc w:val="left"/>
      <w:pPr>
        <w:ind w:left="4252" w:hanging="601"/>
      </w:pPr>
      <w:rPr>
        <w:rFonts w:hint="default"/>
        <w:lang w:val="zh-CN" w:eastAsia="zh-CN" w:bidi="zh-CN"/>
      </w:rPr>
    </w:lvl>
    <w:lvl w:ilvl="5">
      <w:start w:val="0"/>
      <w:numFmt w:val="bullet"/>
      <w:lvlText w:val="•"/>
      <w:lvlJc w:val="left"/>
      <w:pPr>
        <w:ind w:left="5015" w:hanging="601"/>
      </w:pPr>
      <w:rPr>
        <w:rFonts w:hint="default"/>
        <w:lang w:val="zh-CN" w:eastAsia="zh-CN" w:bidi="zh-CN"/>
      </w:rPr>
    </w:lvl>
    <w:lvl w:ilvl="6">
      <w:start w:val="0"/>
      <w:numFmt w:val="bullet"/>
      <w:lvlText w:val="•"/>
      <w:lvlJc w:val="left"/>
      <w:pPr>
        <w:ind w:left="5778" w:hanging="601"/>
      </w:pPr>
      <w:rPr>
        <w:rFonts w:hint="default"/>
        <w:lang w:val="zh-CN" w:eastAsia="zh-CN" w:bidi="zh-CN"/>
      </w:rPr>
    </w:lvl>
    <w:lvl w:ilvl="7">
      <w:start w:val="0"/>
      <w:numFmt w:val="bullet"/>
      <w:lvlText w:val="•"/>
      <w:lvlJc w:val="left"/>
      <w:pPr>
        <w:ind w:left="6541" w:hanging="601"/>
      </w:pPr>
      <w:rPr>
        <w:rFonts w:hint="default"/>
        <w:lang w:val="zh-CN" w:eastAsia="zh-CN" w:bidi="zh-CN"/>
      </w:rPr>
    </w:lvl>
    <w:lvl w:ilvl="8">
      <w:start w:val="0"/>
      <w:numFmt w:val="bullet"/>
      <w:lvlText w:val="•"/>
      <w:lvlJc w:val="left"/>
      <w:pPr>
        <w:ind w:left="7304" w:hanging="601"/>
      </w:pPr>
      <w:rPr>
        <w:rFonts w:hint="default"/>
        <w:lang w:val="zh-CN" w:eastAsia="zh-CN" w:bidi="zh-CN"/>
      </w:rPr>
    </w:lvl>
  </w:abstractNum>
  <w:abstractNum w:abstractNumId="49">
    <w:nsid w:val="64C0CB79"/>
    <w:multiLevelType w:val="multilevel"/>
    <w:tmpl w:val="64C0CB79"/>
    <w:lvl w:ilvl="0">
      <w:start w:val="1"/>
      <w:numFmt w:val="decimal"/>
      <w:lvlText w:val="%1."/>
      <w:lvlJc w:val="left"/>
      <w:pPr>
        <w:ind w:left="686"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1164" w:hanging="159"/>
      </w:pPr>
      <w:rPr>
        <w:rFonts w:hint="default"/>
        <w:lang w:val="zh-CN" w:eastAsia="zh-CN" w:bidi="zh-CN"/>
      </w:rPr>
    </w:lvl>
    <w:lvl w:ilvl="2">
      <w:start w:val="0"/>
      <w:numFmt w:val="bullet"/>
      <w:lvlText w:val="•"/>
      <w:lvlJc w:val="left"/>
      <w:pPr>
        <w:ind w:left="1648" w:hanging="159"/>
      </w:pPr>
      <w:rPr>
        <w:rFonts w:hint="default"/>
        <w:lang w:val="zh-CN" w:eastAsia="zh-CN" w:bidi="zh-CN"/>
      </w:rPr>
    </w:lvl>
    <w:lvl w:ilvl="3">
      <w:start w:val="0"/>
      <w:numFmt w:val="bullet"/>
      <w:lvlText w:val="•"/>
      <w:lvlJc w:val="left"/>
      <w:pPr>
        <w:ind w:left="2132" w:hanging="159"/>
      </w:pPr>
      <w:rPr>
        <w:rFonts w:hint="default"/>
        <w:lang w:val="zh-CN" w:eastAsia="zh-CN" w:bidi="zh-CN"/>
      </w:rPr>
    </w:lvl>
    <w:lvl w:ilvl="4">
      <w:start w:val="0"/>
      <w:numFmt w:val="bullet"/>
      <w:lvlText w:val="•"/>
      <w:lvlJc w:val="left"/>
      <w:pPr>
        <w:ind w:left="2617" w:hanging="159"/>
      </w:pPr>
      <w:rPr>
        <w:rFonts w:hint="default"/>
        <w:lang w:val="zh-CN" w:eastAsia="zh-CN" w:bidi="zh-CN"/>
      </w:rPr>
    </w:lvl>
    <w:lvl w:ilvl="5">
      <w:start w:val="0"/>
      <w:numFmt w:val="bullet"/>
      <w:lvlText w:val="•"/>
      <w:lvlJc w:val="left"/>
      <w:pPr>
        <w:ind w:left="3101" w:hanging="159"/>
      </w:pPr>
      <w:rPr>
        <w:rFonts w:hint="default"/>
        <w:lang w:val="zh-CN" w:eastAsia="zh-CN" w:bidi="zh-CN"/>
      </w:rPr>
    </w:lvl>
    <w:lvl w:ilvl="6">
      <w:start w:val="0"/>
      <w:numFmt w:val="bullet"/>
      <w:lvlText w:val="•"/>
      <w:lvlJc w:val="left"/>
      <w:pPr>
        <w:ind w:left="3585" w:hanging="159"/>
      </w:pPr>
      <w:rPr>
        <w:rFonts w:hint="default"/>
        <w:lang w:val="zh-CN" w:eastAsia="zh-CN" w:bidi="zh-CN"/>
      </w:rPr>
    </w:lvl>
    <w:lvl w:ilvl="7">
      <w:start w:val="0"/>
      <w:numFmt w:val="bullet"/>
      <w:lvlText w:val="•"/>
      <w:lvlJc w:val="left"/>
      <w:pPr>
        <w:ind w:left="4070" w:hanging="159"/>
      </w:pPr>
      <w:rPr>
        <w:rFonts w:hint="default"/>
        <w:lang w:val="zh-CN" w:eastAsia="zh-CN" w:bidi="zh-CN"/>
      </w:rPr>
    </w:lvl>
    <w:lvl w:ilvl="8">
      <w:start w:val="0"/>
      <w:numFmt w:val="bullet"/>
      <w:lvlText w:val="•"/>
      <w:lvlJc w:val="left"/>
      <w:pPr>
        <w:ind w:left="4554" w:hanging="159"/>
      </w:pPr>
      <w:rPr>
        <w:rFonts w:hint="default"/>
        <w:lang w:val="zh-CN" w:eastAsia="zh-CN" w:bidi="zh-CN"/>
      </w:rPr>
    </w:lvl>
  </w:abstractNum>
  <w:abstractNum w:abstractNumId="50">
    <w:nsid w:val="651422BE"/>
    <w:multiLevelType w:val="multilevel"/>
    <w:tmpl w:val="651422BE"/>
    <w:lvl w:ilvl="0">
      <w:start w:val="1"/>
      <w:numFmt w:val="decimal"/>
      <w:lvlText w:val="%1"/>
      <w:lvlJc w:val="left"/>
      <w:pPr>
        <w:ind w:left="306" w:hanging="195"/>
        <w:jc w:val="left"/>
      </w:pPr>
      <w:rPr>
        <w:rFonts w:ascii="Times New Roman" w:eastAsia="Times New Roman" w:hAnsi="Times New Roman" w:cs="Times New Roman" w:hint="default"/>
        <w:b/>
        <w:bCs/>
        <w:w w:val="100"/>
        <w:sz w:val="24"/>
        <w:szCs w:val="24"/>
        <w:lang w:val="zh-CN" w:eastAsia="zh-CN" w:bidi="zh-CN"/>
      </w:rPr>
    </w:lvl>
    <w:lvl w:ilvl="1">
      <w:start w:val="1"/>
      <w:numFmt w:val="decimal"/>
      <w:lvlText w:val="%1.%2"/>
      <w:lvlJc w:val="left"/>
      <w:pPr>
        <w:ind w:left="532" w:hanging="420"/>
        <w:jc w:val="left"/>
      </w:pPr>
      <w:rPr>
        <w:rFonts w:ascii="Times New Roman" w:eastAsia="Times New Roman" w:hAnsi="Times New Roman" w:cs="Times New Roman" w:hint="default"/>
        <w:b/>
        <w:bCs/>
        <w:w w:val="99"/>
        <w:sz w:val="24"/>
        <w:szCs w:val="24"/>
        <w:lang w:val="zh-CN" w:eastAsia="zh-CN" w:bidi="zh-CN"/>
      </w:rPr>
    </w:lvl>
    <w:lvl w:ilvl="2">
      <w:start w:val="1"/>
      <w:numFmt w:val="decimal"/>
      <w:lvlText w:val="（%3）"/>
      <w:lvlJc w:val="left"/>
      <w:pPr>
        <w:ind w:left="112" w:hanging="608"/>
        <w:jc w:val="left"/>
      </w:pPr>
      <w:rPr>
        <w:rFonts w:ascii="宋体" w:eastAsia="宋体" w:hAnsi="宋体" w:cs="宋体" w:hint="default"/>
        <w:spacing w:val="2"/>
        <w:w w:val="100"/>
        <w:sz w:val="22"/>
        <w:szCs w:val="22"/>
        <w:lang w:val="zh-CN" w:eastAsia="zh-CN" w:bidi="zh-CN"/>
      </w:rPr>
    </w:lvl>
    <w:lvl w:ilvl="3">
      <w:start w:val="0"/>
      <w:numFmt w:val="bullet"/>
      <w:lvlText w:val="•"/>
      <w:lvlJc w:val="left"/>
      <w:pPr>
        <w:ind w:left="1540" w:hanging="608"/>
      </w:pPr>
      <w:rPr>
        <w:rFonts w:hint="default"/>
        <w:lang w:val="zh-CN" w:eastAsia="zh-CN" w:bidi="zh-CN"/>
      </w:rPr>
    </w:lvl>
    <w:lvl w:ilvl="4">
      <w:start w:val="0"/>
      <w:numFmt w:val="bullet"/>
      <w:lvlText w:val="•"/>
      <w:lvlJc w:val="left"/>
      <w:pPr>
        <w:ind w:left="2541" w:hanging="608"/>
      </w:pPr>
      <w:rPr>
        <w:rFonts w:hint="default"/>
        <w:lang w:val="zh-CN" w:eastAsia="zh-CN" w:bidi="zh-CN"/>
      </w:rPr>
    </w:lvl>
    <w:lvl w:ilvl="5">
      <w:start w:val="0"/>
      <w:numFmt w:val="bullet"/>
      <w:lvlText w:val="•"/>
      <w:lvlJc w:val="left"/>
      <w:pPr>
        <w:ind w:left="3542" w:hanging="608"/>
      </w:pPr>
      <w:rPr>
        <w:rFonts w:hint="default"/>
        <w:lang w:val="zh-CN" w:eastAsia="zh-CN" w:bidi="zh-CN"/>
      </w:rPr>
    </w:lvl>
    <w:lvl w:ilvl="6">
      <w:start w:val="0"/>
      <w:numFmt w:val="bullet"/>
      <w:lvlText w:val="•"/>
      <w:lvlJc w:val="left"/>
      <w:pPr>
        <w:ind w:left="4543" w:hanging="608"/>
      </w:pPr>
      <w:rPr>
        <w:rFonts w:hint="default"/>
        <w:lang w:val="zh-CN" w:eastAsia="zh-CN" w:bidi="zh-CN"/>
      </w:rPr>
    </w:lvl>
    <w:lvl w:ilvl="7">
      <w:start w:val="0"/>
      <w:numFmt w:val="bullet"/>
      <w:lvlText w:val="•"/>
      <w:lvlJc w:val="left"/>
      <w:pPr>
        <w:ind w:left="5543" w:hanging="608"/>
      </w:pPr>
      <w:rPr>
        <w:rFonts w:hint="default"/>
        <w:lang w:val="zh-CN" w:eastAsia="zh-CN" w:bidi="zh-CN"/>
      </w:rPr>
    </w:lvl>
    <w:lvl w:ilvl="8">
      <w:start w:val="0"/>
      <w:numFmt w:val="bullet"/>
      <w:lvlText w:val="•"/>
      <w:lvlJc w:val="left"/>
      <w:pPr>
        <w:ind w:left="6544" w:hanging="608"/>
      </w:pPr>
      <w:rPr>
        <w:rFonts w:hint="default"/>
        <w:lang w:val="zh-CN" w:eastAsia="zh-CN" w:bidi="zh-CN"/>
      </w:rPr>
    </w:lvl>
  </w:abstractNum>
  <w:abstractNum w:abstractNumId="51">
    <w:nsid w:val="659EB354"/>
    <w:multiLevelType w:val="multilevel"/>
    <w:tmpl w:val="659EB354"/>
    <w:lvl w:ilvl="0">
      <w:start w:val="9"/>
      <w:numFmt w:val="decimal"/>
      <w:lvlText w:val="%1"/>
      <w:lvlJc w:val="left"/>
      <w:pPr>
        <w:ind w:left="533" w:hanging="420"/>
        <w:jc w:val="left"/>
      </w:pPr>
      <w:rPr>
        <w:rFonts w:hint="default"/>
        <w:lang w:val="zh-CN" w:eastAsia="zh-CN" w:bidi="zh-CN"/>
      </w:rPr>
    </w:lvl>
    <w:lvl w:ilvl="1">
      <w:start w:val="2"/>
      <w:numFmt w:val="decimal"/>
      <w:lvlText w:val="%1.%2"/>
      <w:lvlJc w:val="left"/>
      <w:pPr>
        <w:ind w:left="533" w:hanging="420"/>
        <w:jc w:val="left"/>
      </w:pPr>
      <w:rPr>
        <w:rFonts w:ascii="Times New Roman" w:eastAsia="Times New Roman" w:hAnsi="Times New Roman" w:cs="Times New Roman" w:hint="default"/>
        <w:b/>
        <w:bCs/>
        <w:w w:val="99"/>
        <w:sz w:val="24"/>
        <w:szCs w:val="24"/>
        <w:lang w:val="zh-CN" w:eastAsia="zh-CN" w:bidi="zh-CN"/>
      </w:rPr>
    </w:lvl>
    <w:lvl w:ilvl="2">
      <w:start w:val="1"/>
      <w:numFmt w:val="decimal"/>
      <w:lvlText w:val="（%3）"/>
      <w:lvlJc w:val="left"/>
      <w:pPr>
        <w:ind w:left="1313" w:hanging="720"/>
        <w:jc w:val="left"/>
      </w:pPr>
      <w:rPr>
        <w:rFonts w:ascii="宋体" w:eastAsia="宋体" w:hAnsi="宋体" w:cs="宋体" w:hint="default"/>
        <w:w w:val="100"/>
        <w:sz w:val="24"/>
        <w:szCs w:val="24"/>
        <w:lang w:val="zh-CN" w:eastAsia="zh-CN" w:bidi="zh-CN"/>
      </w:rPr>
    </w:lvl>
    <w:lvl w:ilvl="3">
      <w:start w:val="0"/>
      <w:numFmt w:val="bullet"/>
      <w:lvlText w:val="•"/>
      <w:lvlJc w:val="left"/>
      <w:pPr>
        <w:ind w:left="3018" w:hanging="720"/>
      </w:pPr>
      <w:rPr>
        <w:rFonts w:hint="default"/>
        <w:lang w:val="zh-CN" w:eastAsia="zh-CN" w:bidi="zh-CN"/>
      </w:rPr>
    </w:lvl>
    <w:lvl w:ilvl="4">
      <w:start w:val="0"/>
      <w:numFmt w:val="bullet"/>
      <w:lvlText w:val="•"/>
      <w:lvlJc w:val="left"/>
      <w:pPr>
        <w:ind w:left="3868" w:hanging="720"/>
      </w:pPr>
      <w:rPr>
        <w:rFonts w:hint="default"/>
        <w:lang w:val="zh-CN" w:eastAsia="zh-CN" w:bidi="zh-CN"/>
      </w:rPr>
    </w:lvl>
    <w:lvl w:ilvl="5">
      <w:start w:val="0"/>
      <w:numFmt w:val="bullet"/>
      <w:lvlText w:val="•"/>
      <w:lvlJc w:val="left"/>
      <w:pPr>
        <w:ind w:left="4717" w:hanging="720"/>
      </w:pPr>
      <w:rPr>
        <w:rFonts w:hint="default"/>
        <w:lang w:val="zh-CN" w:eastAsia="zh-CN" w:bidi="zh-CN"/>
      </w:rPr>
    </w:lvl>
    <w:lvl w:ilvl="6">
      <w:start w:val="0"/>
      <w:numFmt w:val="bullet"/>
      <w:lvlText w:val="•"/>
      <w:lvlJc w:val="left"/>
      <w:pPr>
        <w:ind w:left="5566" w:hanging="720"/>
      </w:pPr>
      <w:rPr>
        <w:rFonts w:hint="default"/>
        <w:lang w:val="zh-CN" w:eastAsia="zh-CN" w:bidi="zh-CN"/>
      </w:rPr>
    </w:lvl>
    <w:lvl w:ilvl="7">
      <w:start w:val="0"/>
      <w:numFmt w:val="bullet"/>
      <w:lvlText w:val="•"/>
      <w:lvlJc w:val="left"/>
      <w:pPr>
        <w:ind w:left="6416" w:hanging="720"/>
      </w:pPr>
      <w:rPr>
        <w:rFonts w:hint="default"/>
        <w:lang w:val="zh-CN" w:eastAsia="zh-CN" w:bidi="zh-CN"/>
      </w:rPr>
    </w:lvl>
    <w:lvl w:ilvl="8">
      <w:start w:val="0"/>
      <w:numFmt w:val="bullet"/>
      <w:lvlText w:val="•"/>
      <w:lvlJc w:val="left"/>
      <w:pPr>
        <w:ind w:left="7265" w:hanging="720"/>
      </w:pPr>
      <w:rPr>
        <w:rFonts w:hint="default"/>
        <w:lang w:val="zh-CN" w:eastAsia="zh-CN" w:bidi="zh-CN"/>
      </w:rPr>
    </w:lvl>
  </w:abstractNum>
  <w:abstractNum w:abstractNumId="52">
    <w:nsid w:val="6C0BE2D1"/>
    <w:multiLevelType w:val="multilevel"/>
    <w:tmpl w:val="6C0BE2D1"/>
    <w:lvl w:ilvl="0">
      <w:start w:val="7"/>
      <w:numFmt w:val="decimal"/>
      <w:lvlText w:val="%1"/>
      <w:lvlJc w:val="left"/>
      <w:pPr>
        <w:ind w:left="353" w:hanging="240"/>
        <w:jc w:val="left"/>
      </w:pPr>
      <w:rPr>
        <w:rFonts w:ascii="Times New Roman" w:eastAsia="Times New Roman" w:hAnsi="Times New Roman" w:cs="Times New Roman" w:hint="default"/>
        <w:b/>
        <w:bCs/>
        <w:w w:val="99"/>
        <w:sz w:val="24"/>
        <w:szCs w:val="24"/>
        <w:lang w:val="zh-CN" w:eastAsia="zh-CN" w:bidi="zh-CN"/>
      </w:rPr>
    </w:lvl>
    <w:lvl w:ilvl="1">
      <w:start w:val="1"/>
      <w:numFmt w:val="decimal"/>
      <w:lvlText w:val="（%2）"/>
      <w:lvlJc w:val="left"/>
      <w:pPr>
        <w:ind w:left="1194" w:hanging="601"/>
        <w:jc w:val="left"/>
      </w:pPr>
      <w:rPr>
        <w:rFonts w:ascii="宋体" w:eastAsia="宋体" w:hAnsi="宋体" w:cs="宋体" w:hint="default"/>
        <w:w w:val="100"/>
        <w:sz w:val="22"/>
        <w:szCs w:val="22"/>
        <w:lang w:val="zh-CN" w:eastAsia="zh-CN" w:bidi="zh-CN"/>
      </w:rPr>
    </w:lvl>
    <w:lvl w:ilvl="2">
      <w:start w:val="0"/>
      <w:numFmt w:val="bullet"/>
      <w:lvlText w:val="•"/>
      <w:lvlJc w:val="left"/>
      <w:pPr>
        <w:ind w:left="2062" w:hanging="601"/>
      </w:pPr>
      <w:rPr>
        <w:rFonts w:hint="default"/>
        <w:lang w:val="zh-CN" w:eastAsia="zh-CN" w:bidi="zh-CN"/>
      </w:rPr>
    </w:lvl>
    <w:lvl w:ilvl="3">
      <w:start w:val="0"/>
      <w:numFmt w:val="bullet"/>
      <w:lvlText w:val="•"/>
      <w:lvlJc w:val="left"/>
      <w:pPr>
        <w:ind w:left="2925" w:hanging="601"/>
      </w:pPr>
      <w:rPr>
        <w:rFonts w:hint="default"/>
        <w:lang w:val="zh-CN" w:eastAsia="zh-CN" w:bidi="zh-CN"/>
      </w:rPr>
    </w:lvl>
    <w:lvl w:ilvl="4">
      <w:start w:val="0"/>
      <w:numFmt w:val="bullet"/>
      <w:lvlText w:val="•"/>
      <w:lvlJc w:val="left"/>
      <w:pPr>
        <w:ind w:left="3788" w:hanging="601"/>
      </w:pPr>
      <w:rPr>
        <w:rFonts w:hint="default"/>
        <w:lang w:val="zh-CN" w:eastAsia="zh-CN" w:bidi="zh-CN"/>
      </w:rPr>
    </w:lvl>
    <w:lvl w:ilvl="5">
      <w:start w:val="0"/>
      <w:numFmt w:val="bullet"/>
      <w:lvlText w:val="•"/>
      <w:lvlJc w:val="left"/>
      <w:pPr>
        <w:ind w:left="4650" w:hanging="601"/>
      </w:pPr>
      <w:rPr>
        <w:rFonts w:hint="default"/>
        <w:lang w:val="zh-CN" w:eastAsia="zh-CN" w:bidi="zh-CN"/>
      </w:rPr>
    </w:lvl>
    <w:lvl w:ilvl="6">
      <w:start w:val="0"/>
      <w:numFmt w:val="bullet"/>
      <w:lvlText w:val="•"/>
      <w:lvlJc w:val="left"/>
      <w:pPr>
        <w:ind w:left="5513" w:hanging="601"/>
      </w:pPr>
      <w:rPr>
        <w:rFonts w:hint="default"/>
        <w:lang w:val="zh-CN" w:eastAsia="zh-CN" w:bidi="zh-CN"/>
      </w:rPr>
    </w:lvl>
    <w:lvl w:ilvl="7">
      <w:start w:val="0"/>
      <w:numFmt w:val="bullet"/>
      <w:lvlText w:val="•"/>
      <w:lvlJc w:val="left"/>
      <w:pPr>
        <w:ind w:left="6376" w:hanging="601"/>
      </w:pPr>
      <w:rPr>
        <w:rFonts w:hint="default"/>
        <w:lang w:val="zh-CN" w:eastAsia="zh-CN" w:bidi="zh-CN"/>
      </w:rPr>
    </w:lvl>
    <w:lvl w:ilvl="8">
      <w:start w:val="0"/>
      <w:numFmt w:val="bullet"/>
      <w:lvlText w:val="•"/>
      <w:lvlJc w:val="left"/>
      <w:pPr>
        <w:ind w:left="7238" w:hanging="601"/>
      </w:pPr>
      <w:rPr>
        <w:rFonts w:hint="default"/>
        <w:lang w:val="zh-CN" w:eastAsia="zh-CN" w:bidi="zh-CN"/>
      </w:rPr>
    </w:lvl>
  </w:abstractNum>
  <w:abstractNum w:abstractNumId="53">
    <w:nsid w:val="70F95E71"/>
    <w:multiLevelType w:val="multilevel"/>
    <w:tmpl w:val="70F95E71"/>
    <w:lvl w:ilvl="0">
      <w:start w:val="7"/>
      <w:numFmt w:val="decimal"/>
      <w:lvlText w:val="%1"/>
      <w:lvlJc w:val="left"/>
      <w:pPr>
        <w:ind w:left="1180" w:hanging="240"/>
        <w:jc w:val="left"/>
      </w:pPr>
      <w:rPr>
        <w:rFonts w:ascii="Times New Roman" w:eastAsia="Times New Roman" w:hAnsi="Times New Roman" w:cs="Times New Roman" w:hint="default"/>
        <w:b/>
        <w:bCs/>
        <w:w w:val="99"/>
        <w:sz w:val="24"/>
        <w:szCs w:val="24"/>
        <w:lang w:val="zh-CN" w:eastAsia="zh-CN" w:bidi="zh-CN"/>
      </w:rPr>
    </w:lvl>
    <w:lvl w:ilvl="1">
      <w:start w:val="1"/>
      <w:numFmt w:val="decimal"/>
      <w:lvlText w:val="%1.%2"/>
      <w:lvlJc w:val="left"/>
      <w:pPr>
        <w:ind w:left="1360" w:hanging="420"/>
        <w:jc w:val="left"/>
      </w:pPr>
      <w:rPr>
        <w:rFonts w:ascii="Times New Roman" w:eastAsia="Times New Roman" w:hAnsi="Times New Roman" w:cs="Times New Roman" w:hint="default"/>
        <w:b/>
        <w:bCs/>
        <w:w w:val="99"/>
        <w:sz w:val="24"/>
        <w:szCs w:val="24"/>
        <w:lang w:val="zh-CN" w:eastAsia="zh-CN" w:bidi="zh-CN"/>
      </w:rPr>
    </w:lvl>
    <w:lvl w:ilvl="2">
      <w:start w:val="0"/>
      <w:numFmt w:val="bullet"/>
      <w:lvlText w:val="•"/>
      <w:lvlJc w:val="left"/>
      <w:pPr>
        <w:ind w:left="2329" w:hanging="420"/>
      </w:pPr>
      <w:rPr>
        <w:rFonts w:hint="default"/>
        <w:lang w:val="zh-CN" w:eastAsia="zh-CN" w:bidi="zh-CN"/>
      </w:rPr>
    </w:lvl>
    <w:lvl w:ilvl="3">
      <w:start w:val="0"/>
      <w:numFmt w:val="bullet"/>
      <w:lvlText w:val="•"/>
      <w:lvlJc w:val="left"/>
      <w:pPr>
        <w:ind w:left="3299" w:hanging="420"/>
      </w:pPr>
      <w:rPr>
        <w:rFonts w:hint="default"/>
        <w:lang w:val="zh-CN" w:eastAsia="zh-CN" w:bidi="zh-CN"/>
      </w:rPr>
    </w:lvl>
    <w:lvl w:ilvl="4">
      <w:start w:val="0"/>
      <w:numFmt w:val="bullet"/>
      <w:lvlText w:val="•"/>
      <w:lvlJc w:val="left"/>
      <w:pPr>
        <w:ind w:left="4268" w:hanging="420"/>
      </w:pPr>
      <w:rPr>
        <w:rFonts w:hint="default"/>
        <w:lang w:val="zh-CN" w:eastAsia="zh-CN" w:bidi="zh-CN"/>
      </w:rPr>
    </w:lvl>
    <w:lvl w:ilvl="5">
      <w:start w:val="0"/>
      <w:numFmt w:val="bullet"/>
      <w:lvlText w:val="•"/>
      <w:lvlJc w:val="left"/>
      <w:pPr>
        <w:ind w:left="5238" w:hanging="420"/>
      </w:pPr>
      <w:rPr>
        <w:rFonts w:hint="default"/>
        <w:lang w:val="zh-CN" w:eastAsia="zh-CN" w:bidi="zh-CN"/>
      </w:rPr>
    </w:lvl>
    <w:lvl w:ilvl="6">
      <w:start w:val="0"/>
      <w:numFmt w:val="bullet"/>
      <w:lvlText w:val="•"/>
      <w:lvlJc w:val="left"/>
      <w:pPr>
        <w:ind w:left="6207" w:hanging="420"/>
      </w:pPr>
      <w:rPr>
        <w:rFonts w:hint="default"/>
        <w:lang w:val="zh-CN" w:eastAsia="zh-CN" w:bidi="zh-CN"/>
      </w:rPr>
    </w:lvl>
    <w:lvl w:ilvl="7">
      <w:start w:val="0"/>
      <w:numFmt w:val="bullet"/>
      <w:lvlText w:val="•"/>
      <w:lvlJc w:val="left"/>
      <w:pPr>
        <w:ind w:left="7177" w:hanging="420"/>
      </w:pPr>
      <w:rPr>
        <w:rFonts w:hint="default"/>
        <w:lang w:val="zh-CN" w:eastAsia="zh-CN" w:bidi="zh-CN"/>
      </w:rPr>
    </w:lvl>
    <w:lvl w:ilvl="8">
      <w:start w:val="0"/>
      <w:numFmt w:val="bullet"/>
      <w:lvlText w:val="•"/>
      <w:lvlJc w:val="left"/>
      <w:pPr>
        <w:ind w:left="8146" w:hanging="420"/>
      </w:pPr>
      <w:rPr>
        <w:rFonts w:hint="default"/>
        <w:lang w:val="zh-CN" w:eastAsia="zh-CN" w:bidi="zh-CN"/>
      </w:rPr>
    </w:lvl>
  </w:abstractNum>
  <w:abstractNum w:abstractNumId="54">
    <w:nsid w:val="744F3566"/>
    <w:multiLevelType w:val="multilevel"/>
    <w:tmpl w:val="744F3566"/>
    <w:lvl w:ilvl="0">
      <w:start w:val="6"/>
      <w:numFmt w:val="decimal"/>
      <w:lvlText w:val="%1"/>
      <w:lvlJc w:val="left"/>
      <w:pPr>
        <w:ind w:left="352" w:hanging="240"/>
        <w:jc w:val="left"/>
      </w:pPr>
      <w:rPr>
        <w:rFonts w:ascii="Times New Roman" w:eastAsia="Times New Roman" w:hAnsi="Times New Roman" w:cs="Times New Roman" w:hint="default"/>
        <w:b/>
        <w:bCs/>
        <w:w w:val="99"/>
        <w:sz w:val="24"/>
        <w:szCs w:val="24"/>
        <w:lang w:val="zh-CN" w:eastAsia="zh-CN" w:bidi="zh-CN"/>
      </w:rPr>
    </w:lvl>
    <w:lvl w:ilvl="1">
      <w:start w:val="1"/>
      <w:numFmt w:val="decimal"/>
      <w:lvlText w:val="%1.%2"/>
      <w:lvlJc w:val="left"/>
      <w:pPr>
        <w:ind w:left="532" w:hanging="420"/>
        <w:jc w:val="left"/>
      </w:pPr>
      <w:rPr>
        <w:rFonts w:ascii="Times New Roman" w:eastAsia="Times New Roman" w:hAnsi="Times New Roman" w:cs="Times New Roman" w:hint="default"/>
        <w:b/>
        <w:bCs/>
        <w:w w:val="99"/>
        <w:sz w:val="24"/>
        <w:szCs w:val="24"/>
        <w:lang w:val="zh-CN" w:eastAsia="zh-CN" w:bidi="zh-CN"/>
      </w:rPr>
    </w:lvl>
    <w:lvl w:ilvl="2">
      <w:start w:val="0"/>
      <w:numFmt w:val="bullet"/>
      <w:lvlText w:val="•"/>
      <w:lvlJc w:val="left"/>
      <w:pPr>
        <w:ind w:left="1461" w:hanging="420"/>
      </w:pPr>
      <w:rPr>
        <w:rFonts w:hint="default"/>
        <w:lang w:val="zh-CN" w:eastAsia="zh-CN" w:bidi="zh-CN"/>
      </w:rPr>
    </w:lvl>
    <w:lvl w:ilvl="3">
      <w:start w:val="0"/>
      <w:numFmt w:val="bullet"/>
      <w:lvlText w:val="•"/>
      <w:lvlJc w:val="left"/>
      <w:pPr>
        <w:ind w:left="2382" w:hanging="420"/>
      </w:pPr>
      <w:rPr>
        <w:rFonts w:hint="default"/>
        <w:lang w:val="zh-CN" w:eastAsia="zh-CN" w:bidi="zh-CN"/>
      </w:rPr>
    </w:lvl>
    <w:lvl w:ilvl="4">
      <w:start w:val="0"/>
      <w:numFmt w:val="bullet"/>
      <w:lvlText w:val="•"/>
      <w:lvlJc w:val="left"/>
      <w:pPr>
        <w:ind w:left="3303" w:hanging="420"/>
      </w:pPr>
      <w:rPr>
        <w:rFonts w:hint="default"/>
        <w:lang w:val="zh-CN" w:eastAsia="zh-CN" w:bidi="zh-CN"/>
      </w:rPr>
    </w:lvl>
    <w:lvl w:ilvl="5">
      <w:start w:val="0"/>
      <w:numFmt w:val="bullet"/>
      <w:lvlText w:val="•"/>
      <w:lvlJc w:val="left"/>
      <w:pPr>
        <w:ind w:left="4224" w:hanging="420"/>
      </w:pPr>
      <w:rPr>
        <w:rFonts w:hint="default"/>
        <w:lang w:val="zh-CN" w:eastAsia="zh-CN" w:bidi="zh-CN"/>
      </w:rPr>
    </w:lvl>
    <w:lvl w:ilvl="6">
      <w:start w:val="0"/>
      <w:numFmt w:val="bullet"/>
      <w:lvlText w:val="•"/>
      <w:lvlJc w:val="left"/>
      <w:pPr>
        <w:ind w:left="5145" w:hanging="420"/>
      </w:pPr>
      <w:rPr>
        <w:rFonts w:hint="default"/>
        <w:lang w:val="zh-CN" w:eastAsia="zh-CN" w:bidi="zh-CN"/>
      </w:rPr>
    </w:lvl>
    <w:lvl w:ilvl="7">
      <w:start w:val="0"/>
      <w:numFmt w:val="bullet"/>
      <w:lvlText w:val="•"/>
      <w:lvlJc w:val="left"/>
      <w:pPr>
        <w:ind w:left="6066" w:hanging="420"/>
      </w:pPr>
      <w:rPr>
        <w:rFonts w:hint="default"/>
        <w:lang w:val="zh-CN" w:eastAsia="zh-CN" w:bidi="zh-CN"/>
      </w:rPr>
    </w:lvl>
    <w:lvl w:ilvl="8">
      <w:start w:val="0"/>
      <w:numFmt w:val="bullet"/>
      <w:lvlText w:val="•"/>
      <w:lvlJc w:val="left"/>
      <w:pPr>
        <w:ind w:left="6987" w:hanging="420"/>
      </w:pPr>
      <w:rPr>
        <w:rFonts w:hint="default"/>
        <w:lang w:val="zh-CN" w:eastAsia="zh-CN" w:bidi="zh-CN"/>
      </w:rPr>
    </w:lvl>
  </w:abstractNum>
  <w:abstractNum w:abstractNumId="55">
    <w:nsid w:val="7499D7B3"/>
    <w:multiLevelType w:val="multilevel"/>
    <w:tmpl w:val="7499D7B3"/>
    <w:lvl w:ilvl="0">
      <w:start w:val="4"/>
      <w:numFmt w:val="decimal"/>
      <w:lvlText w:val="%1"/>
      <w:lvlJc w:val="left"/>
      <w:pPr>
        <w:ind w:left="353" w:hanging="240"/>
        <w:jc w:val="left"/>
      </w:pPr>
      <w:rPr>
        <w:rFonts w:ascii="Times New Roman" w:eastAsia="Times New Roman" w:hAnsi="Times New Roman" w:cs="Times New Roman" w:hint="default"/>
        <w:b/>
        <w:bCs/>
        <w:w w:val="99"/>
        <w:sz w:val="24"/>
        <w:szCs w:val="24"/>
        <w:lang w:val="zh-CN" w:eastAsia="zh-CN" w:bidi="zh-CN"/>
      </w:rPr>
    </w:lvl>
    <w:lvl w:ilvl="1">
      <w:start w:val="1"/>
      <w:numFmt w:val="decimal"/>
      <w:lvlText w:val="%1.%2"/>
      <w:lvlJc w:val="left"/>
      <w:pPr>
        <w:ind w:left="533" w:hanging="420"/>
        <w:jc w:val="left"/>
      </w:pPr>
      <w:rPr>
        <w:rFonts w:ascii="Times New Roman" w:eastAsia="Times New Roman" w:hAnsi="Times New Roman" w:cs="Times New Roman" w:hint="default"/>
        <w:b/>
        <w:bCs/>
        <w:w w:val="99"/>
        <w:sz w:val="24"/>
        <w:szCs w:val="24"/>
        <w:lang w:val="zh-CN" w:eastAsia="zh-CN" w:bidi="zh-CN"/>
      </w:rPr>
    </w:lvl>
    <w:lvl w:ilvl="2">
      <w:start w:val="0"/>
      <w:numFmt w:val="bullet"/>
      <w:lvlText w:val="•"/>
      <w:lvlJc w:val="left"/>
      <w:pPr>
        <w:ind w:left="1476" w:hanging="420"/>
      </w:pPr>
      <w:rPr>
        <w:rFonts w:hint="default"/>
        <w:lang w:val="zh-CN" w:eastAsia="zh-CN" w:bidi="zh-CN"/>
      </w:rPr>
    </w:lvl>
    <w:lvl w:ilvl="3">
      <w:start w:val="0"/>
      <w:numFmt w:val="bullet"/>
      <w:lvlText w:val="•"/>
      <w:lvlJc w:val="left"/>
      <w:pPr>
        <w:ind w:left="2412" w:hanging="420"/>
      </w:pPr>
      <w:rPr>
        <w:rFonts w:hint="default"/>
        <w:lang w:val="zh-CN" w:eastAsia="zh-CN" w:bidi="zh-CN"/>
      </w:rPr>
    </w:lvl>
    <w:lvl w:ilvl="4">
      <w:start w:val="0"/>
      <w:numFmt w:val="bullet"/>
      <w:lvlText w:val="•"/>
      <w:lvlJc w:val="left"/>
      <w:pPr>
        <w:ind w:left="3348" w:hanging="420"/>
      </w:pPr>
      <w:rPr>
        <w:rFonts w:hint="default"/>
        <w:lang w:val="zh-CN" w:eastAsia="zh-CN" w:bidi="zh-CN"/>
      </w:rPr>
    </w:lvl>
    <w:lvl w:ilvl="5">
      <w:start w:val="0"/>
      <w:numFmt w:val="bullet"/>
      <w:lvlText w:val="•"/>
      <w:lvlJc w:val="left"/>
      <w:pPr>
        <w:ind w:left="4284" w:hanging="420"/>
      </w:pPr>
      <w:rPr>
        <w:rFonts w:hint="default"/>
        <w:lang w:val="zh-CN" w:eastAsia="zh-CN" w:bidi="zh-CN"/>
      </w:rPr>
    </w:lvl>
    <w:lvl w:ilvl="6">
      <w:start w:val="0"/>
      <w:numFmt w:val="bullet"/>
      <w:lvlText w:val="•"/>
      <w:lvlJc w:val="left"/>
      <w:pPr>
        <w:ind w:left="5220" w:hanging="420"/>
      </w:pPr>
      <w:rPr>
        <w:rFonts w:hint="default"/>
        <w:lang w:val="zh-CN" w:eastAsia="zh-CN" w:bidi="zh-CN"/>
      </w:rPr>
    </w:lvl>
    <w:lvl w:ilvl="7">
      <w:start w:val="0"/>
      <w:numFmt w:val="bullet"/>
      <w:lvlText w:val="•"/>
      <w:lvlJc w:val="left"/>
      <w:pPr>
        <w:ind w:left="6156" w:hanging="420"/>
      </w:pPr>
      <w:rPr>
        <w:rFonts w:hint="default"/>
        <w:lang w:val="zh-CN" w:eastAsia="zh-CN" w:bidi="zh-CN"/>
      </w:rPr>
    </w:lvl>
    <w:lvl w:ilvl="8">
      <w:start w:val="0"/>
      <w:numFmt w:val="bullet"/>
      <w:lvlText w:val="•"/>
      <w:lvlJc w:val="left"/>
      <w:pPr>
        <w:ind w:left="7092" w:hanging="420"/>
      </w:pPr>
      <w:rPr>
        <w:rFonts w:hint="default"/>
        <w:lang w:val="zh-CN" w:eastAsia="zh-CN" w:bidi="zh-CN"/>
      </w:rPr>
    </w:lvl>
  </w:abstractNum>
  <w:num w:numId="1">
    <w:abstractNumId w:val="16"/>
  </w:num>
  <w:num w:numId="2">
    <w:abstractNumId w:val="43"/>
  </w:num>
  <w:num w:numId="3">
    <w:abstractNumId w:val="38"/>
  </w:num>
  <w:num w:numId="4">
    <w:abstractNumId w:val="34"/>
  </w:num>
  <w:num w:numId="5">
    <w:abstractNumId w:val="21"/>
  </w:num>
  <w:num w:numId="6">
    <w:abstractNumId w:val="8"/>
  </w:num>
  <w:num w:numId="7">
    <w:abstractNumId w:val="55"/>
  </w:num>
  <w:num w:numId="8">
    <w:abstractNumId w:val="33"/>
  </w:num>
  <w:num w:numId="9">
    <w:abstractNumId w:val="52"/>
  </w:num>
  <w:num w:numId="10">
    <w:abstractNumId w:val="3"/>
  </w:num>
  <w:num w:numId="11">
    <w:abstractNumId w:val="51"/>
  </w:num>
  <w:num w:numId="12">
    <w:abstractNumId w:val="17"/>
  </w:num>
  <w:num w:numId="13">
    <w:abstractNumId w:val="48"/>
  </w:num>
  <w:num w:numId="14">
    <w:abstractNumId w:val="35"/>
  </w:num>
  <w:num w:numId="15">
    <w:abstractNumId w:val="54"/>
  </w:num>
  <w:num w:numId="16">
    <w:abstractNumId w:val="53"/>
  </w:num>
  <w:num w:numId="17">
    <w:abstractNumId w:val="18"/>
  </w:num>
  <w:num w:numId="18">
    <w:abstractNumId w:val="22"/>
  </w:num>
  <w:num w:numId="19">
    <w:abstractNumId w:val="24"/>
  </w:num>
  <w:num w:numId="20">
    <w:abstractNumId w:val="2"/>
  </w:num>
  <w:num w:numId="21">
    <w:abstractNumId w:val="11"/>
  </w:num>
  <w:num w:numId="22">
    <w:abstractNumId w:val="39"/>
  </w:num>
  <w:num w:numId="23">
    <w:abstractNumId w:val="12"/>
  </w:num>
  <w:num w:numId="24">
    <w:abstractNumId w:val="49"/>
  </w:num>
  <w:num w:numId="25">
    <w:abstractNumId w:val="42"/>
  </w:num>
  <w:num w:numId="26">
    <w:abstractNumId w:val="47"/>
  </w:num>
  <w:num w:numId="27">
    <w:abstractNumId w:val="15"/>
  </w:num>
  <w:num w:numId="28">
    <w:abstractNumId w:val="36"/>
  </w:num>
  <w:num w:numId="29">
    <w:abstractNumId w:val="19"/>
  </w:num>
  <w:num w:numId="30">
    <w:abstractNumId w:val="32"/>
  </w:num>
  <w:num w:numId="31">
    <w:abstractNumId w:val="0"/>
  </w:num>
  <w:num w:numId="32">
    <w:abstractNumId w:val="9"/>
  </w:num>
  <w:num w:numId="33">
    <w:abstractNumId w:val="30"/>
  </w:num>
  <w:num w:numId="34">
    <w:abstractNumId w:val="41"/>
  </w:num>
  <w:num w:numId="35">
    <w:abstractNumId w:val="50"/>
  </w:num>
  <w:num w:numId="36">
    <w:abstractNumId w:val="13"/>
  </w:num>
  <w:num w:numId="37">
    <w:abstractNumId w:val="6"/>
  </w:num>
  <w:num w:numId="38">
    <w:abstractNumId w:val="31"/>
  </w:num>
  <w:num w:numId="39">
    <w:abstractNumId w:val="23"/>
  </w:num>
  <w:num w:numId="40">
    <w:abstractNumId w:val="14"/>
  </w:num>
  <w:num w:numId="41">
    <w:abstractNumId w:val="10"/>
  </w:num>
  <w:num w:numId="42">
    <w:abstractNumId w:val="28"/>
  </w:num>
  <w:num w:numId="43">
    <w:abstractNumId w:val="29"/>
  </w:num>
  <w:num w:numId="44">
    <w:abstractNumId w:val="37"/>
  </w:num>
  <w:num w:numId="45">
    <w:abstractNumId w:val="25"/>
  </w:num>
  <w:num w:numId="46">
    <w:abstractNumId w:val="4"/>
  </w:num>
  <w:num w:numId="47">
    <w:abstractNumId w:val="46"/>
  </w:num>
  <w:num w:numId="48">
    <w:abstractNumId w:val="7"/>
  </w:num>
  <w:num w:numId="49">
    <w:abstractNumId w:val="1"/>
  </w:num>
  <w:num w:numId="50">
    <w:abstractNumId w:val="40"/>
  </w:num>
  <w:num w:numId="51">
    <w:abstractNumId w:val="5"/>
  </w:num>
  <w:num w:numId="52">
    <w:abstractNumId w:val="27"/>
  </w:num>
  <w:num w:numId="53">
    <w:abstractNumId w:val="20"/>
  </w:num>
  <w:num w:numId="54">
    <w:abstractNumId w:val="44"/>
  </w:num>
  <w:num w:numId="55">
    <w:abstractNumId w:val="45"/>
  </w:num>
  <w:num w:numId="5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B011D0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0">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1" w:unhideWhenUsed="0" w:qFormat="1"/>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1"/>
    <w:qFormat/>
    <w:pPr>
      <w:widowControl w:val="0"/>
      <w:autoSpaceDE w:val="0"/>
      <w:autoSpaceDN w:val="0"/>
      <w:spacing w:before="0" w:after="0" w:line="240" w:lineRule="auto"/>
      <w:ind w:left="0" w:right="0"/>
      <w:jc w:val="left"/>
    </w:pPr>
    <w:rPr>
      <w:rFonts w:ascii="宋体" w:eastAsia="宋体" w:hAnsi="宋体" w:cs="宋体"/>
      <w:sz w:val="22"/>
      <w:szCs w:val="22"/>
      <w:lang w:val="zh-CN" w:eastAsia="zh-CN" w:bidi="zh-CN"/>
    </w:rPr>
  </w:style>
  <w:style w:type="paragraph" w:styleId="Heading1">
    <w:name w:val="heading 1"/>
    <w:basedOn w:val="Normal"/>
    <w:next w:val="Normal"/>
    <w:uiPriority w:val="1"/>
    <w:qFormat/>
    <w:pPr>
      <w:spacing w:before="49"/>
      <w:ind w:left="428" w:right="483"/>
      <w:jc w:val="center"/>
      <w:outlineLvl w:val="0"/>
    </w:pPr>
    <w:rPr>
      <w:rFonts w:ascii="宋体" w:eastAsia="宋体" w:hAnsi="宋体" w:cs="宋体"/>
      <w:b/>
      <w:bCs/>
      <w:sz w:val="28"/>
      <w:szCs w:val="28"/>
      <w:lang w:val="zh-CN" w:eastAsia="zh-CN" w:bidi="zh-CN"/>
    </w:rPr>
  </w:style>
  <w:style w:type="paragraph" w:styleId="Heading2">
    <w:name w:val="heading 2"/>
    <w:basedOn w:val="Normal"/>
    <w:next w:val="Normal"/>
    <w:uiPriority w:val="1"/>
    <w:qFormat/>
    <w:pPr>
      <w:spacing w:before="182"/>
      <w:ind w:left="100"/>
      <w:jc w:val="center"/>
      <w:outlineLvl w:val="1"/>
    </w:pPr>
    <w:rPr>
      <w:rFonts w:ascii="Times New Roman" w:eastAsia="Times New Roman" w:hAnsi="Times New Roman" w:cs="Times New Roman"/>
      <w:sz w:val="28"/>
      <w:szCs w:val="28"/>
      <w:lang w:val="zh-CN" w:eastAsia="zh-CN" w:bidi="zh-CN"/>
    </w:rPr>
  </w:style>
  <w:style w:type="paragraph" w:styleId="Heading3">
    <w:name w:val="heading 3"/>
    <w:basedOn w:val="Normal"/>
    <w:next w:val="Normal"/>
    <w:uiPriority w:val="1"/>
    <w:qFormat/>
    <w:pPr>
      <w:ind w:left="1365" w:hanging="241"/>
      <w:outlineLvl w:val="2"/>
    </w:pPr>
    <w:rPr>
      <w:rFonts w:ascii="宋体" w:eastAsia="宋体" w:hAnsi="宋体" w:cs="宋体"/>
      <w:b/>
      <w:bCs/>
      <w:sz w:val="24"/>
      <w:szCs w:val="24"/>
      <w:lang w:val="zh-CN" w:eastAsia="zh-CN" w:bidi="zh-CN"/>
    </w:rPr>
  </w:style>
  <w:style w:type="character" w:default="1" w:styleId="DefaultParagraphFont">
    <w:name w:val="Default Paragraph Font"/>
    <w:uiPriority w:val="1"/>
    <w:semiHidden/>
    <w:unhideWhenUsed/>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uiPriority w:val="1"/>
    <w:qFormat/>
    <w:rPr>
      <w:rFonts w:ascii="宋体" w:eastAsia="宋体" w:hAnsi="宋体" w:cs="宋体"/>
      <w:sz w:val="24"/>
      <w:szCs w:val="24"/>
      <w:lang w:val="zh-CN" w:eastAsia="zh-CN" w:bidi="zh-CN"/>
    </w:rPr>
  </w:style>
  <w:style w:type="paragraph" w:styleId="TOC1">
    <w:name w:val="toc 1"/>
    <w:basedOn w:val="Normal"/>
    <w:next w:val="Normal"/>
    <w:uiPriority w:val="1"/>
    <w:qFormat/>
    <w:pPr>
      <w:spacing w:before="160"/>
      <w:ind w:left="138"/>
    </w:pPr>
    <w:rPr>
      <w:rFonts w:ascii="宋体" w:eastAsia="宋体" w:hAnsi="宋体" w:cs="宋体"/>
      <w:sz w:val="22"/>
      <w:szCs w:val="22"/>
      <w:lang w:val="zh-CN" w:eastAsia="zh-CN" w:bidi="zh-CN"/>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spacing w:before="161"/>
      <w:ind w:left="1365" w:hanging="602"/>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image" Target="media/image2.jpeg" /><Relationship Id="rId12" Type="http://schemas.openxmlformats.org/officeDocument/2006/relationships/footer" Target="footer6.xml" /><Relationship Id="rId13" Type="http://schemas.openxmlformats.org/officeDocument/2006/relationships/footer" Target="footer7.xml" /><Relationship Id="rId14" Type="http://schemas.openxmlformats.org/officeDocument/2006/relationships/footer" Target="footer8.xml" /><Relationship Id="rId15" Type="http://schemas.openxmlformats.org/officeDocument/2006/relationships/footer" Target="footer9.xml" /><Relationship Id="rId16" Type="http://schemas.openxmlformats.org/officeDocument/2006/relationships/footer" Target="footer10.xml" /><Relationship Id="rId17" Type="http://schemas.openxmlformats.org/officeDocument/2006/relationships/footer" Target="footer11.xml" /><Relationship Id="rId18" Type="http://schemas.openxmlformats.org/officeDocument/2006/relationships/footer" Target="footer12.xml" /><Relationship Id="rId19" Type="http://schemas.openxmlformats.org/officeDocument/2006/relationships/image" Target="media/image3.jpeg" /><Relationship Id="rId2" Type="http://schemas.openxmlformats.org/officeDocument/2006/relationships/webSettings" Target="webSettings.xml" /><Relationship Id="rId20" Type="http://schemas.openxmlformats.org/officeDocument/2006/relationships/image" Target="media/image4.jpeg" /><Relationship Id="rId21" Type="http://schemas.openxmlformats.org/officeDocument/2006/relationships/footer" Target="footer13.xml" /><Relationship Id="rId22" Type="http://schemas.openxmlformats.org/officeDocument/2006/relationships/footer" Target="footer14.xml" /><Relationship Id="rId23" Type="http://schemas.openxmlformats.org/officeDocument/2006/relationships/footer" Target="footer15.xml" /><Relationship Id="rId24" Type="http://schemas.openxmlformats.org/officeDocument/2006/relationships/footer" Target="footer16.xml" /><Relationship Id="rId25" Type="http://schemas.openxmlformats.org/officeDocument/2006/relationships/image" Target="media/image5.jpeg" /><Relationship Id="rId26" Type="http://schemas.openxmlformats.org/officeDocument/2006/relationships/footer" Target="footer17.xml" /><Relationship Id="rId27" Type="http://schemas.openxmlformats.org/officeDocument/2006/relationships/footer" Target="footer18.xml" /><Relationship Id="rId28" Type="http://schemas.openxmlformats.org/officeDocument/2006/relationships/footer" Target="footer19.xml" /><Relationship Id="rId29" Type="http://schemas.openxmlformats.org/officeDocument/2006/relationships/footer" Target="footer20.xml" /><Relationship Id="rId3" Type="http://schemas.openxmlformats.org/officeDocument/2006/relationships/fontTable" Target="fontTable.xml" /><Relationship Id="rId30" Type="http://schemas.openxmlformats.org/officeDocument/2006/relationships/image" Target="media/image6.jpeg" /><Relationship Id="rId31" Type="http://schemas.openxmlformats.org/officeDocument/2006/relationships/footer" Target="footer21.xml" /><Relationship Id="rId32" Type="http://schemas.openxmlformats.org/officeDocument/2006/relationships/footer" Target="footer22.xml" /><Relationship Id="rId33" Type="http://schemas.openxmlformats.org/officeDocument/2006/relationships/footer" Target="footer23.xml" /><Relationship Id="rId34" Type="http://schemas.openxmlformats.org/officeDocument/2006/relationships/footer" Target="footer24.xml" /><Relationship Id="rId35" Type="http://schemas.openxmlformats.org/officeDocument/2006/relationships/image" Target="media/image7.jpeg" /><Relationship Id="rId36" Type="http://schemas.openxmlformats.org/officeDocument/2006/relationships/image" Target="media/image8.png" /><Relationship Id="rId37" Type="http://schemas.openxmlformats.org/officeDocument/2006/relationships/footer" Target="footer25.xml" /><Relationship Id="rId38" Type="http://schemas.openxmlformats.org/officeDocument/2006/relationships/image" Target="media/image9.jpeg" /><Relationship Id="rId39" Type="http://schemas.openxmlformats.org/officeDocument/2006/relationships/footer" Target="footer26.xml" /><Relationship Id="rId4" Type="http://schemas.openxmlformats.org/officeDocument/2006/relationships/customXml" Target="../customXml/item1.xml" /><Relationship Id="rId40" Type="http://schemas.openxmlformats.org/officeDocument/2006/relationships/footer" Target="footer27.xml" /><Relationship Id="rId41" Type="http://schemas.openxmlformats.org/officeDocument/2006/relationships/footer" Target="footer28.xml" /><Relationship Id="rId42" Type="http://schemas.openxmlformats.org/officeDocument/2006/relationships/footer" Target="footer29.xml" /><Relationship Id="rId43" Type="http://schemas.openxmlformats.org/officeDocument/2006/relationships/image" Target="media/image10.jpeg" /><Relationship Id="rId44" Type="http://schemas.openxmlformats.org/officeDocument/2006/relationships/footer" Target="footer30.xml" /><Relationship Id="rId45" Type="http://schemas.openxmlformats.org/officeDocument/2006/relationships/footer" Target="footer31.xml" /><Relationship Id="rId46" Type="http://schemas.openxmlformats.org/officeDocument/2006/relationships/image" Target="media/image11.jpeg" /><Relationship Id="rId47" Type="http://schemas.openxmlformats.org/officeDocument/2006/relationships/footer" Target="footer32.xml" /><Relationship Id="rId48" Type="http://schemas.openxmlformats.org/officeDocument/2006/relationships/footer" Target="footer33.xml" /><Relationship Id="rId49" Type="http://schemas.openxmlformats.org/officeDocument/2006/relationships/footer" Target="footer34.xml" /><Relationship Id="rId5" Type="http://schemas.openxmlformats.org/officeDocument/2006/relationships/footer" Target="footer1.xml" /><Relationship Id="rId50" Type="http://schemas.openxmlformats.org/officeDocument/2006/relationships/footer" Target="footer35.xml" /><Relationship Id="rId51" Type="http://schemas.openxmlformats.org/officeDocument/2006/relationships/footer" Target="footer36.xml" /><Relationship Id="rId52" Type="http://schemas.openxmlformats.org/officeDocument/2006/relationships/footer" Target="footer37.xml" /><Relationship Id="rId53" Type="http://schemas.openxmlformats.org/officeDocument/2006/relationships/hyperlink" Target="https://d.book118.com/665021224040011124" TargetMode="External" /><Relationship Id="rId54" Type="http://schemas.openxmlformats.org/officeDocument/2006/relationships/footer" Target="footer38.xml" /><Relationship Id="rId55" Type="http://schemas.openxmlformats.org/officeDocument/2006/relationships/theme" Target="theme/theme1.xml" /><Relationship Id="rId56" Type="http://schemas.openxmlformats.org/officeDocument/2006/relationships/numbering" Target="numbering.xml" /><Relationship Id="rId57" Type="http://schemas.openxmlformats.org/officeDocument/2006/relationships/styles" Target="styles.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1166"/>
    <customShpInfo spid="_x0000_s1167"/>
    <customShpInfo spid="_x0000_s1168"/>
    <customShpInfo spid="_x0000_s1170"/>
    <customShpInfo spid="_x0000_s1171"/>
    <customShpInfo spid="_x0000_s1169"/>
    <customShpInfo spid="_x0000_s1173"/>
    <customShpInfo spid="_x0000_s1174"/>
    <customShpInfo spid="_x0000_s1172"/>
    <customShpInfo spid="_x0000_s1176"/>
    <customShpInfo spid="_x0000_s1177"/>
    <customShpInfo spid="_x0000_s1175"/>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78"/>
    <customShpInfo spid="_x0000_s1191"/>
    <customShpInfo spid="_x0000_s1192"/>
    <customShpInfo spid="_x0000_s1193"/>
    <customShpInfo spid="_x0000_s1194"/>
    <customShpInfo spid="_x0000_s1190"/>
    <customShpInfo spid="_x0000_s1196"/>
    <customShpInfo spid="_x0000_s1197"/>
    <customShpInfo spid="_x0000_s1198"/>
    <customShpInfo spid="_x0000_s1199"/>
    <customShpInfo spid="_x0000_s1200"/>
    <customShpInfo spid="_x0000_s1201"/>
    <customShpInfo spid="_x0000_s1202"/>
    <customShpInfo spid="_x0000_s1195"/>
    <customShpInfo spid="_x0000_s1203"/>
    <customShpInfo spid="_x0000_s1205"/>
    <customShpInfo spid="_x0000_s1206"/>
    <customShpInfo spid="_x0000_s1204"/>
    <customShpInfo spid="_x0000_s1207"/>
    <customShpInfo spid="_x0000_s1209"/>
    <customShpInfo spid="_x0000_s1210"/>
    <customShpInfo spid="_x0000_s1211"/>
    <customShpInfo spid="_x0000_s1212"/>
    <customShpInfo spid="_x0000_s1208"/>
    <customShpInfo spid="_x0000_s1214"/>
    <customShpInfo spid="_x0000_s1215"/>
    <customShpInfo spid="_x0000_s1216"/>
    <customShpInfo spid="_x0000_s1217"/>
    <customShpInfo spid="_x0000_s1218"/>
    <customShpInfo spid="_x0000_s1213"/>
    <customShpInfo spid="_x0000_s1220"/>
    <customShpInfo spid="_x0000_s1221"/>
    <customShpInfo spid="_x0000_s1219"/>
    <customShpInfo spid="_x0000_s1223"/>
    <customShpInfo spid="_x0000_s1224"/>
    <customShpInfo spid="_x0000_s1222"/>
    <customShpInfo spid="_x0000_s1226"/>
    <customShpInfo spid="_x0000_s1227"/>
    <customShpInfo spid="_x0000_s1225"/>
    <customShpInfo spid="_x0000_s1229"/>
    <customShpInfo spid="_x0000_s1230"/>
    <customShpInfo spid="_x0000_s1231"/>
    <customShpInfo spid="_x0000_s1228"/>
    <customShpInfo spid="_x0000_s1233"/>
    <customShpInfo spid="_x0000_s1232"/>
    <customShpInfo spid="_x0000_s1234"/>
    <customShpInfo spid="_x0000_s1236"/>
    <customShpInfo spid="_x0000_s1237"/>
    <customShpInfo spid="_x0000_s1235"/>
    <customShpInfo spid="_x0000_s1239"/>
    <customShpInfo spid="_x0000_s1240"/>
    <customShpInfo spid="_x0000_s1238"/>
    <customShpInfo spid="_x0000_s1241"/>
    <customShpInfo spid="_x0000_s1243"/>
    <customShpInfo spid="_x0000_s1244"/>
    <customShpInfo spid="_x0000_s1242"/>
    <customShpInfo spid="_x0000_s1245"/>
    <customShpInfo spid="_x0000_s1246"/>
    <customShpInfo spid="_x0000_s1248"/>
    <customShpInfo spid="_x0000_s1249"/>
    <customShpInfo spid="_x0000_s1247"/>
    <customShpInfo spid="_x0000_s1251"/>
    <customShpInfo spid="_x0000_s1252"/>
    <customShpInfo spid="_x0000_s1250"/>
    <customShpInfo spid="_x0000_s1254"/>
    <customShpInfo spid="_x0000_s1255"/>
    <customShpInfo spid="_x0000_s1253"/>
    <customShpInfo spid="_x0000_s1257"/>
    <customShpInfo spid="_x0000_s1258"/>
    <customShpInfo spid="_x0000_s1256"/>
    <customShpInfo spid="_x0000_s1260"/>
    <customShpInfo spid="_x0000_s1261"/>
    <customShpInfo spid="_x0000_s1262"/>
    <customShpInfo spid="_x0000_s1263"/>
    <customShpInfo spid="_x0000_s1264"/>
    <customShpInfo spid="_x0000_s1265"/>
    <customShpInfo spid="_x0000_s1266"/>
    <customShpInfo spid="_x0000_s1259"/>
    <customShpInfo spid="_x0000_s1267"/>
    <customShpInfo spid="_x0000_s1269"/>
    <customShpInfo spid="_x0000_s1270"/>
    <customShpInfo spid="_x0000_s1271"/>
    <customShpInfo spid="_x0000_s1268"/>
    <customShpInfo spid="_x0000_s1272"/>
    <customShpInfo spid="_x0000_s1273"/>
    <customShpInfo spid="_x0000_s1274"/>
    <customShpInfo spid="_x0000_s1275"/>
    <customShpInfo spid="_x0000_s1276"/>
    <customShpInfo spid="_x0000_s1277"/>
    <customShpInfo spid="_x0000_s1278"/>
    <customShpInfo spid="_x0000_s1279"/>
    <customShpInfo spid="_x0000_s1280"/>
    <customShpInfo spid="_x0000_s1281"/>
    <customShpInfo spid="_x0000_s1282"/>
    <customShpInfo spid="_x0000_s1283"/>
    <customShpInfo spid="_x0000_s1284"/>
    <customShpInfo spid="_x0000_s1285"/>
    <customShpInfo spid="_x0000_s1286"/>
    <customShpInfo spid="_x0000_s1288"/>
    <customShpInfo spid="_x0000_s1289"/>
    <customShpInfo spid="_x0000_s1290"/>
    <customShpInfo spid="_x0000_s1291"/>
    <customShpInfo spid="_x0000_s128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Mayn</dc:creator>
  <cp:lastModifiedBy>龙风呈祥</cp:lastModifiedBy>
  <cp:revision>0</cp:revision>
  <dcterms:created xsi:type="dcterms:W3CDTF">2024-03-10T03:55:00Z</dcterms:created>
  <dcterms:modified xsi:type="dcterms:W3CDTF">2024-03-10T03:58:13Z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2024-02-06T00:00:00Z</vt:filetime>
  </property>
  <property fmtid="{D5CDD505-2E9C-101B-9397-08002B2CF9AE}" pid="3" name="Creator">
    <vt:lpwstr>Adobe Acrobat Pro DC 19.21.20061</vt:lpwstr>
  </property>
  <property fmtid="{D5CDD505-2E9C-101B-9397-08002B2CF9AE}" pid="4" name="ICV">
    <vt:lpwstr>4FD5A94D7233411CAB91AE5912E497DE</vt:lpwstr>
  </property>
  <property fmtid="{D5CDD505-2E9C-101B-9397-08002B2CF9AE}" pid="5" name="KSOProductBuildVer">
    <vt:lpwstr>2052-11.1.0.10463</vt:lpwstr>
  </property>
  <property fmtid="{D5CDD505-2E9C-101B-9397-08002B2CF9AE}" pid="6" name="LastSaved">
    <vt:filetime>2024-03-10T00:00:00Z</vt:filetime>
  </property>
</Properties>
</file>