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sz w:val="30"/>
        </w:rPr>
      </w:pPr>
      <w:r>
        <w:rPr>
          <w:rFonts w:eastAsia="黑体" w:hint="eastAsia"/>
          <w:sz w:val="30"/>
        </w:rPr>
        <w:t>任务书</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080"/>
        <w:gridCol w:w="847"/>
        <w:gridCol w:w="2037"/>
        <w:gridCol w:w="1501"/>
        <w:gridCol w:w="255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jc w:val="center"/>
        </w:trPr>
        <w:tc>
          <w:tcPr>
            <w:tcW w:w="1548" w:type="dxa"/>
          </w:tcPr>
          <w:p>
            <w:pPr>
              <w:spacing w:line="480" w:lineRule="auto"/>
              <w:jc w:val="center"/>
            </w:pPr>
            <w:r>
              <w:rPr>
                <w:rFonts w:hint="eastAsia"/>
              </w:rPr>
              <w:t>学生姓名</w:t>
            </w:r>
          </w:p>
        </w:tc>
        <w:tc>
          <w:tcPr>
            <w:tcW w:w="1080" w:type="dxa"/>
          </w:tcPr>
          <w:p>
            <w:pPr>
              <w:spacing w:line="480" w:lineRule="auto"/>
              <w:jc w:val="center"/>
              <w:rPr>
                <w:szCs w:val="21"/>
              </w:rPr>
            </w:pPr>
          </w:p>
        </w:tc>
        <w:tc>
          <w:tcPr>
            <w:tcW w:w="847" w:type="dxa"/>
          </w:tcPr>
          <w:p>
            <w:pPr>
              <w:spacing w:line="480" w:lineRule="auto"/>
              <w:jc w:val="center"/>
            </w:pPr>
            <w:r>
              <w:rPr>
                <w:rFonts w:hint="eastAsia"/>
              </w:rPr>
              <w:t>学号</w:t>
            </w:r>
          </w:p>
        </w:tc>
        <w:tc>
          <w:tcPr>
            <w:tcW w:w="2037" w:type="dxa"/>
          </w:tcPr>
          <w:p>
            <w:pPr>
              <w:spacing w:line="480" w:lineRule="auto"/>
              <w:jc w:val="center"/>
            </w:pPr>
          </w:p>
        </w:tc>
        <w:tc>
          <w:tcPr>
            <w:tcW w:w="1501" w:type="dxa"/>
          </w:tcPr>
          <w:p>
            <w:pPr>
              <w:spacing w:line="480" w:lineRule="auto"/>
              <w:jc w:val="center"/>
            </w:pPr>
            <w:r>
              <w:rPr>
                <w:rFonts w:hint="eastAsia"/>
              </w:rPr>
              <w:t>专业班级</w:t>
            </w:r>
          </w:p>
        </w:tc>
        <w:tc>
          <w:tcPr>
            <w:tcW w:w="2557" w:type="dxa"/>
          </w:tcPr>
          <w:p>
            <w:pPr>
              <w:spacing w:line="480" w:lineRule="auto"/>
              <w:jc w:val="center"/>
            </w:pPr>
          </w:p>
        </w:tc>
      </w:tr>
      <w:tr>
        <w:tblPrEx>
          <w:tblW w:w="0" w:type="auto"/>
          <w:jc w:val="center"/>
          <w:tblLayout w:type="fixed"/>
          <w:tblCellMar>
            <w:top w:w="0" w:type="dxa"/>
            <w:left w:w="108" w:type="dxa"/>
            <w:bottom w:w="0" w:type="dxa"/>
            <w:right w:w="108" w:type="dxa"/>
          </w:tblCellMar>
        </w:tblPrEx>
        <w:trPr>
          <w:trHeight w:val="620"/>
          <w:jc w:val="center"/>
        </w:trPr>
        <w:tc>
          <w:tcPr>
            <w:tcW w:w="1548" w:type="dxa"/>
          </w:tcPr>
          <w:p>
            <w:pPr>
              <w:spacing w:line="480" w:lineRule="auto"/>
              <w:jc w:val="center"/>
            </w:pPr>
            <w:r>
              <w:rPr>
                <w:rFonts w:hint="eastAsia"/>
              </w:rPr>
              <w:t>指导教师</w:t>
            </w:r>
          </w:p>
        </w:tc>
        <w:tc>
          <w:tcPr>
            <w:tcW w:w="1080" w:type="dxa"/>
          </w:tcPr>
          <w:p>
            <w:pPr>
              <w:spacing w:line="480" w:lineRule="auto"/>
              <w:jc w:val="center"/>
            </w:pPr>
          </w:p>
        </w:tc>
        <w:tc>
          <w:tcPr>
            <w:tcW w:w="847" w:type="dxa"/>
          </w:tcPr>
          <w:p>
            <w:pPr>
              <w:spacing w:line="480" w:lineRule="auto"/>
              <w:jc w:val="center"/>
            </w:pPr>
            <w:r>
              <w:rPr>
                <w:rFonts w:hint="eastAsia"/>
              </w:rPr>
              <w:t>职称</w:t>
            </w:r>
          </w:p>
        </w:tc>
        <w:tc>
          <w:tcPr>
            <w:tcW w:w="2037" w:type="dxa"/>
          </w:tcPr>
          <w:p>
            <w:pPr>
              <w:spacing w:line="480" w:lineRule="auto"/>
              <w:ind w:firstLine="630" w:firstLineChars="300"/>
            </w:pPr>
          </w:p>
        </w:tc>
        <w:tc>
          <w:tcPr>
            <w:tcW w:w="1501" w:type="dxa"/>
          </w:tcPr>
          <w:p>
            <w:pPr>
              <w:spacing w:line="480" w:lineRule="auto"/>
              <w:jc w:val="center"/>
            </w:pPr>
            <w:r>
              <w:rPr>
                <w:rFonts w:hint="eastAsia"/>
              </w:rPr>
              <w:t>单</w:t>
            </w:r>
            <w:r>
              <w:t xml:space="preserve">    </w:t>
            </w:r>
            <w:r>
              <w:rPr>
                <w:rFonts w:hint="eastAsia"/>
              </w:rPr>
              <w:t>位</w:t>
            </w:r>
          </w:p>
        </w:tc>
        <w:tc>
          <w:tcPr>
            <w:tcW w:w="2557" w:type="dxa"/>
          </w:tcPr>
          <w:p>
            <w:pPr>
              <w:spacing w:line="480" w:lineRule="auto"/>
              <w:jc w:val="center"/>
            </w:pPr>
          </w:p>
        </w:tc>
      </w:tr>
      <w:tr>
        <w:tblPrEx>
          <w:tblW w:w="0" w:type="auto"/>
          <w:jc w:val="center"/>
          <w:tblLayout w:type="fixed"/>
          <w:tblCellMar>
            <w:top w:w="0" w:type="dxa"/>
            <w:left w:w="108" w:type="dxa"/>
            <w:bottom w:w="0" w:type="dxa"/>
            <w:right w:w="108" w:type="dxa"/>
          </w:tblCellMar>
        </w:tblPrEx>
        <w:trPr>
          <w:trHeight w:val="620"/>
          <w:jc w:val="center"/>
        </w:trPr>
        <w:tc>
          <w:tcPr>
            <w:tcW w:w="1548" w:type="dxa"/>
          </w:tcPr>
          <w:p>
            <w:pPr>
              <w:spacing w:line="480" w:lineRule="auto"/>
              <w:jc w:val="center"/>
            </w:pPr>
            <w:r>
              <w:rPr>
                <w:rFonts w:hint="eastAsia"/>
              </w:rPr>
              <w:t>毕业论文题目</w:t>
            </w:r>
          </w:p>
        </w:tc>
        <w:tc>
          <w:tcPr>
            <w:tcW w:w="8022" w:type="dxa"/>
            <w:gridSpan w:val="5"/>
          </w:tcPr>
          <w:p>
            <w:pPr>
              <w:spacing w:line="480" w:lineRule="auto"/>
              <w:jc w:val="center"/>
            </w:pPr>
            <w:bookmarkStart w:id="0" w:name="_GoBack"/>
            <w:r>
              <w:rPr>
                <w:rFonts w:hint="eastAsia"/>
                <w:b/>
                <w:bCs/>
              </w:rPr>
              <w:t>绿色会计理论及其实施问题研究</w:t>
            </w:r>
            <w:bookmarkEnd w:id="0"/>
          </w:p>
        </w:tc>
      </w:tr>
      <w:tr>
        <w:tblPrEx>
          <w:tblW w:w="0" w:type="auto"/>
          <w:jc w:val="center"/>
          <w:tblLayout w:type="fixed"/>
          <w:tblCellMar>
            <w:top w:w="0" w:type="dxa"/>
            <w:left w:w="108" w:type="dxa"/>
            <w:bottom w:w="0" w:type="dxa"/>
            <w:right w:w="108" w:type="dxa"/>
          </w:tblCellMar>
        </w:tblPrEx>
        <w:trPr>
          <w:trHeight w:val="595"/>
          <w:jc w:val="center"/>
        </w:trPr>
        <w:tc>
          <w:tcPr>
            <w:tcW w:w="9570" w:type="dxa"/>
            <w:gridSpan w:val="6"/>
          </w:tcPr>
          <w:p>
            <w:pPr>
              <w:spacing w:before="156" w:beforeLines="50" w:line="360" w:lineRule="auto"/>
              <w:rPr>
                <w:b/>
                <w:bCs/>
              </w:rPr>
            </w:pPr>
            <w:r>
              <w:rPr>
                <w:rFonts w:hint="eastAsia"/>
                <w:b/>
                <w:bCs/>
              </w:rPr>
              <w:t>毕业设论文主要内容和要求：</w:t>
            </w:r>
          </w:p>
          <w:p>
            <w:pPr>
              <w:spacing w:line="360" w:lineRule="exact"/>
              <w:ind w:firstLine="420" w:firstLineChars="200"/>
              <w:textAlignment w:val="baseline"/>
              <w:rPr>
                <w:szCs w:val="21"/>
              </w:rPr>
            </w:pPr>
            <w:r>
              <w:rPr>
                <w:rFonts w:hint="eastAsia"/>
                <w:b/>
                <w:szCs w:val="21"/>
              </w:rPr>
              <w:t>主要内容</w:t>
            </w:r>
            <w:r>
              <w:rPr>
                <w:rFonts w:hint="eastAsia"/>
                <w:szCs w:val="21"/>
              </w:rPr>
              <w:t>：本文研究集中于绿色会计的确认和计量、实施绿色会计的意义、实施绿色会计存在的问题以及健全绿色会计制度的措施这几个方面来说的。本文展开了对绿色会计的研究，在借鉴前人经验和研究的基础上，采用比较和分析的方法，对绿色会计的内涵及研究意义进行阐述，对国内外绿色会计研究现状进行了分析，分析绿色会计核算中存在的问题，并提出解决绿色会计核算问题的对策。通过对绿色会计基础理论的研究，尝试性的完善绿色会计核算体系，以期能对资源的合理利用起到较好的促进作用，促进绿色会计核算在我国的实施，为我国可持续发展战略的实施保驾护航。</w:t>
            </w:r>
          </w:p>
          <w:p>
            <w:pPr>
              <w:spacing w:line="360" w:lineRule="exact"/>
              <w:ind w:firstLine="437"/>
              <w:rPr>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0" w:type="auto"/>
          <w:jc w:val="center"/>
          <w:tblLayout w:type="fixed"/>
          <w:tblCellMar>
            <w:top w:w="0" w:type="dxa"/>
            <w:left w:w="108" w:type="dxa"/>
            <w:bottom w:w="0" w:type="dxa"/>
            <w:right w:w="108" w:type="dxa"/>
          </w:tblCellMar>
        </w:tblPrEx>
        <w:trPr>
          <w:trHeight w:val="70"/>
          <w:jc w:val="center"/>
        </w:trPr>
        <w:tc>
          <w:tcPr>
            <w:tcW w:w="9570" w:type="dxa"/>
            <w:gridSpan w:val="6"/>
            <w:tcBorders>
              <w:top w:val="nil"/>
            </w:tcBorders>
          </w:tcPr>
          <w:p>
            <w:pPr>
              <w:spacing w:line="360" w:lineRule="exact"/>
            </w:pPr>
            <w:r>
              <w:rPr>
                <w:rFonts w:hint="eastAsia"/>
              </w:rPr>
              <w:t>毕业论文主要参考资料：</w:t>
            </w:r>
          </w:p>
          <w:p>
            <w:pPr>
              <w:spacing w:line="360" w:lineRule="exact"/>
            </w:pPr>
            <w:r>
              <w:t xml:space="preserve">[1]  </w:t>
            </w:r>
            <w:r>
              <w:rPr>
                <w:rFonts w:hint="eastAsia"/>
              </w:rPr>
              <w:t>舒岳，蒋麟凤</w:t>
            </w:r>
            <w:r>
              <w:t>.</w:t>
            </w:r>
            <w:r>
              <w:rPr>
                <w:rFonts w:hint="eastAsia"/>
              </w:rPr>
              <w:t>从制度需求与供给分析环境会计的发展</w:t>
            </w:r>
            <w:r>
              <w:t>[J].</w:t>
            </w:r>
            <w:r>
              <w:rPr>
                <w:rFonts w:hint="eastAsia"/>
              </w:rPr>
              <w:t>中国乡镇企业会计，</w:t>
            </w:r>
            <w:r>
              <w:t>2013</w:t>
            </w:r>
            <w:r>
              <w:rPr>
                <w:rFonts w:hint="eastAsia"/>
              </w:rPr>
              <w:t>，（</w:t>
            </w:r>
            <w:r>
              <w:t>12</w:t>
            </w:r>
            <w:r>
              <w:rPr>
                <w:rFonts w:hint="eastAsia"/>
              </w:rPr>
              <w:t>）：</w:t>
            </w:r>
            <w:r>
              <w:t>50-51.</w:t>
            </w:r>
          </w:p>
          <w:p>
            <w:pPr>
              <w:spacing w:line="360" w:lineRule="exact"/>
            </w:pPr>
            <w:r>
              <w:t xml:space="preserve">[2]  </w:t>
            </w:r>
            <w:r>
              <w:rPr>
                <w:rFonts w:hint="eastAsia"/>
              </w:rPr>
              <w:t>徐经纬</w:t>
            </w:r>
            <w:r>
              <w:t>.</w:t>
            </w:r>
            <w:r>
              <w:rPr>
                <w:rFonts w:hint="eastAsia"/>
              </w:rPr>
              <w:t>关于绿色会计在中国实行的初步探讨</w:t>
            </w:r>
            <w:r>
              <w:t>[J].</w:t>
            </w:r>
            <w:r>
              <w:rPr>
                <w:rFonts w:hint="eastAsia"/>
              </w:rPr>
              <w:t>承德民族师专学报，</w:t>
            </w:r>
            <w:r>
              <w:t>2012</w:t>
            </w:r>
            <w:r>
              <w:rPr>
                <w:rFonts w:hint="eastAsia"/>
              </w:rPr>
              <w:t>，</w:t>
            </w:r>
            <w:r>
              <w:t>29</w:t>
            </w:r>
            <w:r>
              <w:rPr>
                <w:rFonts w:hint="eastAsia"/>
              </w:rPr>
              <w:t>（</w:t>
            </w:r>
            <w:r>
              <w:t>2</w:t>
            </w:r>
            <w:r>
              <w:rPr>
                <w:rFonts w:hint="eastAsia"/>
              </w:rPr>
              <w:t>）：</w:t>
            </w:r>
            <w:r>
              <w:t>82-83.</w:t>
            </w:r>
          </w:p>
          <w:p>
            <w:pPr>
              <w:spacing w:line="360" w:lineRule="exact"/>
            </w:pPr>
            <w:r>
              <w:t xml:space="preserve">[3]  </w:t>
            </w:r>
            <w:r>
              <w:rPr>
                <w:rFonts w:hint="eastAsia"/>
              </w:rPr>
              <w:t>杨柄兰</w:t>
            </w:r>
            <w:r>
              <w:t>.</w:t>
            </w:r>
            <w:r>
              <w:rPr>
                <w:rFonts w:hint="eastAsia"/>
              </w:rPr>
              <w:t>对绿色会计及其计量的探讨</w:t>
            </w:r>
            <w:r>
              <w:t>[J].</w:t>
            </w:r>
            <w:r>
              <w:rPr>
                <w:rFonts w:hint="eastAsia"/>
              </w:rPr>
              <w:t>金卡工程，</w:t>
            </w:r>
            <w:r>
              <w:t>2013</w:t>
            </w:r>
            <w:r>
              <w:rPr>
                <w:rFonts w:hint="eastAsia"/>
              </w:rPr>
              <w:t>，</w:t>
            </w:r>
            <w:r>
              <w:t>14(2)</w:t>
            </w:r>
            <w:r>
              <w:rPr>
                <w:rFonts w:hint="eastAsia"/>
              </w:rPr>
              <w:t>：</w:t>
            </w:r>
            <w:r>
              <w:t>268-269.</w:t>
            </w:r>
          </w:p>
          <w:p>
            <w:pPr>
              <w:spacing w:line="360" w:lineRule="exact"/>
            </w:pPr>
            <w:r>
              <w:t xml:space="preserve">[4]  </w:t>
            </w:r>
            <w:r>
              <w:rPr>
                <w:rFonts w:hint="eastAsia"/>
              </w:rPr>
              <w:t>继丹</w:t>
            </w:r>
            <w:r>
              <w:t>.</w:t>
            </w:r>
            <w:r>
              <w:rPr>
                <w:rFonts w:hint="eastAsia"/>
              </w:rPr>
              <w:t>对中国实施绿色会计的探讨</w:t>
            </w:r>
            <w:r>
              <w:t>[J].</w:t>
            </w:r>
            <w:r>
              <w:rPr>
                <w:rFonts w:hint="eastAsia"/>
              </w:rPr>
              <w:t>林业科技情报，</w:t>
            </w:r>
            <w:r>
              <w:t>2012</w:t>
            </w:r>
            <w:r>
              <w:rPr>
                <w:rFonts w:hint="eastAsia"/>
              </w:rPr>
              <w:t>，</w:t>
            </w:r>
            <w:r>
              <w:t>41</w:t>
            </w:r>
            <w:r>
              <w:rPr>
                <w:rFonts w:hint="eastAsia"/>
              </w:rPr>
              <w:t>（</w:t>
            </w:r>
            <w:r>
              <w:t>3</w:t>
            </w:r>
            <w:r>
              <w:rPr>
                <w:rFonts w:hint="eastAsia"/>
              </w:rPr>
              <w:t>）：</w:t>
            </w:r>
            <w:r>
              <w:t>92-93.</w:t>
            </w:r>
          </w:p>
          <w:p>
            <w:pPr>
              <w:spacing w:line="360" w:lineRule="exact"/>
            </w:pPr>
            <w:r>
              <w:t xml:space="preserve">[5]  </w:t>
            </w:r>
            <w:r>
              <w:rPr>
                <w:rFonts w:hint="eastAsia"/>
              </w:rPr>
              <w:t>曾敏</w:t>
            </w:r>
            <w:r>
              <w:t>.</w:t>
            </w:r>
            <w:r>
              <w:rPr>
                <w:rFonts w:hint="eastAsia"/>
              </w:rPr>
              <w:t>关于构建绿色会计信息披露体系的探讨</w:t>
            </w:r>
            <w:r>
              <w:t>[J].</w:t>
            </w:r>
            <w:r>
              <w:rPr>
                <w:rFonts w:hint="eastAsia"/>
              </w:rPr>
              <w:t>金融经济，</w:t>
            </w:r>
            <w:r>
              <w:t>2011</w:t>
            </w:r>
            <w:r>
              <w:rPr>
                <w:rFonts w:hint="eastAsia"/>
              </w:rPr>
              <w:t>，（</w:t>
            </w:r>
            <w:r>
              <w:t>9</w:t>
            </w:r>
            <w:r>
              <w:rPr>
                <w:rFonts w:hint="eastAsia"/>
              </w:rPr>
              <w:t>）：</w:t>
            </w:r>
            <w:r>
              <w:t>63-64.</w:t>
            </w:r>
          </w:p>
          <w:p>
            <w:pPr>
              <w:spacing w:line="360" w:lineRule="exact"/>
            </w:pPr>
            <w:r>
              <w:t xml:space="preserve">[6]  </w:t>
            </w:r>
            <w:r>
              <w:rPr>
                <w:rFonts w:hint="eastAsia"/>
              </w:rPr>
              <w:t>王同军</w:t>
            </w:r>
            <w:r>
              <w:t>.</w:t>
            </w:r>
            <w:r>
              <w:rPr>
                <w:rFonts w:hint="eastAsia"/>
              </w:rPr>
              <w:t>对加强我国绿色会计建设的思考</w:t>
            </w:r>
            <w:r>
              <w:t>[J].</w:t>
            </w:r>
            <w:r>
              <w:rPr>
                <w:rFonts w:hint="eastAsia"/>
              </w:rPr>
              <w:t>中国经贸，</w:t>
            </w:r>
            <w:r>
              <w:t>2011</w:t>
            </w:r>
            <w:r>
              <w:rPr>
                <w:rFonts w:hint="eastAsia"/>
              </w:rPr>
              <w:t>，</w:t>
            </w:r>
            <w:r>
              <w:t>(12)</w:t>
            </w:r>
            <w:r>
              <w:rPr>
                <w:rFonts w:hint="eastAsia"/>
              </w:rPr>
              <w:t>：</w:t>
            </w:r>
            <w:r>
              <w:t xml:space="preserve">121-122. </w:t>
            </w:r>
          </w:p>
          <w:p>
            <w:pPr>
              <w:spacing w:line="360" w:lineRule="exact"/>
            </w:pPr>
            <w:r>
              <w:t xml:space="preserve">[7]  </w:t>
            </w:r>
            <w:r>
              <w:rPr>
                <w:rFonts w:hint="eastAsia"/>
              </w:rPr>
              <w:t>刘圣维</w:t>
            </w:r>
            <w:r>
              <w:t>.</w:t>
            </w:r>
            <w:r>
              <w:rPr>
                <w:rFonts w:hint="eastAsia"/>
              </w:rPr>
              <w:t>农业企业推行绿色会计必要性探讨</w:t>
            </w:r>
            <w:r>
              <w:t>[J].</w:t>
            </w:r>
            <w:r>
              <w:rPr>
                <w:rFonts w:hint="eastAsia"/>
              </w:rPr>
              <w:t>中国农业会计，</w:t>
            </w:r>
            <w:r>
              <w:t>2013</w:t>
            </w:r>
            <w:r>
              <w:rPr>
                <w:rFonts w:hint="eastAsia"/>
              </w:rPr>
              <w:t>，（</w:t>
            </w:r>
            <w:r>
              <w:t>5</w:t>
            </w:r>
            <w:r>
              <w:rPr>
                <w:rFonts w:hint="eastAsia"/>
              </w:rPr>
              <w:t>）：</w:t>
            </w:r>
            <w:r>
              <w:t>32-34.</w:t>
            </w:r>
          </w:p>
          <w:p>
            <w:pPr>
              <w:spacing w:line="360" w:lineRule="exact"/>
            </w:pPr>
            <w:r>
              <w:t xml:space="preserve">[8] </w:t>
            </w:r>
            <w:r>
              <w:rPr>
                <w:rFonts w:hint="eastAsia"/>
              </w:rPr>
              <w:t>刘哲倩</w:t>
            </w:r>
            <w:r>
              <w:t>.</w:t>
            </w:r>
            <w:r>
              <w:rPr>
                <w:rFonts w:hint="eastAsia"/>
              </w:rPr>
              <w:t>绿色会计与环境保护</w:t>
            </w:r>
            <w:r>
              <w:t>[J].</w:t>
            </w:r>
            <w:r>
              <w:rPr>
                <w:rFonts w:hint="eastAsia"/>
              </w:rPr>
              <w:t>环境经济，</w:t>
            </w:r>
            <w:r>
              <w:t>2013</w:t>
            </w:r>
            <w:r>
              <w:rPr>
                <w:rFonts w:hint="eastAsia"/>
              </w:rPr>
              <w:t>，（</w:t>
            </w:r>
            <w:r>
              <w:t>10</w:t>
            </w:r>
            <w:r>
              <w:rPr>
                <w:rFonts w:hint="eastAsia"/>
              </w:rPr>
              <w:t>）：</w:t>
            </w:r>
            <w:r>
              <w:t>51-55.</w:t>
            </w:r>
          </w:p>
          <w:p>
            <w:pPr>
              <w:spacing w:line="360" w:lineRule="exact"/>
            </w:pPr>
            <w:r>
              <w:t xml:space="preserve">[9] </w:t>
            </w:r>
            <w:r>
              <w:rPr>
                <w:rFonts w:hint="eastAsia"/>
              </w:rPr>
              <w:t>郭艳敏</w:t>
            </w:r>
            <w:r>
              <w:t>.</w:t>
            </w:r>
            <w:r>
              <w:rPr>
                <w:rFonts w:hint="eastAsia"/>
              </w:rPr>
              <w:t>绿色会计新理念探讨</w:t>
            </w:r>
            <w:r>
              <w:t>[J].</w:t>
            </w:r>
            <w:r>
              <w:rPr>
                <w:rFonts w:hint="eastAsia"/>
              </w:rPr>
              <w:t>现代商贸工业，</w:t>
            </w:r>
            <w:r>
              <w:t>2009</w:t>
            </w:r>
            <w:r>
              <w:rPr>
                <w:rFonts w:hint="eastAsia"/>
              </w:rPr>
              <w:t>，（</w:t>
            </w:r>
            <w:r>
              <w:t>5</w:t>
            </w:r>
            <w:r>
              <w:rPr>
                <w:rFonts w:hint="eastAsia"/>
              </w:rPr>
              <w:t>）：</w:t>
            </w:r>
            <w:r>
              <w:t>138-139.</w:t>
            </w:r>
          </w:p>
          <w:p>
            <w:pPr>
              <w:spacing w:line="360" w:lineRule="exact"/>
            </w:pPr>
            <w:r>
              <w:t xml:space="preserve">[10] </w:t>
            </w:r>
            <w:r>
              <w:rPr>
                <w:rFonts w:hint="eastAsia"/>
              </w:rPr>
              <w:t>王超</w:t>
            </w:r>
            <w:r>
              <w:t>.</w:t>
            </w:r>
            <w:r>
              <w:rPr>
                <w:rFonts w:hint="eastAsia"/>
              </w:rPr>
              <w:t>浅议绿色会计在水利施工中的应用</w:t>
            </w:r>
            <w:r>
              <w:t>[J].</w:t>
            </w:r>
            <w:r>
              <w:rPr>
                <w:rFonts w:hint="eastAsia"/>
              </w:rPr>
              <w:t>现代商贸，</w:t>
            </w:r>
            <w:r>
              <w:t>2011</w:t>
            </w:r>
            <w:r>
              <w:rPr>
                <w:rFonts w:hint="eastAsia"/>
              </w:rPr>
              <w:t>，（</w:t>
            </w:r>
            <w:r>
              <w:t>20</w:t>
            </w:r>
            <w:r>
              <w:rPr>
                <w:rFonts w:hint="eastAsia"/>
              </w:rPr>
              <w:t>）：</w:t>
            </w:r>
            <w:r>
              <w:t>265-266.</w:t>
            </w:r>
          </w:p>
          <w:p>
            <w:pPr>
              <w:tabs>
                <w:tab w:val="left" w:pos="5400"/>
              </w:tabs>
              <w:spacing w:line="360" w:lineRule="exact"/>
              <w:rPr>
                <w:color w:val="000000"/>
              </w:rPr>
            </w:pPr>
            <w:r>
              <w:rPr>
                <w:color w:val="000000"/>
              </w:rPr>
              <w:t xml:space="preserve">[11] </w:t>
            </w:r>
            <w:r>
              <w:rPr>
                <w:rFonts w:hint="eastAsia"/>
                <w:color w:val="000000"/>
              </w:rPr>
              <w:t>王彩黎</w:t>
            </w:r>
            <w:r>
              <w:rPr>
                <w:color w:val="000000"/>
              </w:rPr>
              <w:t>.</w:t>
            </w:r>
            <w:r>
              <w:rPr>
                <w:rFonts w:hint="eastAsia"/>
                <w:color w:val="000000"/>
              </w:rPr>
              <w:t>绿色会计理论的探讨</w:t>
            </w:r>
            <w:r>
              <w:t>[J].</w:t>
            </w:r>
            <w:r>
              <w:rPr>
                <w:rFonts w:hint="eastAsia"/>
              </w:rPr>
              <w:t>中国外贸，</w:t>
            </w:r>
            <w:r>
              <w:t>2011</w:t>
            </w:r>
            <w:r>
              <w:rPr>
                <w:rFonts w:hint="eastAsia"/>
              </w:rPr>
              <w:t>，（</w:t>
            </w:r>
            <w:r>
              <w:t>9</w:t>
            </w:r>
            <w:r>
              <w:rPr>
                <w:rFonts w:hint="eastAsia"/>
              </w:rPr>
              <w:t>）：</w:t>
            </w:r>
            <w:r>
              <w:t>79.</w:t>
            </w:r>
          </w:p>
          <w:p>
            <w:pPr>
              <w:tabs>
                <w:tab w:val="left" w:pos="5400"/>
              </w:tabs>
              <w:spacing w:line="360" w:lineRule="exact"/>
            </w:pPr>
            <w:r>
              <w:t xml:space="preserve">[12] </w:t>
            </w:r>
            <w:r>
              <w:rPr>
                <w:rFonts w:hint="eastAsia"/>
              </w:rPr>
              <w:t>喻强，赵严景</w:t>
            </w:r>
            <w:r>
              <w:t>.</w:t>
            </w:r>
            <w:r>
              <w:rPr>
                <w:rFonts w:hint="eastAsia"/>
              </w:rPr>
              <w:t>我国绿色会计发展存在的问题及改进措施</w:t>
            </w:r>
            <w:r>
              <w:t>[J].</w:t>
            </w:r>
            <w:r>
              <w:rPr>
                <w:rFonts w:hint="eastAsia"/>
              </w:rPr>
              <w:t>全国商情，</w:t>
            </w:r>
            <w:r>
              <w:t>2011</w:t>
            </w:r>
            <w:r>
              <w:rPr>
                <w:rFonts w:hint="eastAsia"/>
              </w:rPr>
              <w:t>，（</w:t>
            </w:r>
            <w:r>
              <w:t>20</w:t>
            </w:r>
            <w:r>
              <w:rPr>
                <w:rFonts w:hint="eastAsia"/>
              </w:rPr>
              <w:t>）：</w:t>
            </w:r>
            <w:r>
              <w:t>76-78.</w:t>
            </w:r>
          </w:p>
          <w:p>
            <w:pPr>
              <w:tabs>
                <w:tab w:val="left" w:pos="5400"/>
              </w:tabs>
              <w:spacing w:line="360" w:lineRule="exact"/>
            </w:pPr>
            <w:r>
              <w:t xml:space="preserve">[13] </w:t>
            </w:r>
            <w:r>
              <w:rPr>
                <w:rFonts w:hint="eastAsia"/>
              </w:rPr>
              <w:t>张晓丹，叶力</w:t>
            </w:r>
            <w:r>
              <w:t>.</w:t>
            </w:r>
            <w:r>
              <w:rPr>
                <w:rFonts w:hint="eastAsia"/>
              </w:rPr>
              <w:t>试论绿色会计的实施必要性与措施</w:t>
            </w:r>
            <w:r>
              <w:t>[J].</w:t>
            </w:r>
            <w:r>
              <w:rPr>
                <w:rFonts w:hint="eastAsia"/>
              </w:rPr>
              <w:t>理论界，</w:t>
            </w:r>
            <w:r>
              <w:t>2013</w:t>
            </w:r>
            <w:r>
              <w:rPr>
                <w:rFonts w:hint="eastAsia"/>
              </w:rPr>
              <w:t>，（</w:t>
            </w:r>
            <w:r>
              <w:t>6</w:t>
            </w:r>
            <w:r>
              <w:rPr>
                <w:rFonts w:hint="eastAsia"/>
              </w:rPr>
              <w:t>）：</w:t>
            </w:r>
            <w:r>
              <w:t>99-100.</w:t>
            </w:r>
          </w:p>
          <w:p>
            <w:pPr>
              <w:spacing w:line="360" w:lineRule="exact"/>
            </w:pPr>
            <w:r>
              <w:t>[14] Sefcik,Stephan E and Soderstrom.Naomi S and Stinson,Christopher H.1997.</w:t>
            </w:r>
            <w:r>
              <w:rPr>
                <w:rFonts w:hint="eastAsia"/>
              </w:rPr>
              <w:t>“</w:t>
            </w:r>
            <w:r>
              <w:t>Accounting Through Green-Colored Glasses:Teaching Environmental Accounting</w:t>
            </w:r>
            <w:r>
              <w:rPr>
                <w:rFonts w:hint="eastAsia"/>
              </w:rPr>
              <w:t>”</w:t>
            </w:r>
            <w:r>
              <w:t xml:space="preserve"> [J].Issues in Accounting Education.129-140.</w:t>
            </w:r>
          </w:p>
        </w:tc>
      </w:tr>
      <w:tr>
        <w:tblPrEx>
          <w:tblW w:w="0" w:type="auto"/>
          <w:jc w:val="center"/>
          <w:tblLayout w:type="fixed"/>
          <w:tblCellMar>
            <w:top w:w="0" w:type="dxa"/>
            <w:left w:w="108" w:type="dxa"/>
            <w:bottom w:w="0" w:type="dxa"/>
            <w:right w:w="108" w:type="dxa"/>
          </w:tblCellMar>
        </w:tblPrEx>
        <w:trPr>
          <w:trHeight w:val="595"/>
          <w:jc w:val="center"/>
        </w:trPr>
        <w:tc>
          <w:tcPr>
            <w:tcW w:w="9570" w:type="dxa"/>
            <w:gridSpan w:val="6"/>
          </w:tcPr>
          <w:p>
            <w:pPr>
              <w:spacing w:before="156" w:beforeLines="50"/>
              <w:rPr>
                <w:b/>
                <w:bCs/>
              </w:rPr>
            </w:pPr>
            <w:bookmarkStart w:id="1" w:name="_Hlk372875599"/>
            <w:r>
              <w:rPr>
                <w:rFonts w:hint="eastAsia"/>
                <w:b/>
                <w:bCs/>
              </w:rPr>
              <w:t>毕业设论文应完成的主要工作：</w:t>
            </w:r>
          </w:p>
        </w:tc>
      </w:tr>
    </w:tbl>
    <w:p>
      <w:pPr>
        <w:sectPr>
          <w:headerReference w:type="default" r:id="rId5"/>
          <w:pgSz w:w="11906" w:h="16838"/>
          <w:pgMar w:top="1418" w:right="1134" w:bottom="1418" w:left="1418" w:header="851" w:footer="851" w:gutter="0"/>
          <w:cols w:num="1" w:space="425"/>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3277"/>
        <w:gridCol w:w="2663"/>
        <w:gridCol w:w="244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95"/>
          <w:jc w:val="center"/>
        </w:trPr>
        <w:tc>
          <w:tcPr>
            <w:tcW w:w="9570" w:type="dxa"/>
            <w:gridSpan w:val="4"/>
          </w:tcPr>
          <w:p>
            <w:pPr>
              <w:numPr>
                <w:ilvl w:val="0"/>
                <w:numId w:val="1"/>
              </w:numPr>
              <w:spacing w:line="360" w:lineRule="exact"/>
              <w:ind w:left="357" w:hanging="357"/>
              <w:rPr>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rPr>
                <w:bCs/>
              </w:rPr>
            </w:pPr>
            <w:r>
              <w:rPr>
                <w:rFonts w:hint="eastAsia"/>
                <w:bCs/>
              </w:rPr>
              <w:t>认真撰写开题报告，并对开题报告中指导教师所提出的意见进行修改。</w:t>
            </w:r>
          </w:p>
          <w:p>
            <w:pPr>
              <w:numPr>
                <w:ilvl w:val="0"/>
                <w:numId w:val="1"/>
              </w:numPr>
              <w:spacing w:line="360" w:lineRule="exact"/>
              <w:rPr>
                <w:bCs/>
              </w:rPr>
            </w:pPr>
            <w:r>
              <w:rPr>
                <w:rFonts w:hint="eastAsia"/>
                <w:bCs/>
              </w:rPr>
              <w:t>认真撰写论文，并根据指导教师的意见进行修改。</w:t>
            </w:r>
          </w:p>
          <w:p>
            <w:pPr>
              <w:numPr>
                <w:ilvl w:val="0"/>
                <w:numId w:val="1"/>
              </w:numPr>
              <w:spacing w:line="360" w:lineRule="exact"/>
              <w:ind w:left="357" w:hanging="357"/>
              <w:rPr>
                <w:b/>
                <w:bCs/>
              </w:rPr>
            </w:pPr>
            <w:r>
              <w:rPr>
                <w:rFonts w:hint="eastAsia"/>
                <w:bCs/>
              </w:rPr>
              <w:t>论文定稿之后，按照要求进行毕业论文的答辩。</w:t>
            </w:r>
          </w:p>
        </w:tc>
      </w:tr>
      <w:tr>
        <w:tblPrEx>
          <w:tblW w:w="0" w:type="auto"/>
          <w:jc w:val="center"/>
          <w:tblLayout w:type="fixed"/>
          <w:tblCellMar>
            <w:top w:w="0" w:type="dxa"/>
            <w:left w:w="108" w:type="dxa"/>
            <w:bottom w:w="0" w:type="dxa"/>
            <w:right w:w="108" w:type="dxa"/>
          </w:tblCellMar>
        </w:tblPrEx>
        <w:trPr>
          <w:trHeight w:val="595"/>
          <w:jc w:val="center"/>
        </w:trPr>
        <w:tc>
          <w:tcPr>
            <w:tcW w:w="9570" w:type="dxa"/>
            <w:gridSpan w:val="4"/>
          </w:tcPr>
          <w:p>
            <w:pPr>
              <w:spacing w:before="156" w:beforeLines="50"/>
              <w:rPr>
                <w:b/>
                <w:bCs/>
              </w:rPr>
            </w:pPr>
            <w:r>
              <w:rPr>
                <w:rFonts w:hint="eastAsia"/>
                <w:b/>
                <w:bCs/>
              </w:rPr>
              <w:t>毕业论文进度安排：</w:t>
            </w:r>
          </w:p>
        </w:tc>
      </w:tr>
      <w:tr>
        <w:tblPrEx>
          <w:tblW w:w="0" w:type="auto"/>
          <w:jc w:val="center"/>
          <w:tblLayout w:type="fixed"/>
          <w:tblCellMar>
            <w:top w:w="0" w:type="dxa"/>
            <w:left w:w="108" w:type="dxa"/>
            <w:bottom w:w="0" w:type="dxa"/>
            <w:right w:w="108" w:type="dxa"/>
          </w:tblCellMar>
        </w:tblPrEx>
        <w:trPr>
          <w:trHeight w:val="596"/>
          <w:jc w:val="center"/>
        </w:trPr>
        <w:tc>
          <w:tcPr>
            <w:tcW w:w="1188" w:type="dxa"/>
          </w:tcPr>
          <w:p>
            <w:pPr>
              <w:spacing w:before="156" w:beforeLines="50"/>
              <w:jc w:val="center"/>
              <w:rPr>
                <w:b/>
                <w:bCs/>
              </w:rPr>
            </w:pPr>
            <w:r>
              <w:rPr>
                <w:rFonts w:hint="eastAsia"/>
                <w:b/>
                <w:bCs/>
              </w:rPr>
              <w:t>序号</w:t>
            </w:r>
          </w:p>
        </w:tc>
        <w:tc>
          <w:tcPr>
            <w:tcW w:w="3277" w:type="dxa"/>
          </w:tcPr>
          <w:p>
            <w:pPr>
              <w:spacing w:before="156" w:beforeLines="50"/>
              <w:jc w:val="center"/>
              <w:rPr>
                <w:b/>
                <w:bCs/>
              </w:rPr>
            </w:pPr>
            <w:r>
              <w:rPr>
                <w:rFonts w:hint="eastAsia"/>
                <w:b/>
                <w:bCs/>
              </w:rPr>
              <w:t>毕业论文各阶段内容</w:t>
            </w:r>
          </w:p>
        </w:tc>
        <w:tc>
          <w:tcPr>
            <w:tcW w:w="2663" w:type="dxa"/>
          </w:tcPr>
          <w:p>
            <w:pPr>
              <w:spacing w:before="156" w:beforeLines="50"/>
              <w:jc w:val="center"/>
              <w:rPr>
                <w:b/>
                <w:bCs/>
              </w:rPr>
            </w:pPr>
            <w:r>
              <w:rPr>
                <w:rFonts w:hint="eastAsia"/>
                <w:b/>
                <w:bCs/>
              </w:rPr>
              <w:t>时间安排</w:t>
            </w:r>
          </w:p>
        </w:tc>
        <w:tc>
          <w:tcPr>
            <w:tcW w:w="2442" w:type="dxa"/>
          </w:tcPr>
          <w:p>
            <w:pPr>
              <w:spacing w:before="156" w:beforeLines="50"/>
              <w:jc w:val="center"/>
              <w:rPr>
                <w:b/>
                <w:bCs/>
              </w:rPr>
            </w:pPr>
            <w:r>
              <w:rPr>
                <w:rFonts w:hint="eastAsia"/>
                <w:b/>
                <w:bCs/>
              </w:rPr>
              <w:t>备注</w:t>
            </w:r>
          </w:p>
        </w:tc>
      </w:tr>
      <w:tr>
        <w:tblPrEx>
          <w:tblW w:w="0" w:type="auto"/>
          <w:jc w:val="center"/>
          <w:tblLayout w:type="fixed"/>
          <w:tblCellMar>
            <w:top w:w="0" w:type="dxa"/>
            <w:left w:w="108" w:type="dxa"/>
            <w:bottom w:w="0" w:type="dxa"/>
            <w:right w:w="108" w:type="dxa"/>
          </w:tblCellMar>
        </w:tblPrEx>
        <w:trPr>
          <w:trHeight w:val="760"/>
          <w:jc w:val="center"/>
        </w:trPr>
        <w:tc>
          <w:tcPr>
            <w:tcW w:w="1188" w:type="dxa"/>
            <w:vAlign w:val="center"/>
          </w:tcPr>
          <w:p>
            <w:pPr>
              <w:jc w:val="center"/>
              <w:rPr>
                <w:bCs/>
              </w:rPr>
            </w:pPr>
            <w:r>
              <w:rPr>
                <w:bCs/>
              </w:rPr>
              <w:t>1</w:t>
            </w:r>
          </w:p>
        </w:tc>
        <w:tc>
          <w:tcPr>
            <w:tcW w:w="3277" w:type="dxa"/>
            <w:vAlign w:val="center"/>
          </w:tcPr>
          <w:p>
            <w:pPr>
              <w:rPr>
                <w:bCs/>
              </w:rPr>
            </w:pPr>
            <w:r>
              <w:rPr>
                <w:rFonts w:hint="eastAsia"/>
                <w:bCs/>
              </w:rPr>
              <w:t>确定毕业论文的选题，收集资料，整理资料，完成论文的任务书</w:t>
            </w:r>
          </w:p>
        </w:tc>
        <w:tc>
          <w:tcPr>
            <w:tcW w:w="2663" w:type="dxa"/>
            <w:vAlign w:val="center"/>
          </w:tcPr>
          <w:p>
            <w:pPr>
              <w:spacing w:before="156" w:beforeLines="50"/>
              <w:rPr>
                <w:b/>
                <w:bCs/>
              </w:rPr>
            </w:pPr>
            <w:r>
              <w:rPr>
                <w:bCs/>
              </w:rPr>
              <w:t>2015-10-15</w:t>
            </w:r>
            <w:r>
              <w:rPr>
                <w:rFonts w:hint="eastAsia"/>
                <w:bCs/>
              </w:rPr>
              <w:t>至</w:t>
            </w:r>
            <w:r>
              <w:rPr>
                <w:bCs/>
              </w:rPr>
              <w:t>2015-10-31</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84"/>
          <w:jc w:val="center"/>
        </w:trPr>
        <w:tc>
          <w:tcPr>
            <w:tcW w:w="1188" w:type="dxa"/>
            <w:vAlign w:val="center"/>
          </w:tcPr>
          <w:p>
            <w:pPr>
              <w:jc w:val="center"/>
              <w:rPr>
                <w:bCs/>
              </w:rPr>
            </w:pPr>
            <w:r>
              <w:rPr>
                <w:bCs/>
              </w:rPr>
              <w:t>2</w:t>
            </w:r>
          </w:p>
        </w:tc>
        <w:tc>
          <w:tcPr>
            <w:tcW w:w="3277" w:type="dxa"/>
            <w:vAlign w:val="center"/>
          </w:tcPr>
          <w:p>
            <w:pPr>
              <w:rPr>
                <w:bCs/>
              </w:rPr>
            </w:pPr>
            <w:r>
              <w:rPr>
                <w:rFonts w:hint="eastAsia"/>
                <w:bCs/>
              </w:rPr>
              <w:t>编写论文提纲，撰写开题报告，进行开题。</w:t>
            </w:r>
          </w:p>
        </w:tc>
        <w:tc>
          <w:tcPr>
            <w:tcW w:w="2663" w:type="dxa"/>
            <w:vAlign w:val="center"/>
          </w:tcPr>
          <w:p>
            <w:pPr>
              <w:rPr>
                <w:bCs/>
              </w:rPr>
            </w:pPr>
            <w:r>
              <w:rPr>
                <w:bCs/>
              </w:rPr>
              <w:t>2015-11-1</w:t>
            </w:r>
            <w:r>
              <w:rPr>
                <w:rFonts w:hint="eastAsia"/>
                <w:bCs/>
              </w:rPr>
              <w:t>至</w:t>
            </w:r>
            <w:r>
              <w:rPr>
                <w:bCs/>
              </w:rPr>
              <w:t>2015-11-20</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66"/>
          <w:jc w:val="center"/>
        </w:trPr>
        <w:tc>
          <w:tcPr>
            <w:tcW w:w="1188" w:type="dxa"/>
            <w:vAlign w:val="center"/>
          </w:tcPr>
          <w:p>
            <w:pPr>
              <w:jc w:val="center"/>
              <w:rPr>
                <w:bCs/>
              </w:rPr>
            </w:pPr>
            <w:r>
              <w:rPr>
                <w:bCs/>
              </w:rPr>
              <w:t>3</w:t>
            </w:r>
          </w:p>
        </w:tc>
        <w:tc>
          <w:tcPr>
            <w:tcW w:w="3277" w:type="dxa"/>
            <w:vAlign w:val="center"/>
          </w:tcPr>
          <w:p>
            <w:pPr>
              <w:rPr>
                <w:bCs/>
              </w:rPr>
            </w:pPr>
            <w:r>
              <w:rPr>
                <w:rFonts w:hint="eastAsia"/>
                <w:bCs/>
              </w:rPr>
              <w:t>实习期间进行一步查找资料，作社会调查。</w:t>
            </w:r>
          </w:p>
        </w:tc>
        <w:tc>
          <w:tcPr>
            <w:tcW w:w="2663" w:type="dxa"/>
            <w:vAlign w:val="center"/>
          </w:tcPr>
          <w:p>
            <w:pPr>
              <w:spacing w:before="156" w:beforeLines="50"/>
              <w:rPr>
                <w:b/>
                <w:bCs/>
              </w:rPr>
            </w:pPr>
            <w:r>
              <w:rPr>
                <w:bCs/>
              </w:rPr>
              <w:t>2015-11-21</w:t>
            </w:r>
            <w:r>
              <w:rPr>
                <w:rFonts w:hint="eastAsia"/>
                <w:bCs/>
              </w:rPr>
              <w:t>至</w:t>
            </w:r>
            <w:r>
              <w:rPr>
                <w:bCs/>
              </w:rPr>
              <w:t>2015-11-30</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63"/>
          <w:jc w:val="center"/>
        </w:trPr>
        <w:tc>
          <w:tcPr>
            <w:tcW w:w="1188" w:type="dxa"/>
            <w:vAlign w:val="center"/>
          </w:tcPr>
          <w:p>
            <w:pPr>
              <w:jc w:val="center"/>
              <w:rPr>
                <w:bCs/>
              </w:rPr>
            </w:pPr>
            <w:r>
              <w:rPr>
                <w:bCs/>
              </w:rPr>
              <w:t>4</w:t>
            </w:r>
          </w:p>
        </w:tc>
        <w:tc>
          <w:tcPr>
            <w:tcW w:w="3277" w:type="dxa"/>
            <w:vAlign w:val="center"/>
          </w:tcPr>
          <w:p>
            <w:pPr>
              <w:rPr>
                <w:bCs/>
              </w:rPr>
            </w:pPr>
            <w:r>
              <w:rPr>
                <w:rFonts w:hint="eastAsia"/>
                <w:bCs/>
              </w:rPr>
              <w:t>撰写论文，完成第一稿，并交指导教师</w:t>
            </w:r>
          </w:p>
        </w:tc>
        <w:tc>
          <w:tcPr>
            <w:tcW w:w="2663" w:type="dxa"/>
            <w:vAlign w:val="center"/>
          </w:tcPr>
          <w:p>
            <w:pPr>
              <w:spacing w:before="156" w:beforeLines="50"/>
              <w:rPr>
                <w:b/>
                <w:bCs/>
              </w:rPr>
            </w:pPr>
            <w:r>
              <w:rPr>
                <w:bCs/>
              </w:rPr>
              <w:t>2015-12-1</w:t>
            </w:r>
            <w:r>
              <w:rPr>
                <w:rFonts w:hint="eastAsia"/>
                <w:bCs/>
              </w:rPr>
              <w:t>至</w:t>
            </w:r>
            <w:r>
              <w:rPr>
                <w:bCs/>
              </w:rPr>
              <w:t>2016-1-15</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68"/>
          <w:jc w:val="center"/>
        </w:trPr>
        <w:tc>
          <w:tcPr>
            <w:tcW w:w="1188" w:type="dxa"/>
            <w:vAlign w:val="center"/>
          </w:tcPr>
          <w:p>
            <w:pPr>
              <w:jc w:val="center"/>
              <w:rPr>
                <w:bCs/>
              </w:rPr>
            </w:pPr>
            <w:r>
              <w:rPr>
                <w:bCs/>
              </w:rPr>
              <w:t>5</w:t>
            </w:r>
          </w:p>
        </w:tc>
        <w:tc>
          <w:tcPr>
            <w:tcW w:w="3277" w:type="dxa"/>
            <w:vAlign w:val="center"/>
          </w:tcPr>
          <w:p>
            <w:pPr>
              <w:rPr>
                <w:bCs/>
              </w:rPr>
            </w:pPr>
            <w:r>
              <w:rPr>
                <w:rFonts w:hint="eastAsia"/>
                <w:bCs/>
              </w:rPr>
              <w:t>指导教师阅改论文。</w:t>
            </w:r>
          </w:p>
        </w:tc>
        <w:tc>
          <w:tcPr>
            <w:tcW w:w="2663" w:type="dxa"/>
            <w:vAlign w:val="center"/>
          </w:tcPr>
          <w:p>
            <w:pPr>
              <w:spacing w:before="156" w:beforeLines="50"/>
              <w:rPr>
                <w:b/>
                <w:bCs/>
              </w:rPr>
            </w:pPr>
            <w:r>
              <w:rPr>
                <w:bCs/>
              </w:rPr>
              <w:t>2016-1-16</w:t>
            </w:r>
            <w:r>
              <w:rPr>
                <w:rFonts w:hint="eastAsia"/>
                <w:bCs/>
              </w:rPr>
              <w:t>至</w:t>
            </w:r>
            <w:r>
              <w:rPr>
                <w:bCs/>
              </w:rPr>
              <w:t>2016-1-31</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78"/>
          <w:jc w:val="center"/>
        </w:trPr>
        <w:tc>
          <w:tcPr>
            <w:tcW w:w="1188" w:type="dxa"/>
            <w:vAlign w:val="center"/>
          </w:tcPr>
          <w:p>
            <w:pPr>
              <w:jc w:val="center"/>
              <w:rPr>
                <w:bCs/>
              </w:rPr>
            </w:pPr>
            <w:r>
              <w:rPr>
                <w:bCs/>
              </w:rPr>
              <w:t>6</w:t>
            </w:r>
          </w:p>
        </w:tc>
        <w:tc>
          <w:tcPr>
            <w:tcW w:w="3277" w:type="dxa"/>
            <w:vAlign w:val="center"/>
          </w:tcPr>
          <w:p>
            <w:pPr>
              <w:rPr>
                <w:bCs/>
              </w:rPr>
            </w:pPr>
            <w:r>
              <w:rPr>
                <w:rFonts w:hint="eastAsia"/>
                <w:bCs/>
              </w:rPr>
              <w:t>修改论文，完成第</w:t>
            </w:r>
            <w:r>
              <w:rPr>
                <w:bCs/>
              </w:rPr>
              <w:t>2</w:t>
            </w:r>
            <w:r>
              <w:rPr>
                <w:rFonts w:hint="eastAsia"/>
                <w:bCs/>
              </w:rPr>
              <w:t>稿，并交指导教师。</w:t>
            </w:r>
          </w:p>
        </w:tc>
        <w:tc>
          <w:tcPr>
            <w:tcW w:w="2663" w:type="dxa"/>
            <w:vAlign w:val="center"/>
          </w:tcPr>
          <w:p>
            <w:pPr>
              <w:spacing w:before="156" w:beforeLines="50"/>
              <w:rPr>
                <w:b/>
                <w:bCs/>
              </w:rPr>
            </w:pPr>
            <w:r>
              <w:rPr>
                <w:bCs/>
              </w:rPr>
              <w:t>2016-2-1</w:t>
            </w:r>
            <w:r>
              <w:rPr>
                <w:rFonts w:hint="eastAsia"/>
                <w:bCs/>
              </w:rPr>
              <w:t>至</w:t>
            </w:r>
            <w:r>
              <w:rPr>
                <w:bCs/>
              </w:rPr>
              <w:t>2016-2-29</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64"/>
          <w:jc w:val="center"/>
        </w:trPr>
        <w:tc>
          <w:tcPr>
            <w:tcW w:w="1188" w:type="dxa"/>
            <w:vAlign w:val="center"/>
          </w:tcPr>
          <w:p>
            <w:pPr>
              <w:jc w:val="center"/>
              <w:rPr>
                <w:bCs/>
              </w:rPr>
            </w:pPr>
            <w:r>
              <w:rPr>
                <w:bCs/>
              </w:rPr>
              <w:t>7</w:t>
            </w:r>
          </w:p>
        </w:tc>
        <w:tc>
          <w:tcPr>
            <w:tcW w:w="3277" w:type="dxa"/>
            <w:vAlign w:val="center"/>
          </w:tcPr>
          <w:p>
            <w:pPr>
              <w:rPr>
                <w:bCs/>
              </w:rPr>
            </w:pPr>
            <w:r>
              <w:rPr>
                <w:rFonts w:hint="eastAsia"/>
                <w:bCs/>
              </w:rPr>
              <w:t>指导教师阅改论文，完成中期检查表。</w:t>
            </w:r>
          </w:p>
        </w:tc>
        <w:tc>
          <w:tcPr>
            <w:tcW w:w="2663" w:type="dxa"/>
            <w:vAlign w:val="center"/>
          </w:tcPr>
          <w:p>
            <w:pPr>
              <w:spacing w:before="156" w:beforeLines="50"/>
              <w:rPr>
                <w:b/>
                <w:bCs/>
              </w:rPr>
            </w:pPr>
            <w:r>
              <w:rPr>
                <w:bCs/>
              </w:rPr>
              <w:t>2016-3-1</w:t>
            </w:r>
            <w:r>
              <w:rPr>
                <w:rFonts w:hint="eastAsia"/>
                <w:bCs/>
              </w:rPr>
              <w:t>至</w:t>
            </w:r>
            <w:r>
              <w:rPr>
                <w:bCs/>
              </w:rPr>
              <w:t>2016-3-15</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76"/>
          <w:jc w:val="center"/>
        </w:trPr>
        <w:tc>
          <w:tcPr>
            <w:tcW w:w="1188" w:type="dxa"/>
            <w:vAlign w:val="center"/>
          </w:tcPr>
          <w:p>
            <w:pPr>
              <w:jc w:val="center"/>
              <w:rPr>
                <w:bCs/>
              </w:rPr>
            </w:pPr>
            <w:r>
              <w:rPr>
                <w:bCs/>
              </w:rPr>
              <w:t>8</w:t>
            </w:r>
          </w:p>
        </w:tc>
        <w:tc>
          <w:tcPr>
            <w:tcW w:w="3277" w:type="dxa"/>
            <w:vAlign w:val="center"/>
          </w:tcPr>
          <w:p>
            <w:pPr>
              <w:rPr>
                <w:bCs/>
              </w:rPr>
            </w:pPr>
            <w:r>
              <w:rPr>
                <w:rFonts w:hint="eastAsia"/>
                <w:bCs/>
              </w:rPr>
              <w:t>修改论文，完成第</w:t>
            </w:r>
            <w:r>
              <w:rPr>
                <w:bCs/>
              </w:rPr>
              <w:t>3</w:t>
            </w:r>
            <w:r>
              <w:rPr>
                <w:rFonts w:hint="eastAsia"/>
                <w:bCs/>
              </w:rPr>
              <w:t>稿，并交指导教师。</w:t>
            </w:r>
          </w:p>
        </w:tc>
        <w:tc>
          <w:tcPr>
            <w:tcW w:w="2663" w:type="dxa"/>
            <w:vAlign w:val="center"/>
          </w:tcPr>
          <w:p>
            <w:pPr>
              <w:spacing w:before="156" w:beforeLines="50"/>
              <w:rPr>
                <w:b/>
                <w:bCs/>
              </w:rPr>
            </w:pPr>
            <w:r>
              <w:rPr>
                <w:bCs/>
              </w:rPr>
              <w:t>2016-3-16</w:t>
            </w:r>
            <w:r>
              <w:rPr>
                <w:rFonts w:hint="eastAsia"/>
                <w:bCs/>
              </w:rPr>
              <w:t>至</w:t>
            </w:r>
            <w:r>
              <w:rPr>
                <w:bCs/>
              </w:rPr>
              <w:t>2016-4-10</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916"/>
          <w:jc w:val="center"/>
        </w:trPr>
        <w:tc>
          <w:tcPr>
            <w:tcW w:w="1188" w:type="dxa"/>
            <w:vAlign w:val="center"/>
          </w:tcPr>
          <w:p>
            <w:pPr>
              <w:jc w:val="center"/>
              <w:rPr>
                <w:bCs/>
              </w:rPr>
            </w:pPr>
            <w:r>
              <w:rPr>
                <w:bCs/>
              </w:rPr>
              <w:t>9</w:t>
            </w:r>
          </w:p>
        </w:tc>
        <w:tc>
          <w:tcPr>
            <w:tcW w:w="3277" w:type="dxa"/>
            <w:vAlign w:val="center"/>
          </w:tcPr>
          <w:p>
            <w:pPr>
              <w:rPr>
                <w:bCs/>
              </w:rPr>
            </w:pPr>
            <w:r>
              <w:rPr>
                <w:rFonts w:hint="eastAsia"/>
                <w:bCs/>
              </w:rPr>
              <w:t>指导教师阅改论文，并返还学生，修改后立即交指导教师。</w:t>
            </w:r>
          </w:p>
        </w:tc>
        <w:tc>
          <w:tcPr>
            <w:tcW w:w="2663" w:type="dxa"/>
            <w:vAlign w:val="center"/>
          </w:tcPr>
          <w:p>
            <w:pPr>
              <w:spacing w:before="156" w:beforeLines="50"/>
              <w:rPr>
                <w:b/>
                <w:bCs/>
              </w:rPr>
            </w:pPr>
            <w:r>
              <w:rPr>
                <w:bCs/>
              </w:rPr>
              <w:t>2016-4-11</w:t>
            </w:r>
            <w:r>
              <w:rPr>
                <w:rFonts w:hint="eastAsia"/>
                <w:bCs/>
              </w:rPr>
              <w:t>至</w:t>
            </w:r>
            <w:r>
              <w:rPr>
                <w:bCs/>
              </w:rPr>
              <w:t>2016-4-30</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54"/>
          <w:jc w:val="center"/>
        </w:trPr>
        <w:tc>
          <w:tcPr>
            <w:tcW w:w="1188" w:type="dxa"/>
            <w:vAlign w:val="center"/>
          </w:tcPr>
          <w:p>
            <w:pPr>
              <w:jc w:val="center"/>
              <w:rPr>
                <w:bCs/>
              </w:rPr>
            </w:pPr>
            <w:r>
              <w:rPr>
                <w:bCs/>
              </w:rPr>
              <w:t>10</w:t>
            </w:r>
          </w:p>
        </w:tc>
        <w:tc>
          <w:tcPr>
            <w:tcW w:w="3277" w:type="dxa"/>
            <w:vAlign w:val="center"/>
          </w:tcPr>
          <w:p>
            <w:pPr>
              <w:rPr>
                <w:bCs/>
              </w:rPr>
            </w:pPr>
            <w:r>
              <w:rPr>
                <w:rFonts w:hint="eastAsia"/>
                <w:bCs/>
              </w:rPr>
              <w:t>专家评阅。</w:t>
            </w:r>
          </w:p>
        </w:tc>
        <w:tc>
          <w:tcPr>
            <w:tcW w:w="2663" w:type="dxa"/>
            <w:vAlign w:val="center"/>
          </w:tcPr>
          <w:p>
            <w:pPr>
              <w:spacing w:before="156" w:beforeLines="50"/>
              <w:rPr>
                <w:b/>
                <w:bCs/>
              </w:rPr>
            </w:pPr>
            <w:r>
              <w:rPr>
                <w:bCs/>
              </w:rPr>
              <w:t>2016-5-1</w:t>
            </w:r>
            <w:r>
              <w:rPr>
                <w:rFonts w:hint="eastAsia"/>
                <w:bCs/>
              </w:rPr>
              <w:t>至</w:t>
            </w:r>
            <w:r>
              <w:rPr>
                <w:bCs/>
              </w:rPr>
              <w:t>2016-5-10</w:t>
            </w:r>
          </w:p>
        </w:tc>
        <w:tc>
          <w:tcPr>
            <w:tcW w:w="2442" w:type="dxa"/>
            <w:vAlign w:val="center"/>
          </w:tcPr>
          <w:p>
            <w:pPr>
              <w:rPr>
                <w:b/>
                <w:bCs/>
              </w:rPr>
            </w:pPr>
          </w:p>
        </w:tc>
      </w:tr>
      <w:tr>
        <w:tblPrEx>
          <w:tblW w:w="0" w:type="auto"/>
          <w:jc w:val="center"/>
          <w:tblLayout w:type="fixed"/>
          <w:tblCellMar>
            <w:top w:w="0" w:type="dxa"/>
            <w:left w:w="108" w:type="dxa"/>
            <w:bottom w:w="0" w:type="dxa"/>
            <w:right w:w="108" w:type="dxa"/>
          </w:tblCellMar>
        </w:tblPrEx>
        <w:trPr>
          <w:trHeight w:val="745"/>
          <w:jc w:val="center"/>
        </w:trPr>
        <w:tc>
          <w:tcPr>
            <w:tcW w:w="1188" w:type="dxa"/>
            <w:vAlign w:val="center"/>
          </w:tcPr>
          <w:p>
            <w:pPr>
              <w:jc w:val="center"/>
              <w:rPr>
                <w:bCs/>
              </w:rPr>
            </w:pPr>
            <w:r>
              <w:rPr>
                <w:bCs/>
              </w:rPr>
              <w:t>11</w:t>
            </w:r>
          </w:p>
        </w:tc>
        <w:tc>
          <w:tcPr>
            <w:tcW w:w="3277" w:type="dxa"/>
            <w:vAlign w:val="center"/>
          </w:tcPr>
          <w:p>
            <w:pPr>
              <w:rPr>
                <w:bCs/>
              </w:rPr>
            </w:pPr>
            <w:r>
              <w:rPr>
                <w:rFonts w:hint="eastAsia"/>
                <w:bCs/>
              </w:rPr>
              <w:t>毕业论文答辩。</w:t>
            </w:r>
          </w:p>
        </w:tc>
        <w:tc>
          <w:tcPr>
            <w:tcW w:w="2663" w:type="dxa"/>
            <w:vAlign w:val="center"/>
          </w:tcPr>
          <w:p>
            <w:pPr>
              <w:spacing w:before="156" w:beforeLines="50"/>
              <w:rPr>
                <w:b/>
                <w:bCs/>
              </w:rPr>
            </w:pPr>
            <w:r>
              <w:rPr>
                <w:bCs/>
              </w:rPr>
              <w:t>2016-5-11</w:t>
            </w:r>
            <w:r>
              <w:rPr>
                <w:rFonts w:hint="eastAsia"/>
                <w:bCs/>
              </w:rPr>
              <w:t>至</w:t>
            </w:r>
            <w:r>
              <w:rPr>
                <w:bCs/>
              </w:rPr>
              <w:t>2016-5-24</w:t>
            </w:r>
          </w:p>
        </w:tc>
        <w:tc>
          <w:tcPr>
            <w:tcW w:w="2442" w:type="dxa"/>
            <w:vAlign w:val="center"/>
          </w:tcPr>
          <w:p>
            <w:pPr>
              <w:jc w:val="center"/>
              <w:rPr>
                <w:bCs/>
              </w:rPr>
            </w:pPr>
          </w:p>
        </w:tc>
      </w:tr>
      <w:tr>
        <w:tblPrEx>
          <w:tblW w:w="0" w:type="auto"/>
          <w:jc w:val="center"/>
          <w:tblLayout w:type="fixed"/>
          <w:tblCellMar>
            <w:top w:w="0" w:type="dxa"/>
            <w:left w:w="108" w:type="dxa"/>
            <w:bottom w:w="0" w:type="dxa"/>
            <w:right w:w="108" w:type="dxa"/>
          </w:tblCellMar>
        </w:tblPrEx>
        <w:trPr>
          <w:trHeight w:val="925"/>
          <w:jc w:val="center"/>
        </w:trPr>
        <w:tc>
          <w:tcPr>
            <w:tcW w:w="1188" w:type="dxa"/>
            <w:vAlign w:val="center"/>
          </w:tcPr>
          <w:p>
            <w:pPr>
              <w:jc w:val="center"/>
              <w:rPr>
                <w:bCs/>
              </w:rPr>
            </w:pPr>
            <w:r>
              <w:rPr>
                <w:bCs/>
              </w:rPr>
              <w:t>12</w:t>
            </w:r>
          </w:p>
        </w:tc>
        <w:tc>
          <w:tcPr>
            <w:tcW w:w="3277" w:type="dxa"/>
            <w:vAlign w:val="center"/>
          </w:tcPr>
          <w:p>
            <w:pPr>
              <w:rPr>
                <w:bCs/>
              </w:rPr>
            </w:pPr>
            <w:r>
              <w:rPr>
                <w:rFonts w:hint="eastAsia"/>
                <w:bCs/>
              </w:rPr>
              <w:t>评定学生最终论文成绩，评出院内优秀论文。</w:t>
            </w:r>
          </w:p>
        </w:tc>
        <w:tc>
          <w:tcPr>
            <w:tcW w:w="2663" w:type="dxa"/>
            <w:vAlign w:val="center"/>
          </w:tcPr>
          <w:p>
            <w:pPr>
              <w:rPr>
                <w:bCs/>
                <w:color w:val="FF0000"/>
              </w:rPr>
            </w:pPr>
            <w:r>
              <w:rPr>
                <w:bCs/>
              </w:rPr>
              <w:t>2016-5-25</w:t>
            </w:r>
            <w:r>
              <w:rPr>
                <w:rFonts w:hint="eastAsia"/>
                <w:bCs/>
              </w:rPr>
              <w:t>至</w:t>
            </w:r>
            <w:r>
              <w:rPr>
                <w:bCs/>
              </w:rPr>
              <w:t>2016-5-31</w:t>
            </w:r>
          </w:p>
        </w:tc>
        <w:tc>
          <w:tcPr>
            <w:tcW w:w="2442" w:type="dxa"/>
            <w:vAlign w:val="center"/>
          </w:tcPr>
          <w:p>
            <w:pPr>
              <w:jc w:val="center"/>
              <w:rPr>
                <w:bCs/>
              </w:rPr>
            </w:pPr>
          </w:p>
        </w:tc>
      </w:tr>
      <w:bookmarkEnd w:id="1"/>
    </w:tbl>
    <w:p>
      <w:pPr>
        <w:sectPr>
          <w:headerReference w:type="default" r:id="rId6"/>
          <w:type w:val="nextPage"/>
          <w:pgSz w:w="11906" w:h="16838"/>
          <w:pgMar w:top="1418" w:right="1134" w:bottom="1418" w:left="1418" w:header="851" w:footer="851" w:gutter="0"/>
          <w:pgNumType w:start="2"/>
          <w:cols w:num="1" w:space="425"/>
          <w:titlePg w:val="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7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026"/>
          <w:jc w:val="center"/>
        </w:trPr>
        <w:tc>
          <w:tcPr>
            <w:tcW w:w="9570" w:type="dxa"/>
            <w:vAlign w:val="center"/>
          </w:tcPr>
          <w:p>
            <w:pPr>
              <w:spacing w:line="300" w:lineRule="exact"/>
              <w:rPr>
                <w:rFonts w:ascii="宋体"/>
                <w:b/>
                <w:szCs w:val="28"/>
              </w:rPr>
            </w:pPr>
            <w:r>
              <w:rPr>
                <w:rFonts w:ascii="宋体" w:hAnsi="宋体" w:hint="eastAsia"/>
                <w:b/>
                <w:szCs w:val="28"/>
              </w:rPr>
              <w:t>课题信息：</w:t>
            </w:r>
          </w:p>
          <w:p>
            <w:pPr>
              <w:spacing w:line="360" w:lineRule="exact"/>
              <w:ind w:firstLine="420" w:firstLineChars="200"/>
              <w:rPr>
                <w:rFonts w:ascii="宋体"/>
                <w:szCs w:val="28"/>
              </w:rPr>
            </w:pPr>
          </w:p>
          <w:p>
            <w:pPr>
              <w:spacing w:before="156" w:beforeLines="50" w:after="156" w:afterLines="50"/>
              <w:ind w:firstLine="420" w:firstLineChars="200"/>
              <w:rPr>
                <w:rFonts w:ascii="宋体"/>
                <w:szCs w:val="28"/>
              </w:rPr>
            </w:pPr>
            <w:r>
              <w:rPr>
                <w:rFonts w:ascii="宋体" w:hAnsi="宋体" w:hint="eastAsia"/>
                <w:szCs w:val="28"/>
              </w:rPr>
              <w:t>课题性质：设计</w:t>
            </w:r>
            <w:r>
              <w:rPr>
                <w:rFonts w:ascii="宋体" w:hAnsi="宋体" w:hint="eastAsia"/>
              </w:rPr>
              <w:t>□</w:t>
            </w:r>
            <w:r>
              <w:t xml:space="preserve"> </w:t>
            </w:r>
            <w:r>
              <w:rPr>
                <w:rFonts w:ascii="宋体" w:hAnsi="宋体"/>
                <w:szCs w:val="28"/>
              </w:rPr>
              <w:t xml:space="preserve">    </w:t>
            </w:r>
            <w:r>
              <w:rPr>
                <w:rFonts w:ascii="宋体" w:hAnsi="宋体" w:hint="eastAsia"/>
                <w:szCs w:val="28"/>
              </w:rPr>
              <w:t>论文√</w:t>
            </w:r>
            <w:r>
              <w:rPr>
                <w:color w:val="FF0000"/>
              </w:rPr>
              <w:t xml:space="preserve"> </w:t>
            </w:r>
            <w:r>
              <w:rPr>
                <w:szCs w:val="28"/>
              </w:rPr>
              <w:t></w:t>
            </w:r>
          </w:p>
          <w:p>
            <w:pPr>
              <w:spacing w:before="50" w:after="156" w:afterLines="50"/>
              <w:ind w:firstLine="420" w:firstLineChars="200"/>
              <w:rPr>
                <w:rFonts w:ascii="宋体"/>
                <w:szCs w:val="28"/>
              </w:rPr>
            </w:pPr>
            <w:r>
              <w:rPr>
                <w:rFonts w:ascii="宋体" w:hAnsi="宋体" w:hint="eastAsia"/>
                <w:szCs w:val="28"/>
              </w:rPr>
              <w:t>课题来源：</w:t>
            </w:r>
            <w:r>
              <w:rPr>
                <w:rFonts w:ascii="宋体" w:hAnsi="宋体"/>
                <w:szCs w:val="28"/>
              </w:rPr>
              <w:t xml:space="preserve"> </w:t>
            </w:r>
            <w:r>
              <w:rPr>
                <w:rFonts w:ascii="宋体" w:hAnsi="宋体" w:hint="eastAsia"/>
                <w:szCs w:val="28"/>
              </w:rPr>
              <w:t>教学</w:t>
            </w:r>
            <w:r>
              <w:rPr>
                <w:rFonts w:ascii="宋体" w:hAnsi="宋体" w:hint="eastAsia"/>
              </w:rPr>
              <w:t>√</w:t>
            </w:r>
            <w:r>
              <w:rPr>
                <w:color w:val="FF0000"/>
              </w:rPr>
              <w:t xml:space="preserve"> </w:t>
            </w:r>
            <w:r>
              <w:rPr>
                <w:rFonts w:ascii="宋体" w:hAnsi="宋体"/>
                <w:szCs w:val="28"/>
              </w:rPr>
              <w:t xml:space="preserve">   </w:t>
            </w:r>
            <w:r>
              <w:rPr>
                <w:rFonts w:ascii="宋体" w:hAnsi="宋体" w:hint="eastAsia"/>
                <w:szCs w:val="28"/>
              </w:rPr>
              <w:t>科研</w:t>
            </w:r>
            <w:r>
              <w:rPr>
                <w:rFonts w:ascii="宋体" w:hAnsi="宋体" w:hint="eastAsia"/>
              </w:rPr>
              <w:t>□</w:t>
            </w:r>
            <w:r>
              <w:t xml:space="preserve"> </w:t>
            </w:r>
            <w:r>
              <w:rPr>
                <w:rFonts w:ascii="宋体" w:hAnsi="宋体"/>
                <w:szCs w:val="28"/>
              </w:rPr>
              <w:t xml:space="preserve">   </w:t>
            </w:r>
            <w:r>
              <w:rPr>
                <w:rFonts w:ascii="宋体" w:hAnsi="宋体" w:hint="eastAsia"/>
                <w:szCs w:val="28"/>
              </w:rPr>
              <w:t>生产</w:t>
            </w:r>
            <w:r>
              <w:rPr>
                <w:rFonts w:ascii="宋体" w:hAnsi="宋体" w:hint="eastAsia"/>
              </w:rPr>
              <w:t>□</w:t>
            </w:r>
            <w:r>
              <w:t xml:space="preserve"> </w:t>
            </w:r>
            <w:r>
              <w:rPr>
                <w:rFonts w:ascii="宋体" w:hAnsi="宋体"/>
                <w:szCs w:val="28"/>
              </w:rPr>
              <w:t xml:space="preserve">   </w:t>
            </w:r>
            <w:r>
              <w:rPr>
                <w:rFonts w:ascii="宋体" w:hAnsi="宋体" w:hint="eastAsia"/>
                <w:szCs w:val="28"/>
              </w:rPr>
              <w:t>其它</w:t>
            </w:r>
            <w:r>
              <w:rPr>
                <w:rFonts w:ascii="宋体" w:hAnsi="宋体" w:hint="eastAsia"/>
              </w:rPr>
              <w:t>□</w:t>
            </w:r>
          </w:p>
          <w:p>
            <w:pPr>
              <w:spacing w:line="360" w:lineRule="exact"/>
              <w:ind w:firstLine="420" w:firstLineChars="200"/>
              <w:rPr>
                <w:u w:val="single"/>
              </w:rPr>
            </w:pPr>
            <w:r>
              <w:rPr>
                <w:rFonts w:hint="eastAsia"/>
              </w:rPr>
              <w:t>发出任务书日期：</w:t>
            </w:r>
            <w:r>
              <w:rPr>
                <w:u w:val="single"/>
              </w:rPr>
              <w:t xml:space="preserve">                  </w:t>
            </w:r>
          </w:p>
          <w:p>
            <w:pPr>
              <w:spacing w:line="360" w:lineRule="exact"/>
              <w:ind w:firstLine="420" w:firstLineChars="200"/>
              <w:rPr>
                <w:u w:val="single"/>
              </w:rPr>
            </w:pPr>
          </w:p>
          <w:p>
            <w:pPr>
              <w:spacing w:line="360" w:lineRule="exact"/>
              <w:ind w:firstLine="420" w:firstLineChars="200"/>
              <w:rPr>
                <w:u w:val="single"/>
              </w:rPr>
            </w:pPr>
          </w:p>
          <w:p>
            <w:pPr>
              <w:spacing w:line="360" w:lineRule="exact"/>
              <w:ind w:firstLine="420" w:firstLineChars="200"/>
              <w:rPr>
                <w:u w:val="single"/>
              </w:rPr>
            </w:pPr>
          </w:p>
          <w:p>
            <w:pPr>
              <w:spacing w:line="360" w:lineRule="exact"/>
              <w:ind w:firstLine="420" w:firstLineChars="200"/>
              <w:rPr>
                <w:u w:val="single"/>
              </w:rPr>
            </w:pPr>
          </w:p>
          <w:p>
            <w:pPr>
              <w:spacing w:line="360" w:lineRule="exact"/>
              <w:ind w:firstLine="420" w:firstLineChars="200"/>
              <w:rPr>
                <w:rFonts w:ascii="宋体"/>
                <w:bCs/>
                <w:szCs w:val="28"/>
              </w:rPr>
            </w:pPr>
            <w:r>
              <w:t xml:space="preserve">                                          </w:t>
            </w:r>
            <w:r>
              <w:rPr>
                <w:rFonts w:ascii="宋体" w:hAnsi="宋体" w:hint="eastAsia"/>
                <w:szCs w:val="28"/>
              </w:rPr>
              <w:t>指导教师签名：</w:t>
            </w:r>
          </w:p>
          <w:p>
            <w:pPr>
              <w:spacing w:line="300" w:lineRule="exact"/>
              <w:rPr>
                <w:b/>
                <w:bCs/>
              </w:rPr>
            </w:pPr>
            <w:r>
              <w:rPr>
                <w:rFonts w:ascii="宋体" w:hAnsi="宋体"/>
                <w:szCs w:val="28"/>
              </w:rPr>
              <w:t xml:space="preserve">                                                 </w:t>
            </w:r>
            <w:r>
              <w:rPr>
                <w:rFonts w:ascii="宋体" w:hAnsi="宋体" w:hint="eastAsia"/>
                <w:szCs w:val="28"/>
              </w:rPr>
              <w:t>年</w:t>
            </w:r>
            <w:r>
              <w:rPr>
                <w:rFonts w:ascii="宋体" w:hAnsi="宋体"/>
                <w:szCs w:val="28"/>
              </w:rPr>
              <w:t xml:space="preserve">     </w:t>
            </w:r>
            <w:r>
              <w:rPr>
                <w:rFonts w:ascii="宋体" w:hAnsi="宋体" w:hint="eastAsia"/>
                <w:szCs w:val="28"/>
              </w:rPr>
              <w:t>月</w:t>
            </w:r>
            <w:r>
              <w:rPr>
                <w:rFonts w:ascii="宋体" w:hAnsi="宋体"/>
                <w:szCs w:val="28"/>
              </w:rPr>
              <w:t xml:space="preserve">     </w:t>
            </w:r>
            <w:r>
              <w:rPr>
                <w:rFonts w:ascii="宋体" w:hAnsi="宋体" w:hint="eastAsia"/>
                <w:szCs w:val="28"/>
              </w:rPr>
              <w:t>日</w:t>
            </w:r>
          </w:p>
        </w:tc>
      </w:tr>
      <w:tr>
        <w:tblPrEx>
          <w:tblW w:w="0" w:type="auto"/>
          <w:jc w:val="center"/>
          <w:tblLayout w:type="fixed"/>
          <w:tblCellMar>
            <w:top w:w="0" w:type="dxa"/>
            <w:left w:w="108" w:type="dxa"/>
            <w:bottom w:w="0" w:type="dxa"/>
            <w:right w:w="108" w:type="dxa"/>
          </w:tblCellMar>
        </w:tblPrEx>
        <w:trPr>
          <w:trHeight w:val="2487"/>
          <w:jc w:val="center"/>
        </w:trPr>
        <w:tc>
          <w:tcPr>
            <w:tcW w:w="9570" w:type="dxa"/>
            <w:vAlign w:val="center"/>
          </w:tcPr>
          <w:p>
            <w:pPr>
              <w:spacing w:before="156" w:beforeLines="50" w:after="156" w:afterLines="50"/>
              <w:rPr>
                <w:rFonts w:ascii="宋体"/>
                <w:b/>
                <w:szCs w:val="28"/>
              </w:rPr>
            </w:pPr>
            <w:r>
              <w:rPr>
                <w:rFonts w:ascii="宋体" w:hAnsi="宋体" w:hint="eastAsia"/>
                <w:b/>
                <w:szCs w:val="28"/>
              </w:rPr>
              <w:t>教研室意见：</w:t>
            </w:r>
          </w:p>
          <w:p>
            <w:pPr>
              <w:spacing w:before="156" w:beforeLines="50" w:after="156" w:afterLines="50"/>
              <w:rPr>
                <w:rFonts w:ascii="宋体"/>
                <w:b/>
                <w:szCs w:val="28"/>
              </w:rPr>
            </w:pPr>
          </w:p>
          <w:p>
            <w:pPr>
              <w:spacing w:before="156" w:beforeLines="50" w:after="156" w:afterLines="50"/>
              <w:rPr>
                <w:rFonts w:ascii="宋体"/>
                <w:b/>
                <w:szCs w:val="28"/>
              </w:rPr>
            </w:pPr>
          </w:p>
          <w:p>
            <w:pPr>
              <w:spacing w:before="156" w:beforeLines="50" w:after="156" w:afterLines="50"/>
              <w:rPr>
                <w:rFonts w:ascii="宋体"/>
                <w:b/>
                <w:szCs w:val="28"/>
              </w:rPr>
            </w:pPr>
          </w:p>
          <w:p>
            <w:pPr>
              <w:spacing w:before="156" w:beforeLines="50" w:after="156" w:afterLines="50"/>
              <w:ind w:firstLine="4870" w:firstLineChars="2319"/>
            </w:pPr>
          </w:p>
          <w:p>
            <w:pPr>
              <w:spacing w:before="156" w:beforeLines="50" w:after="156" w:afterLines="50"/>
            </w:pPr>
          </w:p>
          <w:p>
            <w:pPr>
              <w:spacing w:before="156" w:beforeLines="50" w:after="156" w:afterLines="50"/>
              <w:ind w:firstLine="4870" w:firstLineChars="2319"/>
            </w:pPr>
          </w:p>
          <w:p>
            <w:pPr>
              <w:spacing w:before="156" w:beforeLines="50" w:after="156" w:afterLines="50"/>
            </w:pPr>
          </w:p>
          <w:p>
            <w:pPr>
              <w:spacing w:before="156" w:beforeLines="50" w:after="156" w:afterLines="50"/>
            </w:pPr>
          </w:p>
          <w:p>
            <w:pPr>
              <w:spacing w:before="156" w:beforeLines="50" w:after="156" w:afterLines="50"/>
            </w:pPr>
          </w:p>
          <w:p>
            <w:pPr>
              <w:spacing w:before="156" w:beforeLines="50" w:after="156" w:afterLines="50"/>
              <w:ind w:firstLine="5040" w:firstLineChars="2400"/>
            </w:pPr>
            <w:r>
              <w:rPr>
                <w:rFonts w:hint="eastAsia"/>
              </w:rPr>
              <w:t>教研室主任签名：</w:t>
            </w:r>
          </w:p>
          <w:p>
            <w:pPr>
              <w:ind w:firstLine="5040" w:firstLineChars="2400"/>
              <w:rPr>
                <w:b/>
                <w:bCs/>
              </w:rPr>
            </w:pPr>
            <w:r>
              <w:rPr>
                <w:rFonts w:ascii="宋体" w:hAnsi="宋体" w:hint="eastAsia"/>
                <w:szCs w:val="28"/>
              </w:rPr>
              <w:t>年</w:t>
            </w:r>
            <w:r>
              <w:rPr>
                <w:rFonts w:ascii="宋体" w:hAnsi="宋体"/>
                <w:szCs w:val="28"/>
              </w:rPr>
              <w:t xml:space="preserve">     </w:t>
            </w:r>
            <w:r>
              <w:rPr>
                <w:rFonts w:ascii="宋体" w:hAnsi="宋体" w:hint="eastAsia"/>
                <w:szCs w:val="28"/>
              </w:rPr>
              <w:t>月</w:t>
            </w:r>
            <w:r>
              <w:rPr>
                <w:rFonts w:ascii="宋体" w:hAnsi="宋体"/>
                <w:szCs w:val="28"/>
              </w:rPr>
              <w:t xml:space="preserve">     </w:t>
            </w:r>
            <w:r>
              <w:rPr>
                <w:rFonts w:ascii="宋体" w:hAnsi="宋体" w:hint="eastAsia"/>
                <w:szCs w:val="28"/>
              </w:rPr>
              <w:t>日</w:t>
            </w:r>
            <w:r>
              <w:rPr>
                <w:rFonts w:ascii="宋体" w:hAnsi="宋体"/>
                <w:szCs w:val="28"/>
              </w:rPr>
              <w:t xml:space="preserve">  </w:t>
            </w:r>
          </w:p>
        </w:tc>
      </w:tr>
      <w:tr>
        <w:tblPrEx>
          <w:tblW w:w="0" w:type="auto"/>
          <w:jc w:val="center"/>
          <w:tblLayout w:type="fixed"/>
          <w:tblCellMar>
            <w:top w:w="0" w:type="dxa"/>
            <w:left w:w="108" w:type="dxa"/>
            <w:bottom w:w="0" w:type="dxa"/>
            <w:right w:w="108" w:type="dxa"/>
          </w:tblCellMar>
        </w:tblPrEx>
        <w:trPr>
          <w:trHeight w:val="1400"/>
          <w:jc w:val="center"/>
        </w:trPr>
        <w:tc>
          <w:tcPr>
            <w:tcW w:w="9570" w:type="dxa"/>
            <w:vAlign w:val="center"/>
          </w:tcPr>
          <w:p>
            <w:pPr>
              <w:ind w:firstLine="5040" w:firstLineChars="2400"/>
            </w:pPr>
          </w:p>
          <w:p>
            <w:pPr>
              <w:ind w:firstLine="5040" w:firstLineChars="2400"/>
            </w:pPr>
          </w:p>
          <w:p>
            <w:pPr>
              <w:ind w:firstLine="5040" w:firstLineChars="2400"/>
            </w:pPr>
          </w:p>
          <w:p>
            <w:pPr>
              <w:ind w:firstLine="5040" w:firstLineChars="2400"/>
            </w:pPr>
          </w:p>
          <w:p/>
          <w:p/>
          <w:p/>
          <w:p/>
          <w:p/>
          <w:p/>
          <w:p/>
          <w:p>
            <w:pPr>
              <w:ind w:firstLine="5040" w:firstLineChars="2400"/>
              <w:rPr>
                <w:b/>
                <w:bCs/>
              </w:rPr>
            </w:pPr>
            <w:r>
              <w:rPr>
                <w:rFonts w:hint="eastAsia"/>
              </w:rPr>
              <w:t>学生签名：</w:t>
            </w:r>
          </w:p>
        </w:tc>
      </w:tr>
    </w:tbl>
    <w:p>
      <w:pPr>
        <w:sectPr>
          <w:headerReference w:type="default" r:id="rId7"/>
          <w:type w:val="nextPage"/>
          <w:pgSz w:w="11906" w:h="16838"/>
          <w:pgMar w:top="1418" w:right="1134" w:bottom="1418" w:left="1418" w:header="851" w:footer="851" w:gutter="0"/>
          <w:pgNumType w:start="3"/>
          <w:cols w:num="1" w:space="425"/>
          <w:titlePg w:val="0"/>
          <w:docGrid w:type="lines" w:linePitch="312" w:charSpace="0"/>
        </w:sectPr>
      </w:pPr>
    </w:p>
    <w:p>
      <w:pPr>
        <w:autoSpaceDE w:val="0"/>
        <w:autoSpaceDN w:val="0"/>
        <w:adjustRightInd w:val="0"/>
        <w:spacing w:before="156" w:after="156"/>
        <w:jc w:val="center"/>
        <w:rPr>
          <w:rFonts w:eastAsia="黑体"/>
          <w:sz w:val="30"/>
        </w:rPr>
      </w:pPr>
      <w:r>
        <w:rPr>
          <w:rFonts w:ascii="黑体" w:eastAsia="黑体" w:hint="eastAsia"/>
          <w:sz w:val="30"/>
          <w:lang w:val="zh-CN"/>
        </w:rPr>
        <w:t>开题报告</w:t>
      </w:r>
    </w:p>
    <w:tbl>
      <w:tblPr>
        <w:tblStyle w:val="TableNormal"/>
        <w:tblW w:w="9585" w:type="dxa"/>
        <w:jc w:val="center"/>
        <w:tblLayout w:type="fixed"/>
        <w:tblCellMar>
          <w:top w:w="0" w:type="dxa"/>
          <w:left w:w="108" w:type="dxa"/>
          <w:bottom w:w="0" w:type="dxa"/>
          <w:right w:w="108" w:type="dxa"/>
        </w:tblCellMar>
      </w:tblPr>
      <w:tblGrid>
        <w:gridCol w:w="1836"/>
        <w:gridCol w:w="1204"/>
        <w:gridCol w:w="738"/>
        <w:gridCol w:w="1152"/>
        <w:gridCol w:w="10"/>
        <w:gridCol w:w="1145"/>
        <w:gridCol w:w="3500"/>
      </w:tblGrid>
      <w:tr>
        <w:tblPrEx>
          <w:tblW w:w="9585" w:type="dxa"/>
          <w:jc w:val="center"/>
          <w:tblLayout w:type="fixed"/>
          <w:tblCellMar>
            <w:top w:w="0" w:type="dxa"/>
            <w:left w:w="108" w:type="dxa"/>
            <w:bottom w:w="0" w:type="dxa"/>
            <w:right w:w="108" w:type="dxa"/>
          </w:tblCellMar>
        </w:tblPrEx>
        <w:trPr>
          <w:trHeight w:val="454"/>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学生姓名</w:t>
            </w:r>
          </w:p>
        </w:tc>
        <w:tc>
          <w:tcPr>
            <w:tcW w:w="1204"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p>
        </w:tc>
        <w:tc>
          <w:tcPr>
            <w:tcW w:w="7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学号</w:t>
            </w:r>
          </w:p>
        </w:tc>
        <w:tc>
          <w:tcPr>
            <w:tcW w:w="1152"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p>
        </w:tc>
        <w:tc>
          <w:tcPr>
            <w:tcW w:w="1155"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专业班级</w:t>
            </w:r>
          </w:p>
        </w:tc>
        <w:tc>
          <w:tcPr>
            <w:tcW w:w="3501"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p>
        </w:tc>
      </w:tr>
      <w:tr>
        <w:tblPrEx>
          <w:tblW w:w="9585" w:type="dxa"/>
          <w:jc w:val="center"/>
          <w:tblLayout w:type="fixed"/>
          <w:tblCellMar>
            <w:top w:w="0" w:type="dxa"/>
            <w:left w:w="108" w:type="dxa"/>
            <w:bottom w:w="0" w:type="dxa"/>
            <w:right w:w="108" w:type="dxa"/>
          </w:tblCellMar>
        </w:tblPrEx>
        <w:trPr>
          <w:trHeight w:val="459"/>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指导教师</w:t>
            </w:r>
          </w:p>
        </w:tc>
        <w:tc>
          <w:tcPr>
            <w:tcW w:w="1204"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p>
        </w:tc>
        <w:tc>
          <w:tcPr>
            <w:tcW w:w="7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职称</w:t>
            </w:r>
          </w:p>
        </w:tc>
        <w:tc>
          <w:tcPr>
            <w:tcW w:w="1152"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p>
        </w:tc>
        <w:tc>
          <w:tcPr>
            <w:tcW w:w="1155"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单</w:t>
            </w:r>
            <w:r>
              <w:t xml:space="preserve">    </w:t>
            </w:r>
            <w:r>
              <w:rPr>
                <w:rFonts w:ascii="宋体" w:hint="eastAsia"/>
                <w:lang w:val="zh-CN"/>
              </w:rPr>
              <w:t>位</w:t>
            </w:r>
          </w:p>
        </w:tc>
        <w:tc>
          <w:tcPr>
            <w:tcW w:w="3501"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p>
        </w:tc>
      </w:tr>
      <w:tr>
        <w:tblPrEx>
          <w:tblW w:w="9585" w:type="dxa"/>
          <w:jc w:val="center"/>
          <w:tblLayout w:type="fixed"/>
          <w:tblCellMar>
            <w:top w:w="0" w:type="dxa"/>
            <w:left w:w="108" w:type="dxa"/>
            <w:bottom w:w="0" w:type="dxa"/>
            <w:right w:w="108" w:type="dxa"/>
          </w:tblCellMar>
        </w:tblPrEx>
        <w:trPr>
          <w:trHeight w:val="459"/>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课题性质</w:t>
            </w:r>
          </w:p>
        </w:tc>
        <w:tc>
          <w:tcPr>
            <w:tcW w:w="1942"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ascii="宋体" w:hint="eastAsia"/>
                <w:lang w:val="zh-CN"/>
              </w:rPr>
              <w:t>设计□</w:t>
            </w:r>
            <w:r>
              <w:t xml:space="preserve">   </w:t>
            </w:r>
            <w:r>
              <w:rPr>
                <w:rFonts w:ascii="宋体" w:hint="eastAsia"/>
                <w:lang w:val="zh-CN"/>
              </w:rPr>
              <w:t>论文</w:t>
            </w:r>
            <w:r>
              <w:rPr>
                <w:rFonts w:ascii="宋体" w:hAnsi="宋体" w:hint="eastAsia"/>
                <w:lang w:val="zh-CN"/>
              </w:rPr>
              <w:t>√</w:t>
            </w:r>
          </w:p>
        </w:tc>
        <w:tc>
          <w:tcPr>
            <w:tcW w:w="1162"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r>
              <w:rPr>
                <w:rFonts w:ascii="宋体" w:hint="eastAsia"/>
                <w:lang w:val="zh-CN"/>
              </w:rPr>
              <w:t>课题来源</w:t>
            </w:r>
          </w:p>
        </w:tc>
        <w:tc>
          <w:tcPr>
            <w:tcW w:w="4646" w:type="dxa"/>
            <w:gridSpan w:val="2"/>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pPr>
            <w:r>
              <w:rPr>
                <w:rFonts w:ascii="宋体" w:hint="eastAsia"/>
                <w:lang w:val="zh-CN"/>
              </w:rPr>
              <w:t>科研□</w:t>
            </w:r>
            <w:r>
              <w:t xml:space="preserve">   </w:t>
            </w:r>
            <w:r>
              <w:rPr>
                <w:rFonts w:ascii="宋体" w:hint="eastAsia"/>
                <w:lang w:val="zh-CN"/>
              </w:rPr>
              <w:t>教学</w:t>
            </w:r>
            <w:r>
              <w:rPr>
                <w:rFonts w:ascii="宋体" w:hAnsi="宋体" w:hint="eastAsia"/>
                <w:lang w:val="zh-CN"/>
              </w:rPr>
              <w:t>√</w:t>
            </w:r>
            <w:r>
              <w:t xml:space="preserve">   </w:t>
            </w:r>
            <w:r>
              <w:rPr>
                <w:rFonts w:ascii="宋体" w:hint="eastAsia"/>
                <w:lang w:val="zh-CN"/>
              </w:rPr>
              <w:t>生产□</w:t>
            </w:r>
            <w:r>
              <w:t xml:space="preserve">  </w:t>
            </w:r>
            <w:r>
              <w:rPr>
                <w:rFonts w:ascii="宋体" w:hint="eastAsia"/>
                <w:lang w:val="zh-CN"/>
              </w:rPr>
              <w:t>其它□</w:t>
            </w:r>
          </w:p>
        </w:tc>
      </w:tr>
      <w:tr>
        <w:tblPrEx>
          <w:tblW w:w="9585" w:type="dxa"/>
          <w:jc w:val="center"/>
          <w:tblLayout w:type="fixed"/>
          <w:tblCellMar>
            <w:top w:w="0" w:type="dxa"/>
            <w:left w:w="108" w:type="dxa"/>
            <w:bottom w:w="0" w:type="dxa"/>
            <w:right w:w="108" w:type="dxa"/>
          </w:tblCellMar>
        </w:tblPrEx>
        <w:trPr>
          <w:trHeight w:val="432"/>
          <w:jc w:val="center"/>
        </w:trPr>
        <w:tc>
          <w:tcPr>
            <w:tcW w:w="1838" w:type="dxa"/>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rPr>
                <w:rFonts w:ascii="宋体"/>
                <w:lang w:val="zh-CN"/>
              </w:rPr>
            </w:pPr>
            <w:r>
              <w:rPr>
                <w:rFonts w:ascii="宋体" w:hint="eastAsia"/>
                <w:lang w:val="zh-CN"/>
              </w:rPr>
              <w:t>毕业论文题目</w:t>
            </w:r>
          </w:p>
        </w:tc>
        <w:tc>
          <w:tcPr>
            <w:tcW w:w="7750" w:type="dxa"/>
            <w:gridSpan w:val="6"/>
            <w:tcBorders>
              <w:top w:val="single" w:sz="6" w:space="0" w:color="auto"/>
              <w:left w:val="single" w:sz="6" w:space="0" w:color="auto"/>
              <w:bottom w:val="single" w:sz="6" w:space="0" w:color="auto"/>
              <w:right w:val="single" w:sz="6" w:space="0" w:color="auto"/>
            </w:tcBorders>
            <w:vAlign w:val="center"/>
          </w:tcPr>
          <w:p>
            <w:pPr>
              <w:autoSpaceDE w:val="0"/>
              <w:autoSpaceDN w:val="0"/>
              <w:adjustRightInd w:val="0"/>
              <w:jc w:val="center"/>
            </w:pPr>
            <w:r>
              <w:rPr>
                <w:rFonts w:hint="eastAsia"/>
              </w:rPr>
              <w:t>绿色会计理论及其实施问题研究</w:t>
            </w:r>
          </w:p>
        </w:tc>
      </w:tr>
      <w:tr>
        <w:tblPrEx>
          <w:tblW w:w="9585" w:type="dxa"/>
          <w:jc w:val="center"/>
          <w:tblLayout w:type="fixed"/>
          <w:tblCellMar>
            <w:top w:w="0" w:type="dxa"/>
            <w:left w:w="108" w:type="dxa"/>
            <w:bottom w:w="0" w:type="dxa"/>
            <w:right w:w="108" w:type="dxa"/>
          </w:tblCellMar>
        </w:tblPrEx>
        <w:trPr>
          <w:trHeight w:val="3100"/>
          <w:jc w:val="center"/>
        </w:trPr>
        <w:tc>
          <w:tcPr>
            <w:tcW w:w="9588" w:type="dxa"/>
            <w:gridSpan w:val="7"/>
            <w:tcBorders>
              <w:top w:val="single" w:sz="6" w:space="0" w:color="auto"/>
              <w:left w:val="single" w:sz="6" w:space="0" w:color="auto"/>
              <w:bottom w:val="single" w:sz="6" w:space="0" w:color="auto"/>
              <w:right w:val="single" w:sz="6" w:space="0" w:color="auto"/>
            </w:tcBorders>
          </w:tcPr>
          <w:p>
            <w:pPr>
              <w:spacing w:line="360" w:lineRule="exact"/>
              <w:rPr>
                <w:rFonts w:ascii="宋体"/>
                <w:b/>
              </w:rPr>
            </w:pPr>
            <w:r>
              <w:rPr>
                <w:rFonts w:ascii="宋体" w:hAnsi="宋体" w:hint="eastAsia"/>
                <w:b/>
              </w:rPr>
              <w:t>开题报告（阐述课题的目的、意义、研究现状、研究内容、研究方案、进度安排、预期结果、参考文献等）</w:t>
            </w:r>
          </w:p>
          <w:p>
            <w:pPr>
              <w:spacing w:line="360" w:lineRule="exact"/>
              <w:rPr>
                <w:rFonts w:ascii="宋体"/>
                <w:b/>
              </w:rPr>
            </w:pPr>
            <w:r>
              <w:rPr>
                <w:rFonts w:ascii="宋体" w:hAnsi="宋体" w:hint="eastAsia"/>
              </w:rPr>
              <w:t>一</w:t>
            </w:r>
            <w:r>
              <w:rPr>
                <w:rFonts w:ascii="宋体" w:hAnsi="宋体" w:hint="eastAsia"/>
                <w:b/>
              </w:rPr>
              <w:t>、论文研究的目的、意义</w:t>
            </w:r>
          </w:p>
          <w:p>
            <w:pPr>
              <w:spacing w:after="156" w:afterLines="50" w:line="360" w:lineRule="exact"/>
              <w:ind w:firstLine="420" w:firstLineChars="200"/>
              <w:jc w:val="left"/>
              <w:rPr>
                <w:rFonts w:ascii="宋体" w:hAnsi="宋体"/>
                <w:color w:val="000000"/>
              </w:rPr>
            </w:pPr>
            <w:r>
              <w:rPr>
                <w:rFonts w:ascii="宋体" w:hAnsi="宋体"/>
                <w:color w:val="000000"/>
              </w:rPr>
              <w:t>1</w:t>
            </w:r>
            <w:r>
              <w:rPr>
                <w:rFonts w:ascii="宋体" w:hAnsi="宋体" w:hint="eastAsia"/>
                <w:color w:val="000000"/>
              </w:rPr>
              <w:t>、研究目的：绿色会计是在环境资源恶化和批评传统会计的基础上产生的，传统会计中，只有存在财产所有权才有价格，才能在会计账表中得以反映。而如空气、海洋、臭氧层等对人类至关重要但无所有权的事物却不能成为会计核算的内容，企业对这些事物的使用和损害并不计入经营成本，这不仅使利润虚增，更为严重的是对以牺牲环境来取得利益的行为的一种鼓励。进入</w:t>
            </w:r>
            <w:r>
              <w:rPr>
                <w:rFonts w:ascii="宋体" w:hAnsi="宋体"/>
                <w:color w:val="000000"/>
              </w:rPr>
              <w:t>21</w:t>
            </w:r>
            <w:r>
              <w:rPr>
                <w:rFonts w:ascii="宋体" w:hAnsi="宋体" w:hint="eastAsia"/>
                <w:color w:val="000000"/>
              </w:rPr>
              <w:t>世纪后，环境问题已引起社会各界更广泛的关注。为保护自然与环境，实现社会和经济的可持续发展，环境保护支出和环境赔偿责任越来越大。对社会经济活动具有反映和控制职能的会计应该对环境方面的支出、收益进行反映和控制。绿色会计通过充分强调环境资源的有限性和稀缺性，并赋以价值和价格，对其损耗予以补偿，从而使企业的责任向社会延伸，迫使企业将经济效益、社会效益和生态效益综合考虑，真正实现经济的可持续发展。</w:t>
            </w:r>
          </w:p>
          <w:p>
            <w:pPr>
              <w:spacing w:after="156" w:afterLines="50" w:line="360" w:lineRule="exact"/>
              <w:ind w:firstLine="420" w:firstLineChars="200"/>
              <w:jc w:val="left"/>
              <w:rPr>
                <w:rFonts w:ascii="宋体" w:hAnsi="宋体"/>
              </w:rPr>
            </w:pPr>
            <w:r>
              <w:t>2</w:t>
            </w:r>
            <w:r>
              <w:rPr>
                <w:rFonts w:hAnsi="宋体" w:hint="eastAsia"/>
              </w:rPr>
              <w:t>、</w:t>
            </w:r>
            <w:r>
              <w:rPr>
                <w:rFonts w:ascii="宋体" w:hAnsi="宋体" w:hint="eastAsia"/>
              </w:rPr>
              <w:t>研究意义：</w:t>
            </w:r>
          </w:p>
          <w:p>
            <w:pPr>
              <w:spacing w:after="156" w:afterLines="50" w:line="360" w:lineRule="exact"/>
              <w:ind w:firstLine="420" w:firstLineChars="200"/>
              <w:jc w:val="left"/>
              <w:rPr>
                <w:rFonts w:ascii="宋体" w:hAnsi="宋体"/>
                <w:color w:val="000000"/>
              </w:rPr>
            </w:pPr>
            <w:r>
              <w:rPr>
                <w:rFonts w:hAnsi="宋体" w:hint="eastAsia"/>
              </w:rPr>
              <w:t>（</w:t>
            </w:r>
            <w:r>
              <w:t>1</w:t>
            </w:r>
            <w:r>
              <w:rPr>
                <w:rFonts w:hAnsi="宋体" w:hint="eastAsia"/>
              </w:rPr>
              <w:t>）</w:t>
            </w:r>
            <w:r>
              <w:rPr>
                <w:rFonts w:ascii="宋体" w:hAnsi="宋体" w:hint="eastAsia"/>
              </w:rPr>
              <w:t>理论意义</w:t>
            </w:r>
            <w:r>
              <w:rPr>
                <w:rFonts w:ascii="宋体" w:hAnsi="宋体" w:hint="eastAsia"/>
                <w:color w:val="C0C0C0"/>
              </w:rPr>
              <w:t>：</w:t>
            </w:r>
            <w:r>
              <w:rPr>
                <w:rFonts w:ascii="宋体" w:hAnsi="宋体" w:hint="eastAsia"/>
                <w:color w:val="000000"/>
              </w:rPr>
              <w:t>具有一定理论意义，通过探索绿色会计在我国实施的相关状况，对绿色会计体系的完善获得更为详细的了解，从以往对定性研究的聚焦转移到更深入的角度。围绕企业因环境恶化所须面临的绿色经济浪潮及绿色经营与绿色管理活动，在探讨绿色会计和现行会计关系的基础上，构建出绿色会计确认、计量、记录及信息披露等基本理论体系，为制订适合中国国情的绿色会计准则和绿色会计制度提供研究参考。具体而言，支持了社会经济的可持续发展，可持续发展是建立绿色会计的前提和理论依据，它的提出为绿色会计作用的有效发挥创造了良好的环境，它的实现必然推动绿色会计理论的研究发展。拓宽了会计理论研究的领域，传统会计的目标是向企业内部管理当局和外部相关利益集团提供充分反映企业财务状况和获利能力的经济信息，而绿色会计要求企业不仅要有经济目标，而且要有为自然、社会做出贡献的社会指标。绿色会计使会计的作用从微观范畴引申到宏观范畴，为会计理论的发展开辟了广阔的背景。有利于健全会计体系，完善会计信息披露制度，为利益相关者提供更为全面、真实的会计信息。</w:t>
            </w:r>
          </w:p>
          <w:p>
            <w:pPr>
              <w:spacing w:after="0" w:line="360" w:lineRule="exact"/>
              <w:ind w:firstLine="315" w:firstLineChars="150"/>
              <w:jc w:val="left"/>
              <w:rPr>
                <w:rFonts w:ascii="宋体"/>
                <w:color w:val="000000"/>
              </w:rPr>
            </w:pPr>
            <w:r>
              <w:rPr>
                <w:rFonts w:hAnsi="宋体" w:hint="eastAsia"/>
              </w:rPr>
              <w:t>（</w:t>
            </w:r>
            <w:r>
              <w:t>2</w:t>
            </w:r>
            <w:r>
              <w:rPr>
                <w:rFonts w:hAnsi="宋体" w:hint="eastAsia"/>
              </w:rPr>
              <w:t>）</w:t>
            </w:r>
            <w:r>
              <w:rPr>
                <w:rFonts w:ascii="宋体" w:hAnsi="宋体" w:hint="eastAsia"/>
              </w:rPr>
              <w:t>现实意义：</w:t>
            </w:r>
          </w:p>
        </w:tc>
      </w:tr>
    </w:tbl>
    <w:p>
      <w:pPr>
        <w:sectPr>
          <w:headerReference w:type="default" r:id="rId8"/>
          <w:type w:val="nextPage"/>
          <w:pgSz w:w="11906" w:h="16838"/>
          <w:pgMar w:top="1418" w:right="1134" w:bottom="1418" w:left="1418" w:header="851" w:footer="851" w:gutter="0"/>
          <w:pgNumType w:start="4"/>
          <w:cols w:num="1" w:space="425"/>
          <w:titlePg w:val="0"/>
          <w:docGrid w:type="lines" w:linePitch="312" w:charSpace="0"/>
        </w:sectPr>
      </w:pPr>
    </w:p>
    <w:tbl>
      <w:tblPr>
        <w:tblStyle w:val="TableNormal"/>
        <w:tblW w:w="9585" w:type="dxa"/>
        <w:jc w:val="center"/>
        <w:tblLayout w:type="fixed"/>
        <w:tblCellMar>
          <w:top w:w="0" w:type="dxa"/>
          <w:left w:w="108" w:type="dxa"/>
          <w:bottom w:w="0" w:type="dxa"/>
          <w:right w:w="108" w:type="dxa"/>
        </w:tblCellMar>
      </w:tblPr>
      <w:tblGrid>
        <w:gridCol w:w="9585"/>
      </w:tblGrid>
      <w:tr>
        <w:tblPrEx>
          <w:tblW w:w="9585" w:type="dxa"/>
          <w:jc w:val="center"/>
          <w:tblLayout w:type="fixed"/>
          <w:tblCellMar>
            <w:top w:w="0" w:type="dxa"/>
            <w:left w:w="108" w:type="dxa"/>
            <w:bottom w:w="0" w:type="dxa"/>
            <w:right w:w="108" w:type="dxa"/>
          </w:tblCellMar>
        </w:tblPrEx>
        <w:trPr>
          <w:trHeight w:val="3100"/>
          <w:jc w:val="center"/>
        </w:trPr>
        <w:tc>
          <w:tcPr>
            <w:tcW w:w="9588" w:type="dxa"/>
            <w:tcBorders>
              <w:top w:val="single" w:sz="6" w:space="0" w:color="auto"/>
              <w:left w:val="single" w:sz="6" w:space="0" w:color="auto"/>
              <w:bottom w:val="single" w:sz="6" w:space="0" w:color="auto"/>
              <w:right w:val="single" w:sz="6" w:space="0" w:color="auto"/>
            </w:tcBorders>
          </w:tcPr>
          <w:p>
            <w:pPr>
              <w:spacing w:before="0" w:after="156" w:afterLines="50" w:line="360" w:lineRule="exact"/>
              <w:ind w:firstLine="315" w:firstLineChars="150"/>
              <w:jc w:val="left"/>
              <w:rPr>
                <w:rFonts w:ascii="宋体"/>
                <w:color w:val="000000"/>
              </w:rPr>
            </w:pPr>
            <w:r>
              <w:rPr>
                <w:rFonts w:ascii="宋体" w:hAnsi="宋体" w:hint="eastAsia"/>
                <w:color w:val="000000"/>
              </w:rPr>
              <w:t>具有一定的实践意义，有利于政府相关部门更加深入到位了解绿色会计在我国实施的有关问题，为其处理此类问题奠定一定的现实基础，也为其制定完善相关政策提供了参考。有利于国家实施宏观调控及可持续发展战略。绿色会计的基本目标是可持续发展，可持续发展问题关系到人类的生存和发展，绿色会计和可持续发展之间存在着一定的必然联系，二者是相辅相成和互为依存的关系，绿色会计要把环境看成是一种有价值的经济资源，将其资本化进行确认和计量，促进合理的企业理念，高度重视经济效率、生态环境和物质循环规律，合理开发和利用资源，努力提高社会、经济和环境效益，实现可持续发展的目标；有利于加强我国的环保意识。从绿色会计产生和发展的历史，可以看出绿色会计是在自然环境严重破坏、生态环境快速恶化、物质基础受到威胁的背景下，在分析了传统会计存在局限性的基础上提出的。目前，世界各国都不同程度地存在着生态破坏和环境污染问题，各国环境问题又共同构成了全球性环境问题，各国提高了对环境问题的重视程度，在世界范围内寻求合作以解决治理环境的国际协调问题；有利于我国企业实现价值最大化。企业传统的高投入低产出的发展模式，必然造成过度开发和消耗资源，由此产生的高污染低效益也不可避免地造成生态环境补偿能力的严重滞后，这些都阻碍了企业自身的发展，这就需要企业将纯粹追求经济利益发展转变为追求经济、社会、自然资源的协调发展，从企业长远利益角度看，只有增加环境保护投入，重视并发展绿色会计，才能在竞争中保持优势；有利于我国企业与国际接轨。环保问题在世界上越来越受重视，在发达国家更是高度关注，它们把那些会造成环境严重污染、资源严重破坏的生产项目开办到发展中国家，把发展中国家当场污染避难所，对其进行环境剥削，因此，我国在对外开放的进程中，应尽快建立绿色会计制度，提升对外开发能力，坚持科学发展观，需要努力做到统筹国内发展和对外开放的关系，实现发展与改革的双赢互利。</w:t>
            </w:r>
          </w:p>
          <w:p>
            <w:pPr>
              <w:spacing w:line="360" w:lineRule="exact"/>
              <w:rPr>
                <w:rFonts w:ascii="宋体"/>
              </w:rPr>
            </w:pPr>
            <w:r>
              <w:rPr>
                <w:rFonts w:ascii="宋体" w:hAnsi="宋体" w:hint="eastAsia"/>
                <w:b/>
              </w:rPr>
              <w:t>二、研究现状</w:t>
            </w:r>
          </w:p>
          <w:p>
            <w:pPr>
              <w:spacing w:line="360" w:lineRule="exact"/>
              <w:ind w:firstLine="420" w:firstLineChars="200"/>
              <w:rPr>
                <w:rFonts w:ascii="宋体"/>
              </w:rPr>
            </w:pPr>
            <w:r>
              <w:t>1</w:t>
            </w:r>
            <w:r>
              <w:rPr>
                <w:rFonts w:hAnsi="宋体" w:hint="eastAsia"/>
              </w:rPr>
              <w:t>、</w:t>
            </w:r>
            <w:r>
              <w:rPr>
                <w:rFonts w:ascii="宋体" w:hAnsi="宋体" w:hint="eastAsia"/>
              </w:rPr>
              <w:t>国外研究现状：世界范围内，环境会计的研究始于</w:t>
            </w:r>
            <w:r>
              <w:rPr>
                <w:rFonts w:ascii="宋体" w:hAnsi="宋体"/>
              </w:rPr>
              <w:t>20</w:t>
            </w:r>
            <w:r>
              <w:rPr>
                <w:rFonts w:ascii="宋体" w:hAnsi="宋体" w:hint="eastAsia"/>
              </w:rPr>
              <w:t>世纪</w:t>
            </w:r>
            <w:r>
              <w:rPr>
                <w:rFonts w:ascii="宋体" w:hAnsi="宋体"/>
              </w:rPr>
              <w:t>70</w:t>
            </w:r>
            <w:r>
              <w:rPr>
                <w:rFonts w:ascii="宋体" w:hAnsi="宋体" w:hint="eastAsia"/>
              </w:rPr>
              <w:t>年代，以</w:t>
            </w:r>
            <w:r>
              <w:rPr>
                <w:rFonts w:ascii="宋体" w:hAnsi="宋体"/>
              </w:rPr>
              <w:t>1971</w:t>
            </w:r>
            <w:r>
              <w:rPr>
                <w:rFonts w:ascii="宋体" w:hAnsi="宋体" w:hint="eastAsia"/>
              </w:rPr>
              <w:t>年比蒙斯的《控制污染的社会成本转换研究》和</w:t>
            </w:r>
            <w:r>
              <w:rPr>
                <w:rFonts w:ascii="宋体" w:hAnsi="宋体"/>
              </w:rPr>
              <w:t>1973</w:t>
            </w:r>
            <w:r>
              <w:rPr>
                <w:rFonts w:ascii="宋体" w:hAnsi="宋体" w:hint="eastAsia"/>
              </w:rPr>
              <w:t>年马林的《污染的会计问题》为代表。其后，西方各国会计理论界将环境问题与会计理论相结合，着手研究环境会计和环境报告，并形成了一些初步的理论框架。</w:t>
            </w:r>
            <w:r>
              <w:rPr>
                <w:rFonts w:ascii="宋体" w:hAnsi="宋体"/>
              </w:rPr>
              <w:t>1990</w:t>
            </w:r>
            <w:r>
              <w:rPr>
                <w:rFonts w:ascii="宋体" w:hAnsi="宋体" w:hint="eastAsia"/>
              </w:rPr>
              <w:t>年</w:t>
            </w:r>
            <w:r>
              <w:rPr>
                <w:rFonts w:ascii="宋体" w:hAnsi="宋体"/>
              </w:rPr>
              <w:t>Rob Grany</w:t>
            </w:r>
            <w:r>
              <w:rPr>
                <w:rFonts w:ascii="宋体" w:hAnsi="宋体" w:hint="eastAsia"/>
              </w:rPr>
              <w:t>的报告《会计工作的绿化》，作为环境会计研究的一个里程碑，标志着环境会计研究已成为全球学术界关注的中心议题。</w:t>
            </w:r>
            <w:r>
              <w:rPr>
                <w:rFonts w:ascii="宋体" w:hAnsi="宋体"/>
              </w:rPr>
              <w:t>1992</w:t>
            </w:r>
            <w:r>
              <w:rPr>
                <w:rFonts w:ascii="宋体" w:hAnsi="宋体" w:hint="eastAsia"/>
              </w:rPr>
              <w:t>年，“世界管理与发展”国家首脑会议通过了保护世界环境的四个纲领性文件，由此掀起了世界性的环境会计研究高潮。</w:t>
            </w:r>
          </w:p>
          <w:p>
            <w:pPr>
              <w:spacing w:line="360" w:lineRule="exact"/>
              <w:ind w:firstLine="420" w:firstLineChars="200"/>
              <w:rPr>
                <w:rFonts w:ascii="宋体"/>
              </w:rPr>
            </w:pPr>
            <w:r>
              <w:rPr>
                <w:rFonts w:ascii="宋体" w:hAnsi="宋体" w:hint="eastAsia"/>
              </w:rPr>
              <w:t>美国是全球最早推广绿色会计的国家。在美国大力推动绿色会计前，许多美国先进企业内部早已开始使用绿色账簿，以预防公司由于环境会计的疏忽，导致竞争力下降。</w:t>
            </w:r>
            <w:r>
              <w:rPr>
                <w:rFonts w:ascii="宋体" w:hAnsi="宋体"/>
              </w:rPr>
              <w:t>1992</w:t>
            </w:r>
            <w:r>
              <w:rPr>
                <w:rFonts w:ascii="宋体" w:hAnsi="宋体" w:hint="eastAsia"/>
              </w:rPr>
              <w:t>年，美国环保署开始环境会计计划，认为环境会计将会带给企业正面影响。美国推动环境会计制度的方式，是政府以协助角色的身份，以产业个案研究为起点，通过研究探讨个案，进而达成环境会计的建立。对于环境会计的推动，美国政府环保署除了针对环境会计设置专门网站，还陆续推出环境会计相关的工具使用册和个案研究报告。如</w:t>
            </w:r>
            <w:r>
              <w:rPr>
                <w:rFonts w:ascii="宋体" w:hAnsi="宋体"/>
              </w:rPr>
              <w:t>1995</w:t>
            </w:r>
            <w:r>
              <w:rPr>
                <w:rFonts w:ascii="宋体" w:hAnsi="宋体" w:hint="eastAsia"/>
              </w:rPr>
              <w:t>年推出的“环境会计作为企业管理的工具介绍”、环境会计个案研究、美国电报电话公司绿色会计，</w:t>
            </w:r>
            <w:r>
              <w:rPr>
                <w:rFonts w:ascii="宋体" w:hAnsi="宋体"/>
              </w:rPr>
              <w:t>1996</w:t>
            </w:r>
            <w:r>
              <w:rPr>
                <w:rFonts w:ascii="宋体" w:hAnsi="宋体" w:hint="eastAsia"/>
              </w:rPr>
              <w:t>年环境会计个案研究，“整体成本”运用</w:t>
            </w:r>
            <w:r>
              <w:rPr>
                <w:rFonts w:ascii="宋体" w:hAnsi="宋体"/>
              </w:rPr>
              <w:t>—</w:t>
            </w:r>
            <w:r>
              <w:rPr>
                <w:rFonts w:ascii="宋体" w:hAnsi="宋体" w:hint="eastAsia"/>
              </w:rPr>
              <w:t>安大略水疗院决策成功因素个案研究等。在推动环境会计方面，美国主要的策略是以企业为主导，政府则扮演从旁协调的角色，且利用个案实施环境会计系统，并从全球发展角度考虑，已达到建立环境会计的目的。</w:t>
            </w:r>
          </w:p>
          <w:p>
            <w:pPr>
              <w:spacing w:line="360" w:lineRule="exact"/>
              <w:ind w:firstLine="420" w:firstLineChars="200"/>
              <w:rPr>
                <w:rFonts w:ascii="宋体"/>
                <w:szCs w:val="21"/>
              </w:rPr>
            </w:pPr>
            <w:r>
              <w:rPr>
                <w:rFonts w:ascii="宋体" w:hAnsi="宋体" w:hint="eastAsia"/>
              </w:rPr>
              <w:t>日本对绿色会计的推动迟于美国。</w:t>
            </w:r>
            <w:r>
              <w:rPr>
                <w:rFonts w:ascii="宋体" w:hAnsi="宋体"/>
              </w:rPr>
              <w:t>1999</w:t>
            </w:r>
            <w:r>
              <w:rPr>
                <w:rFonts w:ascii="宋体" w:hAnsi="宋体" w:hint="eastAsia"/>
              </w:rPr>
              <w:t>年，日本</w:t>
            </w:r>
            <w:r>
              <w:rPr>
                <w:rFonts w:ascii="宋体" w:hAnsi="宋体"/>
              </w:rPr>
              <w:t>Fujitsu</w:t>
            </w:r>
            <w:r>
              <w:rPr>
                <w:rFonts w:ascii="宋体" w:hAnsi="宋体" w:hint="eastAsia"/>
              </w:rPr>
              <w:t>电子集团成为日本第一家使用绿色会计账的企业，之后有</w:t>
            </w:r>
            <w:r>
              <w:rPr>
                <w:rFonts w:ascii="宋体" w:hAnsi="宋体"/>
              </w:rPr>
              <w:t>20</w:t>
            </w:r>
            <w:r>
              <w:rPr>
                <w:rFonts w:ascii="宋体" w:hAnsi="宋体" w:hint="eastAsia"/>
              </w:rPr>
              <w:t>余家日本企业跟进，包括了日本</w:t>
            </w:r>
            <w:r>
              <w:rPr>
                <w:rFonts w:ascii="宋体" w:hAnsi="宋体"/>
              </w:rPr>
              <w:t>IBM</w:t>
            </w:r>
            <w:r>
              <w:rPr>
                <w:rFonts w:ascii="宋体" w:hAnsi="宋体" w:hint="eastAsia"/>
              </w:rPr>
              <w:t>、</w:t>
            </w:r>
            <w:r>
              <w:rPr>
                <w:rFonts w:ascii="宋体" w:hAnsi="宋体"/>
              </w:rPr>
              <w:t>NEC</w:t>
            </w:r>
            <w:r>
              <w:rPr>
                <w:rFonts w:ascii="宋体" w:hAnsi="宋体" w:hint="eastAsia"/>
              </w:rPr>
              <w:t>、</w:t>
            </w:r>
            <w:r>
              <w:rPr>
                <w:rFonts w:ascii="宋体" w:hAnsi="宋体"/>
              </w:rPr>
              <w:t>SONY</w:t>
            </w:r>
            <w:r>
              <w:rPr>
                <w:rFonts w:ascii="宋体" w:hAnsi="宋体" w:hint="eastAsia"/>
              </w:rPr>
              <w:t>、</w:t>
            </w:r>
            <w:r>
              <w:rPr>
                <w:rFonts w:ascii="宋体" w:hAnsi="宋体"/>
              </w:rPr>
              <w:t>RICOH</w:t>
            </w:r>
            <w:r>
              <w:rPr>
                <w:rFonts w:ascii="宋体" w:hAnsi="宋体" w:hint="eastAsia"/>
              </w:rPr>
              <w:t>和</w:t>
            </w:r>
            <w:r>
              <w:rPr>
                <w:rFonts w:ascii="宋体" w:hAnsi="宋体"/>
              </w:rPr>
              <w:t>MATSUSHITA</w:t>
            </w:r>
            <w:r>
              <w:rPr>
                <w:rFonts w:ascii="宋体" w:hAnsi="宋体" w:hint="eastAsia"/>
              </w:rPr>
              <w:t>电子等。截至</w:t>
            </w:r>
            <w:r>
              <w:rPr>
                <w:rFonts w:ascii="宋体" w:hAnsi="宋体"/>
              </w:rPr>
              <w:t>2006</w:t>
            </w:r>
            <w:r>
              <w:rPr>
                <w:rFonts w:ascii="宋体" w:hAnsi="宋体" w:hint="eastAsia"/>
              </w:rPr>
              <w:t>年底，共有大约</w:t>
            </w:r>
            <w:r>
              <w:rPr>
                <w:rFonts w:ascii="宋体" w:hAnsi="宋体"/>
              </w:rPr>
              <w:t>1000</w:t>
            </w:r>
            <w:r>
              <w:rPr>
                <w:rFonts w:ascii="宋体" w:hAnsi="宋体" w:hint="eastAsia"/>
              </w:rPr>
              <w:t>家企业采用环境会计制度，这显示日本企业正在重视且增加环境保护投资。日本环境会计推动历程主要包括：（</w:t>
            </w:r>
            <w:r>
              <w:rPr>
                <w:rFonts w:ascii="宋体" w:hAnsi="宋体"/>
              </w:rPr>
              <w:t>1</w:t>
            </w:r>
            <w:r>
              <w:rPr>
                <w:rFonts w:ascii="宋体" w:hAnsi="宋体" w:hint="eastAsia"/>
              </w:rPr>
              <w:t>）</w:t>
            </w:r>
            <w:r>
              <w:rPr>
                <w:rFonts w:ascii="宋体" w:hAnsi="宋体"/>
              </w:rPr>
              <w:t>1991</w:t>
            </w:r>
            <w:r>
              <w:rPr>
                <w:rFonts w:ascii="宋体" w:hAnsi="宋体" w:hint="eastAsia"/>
              </w:rPr>
              <w:t>年进行“企业环境的行动调查”（</w:t>
            </w:r>
            <w:r>
              <w:rPr>
                <w:rFonts w:ascii="宋体" w:hAnsi="宋体"/>
              </w:rPr>
              <w:t>2</w:t>
            </w:r>
            <w:r>
              <w:rPr>
                <w:rFonts w:ascii="宋体" w:hAnsi="宋体" w:hint="eastAsia"/>
              </w:rPr>
              <w:t>）</w:t>
            </w:r>
            <w:r>
              <w:rPr>
                <w:rFonts w:ascii="宋体" w:hAnsi="宋体"/>
              </w:rPr>
              <w:t>1998</w:t>
            </w:r>
            <w:r>
              <w:rPr>
                <w:rFonts w:ascii="宋体" w:hAnsi="宋体" w:hint="eastAsia"/>
              </w:rPr>
              <w:t>年进行“企业环保费用的计算和披露”等调查（</w:t>
            </w:r>
            <w:r>
              <w:rPr>
                <w:rFonts w:ascii="宋体" w:hAnsi="宋体"/>
              </w:rPr>
              <w:t>3</w:t>
            </w:r>
            <w:r>
              <w:rPr>
                <w:rFonts w:ascii="宋体" w:hAnsi="宋体" w:hint="eastAsia"/>
              </w:rPr>
              <w:t>）</w:t>
            </w:r>
            <w:r>
              <w:rPr>
                <w:rFonts w:ascii="宋体" w:hAnsi="宋体"/>
              </w:rPr>
              <w:t>1999</w:t>
            </w:r>
            <w:r>
              <w:rPr>
                <w:rFonts w:ascii="宋体" w:hAnsi="宋体" w:hint="eastAsia"/>
              </w:rPr>
              <w:t>年</w:t>
            </w:r>
            <w:r>
              <w:rPr>
                <w:rFonts w:ascii="宋体" w:hAnsi="宋体"/>
              </w:rPr>
              <w:t>4</w:t>
            </w:r>
            <w:r>
              <w:rPr>
                <w:rFonts w:ascii="宋体" w:hAnsi="宋体" w:hint="eastAsia"/>
              </w:rPr>
              <w:t>月宣布“环境成本衡量及其公布”（</w:t>
            </w:r>
            <w:r>
              <w:rPr>
                <w:rFonts w:ascii="宋体" w:hAnsi="宋体"/>
              </w:rPr>
              <w:t>4</w:t>
            </w:r>
            <w:r>
              <w:rPr>
                <w:rFonts w:ascii="宋体" w:hAnsi="宋体" w:hint="eastAsia"/>
              </w:rPr>
              <w:t>）</w:t>
            </w:r>
            <w:r>
              <w:rPr>
                <w:rFonts w:ascii="宋体" w:hAnsi="宋体"/>
              </w:rPr>
              <w:t>2000</w:t>
            </w:r>
            <w:r>
              <w:rPr>
                <w:rFonts w:ascii="宋体" w:hAnsi="宋体" w:hint="eastAsia"/>
              </w:rPr>
              <w:t>年</w:t>
            </w:r>
            <w:r>
              <w:rPr>
                <w:rFonts w:ascii="宋体" w:hAnsi="宋体"/>
              </w:rPr>
              <w:t>5</w:t>
            </w:r>
            <w:r>
              <w:rPr>
                <w:rFonts w:ascii="宋体" w:hAnsi="宋体" w:hint="eastAsia"/>
              </w:rPr>
              <w:t>月</w:t>
            </w:r>
            <w:r>
              <w:rPr>
                <w:rFonts w:ascii="宋体" w:hAnsi="宋体"/>
              </w:rPr>
              <w:t>19</w:t>
            </w:r>
            <w:r>
              <w:rPr>
                <w:rFonts w:ascii="宋体" w:hAnsi="宋体" w:hint="eastAsia"/>
              </w:rPr>
              <w:t>日开始实施“环保费用的计算和揭露”指南。在推动环境会计的过程中，日本由政府主导，通过不断的企业调查、专家意见、企业及相关团体的建议等，首先设立“环境会计制度纲领”。随着</w:t>
            </w:r>
            <w:r>
              <w:rPr>
                <w:rFonts w:ascii="宋体" w:hAnsi="宋体"/>
              </w:rPr>
              <w:t>1998</w:t>
            </w:r>
            <w:r>
              <w:rPr>
                <w:rFonts w:ascii="宋体" w:hAnsi="宋体" w:hint="eastAsia"/>
              </w:rPr>
              <w:t>年确认了“统一遵循准则”，</w:t>
            </w:r>
            <w:r>
              <w:rPr>
                <w:rFonts w:ascii="宋体" w:hAnsi="宋体"/>
              </w:rPr>
              <w:t>2000</w:t>
            </w:r>
            <w:r>
              <w:rPr>
                <w:rFonts w:ascii="宋体" w:hAnsi="宋体" w:hint="eastAsia"/>
              </w:rPr>
              <w:t>年</w:t>
            </w:r>
            <w:r>
              <w:rPr>
                <w:rFonts w:ascii="宋体" w:hAnsi="宋体"/>
              </w:rPr>
              <w:t>3</w:t>
            </w:r>
            <w:r>
              <w:rPr>
                <w:rFonts w:ascii="宋体" w:hAnsi="宋体" w:hint="eastAsia"/>
              </w:rPr>
              <w:t>月提出“发展环境会计系统</w:t>
            </w:r>
            <w:r>
              <w:rPr>
                <w:rFonts w:ascii="宋体" w:hAnsi="宋体"/>
              </w:rPr>
              <w:t>2000</w:t>
            </w:r>
            <w:r>
              <w:rPr>
                <w:rFonts w:ascii="宋体" w:hAnsi="宋体" w:hint="eastAsia"/>
              </w:rPr>
              <w:t>年报告”，日本企业开始了设立环境会计的高潮。</w:t>
            </w:r>
          </w:p>
          <w:p>
            <w:pPr>
              <w:spacing w:after="0" w:line="360" w:lineRule="exact"/>
              <w:ind w:firstLine="420" w:firstLineChars="200"/>
              <w:rPr>
                <w:rFonts w:ascii="宋体"/>
              </w:rPr>
            </w:pPr>
            <w:r>
              <w:rPr>
                <w:rFonts w:ascii="宋体" w:hAnsi="宋体"/>
              </w:rPr>
              <w:t>2</w:t>
            </w:r>
            <w:r>
              <w:rPr>
                <w:rFonts w:ascii="宋体" w:hAnsi="宋体" w:hint="eastAsia"/>
              </w:rPr>
              <w:t>、国内研究现状：我国开展环境会计的研究起步较晚，直到</w:t>
            </w:r>
            <w:r>
              <w:rPr>
                <w:rFonts w:ascii="宋体" w:hAnsi="宋体"/>
              </w:rPr>
              <w:t>20</w:t>
            </w:r>
            <w:r>
              <w:rPr>
                <w:rFonts w:ascii="宋体" w:hAnsi="宋体" w:hint="eastAsia"/>
              </w:rPr>
              <w:t>世纪</w:t>
            </w:r>
            <w:r>
              <w:rPr>
                <w:rFonts w:ascii="宋体" w:hAnsi="宋体"/>
              </w:rPr>
              <w:t>80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https://d.book118.com/665111114302011034</w:t>
        </w:r>
      </w:hyperlink>
    </w:p>
    <w:p/>
    <w:sectPr>
      <w:headerReference w:type="default" r:id="rId10"/>
      <w:type w:val="nextPage"/>
      <w:pgSz w:w="11906" w:h="16838"/>
      <w:pgMar w:top="1418" w:right="1134" w:bottom="1418" w:left="1418" w:header="851" w:footer="851"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SimSun-ExtB">
    <w:panose1 w:val="02010609060101010101"/>
    <w:charset w:val="86"/>
    <w:family w:val="modern"/>
    <w:pitch w:val="default"/>
    <w:sig w:usb0="00000001" w:usb1="02000000" w:usb2="00000000" w:usb3="00000000" w:csb0="00040001" w:csb1="00000000"/>
  </w:font>
  <w:font w:name="PMingLiU">
    <w:panose1 w:val="02020500000000000000"/>
    <w:charset w:val="88"/>
    <w:family w:val="auto"/>
    <w:pitch w:val="default"/>
    <w:sig w:usb0="A00002FF" w:usb1="28CFFCFA" w:usb2="00000016" w:usb3="00000000" w:csb0="001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cs="Times New Roman"/>
        <w:color w:val="auto"/>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D0E"/>
    <w:rsid w:val="00000687"/>
    <w:rsid w:val="00005505"/>
    <w:rsid w:val="000072BC"/>
    <w:rsid w:val="00040A92"/>
    <w:rsid w:val="00052208"/>
    <w:rsid w:val="00055E5F"/>
    <w:rsid w:val="00061178"/>
    <w:rsid w:val="00063528"/>
    <w:rsid w:val="0006472C"/>
    <w:rsid w:val="000715F2"/>
    <w:rsid w:val="00090950"/>
    <w:rsid w:val="000C0580"/>
    <w:rsid w:val="000E7A64"/>
    <w:rsid w:val="000E7B38"/>
    <w:rsid w:val="000F01B1"/>
    <w:rsid w:val="00103E79"/>
    <w:rsid w:val="0012017C"/>
    <w:rsid w:val="00121670"/>
    <w:rsid w:val="00123794"/>
    <w:rsid w:val="0014060D"/>
    <w:rsid w:val="00146B68"/>
    <w:rsid w:val="0016006B"/>
    <w:rsid w:val="00175301"/>
    <w:rsid w:val="001C085B"/>
    <w:rsid w:val="001C56E0"/>
    <w:rsid w:val="001D4D15"/>
    <w:rsid w:val="001E02B5"/>
    <w:rsid w:val="001E1AFA"/>
    <w:rsid w:val="001E305B"/>
    <w:rsid w:val="001E6218"/>
    <w:rsid w:val="001F059D"/>
    <w:rsid w:val="002033E4"/>
    <w:rsid w:val="00210C68"/>
    <w:rsid w:val="002148A5"/>
    <w:rsid w:val="0022173B"/>
    <w:rsid w:val="00233E78"/>
    <w:rsid w:val="00242A8E"/>
    <w:rsid w:val="00242B96"/>
    <w:rsid w:val="00252FED"/>
    <w:rsid w:val="00264852"/>
    <w:rsid w:val="00266E2E"/>
    <w:rsid w:val="00272D0E"/>
    <w:rsid w:val="002A42C0"/>
    <w:rsid w:val="002B6C8E"/>
    <w:rsid w:val="002B76A0"/>
    <w:rsid w:val="002B79E6"/>
    <w:rsid w:val="002D6F6C"/>
    <w:rsid w:val="002E258F"/>
    <w:rsid w:val="002F309F"/>
    <w:rsid w:val="00324533"/>
    <w:rsid w:val="003318AF"/>
    <w:rsid w:val="00356768"/>
    <w:rsid w:val="0037041E"/>
    <w:rsid w:val="00385D58"/>
    <w:rsid w:val="00390B3E"/>
    <w:rsid w:val="003C3D48"/>
    <w:rsid w:val="003D0F69"/>
    <w:rsid w:val="003D2965"/>
    <w:rsid w:val="003D423E"/>
    <w:rsid w:val="003D7DEF"/>
    <w:rsid w:val="003F7308"/>
    <w:rsid w:val="0040677B"/>
    <w:rsid w:val="00412C45"/>
    <w:rsid w:val="00412CBA"/>
    <w:rsid w:val="00440D8A"/>
    <w:rsid w:val="00442D79"/>
    <w:rsid w:val="004536E9"/>
    <w:rsid w:val="00453FB3"/>
    <w:rsid w:val="00456B27"/>
    <w:rsid w:val="00465861"/>
    <w:rsid w:val="0047102B"/>
    <w:rsid w:val="004723C1"/>
    <w:rsid w:val="004733FA"/>
    <w:rsid w:val="004820D2"/>
    <w:rsid w:val="004919C4"/>
    <w:rsid w:val="00495231"/>
    <w:rsid w:val="00496B86"/>
    <w:rsid w:val="004B346B"/>
    <w:rsid w:val="004D3ADB"/>
    <w:rsid w:val="004D410A"/>
    <w:rsid w:val="004E5A5E"/>
    <w:rsid w:val="005054D7"/>
    <w:rsid w:val="005203F4"/>
    <w:rsid w:val="00523924"/>
    <w:rsid w:val="0053404E"/>
    <w:rsid w:val="00556CBD"/>
    <w:rsid w:val="0058788E"/>
    <w:rsid w:val="005965B5"/>
    <w:rsid w:val="005C0D6E"/>
    <w:rsid w:val="006107D1"/>
    <w:rsid w:val="006142BC"/>
    <w:rsid w:val="00616B14"/>
    <w:rsid w:val="00622752"/>
    <w:rsid w:val="00647B6B"/>
    <w:rsid w:val="00654842"/>
    <w:rsid w:val="00667C71"/>
    <w:rsid w:val="006A7886"/>
    <w:rsid w:val="006B2A83"/>
    <w:rsid w:val="006C0F76"/>
    <w:rsid w:val="006E0727"/>
    <w:rsid w:val="006E268C"/>
    <w:rsid w:val="006E45F8"/>
    <w:rsid w:val="006F4959"/>
    <w:rsid w:val="007036A3"/>
    <w:rsid w:val="007254CE"/>
    <w:rsid w:val="00735E18"/>
    <w:rsid w:val="007367A3"/>
    <w:rsid w:val="00745715"/>
    <w:rsid w:val="00770E63"/>
    <w:rsid w:val="00775215"/>
    <w:rsid w:val="00786B4D"/>
    <w:rsid w:val="007A2FCB"/>
    <w:rsid w:val="007D37E6"/>
    <w:rsid w:val="007D6E42"/>
    <w:rsid w:val="007F0750"/>
    <w:rsid w:val="007F3EF9"/>
    <w:rsid w:val="00845D05"/>
    <w:rsid w:val="00855E37"/>
    <w:rsid w:val="0086208B"/>
    <w:rsid w:val="00871F9F"/>
    <w:rsid w:val="008809FE"/>
    <w:rsid w:val="00893217"/>
    <w:rsid w:val="008940E9"/>
    <w:rsid w:val="008B139F"/>
    <w:rsid w:val="008C3053"/>
    <w:rsid w:val="008C4F8E"/>
    <w:rsid w:val="008E4622"/>
    <w:rsid w:val="008F3FF1"/>
    <w:rsid w:val="008F4741"/>
    <w:rsid w:val="008F6877"/>
    <w:rsid w:val="00902462"/>
    <w:rsid w:val="00933FB5"/>
    <w:rsid w:val="009474D7"/>
    <w:rsid w:val="00963601"/>
    <w:rsid w:val="009829C5"/>
    <w:rsid w:val="009867B3"/>
    <w:rsid w:val="009A4203"/>
    <w:rsid w:val="009F7366"/>
    <w:rsid w:val="00A14B92"/>
    <w:rsid w:val="00A22C71"/>
    <w:rsid w:val="00A26FD7"/>
    <w:rsid w:val="00A5232A"/>
    <w:rsid w:val="00A7436C"/>
    <w:rsid w:val="00A92191"/>
    <w:rsid w:val="00AB3A50"/>
    <w:rsid w:val="00AC6BD9"/>
    <w:rsid w:val="00AE00DF"/>
    <w:rsid w:val="00AE643F"/>
    <w:rsid w:val="00AF3DEE"/>
    <w:rsid w:val="00AF6455"/>
    <w:rsid w:val="00B01983"/>
    <w:rsid w:val="00B045C9"/>
    <w:rsid w:val="00B05A0B"/>
    <w:rsid w:val="00B45E3A"/>
    <w:rsid w:val="00B5065F"/>
    <w:rsid w:val="00B5666B"/>
    <w:rsid w:val="00B65283"/>
    <w:rsid w:val="00B67B2E"/>
    <w:rsid w:val="00B8016A"/>
    <w:rsid w:val="00B84B6E"/>
    <w:rsid w:val="00BA2A3C"/>
    <w:rsid w:val="00BB180D"/>
    <w:rsid w:val="00BD690A"/>
    <w:rsid w:val="00BE0067"/>
    <w:rsid w:val="00C24596"/>
    <w:rsid w:val="00C32F22"/>
    <w:rsid w:val="00C36EF1"/>
    <w:rsid w:val="00C40681"/>
    <w:rsid w:val="00C43608"/>
    <w:rsid w:val="00C47218"/>
    <w:rsid w:val="00C51002"/>
    <w:rsid w:val="00C654B2"/>
    <w:rsid w:val="00C845BD"/>
    <w:rsid w:val="00C9025A"/>
    <w:rsid w:val="00C972B1"/>
    <w:rsid w:val="00CA0510"/>
    <w:rsid w:val="00CC0660"/>
    <w:rsid w:val="00CF07A0"/>
    <w:rsid w:val="00CF7303"/>
    <w:rsid w:val="00D173B8"/>
    <w:rsid w:val="00D2452F"/>
    <w:rsid w:val="00D27D9D"/>
    <w:rsid w:val="00D42CCA"/>
    <w:rsid w:val="00D63B4D"/>
    <w:rsid w:val="00D73ECF"/>
    <w:rsid w:val="00D832AD"/>
    <w:rsid w:val="00DA04CB"/>
    <w:rsid w:val="00DD7179"/>
    <w:rsid w:val="00DE2A98"/>
    <w:rsid w:val="00DF4F66"/>
    <w:rsid w:val="00E24FDF"/>
    <w:rsid w:val="00E606CF"/>
    <w:rsid w:val="00E801CF"/>
    <w:rsid w:val="00E81612"/>
    <w:rsid w:val="00E908EA"/>
    <w:rsid w:val="00E90F04"/>
    <w:rsid w:val="00E9542E"/>
    <w:rsid w:val="00EA13DB"/>
    <w:rsid w:val="00EA3F88"/>
    <w:rsid w:val="00EA4DB8"/>
    <w:rsid w:val="00EC098A"/>
    <w:rsid w:val="00EC57CE"/>
    <w:rsid w:val="00EE5E81"/>
    <w:rsid w:val="00EE70DC"/>
    <w:rsid w:val="00F00AD5"/>
    <w:rsid w:val="00F01141"/>
    <w:rsid w:val="00F15E92"/>
    <w:rsid w:val="00F16D10"/>
    <w:rsid w:val="00F52AA7"/>
    <w:rsid w:val="00F660F0"/>
    <w:rsid w:val="00F66456"/>
    <w:rsid w:val="00F716BD"/>
    <w:rsid w:val="00F7266F"/>
    <w:rsid w:val="00F757A5"/>
    <w:rsid w:val="00F77335"/>
    <w:rsid w:val="00F83C09"/>
    <w:rsid w:val="00F8444C"/>
    <w:rsid w:val="00F91449"/>
    <w:rsid w:val="00F92726"/>
    <w:rsid w:val="00F96DEB"/>
    <w:rsid w:val="00F97439"/>
    <w:rsid w:val="00FB36C2"/>
    <w:rsid w:val="00FC5AF1"/>
    <w:rsid w:val="00FD28A7"/>
    <w:rsid w:val="00FE2A53"/>
    <w:rsid w:val="554A500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uiPriority="0" w:unhideWhenUsed="0" w:qFormat="1"/>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0"/>
      <w:lang w:val="en-US" w:eastAsia="zh-CN" w:bidi="ar-SA"/>
    </w:rPr>
  </w:style>
  <w:style w:type="paragraph" w:styleId="Heading1">
    <w:name w:val="heading 1"/>
    <w:basedOn w:val="Normal"/>
    <w:next w:val="Normal"/>
    <w:link w:val="1Char"/>
    <w:uiPriority w:val="9"/>
    <w:qFormat/>
    <w:pPr>
      <w:keepNext/>
      <w:keepLines/>
      <w:spacing w:beforeLines="100" w:afterLines="100" w:line="360" w:lineRule="exact"/>
      <w:jc w:val="center"/>
      <w:outlineLvl w:val="0"/>
    </w:pPr>
    <w:rPr>
      <w:rFonts w:eastAsia="黑体"/>
      <w:bCs/>
      <w:kern w:val="44"/>
      <w:sz w:val="32"/>
      <w:szCs w:val="32"/>
    </w:rPr>
  </w:style>
  <w:style w:type="paragraph" w:styleId="Heading2">
    <w:name w:val="heading 2"/>
    <w:basedOn w:val="Normal"/>
    <w:next w:val="Normal"/>
    <w:link w:val="2Char"/>
    <w:uiPriority w:val="9"/>
    <w:unhideWhenUsed/>
    <w:qFormat/>
    <w:pPr>
      <w:keepNext/>
      <w:keepLines/>
      <w:spacing w:beforeLines="100" w:afterLines="100" w:line="360" w:lineRule="exact"/>
      <w:outlineLvl w:val="1"/>
    </w:pPr>
    <w:rPr>
      <w:rFonts w:eastAsiaTheme="majorEastAsia"/>
      <w:bCs/>
      <w:sz w:val="28"/>
      <w:szCs w:val="28"/>
    </w:rPr>
  </w:style>
  <w:style w:type="paragraph" w:styleId="Heading3">
    <w:name w:val="heading 3"/>
    <w:basedOn w:val="Normal"/>
    <w:next w:val="Normal"/>
    <w:link w:val="3Char"/>
    <w:uiPriority w:val="9"/>
    <w:unhideWhenUsed/>
    <w:qFormat/>
    <w:pPr>
      <w:keepNext/>
      <w:keepLines/>
      <w:spacing w:beforeLines="100" w:afterLines="100" w:line="360" w:lineRule="exact"/>
      <w:outlineLvl w:val="2"/>
    </w:pPr>
    <w:rPr>
      <w:rFonts w:eastAsia="黑体"/>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ocumentMap">
    <w:name w:val="Document Map"/>
    <w:basedOn w:val="Normal"/>
    <w:link w:val="Char5"/>
    <w:autoRedefine/>
    <w:uiPriority w:val="99"/>
    <w:semiHidden/>
    <w:unhideWhenUsed/>
    <w:qFormat/>
    <w:rPr>
      <w:rFonts w:ascii="宋体"/>
      <w:sz w:val="18"/>
      <w:szCs w:val="18"/>
    </w:rPr>
  </w:style>
  <w:style w:type="paragraph" w:styleId="CommentText">
    <w:name w:val="annotation text"/>
    <w:basedOn w:val="Normal"/>
    <w:link w:val="Char3"/>
    <w:autoRedefine/>
    <w:uiPriority w:val="99"/>
    <w:semiHidden/>
    <w:unhideWhenUsed/>
    <w:qFormat/>
    <w:pPr>
      <w:jc w:val="left"/>
    </w:pPr>
  </w:style>
  <w:style w:type="paragraph" w:styleId="TOC3">
    <w:name w:val="toc 3"/>
    <w:basedOn w:val="Normal"/>
    <w:next w:val="Normal"/>
    <w:autoRedefine/>
    <w:uiPriority w:val="39"/>
    <w:unhideWhenUsed/>
    <w:qFormat/>
    <w:pPr>
      <w:tabs>
        <w:tab w:val="right" w:leader="dot" w:pos="9344"/>
      </w:tabs>
      <w:spacing w:line="360" w:lineRule="exact"/>
    </w:pPr>
  </w:style>
  <w:style w:type="paragraph" w:styleId="BalloonText">
    <w:name w:val="Balloon Text"/>
    <w:basedOn w:val="Normal"/>
    <w:link w:val="Char2"/>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9344"/>
      </w:tabs>
      <w:spacing w:line="360" w:lineRule="exact"/>
    </w:pPr>
  </w:style>
  <w:style w:type="paragraph" w:styleId="FootnoteText">
    <w:name w:val="footnote text"/>
    <w:basedOn w:val="Normal"/>
    <w:link w:val="Char1"/>
    <w:autoRedefine/>
    <w:semiHidden/>
    <w:qFormat/>
    <w:pPr>
      <w:snapToGrid w:val="0"/>
      <w:jc w:val="left"/>
    </w:pPr>
    <w:rPr>
      <w:sz w:val="18"/>
      <w:szCs w:val="18"/>
    </w:rPr>
  </w:style>
  <w:style w:type="paragraph" w:styleId="TOC2">
    <w:name w:val="toc 2"/>
    <w:basedOn w:val="Normal"/>
    <w:next w:val="Normal"/>
    <w:autoRedefine/>
    <w:uiPriority w:val="39"/>
    <w:unhideWhenUsed/>
    <w:qFormat/>
    <w:pPr>
      <w:tabs>
        <w:tab w:val="right" w:leader="dot" w:pos="9344"/>
      </w:tabs>
      <w:spacing w:line="360" w:lineRule="exact"/>
    </w:pPr>
  </w:style>
  <w:style w:type="paragraph" w:styleId="CommentSubject">
    <w:name w:val="annotation subject"/>
    <w:basedOn w:val="CommentText"/>
    <w:next w:val="CommentText"/>
    <w:link w:val="Char4"/>
    <w:autoRedefine/>
    <w:uiPriority w:val="99"/>
    <w:semiHidden/>
    <w:unhideWhenUsed/>
    <w:qFormat/>
    <w:rPr>
      <w:b/>
      <w:bCs/>
    </w:rPr>
  </w:style>
  <w:style w:type="character" w:styleId="Hyperlink">
    <w:name w:val="Hyperlink"/>
    <w:basedOn w:val="DefaultParagraphFont"/>
    <w:autoRedefine/>
    <w:uiPriority w:val="99"/>
    <w:unhideWhenUsed/>
    <w:qFormat/>
    <w:rPr>
      <w:color w:val="0000FF" w:themeColor="hyperlink"/>
      <w:u w:val="single"/>
    </w:rPr>
  </w:style>
  <w:style w:type="character" w:styleId="CommentReference">
    <w:name w:val="annotation reference"/>
    <w:basedOn w:val="DefaultParagraphFont"/>
    <w:autoRedefine/>
    <w:uiPriority w:val="99"/>
    <w:semiHidden/>
    <w:unhideWhenUsed/>
    <w:qFormat/>
    <w:rPr>
      <w:sz w:val="21"/>
      <w:szCs w:val="21"/>
    </w:rPr>
  </w:style>
  <w:style w:type="character" w:styleId="FootnoteReference">
    <w:name w:val="footnote reference"/>
    <w:basedOn w:val="DefaultParagraphFont"/>
    <w:autoRedefine/>
    <w:semiHidden/>
    <w:qFormat/>
    <w:rPr>
      <w:vertAlign w:val="superscript"/>
    </w:rPr>
  </w:style>
  <w:style w:type="character" w:customStyle="1" w:styleId="2Char">
    <w:name w:val="标题 2 Char"/>
    <w:basedOn w:val="DefaultParagraphFont"/>
    <w:link w:val="Heading2"/>
    <w:autoRedefine/>
    <w:uiPriority w:val="9"/>
    <w:qFormat/>
    <w:rPr>
      <w:rFonts w:ascii="Times New Roman" w:hAnsi="Times New Roman" w:eastAsiaTheme="majorEastAsia" w:cs="Times New Roman"/>
      <w:bCs/>
      <w:sz w:val="28"/>
      <w:szCs w:val="28"/>
    </w:rPr>
  </w:style>
  <w:style w:type="character" w:customStyle="1" w:styleId="Char">
    <w:name w:val="页眉 Char"/>
    <w:basedOn w:val="DefaultParagraphFont"/>
    <w:link w:val="Header"/>
    <w:autoRedefine/>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autoRedefine/>
    <w:uiPriority w:val="99"/>
    <w:qFormat/>
    <w:rPr>
      <w:rFonts w:ascii="Times New Roman" w:eastAsia="宋体" w:hAnsi="Times New Roman" w:cs="Times New Roman"/>
      <w:sz w:val="18"/>
      <w:szCs w:val="18"/>
    </w:rPr>
  </w:style>
  <w:style w:type="paragraph" w:styleId="ListParagraph">
    <w:name w:val="List Paragraph"/>
    <w:basedOn w:val="Normal"/>
    <w:autoRedefine/>
    <w:uiPriority w:val="34"/>
    <w:qFormat/>
    <w:pPr>
      <w:ind w:firstLine="420" w:firstLineChars="200"/>
    </w:pPr>
  </w:style>
  <w:style w:type="character" w:customStyle="1" w:styleId="Char1">
    <w:name w:val="脚注文本 Char"/>
    <w:basedOn w:val="DefaultParagraphFont"/>
    <w:link w:val="FootnoteText"/>
    <w:autoRedefine/>
    <w:qFormat/>
    <w:rPr>
      <w:rFonts w:ascii="Times New Roman" w:eastAsia="宋体" w:hAnsi="Times New Roman" w:cs="Times New Roman"/>
      <w:sz w:val="18"/>
      <w:szCs w:val="18"/>
    </w:rPr>
  </w:style>
  <w:style w:type="character" w:customStyle="1" w:styleId="1Char">
    <w:name w:val="标题 1 Char"/>
    <w:basedOn w:val="DefaultParagraphFont"/>
    <w:link w:val="Heading1"/>
    <w:autoRedefine/>
    <w:uiPriority w:val="9"/>
    <w:qFormat/>
    <w:rPr>
      <w:rFonts w:ascii="Times New Roman" w:eastAsia="黑体" w:hAnsi="Times New Roman" w:cs="Times New Roman"/>
      <w:bCs/>
      <w:kern w:val="44"/>
      <w:sz w:val="32"/>
      <w:szCs w:val="32"/>
    </w:rPr>
  </w:style>
  <w:style w:type="character" w:customStyle="1" w:styleId="3Char">
    <w:name w:val="标题 3 Char"/>
    <w:basedOn w:val="DefaultParagraphFont"/>
    <w:link w:val="Heading3"/>
    <w:autoRedefine/>
    <w:uiPriority w:val="9"/>
    <w:qFormat/>
    <w:rPr>
      <w:rFonts w:ascii="Times New Roman" w:eastAsia="黑体" w:hAnsi="Times New Roman" w:cs="Times New Roman"/>
      <w:bCs/>
      <w:sz w:val="24"/>
      <w:szCs w:val="24"/>
    </w:rPr>
  </w:style>
  <w:style w:type="paragraph" w:customStyle="1" w:styleId="TOCHeading">
    <w:name w:val="TOC Heading"/>
    <w:basedOn w:val="Heading1"/>
    <w:next w:val="Normal"/>
    <w:autoRedefine/>
    <w:uiPriority w:val="39"/>
    <w:unhideWhenUsed/>
    <w:qFormat/>
    <w:pPr>
      <w:widowControl/>
      <w:spacing w:beforeLines="0" w:afterLines="0" w:line="276" w:lineRule="auto"/>
      <w:jc w:val="left"/>
      <w:outlineLvl w:val="9"/>
    </w:pPr>
    <w:rPr>
      <w:rFonts w:asciiTheme="majorHAnsi" w:eastAsiaTheme="majorEastAsia" w:hAnsiTheme="majorHAnsi" w:cstheme="majorBidi"/>
      <w:b/>
      <w:color w:val="366091" w:themeColor="accent1" w:themeShade="BF"/>
      <w:kern w:val="0"/>
      <w:sz w:val="28"/>
      <w:szCs w:val="28"/>
    </w:rPr>
  </w:style>
  <w:style w:type="character" w:customStyle="1" w:styleId="Char2">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3">
    <w:name w:val="批注文字 Char"/>
    <w:basedOn w:val="DefaultParagraphFont"/>
    <w:link w:val="CommentText"/>
    <w:autoRedefine/>
    <w:uiPriority w:val="99"/>
    <w:semiHidden/>
    <w:qFormat/>
    <w:rPr>
      <w:rFonts w:ascii="Times New Roman" w:eastAsia="宋体" w:hAnsi="Times New Roman" w:cs="Times New Roman"/>
      <w:szCs w:val="20"/>
    </w:rPr>
  </w:style>
  <w:style w:type="character" w:customStyle="1" w:styleId="Char4">
    <w:name w:val="批注主题 Char"/>
    <w:basedOn w:val="Char3"/>
    <w:link w:val="CommentSubject"/>
    <w:autoRedefine/>
    <w:uiPriority w:val="99"/>
    <w:semiHidden/>
    <w:qFormat/>
    <w:rPr>
      <w:rFonts w:ascii="Times New Roman" w:eastAsia="宋体" w:hAnsi="Times New Roman" w:cs="Times New Roman"/>
      <w:b/>
      <w:bCs/>
      <w:szCs w:val="20"/>
    </w:rPr>
  </w:style>
  <w:style w:type="character" w:customStyle="1" w:styleId="Char5">
    <w:name w:val="文档结构图 Char"/>
    <w:basedOn w:val="DefaultParagraphFont"/>
    <w:link w:val="DocumentMap"/>
    <w:autoRedefine/>
    <w:uiPriority w:val="99"/>
    <w:semiHidden/>
    <w:qFormat/>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yperlink" Target="https://d.book118.com/66511111430201103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BB5385-1B1C-4C0A-96D5-6F6ECFD7424F}">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6593</Words>
  <Characters>37586</Characters>
  <Application>Microsoft Office Word</Application>
  <DocSecurity>0</DocSecurity>
  <Lines>313</Lines>
  <Paragraphs>88</Paragraphs>
  <ScaleCrop>false</ScaleCrop>
  <Company>china</Company>
  <LinksUpToDate>false</LinksUpToDate>
  <CharactersWithSpaces>44091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6</cp:revision>
  <cp:lastPrinted>2016-04-27T13:38:00Z</cp:lastPrinted>
  <dcterms:created xsi:type="dcterms:W3CDTF">2016-06-02T13:18:00Z</dcterms:created>
  <dcterms:modified xsi:type="dcterms:W3CDTF">2024-01-05T03:04:13Z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14A035517891427F9FB891F9E5091F8B_13</vt:lpwstr>
  </property>
  <property fmtid="{D5CDD505-2E9C-101B-9397-08002B2CF9AE}" pid="3" name="KSOProductBuildVer">
    <vt:lpwstr>2052-12.1.0.16120</vt:lpwstr>
  </property>
</Properties>
</file>