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2018-2023年沈阳职业技术学院高职单招（数学／语文／英语）历年常考试题库含答案解析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《五代史伶官传序》一文的主旨是（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A.满招损，谦受益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B.祸患积于忽微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D.盛衰在于人事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先秦诸子散文中最富于浪漫色彩的是（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C.《荀子》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苏轼《水调歌头（明月几时有）》一词中最能体现“兼怀子由”的词句是（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A.但愿人长久，千里共婵娟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B.人有悲欢离合，月有阴晴圆缺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C.不应有恨，何事长向别时圆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D.起舞弄清影，何似在人间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下列哪位词人的风格是“雄劲豪迈，悲壮沉郁”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下列作品中，借用了乐府旧题的一组是（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B.陆游《关山月》、李白《行路难》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C.曹操《短歌行》、陶渊明《饮酒》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D.王昌龄《从军行》、白居易《杜陵叟》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下列词句中，运用了比喻手法的是（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古语“多行不义必自毙”出自（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马伶在《鸣风记》扮演的是（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B.杨继盛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C.夏言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下列作家中，具有“含泪的微笑”艺术风格的是（）。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D.福楼拜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奠定梁实秋在中国现代散文史上的地位的一部作品是（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A.《槐园梦忆》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B.《雅舍小品》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C.《雅舍谈吃》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D.《实秋杂文》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下面不是冰心创作的问题小说有（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A.《斯人独憔悴》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B.《往事》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C.《超人》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D.《两个家庭》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《长亭送别》中，表现莺莺对现实不满的最为强烈的曲词是（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A.有梦也难寻觅。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B.但得一个并头莲，煞强如状元及第。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C.前暮私情，昨夜成亲，今日别离。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https://d.book118.com/665121022330011112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665121022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