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专科体检项目规划设计方案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43" w:history="1">
        <w:r>
          <w:rPr>
            <w:rFonts w:ascii="仿宋" w:eastAsia="仿宋" w:hAnsi="仿宋" w:cs="仿宋" w:hint="eastAsia"/>
            <w:lang w:eastAsia="zh-CN"/>
          </w:rPr>
          <w:t>序言</w:t>
        </w:r>
        <w:r>
          <w:tab/>
        </w:r>
        <w:r>
          <w:fldChar w:fldCharType="begin"/>
        </w:r>
        <w:r>
          <w:instrText xml:space="preserve"> PAGEREF _Toc4043 \h </w:instrText>
        </w:r>
        <w:r>
          <w:fldChar w:fldCharType="separate"/>
        </w:r>
        <w:r>
          <w:t>3</w:t>
        </w:r>
        <w:r>
          <w:fldChar w:fldCharType="end"/>
        </w:r>
      </w:hyperlink>
    </w:p>
    <w:p>
      <w:pPr>
        <w:pStyle w:val="TOC1"/>
        <w:tabs>
          <w:tab w:val="right" w:leader="dot" w:pos="8306"/>
        </w:tabs>
      </w:pPr>
      <w:hyperlink w:anchor="_Toc9703" w:history="1">
        <w:r>
          <w:rPr>
            <w:rFonts w:ascii="仿宋" w:eastAsia="仿宋" w:hAnsi="仿宋" w:cs="仿宋" w:hint="eastAsia"/>
            <w:lang w:eastAsia="zh-CN"/>
          </w:rPr>
          <w:t>一、市场分析、调研</w:t>
        </w:r>
        <w:r>
          <w:tab/>
        </w:r>
        <w:r>
          <w:fldChar w:fldCharType="begin"/>
        </w:r>
        <w:r>
          <w:instrText xml:space="preserve"> PAGEREF _Toc9703 \h </w:instrText>
        </w:r>
        <w:r>
          <w:fldChar w:fldCharType="separate"/>
        </w:r>
        <w:r>
          <w:t>3</w:t>
        </w:r>
        <w:r>
          <w:fldChar w:fldCharType="end"/>
        </w:r>
      </w:hyperlink>
    </w:p>
    <w:p>
      <w:pPr>
        <w:pStyle w:val="TOC2"/>
        <w:tabs>
          <w:tab w:val="right" w:leader="dot" w:pos="8306"/>
        </w:tabs>
      </w:pPr>
      <w:hyperlink w:anchor="_Toc11051" w:history="1">
        <w:r>
          <w:rPr>
            <w:rFonts w:ascii="仿宋" w:eastAsia="仿宋" w:hAnsi="仿宋" w:cs="仿宋" w:hint="eastAsia"/>
            <w:lang w:eastAsia="zh-CN"/>
          </w:rPr>
          <w:t>(一)、专科体检行业分析</w:t>
        </w:r>
        <w:r>
          <w:tab/>
        </w:r>
        <w:r>
          <w:fldChar w:fldCharType="begin"/>
        </w:r>
        <w:r>
          <w:instrText xml:space="preserve"> PAGEREF _Toc11051 \h </w:instrText>
        </w:r>
        <w:r>
          <w:fldChar w:fldCharType="separate"/>
        </w:r>
        <w:r>
          <w:t>3</w:t>
        </w:r>
        <w:r>
          <w:fldChar w:fldCharType="end"/>
        </w:r>
      </w:hyperlink>
    </w:p>
    <w:p>
      <w:pPr>
        <w:pStyle w:val="TOC2"/>
        <w:tabs>
          <w:tab w:val="right" w:leader="dot" w:pos="8306"/>
        </w:tabs>
      </w:pPr>
      <w:hyperlink w:anchor="_Toc30732" w:history="1">
        <w:r>
          <w:rPr>
            <w:rFonts w:ascii="仿宋" w:eastAsia="仿宋" w:hAnsi="仿宋" w:cs="仿宋" w:hint="eastAsia"/>
            <w:lang w:eastAsia="zh-CN"/>
          </w:rPr>
          <w:t>(二)、专科体检市场分析预测</w:t>
        </w:r>
        <w:r>
          <w:tab/>
        </w:r>
        <w:r>
          <w:fldChar w:fldCharType="begin"/>
        </w:r>
        <w:r>
          <w:instrText xml:space="preserve"> PAGEREF _Toc30732 \h </w:instrText>
        </w:r>
        <w:r>
          <w:fldChar w:fldCharType="separate"/>
        </w:r>
        <w:r>
          <w:t>4</w:t>
        </w:r>
        <w:r>
          <w:fldChar w:fldCharType="end"/>
        </w:r>
      </w:hyperlink>
    </w:p>
    <w:p>
      <w:pPr>
        <w:pStyle w:val="TOC1"/>
        <w:tabs>
          <w:tab w:val="right" w:leader="dot" w:pos="8306"/>
        </w:tabs>
      </w:pPr>
      <w:hyperlink w:anchor="_Toc8463" w:history="1">
        <w:r>
          <w:rPr>
            <w:rFonts w:ascii="仿宋" w:eastAsia="仿宋" w:hAnsi="仿宋" w:cs="仿宋" w:hint="eastAsia"/>
            <w:lang w:eastAsia="zh-CN"/>
          </w:rPr>
          <w:t>二、专科体检项目危机管理</w:t>
        </w:r>
        <w:r>
          <w:tab/>
        </w:r>
        <w:r>
          <w:fldChar w:fldCharType="begin"/>
        </w:r>
        <w:r>
          <w:instrText xml:space="preserve"> PAGEREF _Toc8463 \h </w:instrText>
        </w:r>
        <w:r>
          <w:fldChar w:fldCharType="separate"/>
        </w:r>
        <w:r>
          <w:t>4</w:t>
        </w:r>
        <w:r>
          <w:fldChar w:fldCharType="end"/>
        </w:r>
      </w:hyperlink>
    </w:p>
    <w:p>
      <w:pPr>
        <w:pStyle w:val="TOC2"/>
        <w:tabs>
          <w:tab w:val="right" w:leader="dot" w:pos="8306"/>
        </w:tabs>
      </w:pPr>
      <w:hyperlink w:anchor="_Toc17922" w:history="1">
        <w:r>
          <w:rPr>
            <w:rFonts w:ascii="仿宋" w:eastAsia="仿宋" w:hAnsi="仿宋" w:cs="仿宋" w:hint="eastAsia"/>
            <w:lang w:eastAsia="zh-CN"/>
          </w:rPr>
          <w:t>(一)、危机预警与识别</w:t>
        </w:r>
        <w:r>
          <w:tab/>
        </w:r>
        <w:r>
          <w:fldChar w:fldCharType="begin"/>
        </w:r>
        <w:r>
          <w:instrText xml:space="preserve"> PAGEREF _Toc17922 \h </w:instrText>
        </w:r>
        <w:r>
          <w:fldChar w:fldCharType="separate"/>
        </w:r>
        <w:r>
          <w:t>4</w:t>
        </w:r>
        <w:r>
          <w:fldChar w:fldCharType="end"/>
        </w:r>
      </w:hyperlink>
    </w:p>
    <w:p>
      <w:pPr>
        <w:pStyle w:val="TOC2"/>
        <w:tabs>
          <w:tab w:val="right" w:leader="dot" w:pos="8306"/>
        </w:tabs>
      </w:pPr>
      <w:hyperlink w:anchor="_Toc19048" w:history="1">
        <w:r>
          <w:rPr>
            <w:rFonts w:ascii="仿宋" w:eastAsia="仿宋" w:hAnsi="仿宋" w:cs="仿宋" w:hint="eastAsia"/>
            <w:lang w:eastAsia="zh-CN"/>
          </w:rPr>
          <w:t>(二)、危机应对与恢复</w:t>
        </w:r>
        <w:r>
          <w:tab/>
        </w:r>
        <w:r>
          <w:fldChar w:fldCharType="begin"/>
        </w:r>
        <w:r>
          <w:instrText xml:space="preserve"> PAGEREF _Toc19048 \h </w:instrText>
        </w:r>
        <w:r>
          <w:fldChar w:fldCharType="separate"/>
        </w:r>
        <w:r>
          <w:t>5</w:t>
        </w:r>
        <w:r>
          <w:fldChar w:fldCharType="end"/>
        </w:r>
      </w:hyperlink>
    </w:p>
    <w:p>
      <w:pPr>
        <w:pStyle w:val="TOC1"/>
        <w:tabs>
          <w:tab w:val="right" w:leader="dot" w:pos="8306"/>
        </w:tabs>
      </w:pPr>
      <w:hyperlink w:anchor="_Toc10727" w:history="1">
        <w:r>
          <w:rPr>
            <w:rFonts w:ascii="仿宋" w:eastAsia="仿宋" w:hAnsi="仿宋" w:cs="仿宋" w:hint="eastAsia"/>
            <w:lang w:eastAsia="zh-CN"/>
          </w:rPr>
          <w:t>三、产品规划分析</w:t>
        </w:r>
        <w:r>
          <w:tab/>
        </w:r>
        <w:r>
          <w:fldChar w:fldCharType="begin"/>
        </w:r>
        <w:r>
          <w:instrText xml:space="preserve"> PAGEREF _Toc10727 \h </w:instrText>
        </w:r>
        <w:r>
          <w:fldChar w:fldCharType="separate"/>
        </w:r>
        <w:r>
          <w:t>7</w:t>
        </w:r>
        <w:r>
          <w:fldChar w:fldCharType="end"/>
        </w:r>
      </w:hyperlink>
    </w:p>
    <w:p>
      <w:pPr>
        <w:pStyle w:val="TOC2"/>
        <w:tabs>
          <w:tab w:val="right" w:leader="dot" w:pos="8306"/>
        </w:tabs>
      </w:pPr>
      <w:hyperlink w:anchor="_Toc12800" w:history="1">
        <w:r>
          <w:rPr>
            <w:rFonts w:ascii="仿宋" w:eastAsia="仿宋" w:hAnsi="仿宋" w:cs="仿宋" w:hint="eastAsia"/>
            <w:lang w:eastAsia="zh-CN"/>
          </w:rPr>
          <w:t>(一)、产品规划</w:t>
        </w:r>
        <w:r>
          <w:tab/>
        </w:r>
        <w:r>
          <w:fldChar w:fldCharType="begin"/>
        </w:r>
        <w:r>
          <w:instrText xml:space="preserve"> PAGEREF _Toc12800 \h </w:instrText>
        </w:r>
        <w:r>
          <w:fldChar w:fldCharType="separate"/>
        </w:r>
        <w:r>
          <w:t>7</w:t>
        </w:r>
        <w:r>
          <w:fldChar w:fldCharType="end"/>
        </w:r>
      </w:hyperlink>
    </w:p>
    <w:p>
      <w:pPr>
        <w:pStyle w:val="TOC2"/>
        <w:tabs>
          <w:tab w:val="right" w:leader="dot" w:pos="8306"/>
        </w:tabs>
      </w:pPr>
      <w:hyperlink w:anchor="_Toc8163" w:history="1">
        <w:r>
          <w:rPr>
            <w:rFonts w:ascii="仿宋" w:eastAsia="仿宋" w:hAnsi="仿宋" w:cs="仿宋" w:hint="eastAsia"/>
            <w:lang w:eastAsia="zh-CN"/>
          </w:rPr>
          <w:t>(二)、建设规模</w:t>
        </w:r>
        <w:r>
          <w:tab/>
        </w:r>
        <w:r>
          <w:fldChar w:fldCharType="begin"/>
        </w:r>
        <w:r>
          <w:instrText xml:space="preserve"> PAGEREF _Toc8163 \h </w:instrText>
        </w:r>
        <w:r>
          <w:fldChar w:fldCharType="separate"/>
        </w:r>
        <w:r>
          <w:t>8</w:t>
        </w:r>
        <w:r>
          <w:fldChar w:fldCharType="end"/>
        </w:r>
      </w:hyperlink>
    </w:p>
    <w:p>
      <w:pPr>
        <w:pStyle w:val="TOC1"/>
        <w:tabs>
          <w:tab w:val="right" w:leader="dot" w:pos="8306"/>
        </w:tabs>
      </w:pPr>
      <w:hyperlink w:anchor="_Toc5598" w:history="1">
        <w:r>
          <w:rPr>
            <w:rFonts w:ascii="仿宋" w:eastAsia="仿宋" w:hAnsi="仿宋" w:cs="仿宋" w:hint="eastAsia"/>
            <w:lang w:eastAsia="zh-CN"/>
          </w:rPr>
          <w:t>四、专科体检项目可持续发展</w:t>
        </w:r>
        <w:r>
          <w:tab/>
        </w:r>
        <w:r>
          <w:fldChar w:fldCharType="begin"/>
        </w:r>
        <w:r>
          <w:instrText xml:space="preserve"> PAGEREF _Toc5598 \h </w:instrText>
        </w:r>
        <w:r>
          <w:fldChar w:fldCharType="separate"/>
        </w:r>
        <w:r>
          <w:t>9</w:t>
        </w:r>
        <w:r>
          <w:fldChar w:fldCharType="end"/>
        </w:r>
      </w:hyperlink>
    </w:p>
    <w:p>
      <w:pPr>
        <w:pStyle w:val="TOC2"/>
        <w:tabs>
          <w:tab w:val="right" w:leader="dot" w:pos="8306"/>
        </w:tabs>
      </w:pPr>
      <w:hyperlink w:anchor="_Toc15987" w:history="1">
        <w:r>
          <w:rPr>
            <w:rFonts w:ascii="仿宋" w:eastAsia="仿宋" w:hAnsi="仿宋" w:cs="仿宋" w:hint="eastAsia"/>
            <w:lang w:eastAsia="zh-CN"/>
          </w:rPr>
          <w:t>(一)、可持续战略与实践</w:t>
        </w:r>
        <w:r>
          <w:tab/>
        </w:r>
        <w:r>
          <w:fldChar w:fldCharType="begin"/>
        </w:r>
        <w:r>
          <w:instrText xml:space="preserve"> PAGEREF _Toc15987 \h </w:instrText>
        </w:r>
        <w:r>
          <w:fldChar w:fldCharType="separate"/>
        </w:r>
        <w:r>
          <w:t>9</w:t>
        </w:r>
        <w:r>
          <w:fldChar w:fldCharType="end"/>
        </w:r>
      </w:hyperlink>
    </w:p>
    <w:p>
      <w:pPr>
        <w:pStyle w:val="TOC2"/>
        <w:tabs>
          <w:tab w:val="right" w:leader="dot" w:pos="8306"/>
        </w:tabs>
      </w:pPr>
      <w:hyperlink w:anchor="_Toc2260" w:history="1">
        <w:r>
          <w:rPr>
            <w:rFonts w:ascii="仿宋" w:eastAsia="仿宋" w:hAnsi="仿宋" w:cs="仿宋" w:hint="eastAsia"/>
            <w:lang w:eastAsia="zh-CN"/>
          </w:rPr>
          <w:t>(二)、环保与社会责任</w:t>
        </w:r>
        <w:r>
          <w:tab/>
        </w:r>
        <w:r>
          <w:fldChar w:fldCharType="begin"/>
        </w:r>
        <w:r>
          <w:instrText xml:space="preserve"> PAGEREF _Toc2260 \h </w:instrText>
        </w:r>
        <w:r>
          <w:fldChar w:fldCharType="separate"/>
        </w:r>
        <w:r>
          <w:t>9</w:t>
        </w:r>
        <w:r>
          <w:fldChar w:fldCharType="end"/>
        </w:r>
      </w:hyperlink>
    </w:p>
    <w:p>
      <w:pPr>
        <w:pStyle w:val="TOC1"/>
        <w:tabs>
          <w:tab w:val="right" w:leader="dot" w:pos="8306"/>
        </w:tabs>
      </w:pPr>
      <w:hyperlink w:anchor="_Toc29248" w:history="1">
        <w:r>
          <w:rPr>
            <w:rFonts w:ascii="仿宋" w:eastAsia="仿宋" w:hAnsi="仿宋" w:cs="仿宋" w:hint="eastAsia"/>
            <w:lang w:eastAsia="zh-CN"/>
          </w:rPr>
          <w:t>五、专科体检项目选址可行性分析</w:t>
        </w:r>
        <w:r>
          <w:tab/>
        </w:r>
        <w:r>
          <w:fldChar w:fldCharType="begin"/>
        </w:r>
        <w:r>
          <w:instrText xml:space="preserve"> PAGEREF _Toc29248 \h </w:instrText>
        </w:r>
        <w:r>
          <w:fldChar w:fldCharType="separate"/>
        </w:r>
        <w:r>
          <w:t>10</w:t>
        </w:r>
        <w:r>
          <w:fldChar w:fldCharType="end"/>
        </w:r>
      </w:hyperlink>
    </w:p>
    <w:p>
      <w:pPr>
        <w:pStyle w:val="TOC2"/>
        <w:tabs>
          <w:tab w:val="right" w:leader="dot" w:pos="8306"/>
        </w:tabs>
      </w:pPr>
      <w:hyperlink w:anchor="_Toc23937" w:history="1">
        <w:r>
          <w:rPr>
            <w:rFonts w:ascii="仿宋" w:eastAsia="仿宋" w:hAnsi="仿宋" w:cs="仿宋" w:hint="eastAsia"/>
            <w:lang w:eastAsia="zh-CN"/>
          </w:rPr>
          <w:t>(一)、专科体检项目选址</w:t>
        </w:r>
        <w:r>
          <w:tab/>
        </w:r>
        <w:r>
          <w:fldChar w:fldCharType="begin"/>
        </w:r>
        <w:r>
          <w:instrText xml:space="preserve"> PAGEREF _Toc23937 \h </w:instrText>
        </w:r>
        <w:r>
          <w:fldChar w:fldCharType="separate"/>
        </w:r>
        <w:r>
          <w:t>10</w:t>
        </w:r>
        <w:r>
          <w:fldChar w:fldCharType="end"/>
        </w:r>
      </w:hyperlink>
    </w:p>
    <w:p>
      <w:pPr>
        <w:pStyle w:val="TOC2"/>
        <w:tabs>
          <w:tab w:val="right" w:leader="dot" w:pos="8306"/>
        </w:tabs>
      </w:pPr>
      <w:hyperlink w:anchor="_Toc24994" w:history="1">
        <w:r>
          <w:rPr>
            <w:rFonts w:ascii="仿宋" w:eastAsia="仿宋" w:hAnsi="仿宋" w:cs="仿宋" w:hint="eastAsia"/>
            <w:lang w:eastAsia="zh-CN"/>
          </w:rPr>
          <w:t>(二)、用地控制指标</w:t>
        </w:r>
        <w:r>
          <w:tab/>
        </w:r>
        <w:r>
          <w:fldChar w:fldCharType="begin"/>
        </w:r>
        <w:r>
          <w:instrText xml:space="preserve"> PAGEREF _Toc24994 \h </w:instrText>
        </w:r>
        <w:r>
          <w:fldChar w:fldCharType="separate"/>
        </w:r>
        <w:r>
          <w:t>10</w:t>
        </w:r>
        <w:r>
          <w:fldChar w:fldCharType="end"/>
        </w:r>
      </w:hyperlink>
    </w:p>
    <w:p>
      <w:pPr>
        <w:pStyle w:val="TOC2"/>
        <w:tabs>
          <w:tab w:val="right" w:leader="dot" w:pos="8306"/>
        </w:tabs>
      </w:pPr>
      <w:hyperlink w:anchor="_Toc3652" w:history="1">
        <w:r>
          <w:rPr>
            <w:rFonts w:ascii="仿宋" w:eastAsia="仿宋" w:hAnsi="仿宋" w:cs="仿宋" w:hint="eastAsia"/>
            <w:lang w:eastAsia="zh-CN"/>
          </w:rPr>
          <w:t>(三)、节约用地措施</w:t>
        </w:r>
        <w:r>
          <w:tab/>
        </w:r>
        <w:r>
          <w:fldChar w:fldCharType="begin"/>
        </w:r>
        <w:r>
          <w:instrText xml:space="preserve"> PAGEREF _Toc3652 \h </w:instrText>
        </w:r>
        <w:r>
          <w:fldChar w:fldCharType="separate"/>
        </w:r>
        <w:r>
          <w:t>12</w:t>
        </w:r>
        <w:r>
          <w:fldChar w:fldCharType="end"/>
        </w:r>
      </w:hyperlink>
    </w:p>
    <w:p>
      <w:pPr>
        <w:pStyle w:val="TOC2"/>
        <w:tabs>
          <w:tab w:val="right" w:leader="dot" w:pos="8306"/>
        </w:tabs>
      </w:pPr>
      <w:hyperlink w:anchor="_Toc32057" w:history="1">
        <w:r>
          <w:rPr>
            <w:rFonts w:ascii="仿宋" w:eastAsia="仿宋" w:hAnsi="仿宋" w:cs="仿宋" w:hint="eastAsia"/>
            <w:lang w:eastAsia="zh-CN"/>
          </w:rPr>
          <w:t>(四)、总图布置方案</w:t>
        </w:r>
        <w:r>
          <w:tab/>
        </w:r>
        <w:r>
          <w:fldChar w:fldCharType="begin"/>
        </w:r>
        <w:r>
          <w:instrText xml:space="preserve"> PAGEREF _Toc32057 \h </w:instrText>
        </w:r>
        <w:r>
          <w:fldChar w:fldCharType="separate"/>
        </w:r>
        <w:r>
          <w:t>13</w:t>
        </w:r>
        <w:r>
          <w:fldChar w:fldCharType="end"/>
        </w:r>
      </w:hyperlink>
    </w:p>
    <w:p>
      <w:pPr>
        <w:pStyle w:val="TOC2"/>
        <w:tabs>
          <w:tab w:val="right" w:leader="dot" w:pos="8306"/>
        </w:tabs>
      </w:pPr>
      <w:hyperlink w:anchor="_Toc12797" w:history="1">
        <w:r>
          <w:rPr>
            <w:rFonts w:ascii="仿宋" w:eastAsia="仿宋" w:hAnsi="仿宋" w:cs="仿宋" w:hint="eastAsia"/>
            <w:lang w:eastAsia="zh-CN"/>
          </w:rPr>
          <w:t>(五)、选址综合评价</w:t>
        </w:r>
        <w:r>
          <w:tab/>
        </w:r>
        <w:r>
          <w:fldChar w:fldCharType="begin"/>
        </w:r>
        <w:r>
          <w:instrText xml:space="preserve"> PAGEREF _Toc12797 \h </w:instrText>
        </w:r>
        <w:r>
          <w:fldChar w:fldCharType="separate"/>
        </w:r>
        <w:r>
          <w:t>14</w:t>
        </w:r>
        <w:r>
          <w:fldChar w:fldCharType="end"/>
        </w:r>
      </w:hyperlink>
    </w:p>
    <w:p>
      <w:pPr>
        <w:pStyle w:val="TOC1"/>
        <w:tabs>
          <w:tab w:val="right" w:leader="dot" w:pos="8306"/>
        </w:tabs>
      </w:pPr>
      <w:hyperlink w:anchor="_Toc11837" w:history="1">
        <w:r>
          <w:rPr>
            <w:rFonts w:ascii="仿宋" w:eastAsia="仿宋" w:hAnsi="仿宋" w:cs="仿宋" w:hint="eastAsia"/>
            <w:lang w:eastAsia="zh-CN"/>
          </w:rPr>
          <w:t>六、专科体检项目土建工程</w:t>
        </w:r>
        <w:r>
          <w:tab/>
        </w:r>
        <w:r>
          <w:fldChar w:fldCharType="begin"/>
        </w:r>
        <w:r>
          <w:instrText xml:space="preserve"> PAGEREF _Toc11837 \h </w:instrText>
        </w:r>
        <w:r>
          <w:fldChar w:fldCharType="separate"/>
        </w:r>
        <w:r>
          <w:t>15</w:t>
        </w:r>
        <w:r>
          <w:fldChar w:fldCharType="end"/>
        </w:r>
      </w:hyperlink>
    </w:p>
    <w:p>
      <w:pPr>
        <w:pStyle w:val="TOC2"/>
        <w:tabs>
          <w:tab w:val="right" w:leader="dot" w:pos="8306"/>
        </w:tabs>
      </w:pPr>
      <w:hyperlink w:anchor="_Toc19333" w:history="1">
        <w:r>
          <w:rPr>
            <w:rFonts w:ascii="仿宋" w:eastAsia="仿宋" w:hAnsi="仿宋" w:cs="仿宋" w:hint="eastAsia"/>
            <w:lang w:eastAsia="zh-CN"/>
          </w:rPr>
          <w:t>(一)、建筑工程设计原则</w:t>
        </w:r>
        <w:r>
          <w:tab/>
        </w:r>
        <w:r>
          <w:fldChar w:fldCharType="begin"/>
        </w:r>
        <w:r>
          <w:instrText xml:space="preserve"> PAGEREF _Toc19333 \h </w:instrText>
        </w:r>
        <w:r>
          <w:fldChar w:fldCharType="separate"/>
        </w:r>
        <w:r>
          <w:t>15</w:t>
        </w:r>
        <w:r>
          <w:fldChar w:fldCharType="end"/>
        </w:r>
      </w:hyperlink>
    </w:p>
    <w:p>
      <w:pPr>
        <w:pStyle w:val="TOC2"/>
        <w:tabs>
          <w:tab w:val="right" w:leader="dot" w:pos="8306"/>
        </w:tabs>
      </w:pPr>
      <w:hyperlink w:anchor="_Toc22655" w:history="1">
        <w:r>
          <w:rPr>
            <w:rFonts w:ascii="仿宋" w:eastAsia="仿宋" w:hAnsi="仿宋" w:cs="仿宋" w:hint="eastAsia"/>
            <w:lang w:eastAsia="zh-CN"/>
          </w:rPr>
          <w:t>(二)、土建工程设计年限及安全等级</w:t>
        </w:r>
        <w:r>
          <w:tab/>
        </w:r>
        <w:r>
          <w:fldChar w:fldCharType="begin"/>
        </w:r>
        <w:r>
          <w:instrText xml:space="preserve"> PAGEREF _Toc22655 \h </w:instrText>
        </w:r>
        <w:r>
          <w:fldChar w:fldCharType="separate"/>
        </w:r>
        <w:r>
          <w:t>17</w:t>
        </w:r>
        <w:r>
          <w:fldChar w:fldCharType="end"/>
        </w:r>
      </w:hyperlink>
    </w:p>
    <w:p>
      <w:pPr>
        <w:pStyle w:val="TOC2"/>
        <w:tabs>
          <w:tab w:val="right" w:leader="dot" w:pos="8306"/>
        </w:tabs>
      </w:pPr>
      <w:hyperlink w:anchor="_Toc29260" w:history="1">
        <w:r>
          <w:rPr>
            <w:rFonts w:ascii="仿宋" w:eastAsia="仿宋" w:hAnsi="仿宋" w:cs="仿宋" w:hint="eastAsia"/>
            <w:lang w:eastAsia="zh-CN"/>
          </w:rPr>
          <w:t>(三)、建筑工程设计总体要求</w:t>
        </w:r>
        <w:r>
          <w:tab/>
        </w:r>
        <w:r>
          <w:fldChar w:fldCharType="begin"/>
        </w:r>
        <w:r>
          <w:instrText xml:space="preserve"> PAGEREF _Toc29260 \h </w:instrText>
        </w:r>
        <w:r>
          <w:fldChar w:fldCharType="separate"/>
        </w:r>
        <w:r>
          <w:t>18</w:t>
        </w:r>
        <w:r>
          <w:fldChar w:fldCharType="end"/>
        </w:r>
      </w:hyperlink>
    </w:p>
    <w:p>
      <w:pPr>
        <w:pStyle w:val="TOC2"/>
        <w:tabs>
          <w:tab w:val="right" w:leader="dot" w:pos="8306"/>
        </w:tabs>
      </w:pPr>
      <w:hyperlink w:anchor="_Toc21801" w:history="1">
        <w:r>
          <w:rPr>
            <w:rFonts w:ascii="仿宋" w:eastAsia="仿宋" w:hAnsi="仿宋" w:cs="仿宋" w:hint="eastAsia"/>
            <w:lang w:eastAsia="zh-CN"/>
          </w:rPr>
          <w:t>(四)、土建工程建设指标</w:t>
        </w:r>
        <w:r>
          <w:tab/>
        </w:r>
        <w:r>
          <w:fldChar w:fldCharType="begin"/>
        </w:r>
        <w:r>
          <w:instrText xml:space="preserve"> PAGEREF _Toc21801 \h </w:instrText>
        </w:r>
        <w:r>
          <w:fldChar w:fldCharType="separate"/>
        </w:r>
        <w:r>
          <w:t>18</w:t>
        </w:r>
        <w:r>
          <w:fldChar w:fldCharType="end"/>
        </w:r>
      </w:hyperlink>
    </w:p>
    <w:p>
      <w:pPr>
        <w:pStyle w:val="TOC1"/>
        <w:tabs>
          <w:tab w:val="right" w:leader="dot" w:pos="8306"/>
        </w:tabs>
      </w:pPr>
      <w:hyperlink w:anchor="_Toc1146" w:history="1">
        <w:r>
          <w:rPr>
            <w:rFonts w:ascii="仿宋" w:eastAsia="仿宋" w:hAnsi="仿宋" w:cs="仿宋" w:hint="eastAsia"/>
            <w:lang w:eastAsia="zh-CN"/>
          </w:rPr>
          <w:t>七、专科体检项目人力资源管理</w:t>
        </w:r>
        <w:r>
          <w:tab/>
        </w:r>
        <w:r>
          <w:fldChar w:fldCharType="begin"/>
        </w:r>
        <w:r>
          <w:instrText xml:space="preserve"> PAGEREF _Toc1146 \h </w:instrText>
        </w:r>
        <w:r>
          <w:fldChar w:fldCharType="separate"/>
        </w:r>
        <w:r>
          <w:t>19</w:t>
        </w:r>
        <w:r>
          <w:fldChar w:fldCharType="end"/>
        </w:r>
      </w:hyperlink>
    </w:p>
    <w:p>
      <w:pPr>
        <w:pStyle w:val="TOC2"/>
        <w:tabs>
          <w:tab w:val="right" w:leader="dot" w:pos="8306"/>
        </w:tabs>
      </w:pPr>
      <w:hyperlink w:anchor="_Toc29883" w:history="1">
        <w:r>
          <w:rPr>
            <w:rFonts w:ascii="仿宋" w:eastAsia="仿宋" w:hAnsi="仿宋" w:cs="仿宋" w:hint="eastAsia"/>
            <w:lang w:eastAsia="zh-CN"/>
          </w:rPr>
          <w:t>(一)、建立健全的预算管理制度</w:t>
        </w:r>
        <w:r>
          <w:tab/>
        </w:r>
        <w:r>
          <w:fldChar w:fldCharType="begin"/>
        </w:r>
        <w:r>
          <w:instrText xml:space="preserve"> PAGEREF _Toc29883 \h </w:instrText>
        </w:r>
        <w:r>
          <w:fldChar w:fldCharType="separate"/>
        </w:r>
        <w:r>
          <w:t>19</w:t>
        </w:r>
        <w:r>
          <w:fldChar w:fldCharType="end"/>
        </w:r>
      </w:hyperlink>
    </w:p>
    <w:p>
      <w:pPr>
        <w:pStyle w:val="TOC2"/>
        <w:tabs>
          <w:tab w:val="right" w:leader="dot" w:pos="8306"/>
        </w:tabs>
      </w:pPr>
      <w:hyperlink w:anchor="_Toc22407" w:history="1">
        <w:r>
          <w:rPr>
            <w:rFonts w:ascii="仿宋" w:eastAsia="仿宋" w:hAnsi="仿宋" w:cs="仿宋" w:hint="eastAsia"/>
            <w:lang w:eastAsia="zh-CN"/>
          </w:rPr>
          <w:t>(二)、加强资金流动监控</w:t>
        </w:r>
        <w:r>
          <w:tab/>
        </w:r>
        <w:r>
          <w:fldChar w:fldCharType="begin"/>
        </w:r>
        <w:r>
          <w:instrText xml:space="preserve"> PAGEREF _Toc22407 \h </w:instrText>
        </w:r>
        <w:r>
          <w:fldChar w:fldCharType="separate"/>
        </w:r>
        <w:r>
          <w:t>20</w:t>
        </w:r>
        <w:r>
          <w:fldChar w:fldCharType="end"/>
        </w:r>
      </w:hyperlink>
    </w:p>
    <w:p>
      <w:pPr>
        <w:pStyle w:val="TOC2"/>
        <w:tabs>
          <w:tab w:val="right" w:leader="dot" w:pos="8306"/>
        </w:tabs>
      </w:pPr>
      <w:hyperlink w:anchor="_Toc18920" w:history="1">
        <w:r>
          <w:rPr>
            <w:rFonts w:ascii="仿宋" w:eastAsia="仿宋" w:hAnsi="仿宋" w:cs="仿宋" w:hint="eastAsia"/>
            <w:lang w:eastAsia="zh-CN"/>
          </w:rPr>
          <w:t>(三)、制定完善的风险控制机制</w:t>
        </w:r>
        <w:r>
          <w:tab/>
        </w:r>
        <w:r>
          <w:fldChar w:fldCharType="begin"/>
        </w:r>
        <w:r>
          <w:instrText xml:space="preserve"> PAGEREF _Toc18920 \h </w:instrText>
        </w:r>
        <w:r>
          <w:fldChar w:fldCharType="separate"/>
        </w:r>
        <w:r>
          <w:t>21</w:t>
        </w:r>
        <w:r>
          <w:fldChar w:fldCharType="end"/>
        </w:r>
      </w:hyperlink>
    </w:p>
    <w:p>
      <w:pPr>
        <w:pStyle w:val="TOC2"/>
        <w:tabs>
          <w:tab w:val="right" w:leader="dot" w:pos="8306"/>
        </w:tabs>
      </w:pPr>
      <w:hyperlink w:anchor="_Toc16936" w:history="1">
        <w:r>
          <w:rPr>
            <w:rFonts w:ascii="仿宋" w:eastAsia="仿宋" w:hAnsi="仿宋" w:cs="仿宋" w:hint="eastAsia"/>
            <w:lang w:eastAsia="zh-CN"/>
          </w:rPr>
          <w:t>(四)、优化成本管理</w:t>
        </w:r>
        <w:r>
          <w:tab/>
        </w:r>
        <w:r>
          <w:fldChar w:fldCharType="begin"/>
        </w:r>
        <w:r>
          <w:instrText xml:space="preserve"> PAGEREF _Toc16936 \h </w:instrText>
        </w:r>
        <w:r>
          <w:fldChar w:fldCharType="separate"/>
        </w:r>
        <w:r>
          <w:t>23</w:t>
        </w:r>
        <w:r>
          <w:fldChar w:fldCharType="end"/>
        </w:r>
      </w:hyperlink>
    </w:p>
    <w:p>
      <w:pPr>
        <w:pStyle w:val="TOC1"/>
        <w:tabs>
          <w:tab w:val="right" w:leader="dot" w:pos="8306"/>
        </w:tabs>
      </w:pPr>
      <w:hyperlink w:anchor="_Toc19502" w:history="1">
        <w:r>
          <w:rPr>
            <w:rFonts w:ascii="仿宋" w:eastAsia="仿宋" w:hAnsi="仿宋" w:cs="仿宋" w:hint="eastAsia"/>
            <w:lang w:eastAsia="zh-CN"/>
          </w:rPr>
          <w:t>八、专科体检项目风险管理</w:t>
        </w:r>
        <w:r>
          <w:tab/>
        </w:r>
        <w:r>
          <w:fldChar w:fldCharType="begin"/>
        </w:r>
        <w:r>
          <w:instrText xml:space="preserve"> PAGEREF _Toc19502 \h </w:instrText>
        </w:r>
        <w:r>
          <w:fldChar w:fldCharType="separate"/>
        </w:r>
        <w:r>
          <w:t>24</w:t>
        </w:r>
        <w:r>
          <w:fldChar w:fldCharType="end"/>
        </w:r>
      </w:hyperlink>
    </w:p>
    <w:p>
      <w:pPr>
        <w:pStyle w:val="TOC2"/>
        <w:tabs>
          <w:tab w:val="right" w:leader="dot" w:pos="8306"/>
        </w:tabs>
      </w:pPr>
      <w:hyperlink w:anchor="_Toc29436" w:history="1">
        <w:r>
          <w:rPr>
            <w:rFonts w:ascii="仿宋" w:eastAsia="仿宋" w:hAnsi="仿宋" w:cs="仿宋" w:hint="eastAsia"/>
            <w:lang w:eastAsia="zh-CN"/>
          </w:rPr>
          <w:t>(一)、风险识别与评估</w:t>
        </w:r>
        <w:r>
          <w:tab/>
        </w:r>
        <w:r>
          <w:fldChar w:fldCharType="begin"/>
        </w:r>
        <w:r>
          <w:instrText xml:space="preserve"> PAGEREF _Toc29436 \h </w:instrText>
        </w:r>
        <w:r>
          <w:fldChar w:fldCharType="separate"/>
        </w:r>
        <w:r>
          <w:t>24</w:t>
        </w:r>
        <w:r>
          <w:fldChar w:fldCharType="end"/>
        </w:r>
      </w:hyperlink>
    </w:p>
    <w:p>
      <w:pPr>
        <w:pStyle w:val="TOC2"/>
        <w:tabs>
          <w:tab w:val="right" w:leader="dot" w:pos="8306"/>
        </w:tabs>
      </w:pPr>
      <w:hyperlink w:anchor="_Toc6242" w:history="1">
        <w:r>
          <w:rPr>
            <w:rFonts w:ascii="仿宋" w:eastAsia="仿宋" w:hAnsi="仿宋" w:cs="仿宋" w:hint="eastAsia"/>
            <w:lang w:eastAsia="zh-CN"/>
          </w:rPr>
          <w:t>(二)、风险应对策略</w:t>
        </w:r>
        <w:r>
          <w:tab/>
        </w:r>
        <w:r>
          <w:fldChar w:fldCharType="begin"/>
        </w:r>
        <w:r>
          <w:instrText xml:space="preserve"> PAGEREF _Toc6242 \h </w:instrText>
        </w:r>
        <w:r>
          <w:fldChar w:fldCharType="separate"/>
        </w:r>
        <w:r>
          <w:t>25</w:t>
        </w:r>
        <w:r>
          <w:fldChar w:fldCharType="end"/>
        </w:r>
      </w:hyperlink>
    </w:p>
    <w:p>
      <w:pPr>
        <w:pStyle w:val="TOC2"/>
        <w:tabs>
          <w:tab w:val="right" w:leader="dot" w:pos="8306"/>
        </w:tabs>
      </w:pPr>
      <w:hyperlink w:anchor="_Toc24938" w:history="1">
        <w:r>
          <w:rPr>
            <w:rFonts w:ascii="仿宋" w:eastAsia="仿宋" w:hAnsi="仿宋" w:cs="仿宋" w:hint="eastAsia"/>
            <w:lang w:eastAsia="zh-CN"/>
          </w:rPr>
          <w:t>(三)、风险监控与控制</w:t>
        </w:r>
        <w:r>
          <w:tab/>
        </w:r>
        <w:r>
          <w:fldChar w:fldCharType="begin"/>
        </w:r>
        <w:r>
          <w:instrText xml:space="preserve"> PAGEREF _Toc24938 \h </w:instrText>
        </w:r>
        <w:r>
          <w:fldChar w:fldCharType="separate"/>
        </w:r>
        <w:r>
          <w:t>27</w:t>
        </w:r>
        <w:r>
          <w:fldChar w:fldCharType="end"/>
        </w:r>
      </w:hyperlink>
    </w:p>
    <w:p>
      <w:pPr>
        <w:pStyle w:val="TOC1"/>
        <w:tabs>
          <w:tab w:val="right" w:leader="dot" w:pos="8306"/>
        </w:tabs>
      </w:pPr>
      <w:hyperlink w:anchor="_Toc1684" w:history="1">
        <w:r>
          <w:rPr>
            <w:rFonts w:ascii="仿宋" w:eastAsia="仿宋" w:hAnsi="仿宋" w:cs="仿宋" w:hint="eastAsia"/>
            <w:lang w:eastAsia="zh-CN"/>
          </w:rPr>
          <w:t>九、专科体检项目社会影响</w:t>
        </w:r>
        <w:r>
          <w:tab/>
        </w:r>
        <w:r>
          <w:fldChar w:fldCharType="begin"/>
        </w:r>
        <w:r>
          <w:instrText xml:space="preserve"> PAGEREF _Toc1684 \h </w:instrText>
        </w:r>
        <w:r>
          <w:fldChar w:fldCharType="separate"/>
        </w:r>
        <w:r>
          <w:t>28</w:t>
        </w:r>
        <w:r>
          <w:fldChar w:fldCharType="end"/>
        </w:r>
      </w:hyperlink>
    </w:p>
    <w:p>
      <w:pPr>
        <w:pStyle w:val="TOC2"/>
        <w:tabs>
          <w:tab w:val="right" w:leader="dot" w:pos="8306"/>
        </w:tabs>
      </w:pPr>
      <w:hyperlink w:anchor="_Toc21122" w:history="1">
        <w:r>
          <w:rPr>
            <w:rFonts w:ascii="仿宋" w:eastAsia="仿宋" w:hAnsi="仿宋" w:cs="仿宋" w:hint="eastAsia"/>
            <w:lang w:eastAsia="zh-CN"/>
          </w:rPr>
          <w:t>(一)、社会责任与义务</w:t>
        </w:r>
        <w:r>
          <w:tab/>
        </w:r>
        <w:r>
          <w:fldChar w:fldCharType="begin"/>
        </w:r>
        <w:r>
          <w:instrText xml:space="preserve"> PAGEREF _Toc21122 \h </w:instrText>
        </w:r>
        <w:r>
          <w:fldChar w:fldCharType="separate"/>
        </w:r>
        <w:r>
          <w:t>28</w:t>
        </w:r>
        <w:r>
          <w:fldChar w:fldCharType="end"/>
        </w:r>
      </w:hyperlink>
    </w:p>
    <w:p>
      <w:pPr>
        <w:pStyle w:val="TOC2"/>
        <w:tabs>
          <w:tab w:val="right" w:leader="dot" w:pos="8306"/>
        </w:tabs>
      </w:pPr>
      <w:hyperlink w:anchor="_Toc18406" w:history="1">
        <w:r>
          <w:rPr>
            <w:rFonts w:ascii="仿宋" w:eastAsia="仿宋" w:hAnsi="仿宋" w:cs="仿宋" w:hint="eastAsia"/>
            <w:lang w:eastAsia="zh-CN"/>
          </w:rPr>
          <w:t>(二)、社会参与与沟通</w:t>
        </w:r>
        <w:r>
          <w:tab/>
        </w:r>
        <w:r>
          <w:fldChar w:fldCharType="begin"/>
        </w:r>
        <w:r>
          <w:instrText xml:space="preserve"> PAGEREF _Toc18406 \h </w:instrText>
        </w:r>
        <w:r>
          <w:fldChar w:fldCharType="separate"/>
        </w:r>
        <w:r>
          <w:t>29</w:t>
        </w:r>
        <w:r>
          <w:fldChar w:fldCharType="end"/>
        </w:r>
      </w:hyperlink>
    </w:p>
    <w:p>
      <w:pPr>
        <w:pStyle w:val="TOC1"/>
        <w:tabs>
          <w:tab w:val="right" w:leader="dot" w:pos="8306"/>
        </w:tabs>
      </w:pPr>
      <w:hyperlink w:anchor="_Toc31206" w:history="1">
        <w:r>
          <w:rPr>
            <w:rFonts w:ascii="仿宋" w:eastAsia="仿宋" w:hAnsi="仿宋" w:cs="仿宋" w:hint="eastAsia"/>
            <w:lang w:eastAsia="zh-CN"/>
          </w:rPr>
          <w:t>十、专科体检项目经营效益</w:t>
        </w:r>
        <w:r>
          <w:tab/>
        </w:r>
        <w:r>
          <w:fldChar w:fldCharType="begin"/>
        </w:r>
        <w:r>
          <w:instrText xml:space="preserve"> PAGEREF _Toc31206 \h </w:instrText>
        </w:r>
        <w:r>
          <w:fldChar w:fldCharType="separate"/>
        </w:r>
        <w:r>
          <w:t>30</w:t>
        </w:r>
        <w:r>
          <w:fldChar w:fldCharType="end"/>
        </w:r>
      </w:hyperlink>
    </w:p>
    <w:p>
      <w:pPr>
        <w:pStyle w:val="TOC2"/>
        <w:tabs>
          <w:tab w:val="right" w:leader="dot" w:pos="8306"/>
        </w:tabs>
      </w:pPr>
      <w:hyperlink w:anchor="_Toc5199" w:history="1">
        <w:r>
          <w:rPr>
            <w:rFonts w:ascii="仿宋" w:eastAsia="仿宋" w:hAnsi="仿宋" w:cs="仿宋" w:hint="eastAsia"/>
            <w:lang w:eastAsia="zh-CN"/>
          </w:rPr>
          <w:t>(一)、经济评价财务测算</w:t>
        </w:r>
        <w:r>
          <w:tab/>
        </w:r>
        <w:r>
          <w:fldChar w:fldCharType="begin"/>
        </w:r>
        <w:r>
          <w:instrText xml:space="preserve"> PAGEREF _Toc5199 \h </w:instrText>
        </w:r>
        <w:r>
          <w:fldChar w:fldCharType="separate"/>
        </w:r>
        <w:r>
          <w:t>30</w:t>
        </w:r>
        <w:r>
          <w:fldChar w:fldCharType="end"/>
        </w:r>
      </w:hyperlink>
    </w:p>
    <w:p>
      <w:pPr>
        <w:pStyle w:val="TOC2"/>
        <w:tabs>
          <w:tab w:val="right" w:leader="dot" w:pos="8306"/>
        </w:tabs>
      </w:pPr>
      <w:hyperlink w:anchor="_Toc16137" w:history="1">
        <w:r>
          <w:rPr>
            <w:rFonts w:ascii="仿宋" w:eastAsia="仿宋" w:hAnsi="仿宋" w:cs="仿宋" w:hint="eastAsia"/>
            <w:lang w:eastAsia="zh-CN"/>
          </w:rPr>
          <w:t>(二)、专科体检项目盈利能力分析</w:t>
        </w:r>
        <w:r>
          <w:tab/>
        </w:r>
        <w:r>
          <w:fldChar w:fldCharType="begin"/>
        </w:r>
        <w:r>
          <w:instrText xml:space="preserve"> PAGEREF _Toc16137 \h </w:instrText>
        </w:r>
        <w:r>
          <w:fldChar w:fldCharType="separate"/>
        </w:r>
        <w:r>
          <w:t>31</w:t>
        </w:r>
        <w:r>
          <w:fldChar w:fldCharType="end"/>
        </w:r>
      </w:hyperlink>
    </w:p>
    <w:p>
      <w:pPr>
        <w:pStyle w:val="TOC1"/>
        <w:tabs>
          <w:tab w:val="right" w:leader="dot" w:pos="8306"/>
        </w:tabs>
      </w:pPr>
      <w:hyperlink w:anchor="_Toc28524" w:history="1">
        <w:r>
          <w:rPr>
            <w:rFonts w:ascii="仿宋" w:eastAsia="仿宋" w:hAnsi="仿宋" w:cs="仿宋" w:hint="eastAsia"/>
            <w:lang w:eastAsia="zh-CN"/>
          </w:rPr>
          <w:t>十一、专科体检项目环境影响分析</w:t>
        </w:r>
        <w:r>
          <w:tab/>
        </w:r>
        <w:r>
          <w:fldChar w:fldCharType="begin"/>
        </w:r>
        <w:r>
          <w:instrText xml:space="preserve"> PAGEREF _Toc28524 \h </w:instrText>
        </w:r>
        <w:r>
          <w:fldChar w:fldCharType="separate"/>
        </w:r>
        <w:r>
          <w:t>32</w:t>
        </w:r>
        <w:r>
          <w:fldChar w:fldCharType="end"/>
        </w:r>
      </w:hyperlink>
    </w:p>
    <w:p>
      <w:pPr>
        <w:pStyle w:val="TOC2"/>
        <w:tabs>
          <w:tab w:val="right" w:leader="dot" w:pos="8306"/>
        </w:tabs>
      </w:pPr>
      <w:hyperlink w:anchor="_Toc12607" w:history="1">
        <w:r>
          <w:rPr>
            <w:rFonts w:ascii="仿宋" w:eastAsia="仿宋" w:hAnsi="仿宋" w:cs="仿宋" w:hint="eastAsia"/>
            <w:lang w:eastAsia="zh-CN"/>
          </w:rPr>
          <w:t>(一)、建设区域环境质量现状</w:t>
        </w:r>
        <w:r>
          <w:tab/>
        </w:r>
        <w:r>
          <w:fldChar w:fldCharType="begin"/>
        </w:r>
        <w:r>
          <w:instrText xml:space="preserve"> PAGEREF _Toc12607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7" w:history="1">
        <w:r>
          <w:rPr>
            <w:rFonts w:ascii="仿宋" w:eastAsia="仿宋" w:hAnsi="仿宋" w:cs="仿宋" w:hint="eastAsia"/>
            <w:lang w:eastAsia="zh-CN"/>
          </w:rPr>
          <w:t>(二)、建设期环境保护</w:t>
        </w:r>
        <w:r>
          <w:tab/>
        </w:r>
        <w:r>
          <w:fldChar w:fldCharType="begin"/>
        </w:r>
        <w:r>
          <w:instrText xml:space="preserve"> PAGEREF _Toc1217 \h </w:instrText>
        </w:r>
        <w:r>
          <w:fldChar w:fldCharType="separate"/>
        </w:r>
        <w:r>
          <w:t>33</w:t>
        </w:r>
        <w:r>
          <w:fldChar w:fldCharType="end"/>
        </w:r>
      </w:hyperlink>
    </w:p>
    <w:p>
      <w:pPr>
        <w:pStyle w:val="TOC2"/>
        <w:tabs>
          <w:tab w:val="right" w:leader="dot" w:pos="8306"/>
        </w:tabs>
      </w:pPr>
      <w:hyperlink w:anchor="_Toc18805" w:history="1">
        <w:r>
          <w:rPr>
            <w:rFonts w:ascii="仿宋" w:eastAsia="仿宋" w:hAnsi="仿宋" w:cs="仿宋" w:hint="eastAsia"/>
            <w:lang w:eastAsia="zh-CN"/>
          </w:rPr>
          <w:t>(三)、运营期环境保护</w:t>
        </w:r>
        <w:r>
          <w:tab/>
        </w:r>
        <w:r>
          <w:fldChar w:fldCharType="begin"/>
        </w:r>
        <w:r>
          <w:instrText xml:space="preserve"> PAGEREF _Toc18805 \h </w:instrText>
        </w:r>
        <w:r>
          <w:fldChar w:fldCharType="separate"/>
        </w:r>
        <w:r>
          <w:t>34</w:t>
        </w:r>
        <w:r>
          <w:fldChar w:fldCharType="end"/>
        </w:r>
      </w:hyperlink>
    </w:p>
    <w:p>
      <w:pPr>
        <w:pStyle w:val="TOC2"/>
        <w:tabs>
          <w:tab w:val="right" w:leader="dot" w:pos="8306"/>
        </w:tabs>
      </w:pPr>
      <w:hyperlink w:anchor="_Toc24349" w:history="1">
        <w:r>
          <w:rPr>
            <w:rFonts w:ascii="仿宋" w:eastAsia="仿宋" w:hAnsi="仿宋" w:cs="仿宋" w:hint="eastAsia"/>
            <w:lang w:eastAsia="zh-CN"/>
          </w:rPr>
          <w:t>(四)、专科体检项目建设对区域经济的影响</w:t>
        </w:r>
        <w:r>
          <w:tab/>
        </w:r>
        <w:r>
          <w:fldChar w:fldCharType="begin"/>
        </w:r>
        <w:r>
          <w:instrText xml:space="preserve"> PAGEREF _Toc24349 \h </w:instrText>
        </w:r>
        <w:r>
          <w:fldChar w:fldCharType="separate"/>
        </w:r>
        <w:r>
          <w:t>36</w:t>
        </w:r>
        <w:r>
          <w:fldChar w:fldCharType="end"/>
        </w:r>
      </w:hyperlink>
    </w:p>
    <w:p>
      <w:pPr>
        <w:pStyle w:val="TOC2"/>
        <w:tabs>
          <w:tab w:val="right" w:leader="dot" w:pos="8306"/>
        </w:tabs>
      </w:pPr>
      <w:hyperlink w:anchor="_Toc20109" w:history="1">
        <w:r>
          <w:rPr>
            <w:rFonts w:ascii="仿宋" w:eastAsia="仿宋" w:hAnsi="仿宋" w:cs="仿宋" w:hint="eastAsia"/>
            <w:lang w:eastAsia="zh-CN"/>
          </w:rPr>
          <w:t>(五)、废弃物处理</w:t>
        </w:r>
        <w:r>
          <w:tab/>
        </w:r>
        <w:r>
          <w:fldChar w:fldCharType="begin"/>
        </w:r>
        <w:r>
          <w:instrText xml:space="preserve"> PAGEREF _Toc20109 \h </w:instrText>
        </w:r>
        <w:r>
          <w:fldChar w:fldCharType="separate"/>
        </w:r>
        <w:r>
          <w:t>37</w:t>
        </w:r>
        <w:r>
          <w:fldChar w:fldCharType="end"/>
        </w:r>
      </w:hyperlink>
    </w:p>
    <w:p>
      <w:pPr>
        <w:pStyle w:val="TOC2"/>
        <w:tabs>
          <w:tab w:val="right" w:leader="dot" w:pos="8306"/>
        </w:tabs>
      </w:pPr>
      <w:hyperlink w:anchor="_Toc7162" w:history="1">
        <w:r>
          <w:rPr>
            <w:rFonts w:ascii="仿宋" w:eastAsia="仿宋" w:hAnsi="仿宋" w:cs="仿宋" w:hint="eastAsia"/>
            <w:lang w:eastAsia="zh-CN"/>
          </w:rPr>
          <w:t>(六)、特殊环境影响分析</w:t>
        </w:r>
        <w:r>
          <w:tab/>
        </w:r>
        <w:r>
          <w:fldChar w:fldCharType="begin"/>
        </w:r>
        <w:r>
          <w:instrText xml:space="preserve"> PAGEREF _Toc7162 \h </w:instrText>
        </w:r>
        <w:r>
          <w:fldChar w:fldCharType="separate"/>
        </w:r>
        <w:r>
          <w:t>39</w:t>
        </w:r>
        <w:r>
          <w:fldChar w:fldCharType="end"/>
        </w:r>
      </w:hyperlink>
    </w:p>
    <w:p>
      <w:pPr>
        <w:pStyle w:val="TOC2"/>
        <w:tabs>
          <w:tab w:val="right" w:leader="dot" w:pos="8306"/>
        </w:tabs>
      </w:pPr>
      <w:hyperlink w:anchor="_Toc6573" w:history="1">
        <w:r>
          <w:rPr>
            <w:rFonts w:ascii="仿宋" w:eastAsia="仿宋" w:hAnsi="仿宋" w:cs="仿宋" w:hint="eastAsia"/>
            <w:lang w:eastAsia="zh-CN"/>
          </w:rPr>
          <w:t>(七)、清洁生产</w:t>
        </w:r>
        <w:r>
          <w:tab/>
        </w:r>
        <w:r>
          <w:fldChar w:fldCharType="begin"/>
        </w:r>
        <w:r>
          <w:instrText xml:space="preserve"> PAGEREF _Toc6573 \h </w:instrText>
        </w:r>
        <w:r>
          <w:fldChar w:fldCharType="separate"/>
        </w:r>
        <w:r>
          <w:t>40</w:t>
        </w:r>
        <w:r>
          <w:fldChar w:fldCharType="end"/>
        </w:r>
      </w:hyperlink>
    </w:p>
    <w:p>
      <w:pPr>
        <w:pStyle w:val="TOC2"/>
        <w:tabs>
          <w:tab w:val="right" w:leader="dot" w:pos="8306"/>
        </w:tabs>
      </w:pPr>
      <w:hyperlink w:anchor="_Toc789" w:history="1">
        <w:r>
          <w:rPr>
            <w:rFonts w:ascii="仿宋" w:eastAsia="仿宋" w:hAnsi="仿宋" w:cs="仿宋" w:hint="eastAsia"/>
            <w:lang w:eastAsia="zh-CN"/>
          </w:rPr>
          <w:t>(八)、环境保护综合评价</w:t>
        </w:r>
        <w:r>
          <w:tab/>
        </w:r>
        <w:r>
          <w:fldChar w:fldCharType="begin"/>
        </w:r>
        <w:r>
          <w:instrText xml:space="preserve"> PAGEREF _Toc789 \h </w:instrText>
        </w:r>
        <w:r>
          <w:fldChar w:fldCharType="separate"/>
        </w:r>
        <w:r>
          <w:t>41</w:t>
        </w:r>
        <w:r>
          <w:fldChar w:fldCharType="end"/>
        </w:r>
      </w:hyperlink>
    </w:p>
    <w:p>
      <w:pPr>
        <w:pStyle w:val="TOC1"/>
        <w:tabs>
          <w:tab w:val="right" w:leader="dot" w:pos="8306"/>
        </w:tabs>
      </w:pPr>
      <w:hyperlink w:anchor="_Toc8714" w:history="1">
        <w:r>
          <w:rPr>
            <w:rFonts w:ascii="仿宋" w:eastAsia="仿宋" w:hAnsi="仿宋" w:cs="仿宋" w:hint="eastAsia"/>
            <w:lang w:eastAsia="zh-CN"/>
          </w:rPr>
          <w:t>十二、专科体检项目人力资源培养与发展</w:t>
        </w:r>
        <w:r>
          <w:tab/>
        </w:r>
        <w:r>
          <w:fldChar w:fldCharType="begin"/>
        </w:r>
        <w:r>
          <w:instrText xml:space="preserve"> PAGEREF _Toc8714 \h </w:instrText>
        </w:r>
        <w:r>
          <w:fldChar w:fldCharType="separate"/>
        </w:r>
        <w:r>
          <w:t>42</w:t>
        </w:r>
        <w:r>
          <w:fldChar w:fldCharType="end"/>
        </w:r>
      </w:hyperlink>
    </w:p>
    <w:p>
      <w:pPr>
        <w:pStyle w:val="TOC2"/>
        <w:tabs>
          <w:tab w:val="right" w:leader="dot" w:pos="8306"/>
        </w:tabs>
      </w:pPr>
      <w:hyperlink w:anchor="_Toc27539" w:history="1">
        <w:r>
          <w:rPr>
            <w:rFonts w:ascii="仿宋" w:eastAsia="仿宋" w:hAnsi="仿宋" w:cs="仿宋" w:hint="eastAsia"/>
            <w:lang w:eastAsia="zh-CN"/>
          </w:rPr>
          <w:t>(一)、人才需求与规划</w:t>
        </w:r>
        <w:r>
          <w:tab/>
        </w:r>
        <w:r>
          <w:fldChar w:fldCharType="begin"/>
        </w:r>
        <w:r>
          <w:instrText xml:space="preserve"> PAGEREF _Toc27539 \h </w:instrText>
        </w:r>
        <w:r>
          <w:fldChar w:fldCharType="separate"/>
        </w:r>
        <w:r>
          <w:t>42</w:t>
        </w:r>
        <w:r>
          <w:fldChar w:fldCharType="end"/>
        </w:r>
      </w:hyperlink>
    </w:p>
    <w:p>
      <w:pPr>
        <w:pStyle w:val="TOC2"/>
        <w:tabs>
          <w:tab w:val="right" w:leader="dot" w:pos="8306"/>
        </w:tabs>
      </w:pPr>
      <w:hyperlink w:anchor="_Toc13294" w:history="1">
        <w:r>
          <w:rPr>
            <w:rFonts w:ascii="仿宋" w:eastAsia="仿宋" w:hAnsi="仿宋" w:cs="仿宋" w:hint="eastAsia"/>
            <w:lang w:eastAsia="zh-CN"/>
          </w:rPr>
          <w:t>(二)、培训与发展计划</w:t>
        </w:r>
        <w:r>
          <w:tab/>
        </w:r>
        <w:r>
          <w:fldChar w:fldCharType="begin"/>
        </w:r>
        <w:r>
          <w:instrText xml:space="preserve"> PAGEREF _Toc13294 \h </w:instrText>
        </w:r>
        <w:r>
          <w:fldChar w:fldCharType="separate"/>
        </w:r>
        <w:r>
          <w:t>43</w:t>
        </w:r>
        <w:r>
          <w:fldChar w:fldCharType="end"/>
        </w:r>
      </w:hyperlink>
    </w:p>
    <w:p>
      <w:pPr>
        <w:pStyle w:val="TOC1"/>
        <w:tabs>
          <w:tab w:val="right" w:leader="dot" w:pos="8306"/>
        </w:tabs>
      </w:pPr>
      <w:hyperlink w:anchor="_Toc25447" w:history="1">
        <w:r>
          <w:rPr>
            <w:rFonts w:ascii="仿宋" w:eastAsia="仿宋" w:hAnsi="仿宋" w:cs="仿宋" w:hint="eastAsia"/>
            <w:lang w:eastAsia="zh-CN"/>
          </w:rPr>
          <w:t>十三、供应链管理</w:t>
        </w:r>
        <w:r>
          <w:tab/>
        </w:r>
        <w:r>
          <w:fldChar w:fldCharType="begin"/>
        </w:r>
        <w:r>
          <w:instrText xml:space="preserve"> PAGEREF _Toc25447 \h </w:instrText>
        </w:r>
        <w:r>
          <w:fldChar w:fldCharType="separate"/>
        </w:r>
        <w:r>
          <w:t>43</w:t>
        </w:r>
        <w:r>
          <w:fldChar w:fldCharType="end"/>
        </w:r>
      </w:hyperlink>
    </w:p>
    <w:p>
      <w:pPr>
        <w:pStyle w:val="TOC2"/>
        <w:tabs>
          <w:tab w:val="right" w:leader="dot" w:pos="8306"/>
        </w:tabs>
      </w:pPr>
      <w:hyperlink w:anchor="_Toc5389" w:history="1">
        <w:r>
          <w:rPr>
            <w:rFonts w:ascii="仿宋" w:eastAsia="仿宋" w:hAnsi="仿宋" w:cs="仿宋" w:hint="eastAsia"/>
            <w:lang w:eastAsia="zh-CN"/>
          </w:rPr>
          <w:t>(一)、供应链战略规划</w:t>
        </w:r>
        <w:r>
          <w:tab/>
        </w:r>
        <w:r>
          <w:fldChar w:fldCharType="begin"/>
        </w:r>
        <w:r>
          <w:instrText xml:space="preserve"> PAGEREF _Toc5389 \h </w:instrText>
        </w:r>
        <w:r>
          <w:fldChar w:fldCharType="separate"/>
        </w:r>
        <w:r>
          <w:t>43</w:t>
        </w:r>
        <w:r>
          <w:fldChar w:fldCharType="end"/>
        </w:r>
      </w:hyperlink>
    </w:p>
    <w:p>
      <w:pPr>
        <w:pStyle w:val="TOC2"/>
        <w:tabs>
          <w:tab w:val="right" w:leader="dot" w:pos="8306"/>
        </w:tabs>
      </w:pPr>
      <w:hyperlink w:anchor="_Toc29401" w:history="1">
        <w:r>
          <w:rPr>
            <w:rFonts w:ascii="仿宋" w:eastAsia="仿宋" w:hAnsi="仿宋" w:cs="仿宋" w:hint="eastAsia"/>
            <w:lang w:eastAsia="zh-CN"/>
          </w:rPr>
          <w:t>(二)、供应商选择与合作</w:t>
        </w:r>
        <w:r>
          <w:tab/>
        </w:r>
        <w:r>
          <w:fldChar w:fldCharType="begin"/>
        </w:r>
        <w:r>
          <w:instrText xml:space="preserve"> PAGEREF _Toc29401 \h </w:instrText>
        </w:r>
        <w:r>
          <w:fldChar w:fldCharType="separate"/>
        </w:r>
        <w:r>
          <w:t>45</w:t>
        </w:r>
        <w:r>
          <w:fldChar w:fldCharType="end"/>
        </w:r>
      </w:hyperlink>
    </w:p>
    <w:p>
      <w:pPr>
        <w:pStyle w:val="TOC2"/>
        <w:tabs>
          <w:tab w:val="right" w:leader="dot" w:pos="8306"/>
        </w:tabs>
      </w:pPr>
      <w:hyperlink w:anchor="_Toc10342" w:history="1">
        <w:r>
          <w:rPr>
            <w:rFonts w:ascii="仿宋" w:eastAsia="仿宋" w:hAnsi="仿宋" w:cs="仿宋" w:hint="eastAsia"/>
            <w:lang w:eastAsia="zh-CN"/>
          </w:rPr>
          <w:t>(三)、物流与库存管理</w:t>
        </w:r>
        <w:r>
          <w:tab/>
        </w:r>
        <w:r>
          <w:fldChar w:fldCharType="begin"/>
        </w:r>
        <w:r>
          <w:instrText xml:space="preserve"> PAGEREF _Toc10342 \h </w:instrText>
        </w:r>
        <w:r>
          <w:fldChar w:fldCharType="separate"/>
        </w:r>
        <w:r>
          <w:t>46</w:t>
        </w:r>
        <w:r>
          <w:fldChar w:fldCharType="end"/>
        </w:r>
      </w:hyperlink>
    </w:p>
    <w:p>
      <w:pPr>
        <w:pStyle w:val="TOC1"/>
        <w:tabs>
          <w:tab w:val="right" w:leader="dot" w:pos="8306"/>
        </w:tabs>
      </w:pPr>
      <w:hyperlink w:anchor="_Toc25953" w:history="1">
        <w:r>
          <w:rPr>
            <w:rFonts w:ascii="仿宋" w:eastAsia="仿宋" w:hAnsi="仿宋" w:cs="仿宋" w:hint="eastAsia"/>
            <w:lang w:eastAsia="zh-CN"/>
          </w:rPr>
          <w:t>十四、营销与推广策略</w:t>
        </w:r>
        <w:r>
          <w:tab/>
        </w:r>
        <w:r>
          <w:fldChar w:fldCharType="begin"/>
        </w:r>
        <w:r>
          <w:instrText xml:space="preserve"> PAGEREF _Toc25953 \h </w:instrText>
        </w:r>
        <w:r>
          <w:fldChar w:fldCharType="separate"/>
        </w:r>
        <w:r>
          <w:t>47</w:t>
        </w:r>
        <w:r>
          <w:fldChar w:fldCharType="end"/>
        </w:r>
      </w:hyperlink>
    </w:p>
    <w:p>
      <w:pPr>
        <w:pStyle w:val="TOC2"/>
        <w:tabs>
          <w:tab w:val="right" w:leader="dot" w:pos="8306"/>
        </w:tabs>
      </w:pPr>
      <w:hyperlink w:anchor="_Toc30269" w:history="1">
        <w:r>
          <w:rPr>
            <w:rFonts w:ascii="仿宋" w:eastAsia="仿宋" w:hAnsi="仿宋" w:cs="仿宋" w:hint="eastAsia"/>
            <w:lang w:eastAsia="zh-CN"/>
          </w:rPr>
          <w:t>(一)、产品/服务定位与特点</w:t>
        </w:r>
        <w:r>
          <w:tab/>
        </w:r>
        <w:r>
          <w:fldChar w:fldCharType="begin"/>
        </w:r>
        <w:r>
          <w:instrText xml:space="preserve"> PAGEREF _Toc30269 \h </w:instrText>
        </w:r>
        <w:r>
          <w:fldChar w:fldCharType="separate"/>
        </w:r>
        <w:r>
          <w:t>47</w:t>
        </w:r>
        <w:r>
          <w:fldChar w:fldCharType="end"/>
        </w:r>
      </w:hyperlink>
    </w:p>
    <w:p>
      <w:pPr>
        <w:pStyle w:val="TOC2"/>
        <w:tabs>
          <w:tab w:val="right" w:leader="dot" w:pos="8306"/>
        </w:tabs>
      </w:pPr>
      <w:hyperlink w:anchor="_Toc2607" w:history="1">
        <w:r>
          <w:rPr>
            <w:rFonts w:ascii="仿宋" w:eastAsia="仿宋" w:hAnsi="仿宋" w:cs="仿宋" w:hint="eastAsia"/>
            <w:lang w:eastAsia="zh-CN"/>
          </w:rPr>
          <w:t>(二)、市场定位与竞争分析</w:t>
        </w:r>
        <w:r>
          <w:tab/>
        </w:r>
        <w:r>
          <w:fldChar w:fldCharType="begin"/>
        </w:r>
        <w:r>
          <w:instrText xml:space="preserve"> PAGEREF _Toc2607 \h </w:instrText>
        </w:r>
        <w:r>
          <w:fldChar w:fldCharType="separate"/>
        </w:r>
        <w:r>
          <w:t>49</w:t>
        </w:r>
        <w:r>
          <w:fldChar w:fldCharType="end"/>
        </w:r>
      </w:hyperlink>
    </w:p>
    <w:p>
      <w:pPr>
        <w:pStyle w:val="TOC2"/>
        <w:tabs>
          <w:tab w:val="right" w:leader="dot" w:pos="8306"/>
        </w:tabs>
      </w:pPr>
      <w:hyperlink w:anchor="_Toc24830" w:history="1">
        <w:r>
          <w:rPr>
            <w:rFonts w:ascii="仿宋" w:eastAsia="仿宋" w:hAnsi="仿宋" w:cs="仿宋" w:hint="eastAsia"/>
            <w:lang w:eastAsia="zh-CN"/>
          </w:rPr>
          <w:t>(三)、营销渠道与策略</w:t>
        </w:r>
        <w:r>
          <w:tab/>
        </w:r>
        <w:r>
          <w:fldChar w:fldCharType="begin"/>
        </w:r>
        <w:r>
          <w:instrText xml:space="preserve"> PAGEREF _Toc24830 \h </w:instrText>
        </w:r>
        <w:r>
          <w:fldChar w:fldCharType="separate"/>
        </w:r>
        <w:r>
          <w:t>50</w:t>
        </w:r>
        <w:r>
          <w:fldChar w:fldCharType="end"/>
        </w:r>
      </w:hyperlink>
    </w:p>
    <w:p>
      <w:pPr>
        <w:pStyle w:val="TOC2"/>
        <w:tabs>
          <w:tab w:val="right" w:leader="dot" w:pos="8306"/>
        </w:tabs>
      </w:pPr>
      <w:hyperlink w:anchor="_Toc12818" w:history="1">
        <w:r>
          <w:rPr>
            <w:rFonts w:ascii="仿宋" w:eastAsia="仿宋" w:hAnsi="仿宋" w:cs="仿宋" w:hint="eastAsia"/>
            <w:lang w:eastAsia="zh-CN"/>
          </w:rPr>
          <w:t>(四)、推广与宣传活动</w:t>
        </w:r>
        <w:r>
          <w:tab/>
        </w:r>
        <w:r>
          <w:fldChar w:fldCharType="begin"/>
        </w:r>
        <w:r>
          <w:instrText xml:space="preserve"> PAGEREF _Toc12818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70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051"/>
      <w:r>
        <w:rPr>
          <w:rFonts w:ascii="仿宋" w:eastAsia="仿宋" w:hAnsi="仿宋" w:cs="仿宋" w:hint="eastAsia"/>
          <w:lang w:eastAsia="zh-CN"/>
        </w:rPr>
        <w:t>(一)、专科体检行业分析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行业一直以来都是市场的关注焦点。行业内的发展趋势、竞争态势以及潜在机会都对专科体检项目的推进产生深远的影响。通过深入研究行业的整体概貌，我们将更好地理解行业的核心特征，为专科体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科体检行业，技术一直是推动创新和发展的关键因素。我们将对当前技术趋势进行详尽分析，包括但不限于人工智能、大数据应用、先进制造技术等。这有助于专科体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专科体检项目成功的基础。我们将对主要竞争对手进行深入研究，包括其市场份额、产品特点、市场定位等。通过全面了解竞争对手的优势和劣势，专科体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732"/>
      <w:r>
        <w:rPr>
          <w:rFonts w:ascii="仿宋" w:eastAsia="仿宋" w:hAnsi="仿宋" w:cs="仿宋" w:hint="eastAsia"/>
          <w:sz w:val="28"/>
          <w:lang w:eastAsia="zh-CN"/>
        </w:rPr>
        <w:t>(二)、专科体检市场分析预测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通过对市场规模的深入调研，我们将预测专科体检市场未来的增长趋势。这包括市场的整体规模、各细分领域的发展趋势等。专科体检项目可以根据市场的扩张速度和潜在机会，制定更符合市场需求的发展策略。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专科体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专科体检项目实施过程中需要充分考虑的因素。我们将对市场风险进行全面评估，包括但不限于政策法规风险、市场竞争风险、技术变革风险等。通过对潜在风险的深入分析，专科体检项目可以制定相应的风险缓解策略，降低不确定性对专科体检项目的影响。</w:t>
      </w:r>
    </w:p>
    <w:p>
      <w:pPr>
        <w:pStyle w:val="Heading1"/>
        <w:ind w:firstLine="560" w:firstLineChars="200"/>
        <w:rPr>
          <w:rFonts w:ascii="仿宋" w:eastAsia="仿宋" w:hAnsi="仿宋" w:cs="仿宋" w:hint="eastAsia"/>
          <w:sz w:val="28"/>
          <w:lang w:eastAsia="zh-CN"/>
        </w:rPr>
      </w:pPr>
      <w:bookmarkStart w:id="5" w:name="_Toc8463"/>
      <w:r>
        <w:rPr>
          <w:rFonts w:ascii="仿宋" w:eastAsia="仿宋" w:hAnsi="仿宋" w:cs="仿宋" w:hint="eastAsia"/>
          <w:sz w:val="28"/>
          <w:lang w:eastAsia="zh-CN"/>
        </w:rPr>
        <w:t>二、专科体检项目危机管理</w:t>
      </w:r>
      <w:bookmarkEnd w:id="5"/>
    </w:p>
    <w:p>
      <w:pPr>
        <w:pStyle w:val="Heading2"/>
        <w:rPr>
          <w:rFonts w:ascii="仿宋" w:eastAsia="仿宋" w:hAnsi="仿宋" w:cs="仿宋" w:hint="eastAsia"/>
          <w:lang w:eastAsia="zh-CN"/>
        </w:rPr>
      </w:pPr>
      <w:bookmarkStart w:id="6" w:name="_Toc1792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专科体检项目危机管理中，危机预警与识别是确保专科体检项目稳健运行的核心步骤。通过建立全面的监测机制，专科体检项目团队旨在及时发现和理解潜在的风险和危机因素，以便采取及时的预防和应对措施，确保专科体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首先，通过深入的风险评估，专科体检项目团队全面分析了整个专科体检项目和各个阶段可能存在的威胁。这包括准确评估每个潜在风险的发生概率和可能影响的程度，为后续危机预警提供了有力支持。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专科体检项目团队着重于明确定义专科体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专科体检项目进展的持续监控，团队能够及时发现潜在问题并作出迅速反应。专科体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在这一阶段，团队的专业素养和反应速度将发挥至关重要的作用，以确保潜在危机能够在初期得到有效的处理，最大程度地减轻负面影响。通过危机预警与识别，专科体检项目得以更有序、可控地推进。</w:t>
      </w:r>
    </w:p>
    <w:p>
      <w:pPr>
        <w:pStyle w:val="Heading2"/>
        <w:ind w:firstLine="560" w:firstLineChars="200"/>
        <w:rPr>
          <w:rFonts w:ascii="仿宋" w:eastAsia="仿宋" w:hAnsi="仿宋" w:cs="仿宋" w:hint="eastAsia"/>
          <w:sz w:val="28"/>
          <w:lang w:eastAsia="zh-CN"/>
        </w:rPr>
      </w:pPr>
      <w:bookmarkStart w:id="7" w:name="_Toc1904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在危机发生时，专科体检项目团队立即行动，成立了应急小组。该小组的任务是迅速制定并实施紧急应对措施，以最小化潜在损失。以下是采取的主要措施：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暂停专科体检项目进度：为遏制危机蔓延，专科体检项目暂时停止进行，以便全面评估当前状况。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资源重新分配：重新评估专科体检项目资源的分配，确保最大限度地减小损失。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实时沟通：与关键利益相关者建立实时沟通机制，向他们传递专科体检项目危机的实际状况，保障专科体检项目核心利益。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在紧急应对的同时，专科体检项目团队强调了团队协作和有效沟通的重要性。以下是团队协作的关键举措：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信息共享机制：建立了信息共享平台，确保团队成员能够及时获取专科体检项目危机的实时信息。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领导者沟通：专科体检项目领导者通过定期会议和即时沟通工具，指导团队应对危机，保持团队稳定运行。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随着危机得到初步控制，专科体检项目团队转向制定恢复计划，以确保专科体检项目能够从中迅速恢复。主要恢复计划包括：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修复受损的进度计划：重新评估专科体检项目进度，制定修复计划，确保专科体检项目尽快回归正常进程。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重新调整资源分配：优化资源分配，确保专科体检项目在有限资源下高效运转。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风险管理机制加强：对专科体检项目风险进行全面评估，制定更强化的风险管理策略，以预防未来可能的危机。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0727"/>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280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专科体检项目的主要产品是XXXX，预计年产值为XXX万元。这一产品在市场中占据着重要的地位，其广泛的应用范围使得该专科体检项目的市场前景非常广阔。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专科体检项目的xxx产品作为重要的原材料之一，将在多个领域发挥关键作用。其在建筑、交通、能源等方面的广泛应用将为整个产业链提供强大的支持，形成产业协同效应。专科体检项目的年产值XXX万XXX万XXX万万元不仅反映了其在市场上的巨大潜力，更预示着它对国民经济的积极贡献。这种关联度高、涉及面广的产业关系，使得该专科体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816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总征地面积为XXXX平方米，相当于约XX.XX亩，其中净用地面积为XXXX平方米，红线范围内相当于约XX.XX亩。这一用地规模充分考虑了专科体检项目的建设需求，保障了专科体检项目在合适的空间内得以充分发展。专科体检项目规划的总建筑面积为XXXX平方米，其中主体工程建设占XXXX平方米，计容建筑面积达XXXX平方米。预计建筑工程的投资将达到XXXX万元，为专科体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计划购置的设备共计XXXX台（套），设备购置费用为XXXX万元。这一设备购置计划充分考虑到专科体检项目的生产需求和技术要求，确保了专科体检项目在生产运营中具备先进的技术装备和高效的生产能力。设备的合理配置将为专科体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专科体检项目计划总投资为XXXX万元，预计年实现营业收入为XXXX万元。这一产能规模的设定旨在确保专科体检项目能够在投资与回报之间取得平衡，实现长期可持续的发展。专科体检项目的总投资充分考虑到各个方面的需求，包括用地建设、设备购置等多个环节，以确保专科体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5598"/>
      <w:r>
        <w:rPr>
          <w:rFonts w:ascii="仿宋" w:eastAsia="仿宋" w:hAnsi="仿宋" w:cs="仿宋" w:hint="eastAsia"/>
          <w:sz w:val="28"/>
          <w:lang w:eastAsia="zh-CN"/>
        </w:rPr>
        <w:t>四、专科体检项目可持续发展</w:t>
      </w:r>
      <w:bookmarkEnd w:id="11"/>
    </w:p>
    <w:p>
      <w:pPr>
        <w:pStyle w:val="Heading2"/>
        <w:rPr>
          <w:rFonts w:ascii="仿宋" w:eastAsia="仿宋" w:hAnsi="仿宋" w:cs="仿宋" w:hint="eastAsia"/>
          <w:lang w:eastAsia="zh-CN"/>
        </w:rPr>
      </w:pPr>
      <w:bookmarkStart w:id="12" w:name="_Toc1598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科体检项目中，专科体检项目团队着眼于未来，明确了可持续发展的战略方向。制定的具体可持续发展目标包括降低资源使用、采用环保技术、最大化社会效益等。这一步骤不仅有助于专科体检项目在环保和社会责任方面达到最高标准，也为未来提供了明确的指引，确保专科体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可持续实践的融入专科体检项目管理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专科体检项目管理周期。从专科体检项目规划开始，专科体检项目团队就考虑了环境和社会的因素。在执行阶段，专科体检项目团队积极推动绿色技术的应用，优化资源利用。此外，关注员工的社会责任，通过培训和沟通活动提高员工对可持续发展的认知，使他们能够在日常工作中践行可持续实践。这些举措不仅为专科体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26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扎根于专科体检项目的可持续发展理念，我们深信环保与社会责任是专科体检项目成功的关键支柱。在专科体检项目的每一步，我们都致力于通过创新和实践，履行对环境和社会的坚定责任。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团队通过引入先进的环保技术、建立高效的废物处理系统以及推动能源节约措施，积极履行环保责任。定期的环保监测和评估确保专科体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不仅致力于自身可持续发展，还注重对社会的回馈。通过支持社区专科体检项目、参与慈善事业、提供培训机会等方式，专科体检项目积极履行社会责任。与当地社区建立积极互动，关注员工的工作与生活平衡，以及员工的身心健康，是专科体检项目在社会责任层面的关键举措。这样的实践不仅增强了专科体检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9248"/>
      <w:r>
        <w:rPr>
          <w:rFonts w:ascii="仿宋" w:eastAsia="仿宋" w:hAnsi="仿宋" w:cs="仿宋" w:hint="eastAsia"/>
          <w:sz w:val="28"/>
          <w:lang w:eastAsia="zh-CN"/>
        </w:rPr>
        <w:t>五、专科体检项目选址可行性分析</w:t>
      </w:r>
      <w:bookmarkEnd w:id="14"/>
    </w:p>
    <w:p>
      <w:pPr>
        <w:pStyle w:val="Heading2"/>
        <w:rPr>
          <w:rFonts w:ascii="仿宋" w:eastAsia="仿宋" w:hAnsi="仿宋" w:cs="仿宋" w:hint="eastAsia"/>
          <w:lang w:eastAsia="zh-CN"/>
        </w:rPr>
      </w:pPr>
      <w:bookmarkStart w:id="15" w:name="_Toc23937"/>
      <w:r>
        <w:rPr>
          <w:rFonts w:ascii="仿宋" w:eastAsia="仿宋" w:hAnsi="仿宋" w:cs="仿宋" w:hint="eastAsia"/>
          <w:lang w:eastAsia="zh-CN"/>
        </w:rPr>
        <w:t>(一)、专科体检项目选址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该专科体检项目选址位于XX省XX市XX区XXX街道</w:t>
      </w:r>
    </w:p>
    <w:p>
      <w:pPr>
        <w:pStyle w:val="Heading2"/>
        <w:ind w:firstLine="560" w:firstLineChars="200"/>
        <w:rPr>
          <w:rFonts w:ascii="仿宋" w:eastAsia="仿宋" w:hAnsi="仿宋" w:cs="仿宋" w:hint="eastAsia"/>
          <w:sz w:val="28"/>
          <w:lang w:eastAsia="zh-CN"/>
        </w:rPr>
      </w:pPr>
      <w:bookmarkStart w:id="16" w:name="_Toc2499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专科体检项目的征地面积将根据专科体检项目的实际规模和需求进行精确规划。具体面积XXX平方米，旨在确保专科体检项目不仅能够满足当前的发展需求，还能够预留空间以适应未来的扩展。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净用地面积是在征地面积基础上去除不可利用面积后的实际可开发用地。具体面积XXX平方米，考虑到环保、交通、安全等多方面因素，以确保专科体检项目在整体利用效率上达到最优。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专科体检项目计划建设的建筑总规模具体面积XXX平方米。这一规模的确定综合考虑了专科体检项目的性质、规模，以及城市规划的相关要求，确保建筑布局与周边环境协调一致。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绿地率是专科体检项目用地中被规划为绿地的比例。具体面积XXX平方米，旨在通过合理规划绿地，改善专科体检项目周边环境，提升居民生活质量，并符合城市整体绿化规划。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容积率是用地上可以建设的建筑总体积与用地面积之比。具体面积XXX，通过合理的容积率规划，确保专科体检项目建筑规模与周边环境和谐共生。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确保专科体检项目选址与当地城市规划相一致，具体面积XXX平方米。通过与城市规划部门深入沟通，确保专科体检项目不仅符合城市的整体发展方向，还能够融入城市的发展布局，为城市的长远发展贡献力量。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专科体检项目选址符合当地产业政策，具体面积XXX平方米。这包括专科体检项目对当地经济的促进作用，以及对相关产业的带动效应，确保专科体检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用地总体要求必须符合环保和可持续发展的原则，具体面积XXX平方米。通过采用绿色建筑设计、节能减排等措施，确保专科体检项目在建设和运营过程中对环境的影响最小化，达到可持续发展的要求。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确保专科体检项目选址具备必要的公共设施配套，具体面积XXX平方米。这包括交通便利性、教育、医疗等基础设施，以提高居民生活品质，使得专科体检项目选址更具吸引力。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考虑用地总体要求对当地社会稳定性的影响，具体面积XXX平方米。通过深入了解当地社区反馈，确保专科体检项目的选址和建设过程对当地社会和谐稳定产生积极作用。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专科体检项目选址不仅符合法规和规划，还在实际操作中具有可行性。这一全面规划将为专科体检项目的成功实施提供坚实的基础，确保专科体检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65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专科体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专科体检项目的设备规划和空间设计中，我们将采取灵活设备布局的措施。设备布局将根据实际需求进行灵活设计，避免不必要的浪费。通过合理规划设备摆放位置，我们将提高设备的利用率，减少设备间距，以确保专科体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专科体检项目内部引入共享设施的概念，例如共享会议室、办公区等。通过这种方式，我们可以减少对资源的重复建设，提高资源共享效率，从而减小专科体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2057"/>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 在专科体检项目的总图布置中，我们将不同功能区域进行明确的规划，以最大程度满足专科体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2797"/>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专科体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专科体检项目对环境的影响是综合评价的重要因素之一。我们将详细考虑选址周边的自然环境、生态保护区、水源地等情况，确保专科体检项目的建设和运营对环境影响最小化，并符合当地的环保法规标准。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对选址的评价还需充分考虑当地政府的产业政策和法规。我们将详细了解专科体检项目所在地的相关政策，确保专科体检项目的规划和运营与当地法规相符，降低不必要的法律风险。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考虑到社会稳定性对企业运营的重要性，我们将评估选址地区的社会安全情况、劳工关系、社区反馈等方面，以确保专科体检项目的建设和运营不会受到社会稳定性的负面影响。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最后，我们将综合考虑用地成本，包括土地购置费用、土地开发成本等。通过对用地成本的详细评估，我们能够做出更为精确的经济效益分析，为专科体检项目的投资决策提供有力支持。</w:t>
      </w:r>
    </w:p>
    <w:p>
      <w:pPr>
        <w:pStyle w:val="Heading1"/>
        <w:ind w:firstLine="560" w:firstLineChars="200"/>
        <w:rPr>
          <w:rFonts w:ascii="仿宋" w:eastAsia="仿宋" w:hAnsi="仿宋" w:cs="仿宋" w:hint="eastAsia"/>
          <w:sz w:val="28"/>
          <w:lang w:eastAsia="zh-CN"/>
        </w:rPr>
      </w:pPr>
      <w:bookmarkStart w:id="20" w:name="_Toc11837"/>
      <w:r>
        <w:rPr>
          <w:rFonts w:ascii="仿宋" w:eastAsia="仿宋" w:hAnsi="仿宋" w:cs="仿宋" w:hint="eastAsia"/>
          <w:sz w:val="28"/>
          <w:lang w:eastAsia="zh-CN"/>
        </w:rPr>
        <w:t>六、专科体检项目土建工程</w:t>
      </w:r>
      <w:bookmarkEnd w:id="20"/>
    </w:p>
    <w:p>
      <w:pPr>
        <w:pStyle w:val="Heading2"/>
        <w:rPr>
          <w:rFonts w:ascii="仿宋" w:eastAsia="仿宋" w:hAnsi="仿宋" w:cs="仿宋" w:hint="eastAsia"/>
          <w:lang w:eastAsia="zh-CN"/>
        </w:rPr>
      </w:pPr>
      <w:bookmarkStart w:id="21" w:name="_Toc19333"/>
      <w:r>
        <w:rPr>
          <w:rFonts w:ascii="仿宋" w:eastAsia="仿宋" w:hAnsi="仿宋" w:cs="仿宋" w:hint="eastAsia"/>
          <w:lang w:eastAsia="zh-CN"/>
        </w:rPr>
        <w:t>(一)、建筑工程设计原则</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在专科体检项目的建筑工程设计中，我们将秉承一系列重要的设计原则，以确保专科体检项目建筑在功能、美观、可持续性等方面达到最佳效果。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首要原则是确保建筑的功能性得到最大化的发挥。我们将充分理解专科体检项目的实际需求，合理布局各个功能区域，保证建筑在满足业务需求的同时，提供高效的工作环境。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在建筑设计中，我们将综合考虑建设和运营成本。通过精细的经济效益分析，确保设计方案在高效利用资源的同时，对专科体检项目的长期盈利能力有积极的贡献。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https://d.book118.com/665140222333011103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1C7FF3"/>
    <w:rsid w:val="2F1C7F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14022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2024-02-07T17:40:00Z</dcterms:created>
  <dcterms:modified xsi:type="dcterms:W3CDTF">2024-02-07T17:40:52Z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2B39CC4F8D25403FAD1D19F3A36FF0F1_11</vt:lpwstr>
  </property>
  <property fmtid="{D5CDD505-2E9C-101B-9397-08002B2CF9AE}" pid="3" name="KSOProductBuildVer">
    <vt:lpwstr>2052-12.1.0.16250</vt:lpwstr>
  </property>
</Properties>
</file>