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内燃机电点火起动装置，相关电工器材项目规划设计方案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81" w:history="1">
        <w:r>
          <w:rPr>
            <w:rFonts w:ascii="仿宋" w:eastAsia="仿宋" w:hAnsi="仿宋" w:cs="仿宋" w:hint="eastAsia"/>
            <w:lang w:eastAsia="zh-CN"/>
          </w:rPr>
          <w:t>前言</w:t>
        </w:r>
        <w:r>
          <w:tab/>
        </w:r>
        <w:r>
          <w:fldChar w:fldCharType="begin"/>
        </w:r>
        <w:r>
          <w:instrText xml:space="preserve"> PAGEREF _Toc30881 \h </w:instrText>
        </w:r>
        <w:r>
          <w:fldChar w:fldCharType="separate"/>
        </w:r>
        <w:r>
          <w:t>3</w:t>
        </w:r>
        <w:r>
          <w:fldChar w:fldCharType="end"/>
        </w:r>
      </w:hyperlink>
    </w:p>
    <w:p>
      <w:pPr>
        <w:pStyle w:val="TOC1"/>
        <w:tabs>
          <w:tab w:val="right" w:leader="dot" w:pos="8306"/>
        </w:tabs>
      </w:pPr>
      <w:hyperlink w:anchor="_Toc14884" w:history="1">
        <w:r>
          <w:rPr>
            <w:rFonts w:ascii="仿宋" w:eastAsia="仿宋" w:hAnsi="仿宋" w:cs="仿宋" w:hint="eastAsia"/>
            <w:lang w:eastAsia="zh-CN"/>
          </w:rPr>
          <w:t>一、内燃机电点火起动装置，相关电工器材项目可持续发展</w:t>
        </w:r>
        <w:r>
          <w:tab/>
        </w:r>
        <w:r>
          <w:fldChar w:fldCharType="begin"/>
        </w:r>
        <w:r>
          <w:instrText xml:space="preserve"> PAGEREF _Toc14884 \h </w:instrText>
        </w:r>
        <w:r>
          <w:fldChar w:fldCharType="separate"/>
        </w:r>
        <w:r>
          <w:t>3</w:t>
        </w:r>
        <w:r>
          <w:fldChar w:fldCharType="end"/>
        </w:r>
      </w:hyperlink>
    </w:p>
    <w:p>
      <w:pPr>
        <w:pStyle w:val="TOC2"/>
        <w:tabs>
          <w:tab w:val="right" w:leader="dot" w:pos="8306"/>
        </w:tabs>
      </w:pPr>
      <w:hyperlink w:anchor="_Toc27286" w:history="1">
        <w:r>
          <w:rPr>
            <w:rFonts w:ascii="仿宋" w:eastAsia="仿宋" w:hAnsi="仿宋" w:cs="仿宋" w:hint="eastAsia"/>
            <w:lang w:eastAsia="zh-CN"/>
          </w:rPr>
          <w:t>(一)、可持续战略与实践</w:t>
        </w:r>
        <w:r>
          <w:tab/>
        </w:r>
        <w:r>
          <w:fldChar w:fldCharType="begin"/>
        </w:r>
        <w:r>
          <w:instrText xml:space="preserve"> PAGEREF _Toc27286 \h </w:instrText>
        </w:r>
        <w:r>
          <w:fldChar w:fldCharType="separate"/>
        </w:r>
        <w:r>
          <w:t>3</w:t>
        </w:r>
        <w:r>
          <w:fldChar w:fldCharType="end"/>
        </w:r>
      </w:hyperlink>
    </w:p>
    <w:p>
      <w:pPr>
        <w:pStyle w:val="TOC2"/>
        <w:tabs>
          <w:tab w:val="right" w:leader="dot" w:pos="8306"/>
        </w:tabs>
      </w:pPr>
      <w:hyperlink w:anchor="_Toc3133" w:history="1">
        <w:r>
          <w:rPr>
            <w:rFonts w:ascii="仿宋" w:eastAsia="仿宋" w:hAnsi="仿宋" w:cs="仿宋" w:hint="eastAsia"/>
            <w:lang w:eastAsia="zh-CN"/>
          </w:rPr>
          <w:t>(二)、环保与社会责任</w:t>
        </w:r>
        <w:r>
          <w:tab/>
        </w:r>
        <w:r>
          <w:fldChar w:fldCharType="begin"/>
        </w:r>
        <w:r>
          <w:instrText xml:space="preserve"> PAGEREF _Toc3133 \h </w:instrText>
        </w:r>
        <w:r>
          <w:fldChar w:fldCharType="separate"/>
        </w:r>
        <w:r>
          <w:t>4</w:t>
        </w:r>
        <w:r>
          <w:fldChar w:fldCharType="end"/>
        </w:r>
      </w:hyperlink>
    </w:p>
    <w:p>
      <w:pPr>
        <w:pStyle w:val="TOC1"/>
        <w:tabs>
          <w:tab w:val="right" w:leader="dot" w:pos="8306"/>
        </w:tabs>
      </w:pPr>
      <w:hyperlink w:anchor="_Toc6275" w:history="1">
        <w:r>
          <w:rPr>
            <w:rFonts w:ascii="仿宋" w:eastAsia="仿宋" w:hAnsi="仿宋" w:cs="仿宋" w:hint="eastAsia"/>
            <w:lang w:eastAsia="zh-CN"/>
          </w:rPr>
          <w:t>二、内燃机电点火起动装置，相关电工器材项目土建工程</w:t>
        </w:r>
        <w:r>
          <w:tab/>
        </w:r>
        <w:r>
          <w:fldChar w:fldCharType="begin"/>
        </w:r>
        <w:r>
          <w:instrText xml:space="preserve"> PAGEREF _Toc6275 \h </w:instrText>
        </w:r>
        <w:r>
          <w:fldChar w:fldCharType="separate"/>
        </w:r>
        <w:r>
          <w:t>5</w:t>
        </w:r>
        <w:r>
          <w:fldChar w:fldCharType="end"/>
        </w:r>
      </w:hyperlink>
    </w:p>
    <w:p>
      <w:pPr>
        <w:pStyle w:val="TOC2"/>
        <w:tabs>
          <w:tab w:val="right" w:leader="dot" w:pos="8306"/>
        </w:tabs>
      </w:pPr>
      <w:hyperlink w:anchor="_Toc16755" w:history="1">
        <w:r>
          <w:rPr>
            <w:rFonts w:ascii="仿宋" w:eastAsia="仿宋" w:hAnsi="仿宋" w:cs="仿宋" w:hint="eastAsia"/>
            <w:lang w:eastAsia="zh-CN"/>
          </w:rPr>
          <w:t>(一)、建筑工程设计原则</w:t>
        </w:r>
        <w:r>
          <w:tab/>
        </w:r>
        <w:r>
          <w:fldChar w:fldCharType="begin"/>
        </w:r>
        <w:r>
          <w:instrText xml:space="preserve"> PAGEREF _Toc16755 \h </w:instrText>
        </w:r>
        <w:r>
          <w:fldChar w:fldCharType="separate"/>
        </w:r>
        <w:r>
          <w:t>5</w:t>
        </w:r>
        <w:r>
          <w:fldChar w:fldCharType="end"/>
        </w:r>
      </w:hyperlink>
    </w:p>
    <w:p>
      <w:pPr>
        <w:pStyle w:val="TOC2"/>
        <w:tabs>
          <w:tab w:val="right" w:leader="dot" w:pos="8306"/>
        </w:tabs>
      </w:pPr>
      <w:hyperlink w:anchor="_Toc14601" w:history="1">
        <w:r>
          <w:rPr>
            <w:rFonts w:ascii="仿宋" w:eastAsia="仿宋" w:hAnsi="仿宋" w:cs="仿宋" w:hint="eastAsia"/>
            <w:lang w:eastAsia="zh-CN"/>
          </w:rPr>
          <w:t>(二)、土建工程设计年限及安全等级</w:t>
        </w:r>
        <w:r>
          <w:tab/>
        </w:r>
        <w:r>
          <w:fldChar w:fldCharType="begin"/>
        </w:r>
        <w:r>
          <w:instrText xml:space="preserve"> PAGEREF _Toc14601 \h </w:instrText>
        </w:r>
        <w:r>
          <w:fldChar w:fldCharType="separate"/>
        </w:r>
        <w:r>
          <w:t>6</w:t>
        </w:r>
        <w:r>
          <w:fldChar w:fldCharType="end"/>
        </w:r>
      </w:hyperlink>
    </w:p>
    <w:p>
      <w:pPr>
        <w:pStyle w:val="TOC2"/>
        <w:tabs>
          <w:tab w:val="right" w:leader="dot" w:pos="8306"/>
        </w:tabs>
      </w:pPr>
      <w:hyperlink w:anchor="_Toc10243" w:history="1">
        <w:r>
          <w:rPr>
            <w:rFonts w:ascii="仿宋" w:eastAsia="仿宋" w:hAnsi="仿宋" w:cs="仿宋" w:hint="eastAsia"/>
            <w:lang w:eastAsia="zh-CN"/>
          </w:rPr>
          <w:t>(三)、建筑工程设计总体要求</w:t>
        </w:r>
        <w:r>
          <w:tab/>
        </w:r>
        <w:r>
          <w:fldChar w:fldCharType="begin"/>
        </w:r>
        <w:r>
          <w:instrText xml:space="preserve"> PAGEREF _Toc10243 \h </w:instrText>
        </w:r>
        <w:r>
          <w:fldChar w:fldCharType="separate"/>
        </w:r>
        <w:r>
          <w:t>8</w:t>
        </w:r>
        <w:r>
          <w:fldChar w:fldCharType="end"/>
        </w:r>
      </w:hyperlink>
    </w:p>
    <w:p>
      <w:pPr>
        <w:pStyle w:val="TOC2"/>
        <w:tabs>
          <w:tab w:val="right" w:leader="dot" w:pos="8306"/>
        </w:tabs>
      </w:pPr>
      <w:hyperlink w:anchor="_Toc4880" w:history="1">
        <w:r>
          <w:rPr>
            <w:rFonts w:ascii="仿宋" w:eastAsia="仿宋" w:hAnsi="仿宋" w:cs="仿宋" w:hint="eastAsia"/>
            <w:lang w:eastAsia="zh-CN"/>
          </w:rPr>
          <w:t>(四)、土建工程建设指标</w:t>
        </w:r>
        <w:r>
          <w:tab/>
        </w:r>
        <w:r>
          <w:fldChar w:fldCharType="begin"/>
        </w:r>
        <w:r>
          <w:instrText xml:space="preserve"> PAGEREF _Toc4880 \h </w:instrText>
        </w:r>
        <w:r>
          <w:fldChar w:fldCharType="separate"/>
        </w:r>
        <w:r>
          <w:t>8</w:t>
        </w:r>
        <w:r>
          <w:fldChar w:fldCharType="end"/>
        </w:r>
      </w:hyperlink>
    </w:p>
    <w:p>
      <w:pPr>
        <w:pStyle w:val="TOC1"/>
        <w:tabs>
          <w:tab w:val="right" w:leader="dot" w:pos="8306"/>
        </w:tabs>
      </w:pPr>
      <w:hyperlink w:anchor="_Toc15977" w:history="1">
        <w:r>
          <w:rPr>
            <w:rFonts w:ascii="仿宋" w:eastAsia="仿宋" w:hAnsi="仿宋" w:cs="仿宋" w:hint="eastAsia"/>
            <w:lang w:eastAsia="zh-CN"/>
          </w:rPr>
          <w:t>三、内燃机电点火起动装置，相关电工器材项目危机管理</w:t>
        </w:r>
        <w:r>
          <w:tab/>
        </w:r>
        <w:r>
          <w:fldChar w:fldCharType="begin"/>
        </w:r>
        <w:r>
          <w:instrText xml:space="preserve"> PAGEREF _Toc15977 \h </w:instrText>
        </w:r>
        <w:r>
          <w:fldChar w:fldCharType="separate"/>
        </w:r>
        <w:r>
          <w:t>9</w:t>
        </w:r>
        <w:r>
          <w:fldChar w:fldCharType="end"/>
        </w:r>
      </w:hyperlink>
    </w:p>
    <w:p>
      <w:pPr>
        <w:pStyle w:val="TOC2"/>
        <w:tabs>
          <w:tab w:val="right" w:leader="dot" w:pos="8306"/>
        </w:tabs>
      </w:pPr>
      <w:hyperlink w:anchor="_Toc31117" w:history="1">
        <w:r>
          <w:rPr>
            <w:rFonts w:ascii="仿宋" w:eastAsia="仿宋" w:hAnsi="仿宋" w:cs="仿宋" w:hint="eastAsia"/>
            <w:lang w:eastAsia="zh-CN"/>
          </w:rPr>
          <w:t>(一)、危机预警与识别</w:t>
        </w:r>
        <w:r>
          <w:tab/>
        </w:r>
        <w:r>
          <w:fldChar w:fldCharType="begin"/>
        </w:r>
        <w:r>
          <w:instrText xml:space="preserve"> PAGEREF _Toc31117 \h </w:instrText>
        </w:r>
        <w:r>
          <w:fldChar w:fldCharType="separate"/>
        </w:r>
        <w:r>
          <w:t>9</w:t>
        </w:r>
        <w:r>
          <w:fldChar w:fldCharType="end"/>
        </w:r>
      </w:hyperlink>
    </w:p>
    <w:p>
      <w:pPr>
        <w:pStyle w:val="TOC2"/>
        <w:tabs>
          <w:tab w:val="right" w:leader="dot" w:pos="8306"/>
        </w:tabs>
      </w:pPr>
      <w:hyperlink w:anchor="_Toc18570" w:history="1">
        <w:r>
          <w:rPr>
            <w:rFonts w:ascii="仿宋" w:eastAsia="仿宋" w:hAnsi="仿宋" w:cs="仿宋" w:hint="eastAsia"/>
            <w:lang w:eastAsia="zh-CN"/>
          </w:rPr>
          <w:t>(二)、危机应对与恢复</w:t>
        </w:r>
        <w:r>
          <w:tab/>
        </w:r>
        <w:r>
          <w:fldChar w:fldCharType="begin"/>
        </w:r>
        <w:r>
          <w:instrText xml:space="preserve"> PAGEREF _Toc18570 \h </w:instrText>
        </w:r>
        <w:r>
          <w:fldChar w:fldCharType="separate"/>
        </w:r>
        <w:r>
          <w:t>10</w:t>
        </w:r>
        <w:r>
          <w:fldChar w:fldCharType="end"/>
        </w:r>
      </w:hyperlink>
    </w:p>
    <w:p>
      <w:pPr>
        <w:pStyle w:val="TOC1"/>
        <w:tabs>
          <w:tab w:val="right" w:leader="dot" w:pos="8306"/>
        </w:tabs>
      </w:pPr>
      <w:hyperlink w:anchor="_Toc29320" w:history="1">
        <w:r>
          <w:rPr>
            <w:rFonts w:ascii="仿宋" w:eastAsia="仿宋" w:hAnsi="仿宋" w:cs="仿宋" w:hint="eastAsia"/>
            <w:lang w:eastAsia="zh-CN"/>
          </w:rPr>
          <w:t>四、内燃机电点火起动装置，相关电工器材项目建设单位说明</w:t>
        </w:r>
        <w:r>
          <w:tab/>
        </w:r>
        <w:r>
          <w:fldChar w:fldCharType="begin"/>
        </w:r>
        <w:r>
          <w:instrText xml:space="preserve"> PAGEREF _Toc29320 \h </w:instrText>
        </w:r>
        <w:r>
          <w:fldChar w:fldCharType="separate"/>
        </w:r>
        <w:r>
          <w:t>12</w:t>
        </w:r>
        <w:r>
          <w:fldChar w:fldCharType="end"/>
        </w:r>
      </w:hyperlink>
    </w:p>
    <w:p>
      <w:pPr>
        <w:pStyle w:val="TOC2"/>
        <w:tabs>
          <w:tab w:val="right" w:leader="dot" w:pos="8306"/>
        </w:tabs>
      </w:pPr>
      <w:hyperlink w:anchor="_Toc10009" w:history="1">
        <w:r>
          <w:rPr>
            <w:rFonts w:ascii="仿宋" w:eastAsia="仿宋" w:hAnsi="仿宋" w:cs="仿宋" w:hint="eastAsia"/>
            <w:lang w:eastAsia="zh-CN"/>
          </w:rPr>
          <w:t>(一)、内燃机电点火起动装置，相关电工器材项目承办单位基本情况</w:t>
        </w:r>
        <w:r>
          <w:tab/>
        </w:r>
        <w:r>
          <w:fldChar w:fldCharType="begin"/>
        </w:r>
        <w:r>
          <w:instrText xml:space="preserve"> PAGEREF _Toc10009 \h </w:instrText>
        </w:r>
        <w:r>
          <w:fldChar w:fldCharType="separate"/>
        </w:r>
        <w:r>
          <w:t>12</w:t>
        </w:r>
        <w:r>
          <w:fldChar w:fldCharType="end"/>
        </w:r>
      </w:hyperlink>
    </w:p>
    <w:p>
      <w:pPr>
        <w:pStyle w:val="TOC2"/>
        <w:tabs>
          <w:tab w:val="right" w:leader="dot" w:pos="8306"/>
        </w:tabs>
      </w:pPr>
      <w:hyperlink w:anchor="_Toc19318" w:history="1">
        <w:r>
          <w:rPr>
            <w:rFonts w:ascii="仿宋" w:eastAsia="仿宋" w:hAnsi="仿宋" w:cs="仿宋" w:hint="eastAsia"/>
            <w:lang w:eastAsia="zh-CN"/>
          </w:rPr>
          <w:t>(二)、公司经济效益分析</w:t>
        </w:r>
        <w:r>
          <w:tab/>
        </w:r>
        <w:r>
          <w:fldChar w:fldCharType="begin"/>
        </w:r>
        <w:r>
          <w:instrText xml:space="preserve"> PAGEREF _Toc19318 \h </w:instrText>
        </w:r>
        <w:r>
          <w:fldChar w:fldCharType="separate"/>
        </w:r>
        <w:r>
          <w:t>12</w:t>
        </w:r>
        <w:r>
          <w:fldChar w:fldCharType="end"/>
        </w:r>
      </w:hyperlink>
    </w:p>
    <w:p>
      <w:pPr>
        <w:pStyle w:val="TOC1"/>
        <w:tabs>
          <w:tab w:val="right" w:leader="dot" w:pos="8306"/>
        </w:tabs>
      </w:pPr>
      <w:hyperlink w:anchor="_Toc19231" w:history="1">
        <w:r>
          <w:rPr>
            <w:rFonts w:ascii="仿宋" w:eastAsia="仿宋" w:hAnsi="仿宋" w:cs="仿宋" w:hint="eastAsia"/>
            <w:lang w:eastAsia="zh-CN"/>
          </w:rPr>
          <w:t>五、内燃机电点火起动装置，相关电工器材项目概论</w:t>
        </w:r>
        <w:r>
          <w:tab/>
        </w:r>
        <w:r>
          <w:fldChar w:fldCharType="begin"/>
        </w:r>
        <w:r>
          <w:instrText xml:space="preserve"> PAGEREF _Toc19231 \h </w:instrText>
        </w:r>
        <w:r>
          <w:fldChar w:fldCharType="separate"/>
        </w:r>
        <w:r>
          <w:t>13</w:t>
        </w:r>
        <w:r>
          <w:fldChar w:fldCharType="end"/>
        </w:r>
      </w:hyperlink>
    </w:p>
    <w:p>
      <w:pPr>
        <w:pStyle w:val="TOC2"/>
        <w:tabs>
          <w:tab w:val="right" w:leader="dot" w:pos="8306"/>
        </w:tabs>
      </w:pPr>
      <w:hyperlink w:anchor="_Toc11541" w:history="1">
        <w:r>
          <w:rPr>
            <w:rFonts w:ascii="仿宋" w:eastAsia="仿宋" w:hAnsi="仿宋" w:cs="仿宋" w:hint="eastAsia"/>
            <w:lang w:eastAsia="zh-CN"/>
          </w:rPr>
          <w:t>(一)、内燃机电点火起动装置，相关电工器材项目概况</w:t>
        </w:r>
        <w:r>
          <w:tab/>
        </w:r>
        <w:r>
          <w:fldChar w:fldCharType="begin"/>
        </w:r>
        <w:r>
          <w:instrText xml:space="preserve"> PAGEREF _Toc11541 \h </w:instrText>
        </w:r>
        <w:r>
          <w:fldChar w:fldCharType="separate"/>
        </w:r>
        <w:r>
          <w:t>13</w:t>
        </w:r>
        <w:r>
          <w:fldChar w:fldCharType="end"/>
        </w:r>
      </w:hyperlink>
    </w:p>
    <w:p>
      <w:pPr>
        <w:pStyle w:val="TOC2"/>
        <w:tabs>
          <w:tab w:val="right" w:leader="dot" w:pos="8306"/>
        </w:tabs>
      </w:pPr>
      <w:hyperlink w:anchor="_Toc11986" w:history="1">
        <w:r>
          <w:rPr>
            <w:rFonts w:ascii="仿宋" w:eastAsia="仿宋" w:hAnsi="仿宋" w:cs="仿宋" w:hint="eastAsia"/>
            <w:lang w:eastAsia="zh-CN"/>
          </w:rPr>
          <w:t>(二)、内燃机电点火起动装置，相关电工器材项目目标</w:t>
        </w:r>
        <w:r>
          <w:tab/>
        </w:r>
        <w:r>
          <w:fldChar w:fldCharType="begin"/>
        </w:r>
        <w:r>
          <w:instrText xml:space="preserve"> PAGEREF _Toc11986 \h </w:instrText>
        </w:r>
        <w:r>
          <w:fldChar w:fldCharType="separate"/>
        </w:r>
        <w:r>
          <w:t>16</w:t>
        </w:r>
        <w:r>
          <w:fldChar w:fldCharType="end"/>
        </w:r>
      </w:hyperlink>
    </w:p>
    <w:p>
      <w:pPr>
        <w:pStyle w:val="TOC2"/>
        <w:tabs>
          <w:tab w:val="right" w:leader="dot" w:pos="8306"/>
        </w:tabs>
      </w:pPr>
      <w:hyperlink w:anchor="_Toc4972" w:history="1">
        <w:r>
          <w:rPr>
            <w:rFonts w:ascii="仿宋" w:eastAsia="仿宋" w:hAnsi="仿宋" w:cs="仿宋" w:hint="eastAsia"/>
            <w:lang w:eastAsia="zh-CN"/>
          </w:rPr>
          <w:t>(三)、内燃机电点火起动装置，相关电工器材项目提出的理由</w:t>
        </w:r>
        <w:r>
          <w:tab/>
        </w:r>
        <w:r>
          <w:fldChar w:fldCharType="begin"/>
        </w:r>
        <w:r>
          <w:instrText xml:space="preserve"> PAGEREF _Toc4972 \h </w:instrText>
        </w:r>
        <w:r>
          <w:fldChar w:fldCharType="separate"/>
        </w:r>
        <w:r>
          <w:t>17</w:t>
        </w:r>
        <w:r>
          <w:fldChar w:fldCharType="end"/>
        </w:r>
      </w:hyperlink>
    </w:p>
    <w:p>
      <w:pPr>
        <w:pStyle w:val="TOC2"/>
        <w:tabs>
          <w:tab w:val="right" w:leader="dot" w:pos="8306"/>
        </w:tabs>
      </w:pPr>
      <w:hyperlink w:anchor="_Toc17954" w:history="1">
        <w:r>
          <w:rPr>
            <w:rFonts w:ascii="仿宋" w:eastAsia="仿宋" w:hAnsi="仿宋" w:cs="仿宋" w:hint="eastAsia"/>
            <w:lang w:eastAsia="zh-CN"/>
          </w:rPr>
          <w:t>(四)、内燃机电点火起动装置，相关电工器材项目意义</w:t>
        </w:r>
        <w:r>
          <w:tab/>
        </w:r>
        <w:r>
          <w:fldChar w:fldCharType="begin"/>
        </w:r>
        <w:r>
          <w:instrText xml:space="preserve"> PAGEREF _Toc17954 \h </w:instrText>
        </w:r>
        <w:r>
          <w:fldChar w:fldCharType="separate"/>
        </w:r>
        <w:r>
          <w:t>19</w:t>
        </w:r>
        <w:r>
          <w:fldChar w:fldCharType="end"/>
        </w:r>
      </w:hyperlink>
    </w:p>
    <w:p>
      <w:pPr>
        <w:pStyle w:val="TOC2"/>
        <w:tabs>
          <w:tab w:val="right" w:leader="dot" w:pos="8306"/>
        </w:tabs>
      </w:pPr>
      <w:hyperlink w:anchor="_Toc29348" w:history="1">
        <w:r>
          <w:rPr>
            <w:rFonts w:ascii="仿宋" w:eastAsia="仿宋" w:hAnsi="仿宋" w:cs="仿宋" w:hint="eastAsia"/>
            <w:lang w:eastAsia="zh-CN"/>
          </w:rPr>
          <w:t>(五)、内燃机电点火起动装置，相关电工器材项目背景</w:t>
        </w:r>
        <w:r>
          <w:tab/>
        </w:r>
        <w:r>
          <w:fldChar w:fldCharType="begin"/>
        </w:r>
        <w:r>
          <w:instrText xml:space="preserve"> PAGEREF _Toc29348 \h </w:instrText>
        </w:r>
        <w:r>
          <w:fldChar w:fldCharType="separate"/>
        </w:r>
        <w:r>
          <w:t>20</w:t>
        </w:r>
        <w:r>
          <w:fldChar w:fldCharType="end"/>
        </w:r>
      </w:hyperlink>
    </w:p>
    <w:p>
      <w:pPr>
        <w:pStyle w:val="TOC1"/>
        <w:tabs>
          <w:tab w:val="right" w:leader="dot" w:pos="8306"/>
        </w:tabs>
      </w:pPr>
      <w:hyperlink w:anchor="_Toc11425" w:history="1">
        <w:r>
          <w:rPr>
            <w:rFonts w:ascii="仿宋" w:eastAsia="仿宋" w:hAnsi="仿宋" w:cs="仿宋" w:hint="eastAsia"/>
            <w:lang w:eastAsia="zh-CN"/>
          </w:rPr>
          <w:t>六、工艺说明</w:t>
        </w:r>
        <w:r>
          <w:tab/>
        </w:r>
        <w:r>
          <w:fldChar w:fldCharType="begin"/>
        </w:r>
        <w:r>
          <w:instrText xml:space="preserve"> PAGEREF _Toc11425 \h </w:instrText>
        </w:r>
        <w:r>
          <w:fldChar w:fldCharType="separate"/>
        </w:r>
        <w:r>
          <w:t>21</w:t>
        </w:r>
        <w:r>
          <w:fldChar w:fldCharType="end"/>
        </w:r>
      </w:hyperlink>
    </w:p>
    <w:p>
      <w:pPr>
        <w:pStyle w:val="TOC2"/>
        <w:tabs>
          <w:tab w:val="right" w:leader="dot" w:pos="8306"/>
        </w:tabs>
      </w:pPr>
      <w:hyperlink w:anchor="_Toc22483" w:history="1">
        <w:r>
          <w:rPr>
            <w:rFonts w:ascii="仿宋" w:eastAsia="仿宋" w:hAnsi="仿宋" w:cs="仿宋" w:hint="eastAsia"/>
            <w:lang w:eastAsia="zh-CN"/>
          </w:rPr>
          <w:t>(一)、技术管理特点</w:t>
        </w:r>
        <w:r>
          <w:tab/>
        </w:r>
        <w:r>
          <w:fldChar w:fldCharType="begin"/>
        </w:r>
        <w:r>
          <w:instrText xml:space="preserve"> PAGEREF _Toc22483 \h </w:instrText>
        </w:r>
        <w:r>
          <w:fldChar w:fldCharType="separate"/>
        </w:r>
        <w:r>
          <w:t>21</w:t>
        </w:r>
        <w:r>
          <w:fldChar w:fldCharType="end"/>
        </w:r>
      </w:hyperlink>
    </w:p>
    <w:p>
      <w:pPr>
        <w:pStyle w:val="TOC2"/>
        <w:tabs>
          <w:tab w:val="right" w:leader="dot" w:pos="8306"/>
        </w:tabs>
      </w:pPr>
      <w:hyperlink w:anchor="_Toc17326" w:history="1">
        <w:r>
          <w:rPr>
            <w:rFonts w:ascii="仿宋" w:eastAsia="仿宋" w:hAnsi="仿宋" w:cs="仿宋" w:hint="eastAsia"/>
            <w:lang w:eastAsia="zh-CN"/>
          </w:rPr>
          <w:t>(二)、内燃机电点火起动装置，相关电工器材项目工艺技术设计方案</w:t>
        </w:r>
        <w:r>
          <w:tab/>
        </w:r>
        <w:r>
          <w:fldChar w:fldCharType="begin"/>
        </w:r>
        <w:r>
          <w:instrText xml:space="preserve"> PAGEREF _Toc17326 \h </w:instrText>
        </w:r>
        <w:r>
          <w:fldChar w:fldCharType="separate"/>
        </w:r>
        <w:r>
          <w:t>23</w:t>
        </w:r>
        <w:r>
          <w:fldChar w:fldCharType="end"/>
        </w:r>
      </w:hyperlink>
    </w:p>
    <w:p>
      <w:pPr>
        <w:pStyle w:val="TOC2"/>
        <w:tabs>
          <w:tab w:val="right" w:leader="dot" w:pos="8306"/>
        </w:tabs>
      </w:pPr>
      <w:hyperlink w:anchor="_Toc3314" w:history="1">
        <w:r>
          <w:rPr>
            <w:rFonts w:ascii="仿宋" w:eastAsia="仿宋" w:hAnsi="仿宋" w:cs="仿宋" w:hint="eastAsia"/>
            <w:lang w:eastAsia="zh-CN"/>
          </w:rPr>
          <w:t>(三)、设备选型方案</w:t>
        </w:r>
        <w:r>
          <w:tab/>
        </w:r>
        <w:r>
          <w:fldChar w:fldCharType="begin"/>
        </w:r>
        <w:r>
          <w:instrText xml:space="preserve"> PAGEREF _Toc3314 \h </w:instrText>
        </w:r>
        <w:r>
          <w:fldChar w:fldCharType="separate"/>
        </w:r>
        <w:r>
          <w:t>24</w:t>
        </w:r>
        <w:r>
          <w:fldChar w:fldCharType="end"/>
        </w:r>
      </w:hyperlink>
    </w:p>
    <w:p>
      <w:pPr>
        <w:pStyle w:val="TOC1"/>
        <w:tabs>
          <w:tab w:val="right" w:leader="dot" w:pos="8306"/>
        </w:tabs>
      </w:pPr>
      <w:hyperlink w:anchor="_Toc19222" w:history="1">
        <w:r>
          <w:rPr>
            <w:rFonts w:ascii="仿宋" w:eastAsia="仿宋" w:hAnsi="仿宋" w:cs="仿宋" w:hint="eastAsia"/>
            <w:lang w:eastAsia="zh-CN"/>
          </w:rPr>
          <w:t>七、内燃机电点火起动装置，相关电工器材项目计划安排</w:t>
        </w:r>
        <w:r>
          <w:tab/>
        </w:r>
        <w:r>
          <w:fldChar w:fldCharType="begin"/>
        </w:r>
        <w:r>
          <w:instrText xml:space="preserve"> PAGEREF _Toc19222 \h </w:instrText>
        </w:r>
        <w:r>
          <w:fldChar w:fldCharType="separate"/>
        </w:r>
        <w:r>
          <w:t>26</w:t>
        </w:r>
        <w:r>
          <w:fldChar w:fldCharType="end"/>
        </w:r>
      </w:hyperlink>
    </w:p>
    <w:p>
      <w:pPr>
        <w:pStyle w:val="TOC2"/>
        <w:tabs>
          <w:tab w:val="right" w:leader="dot" w:pos="8306"/>
        </w:tabs>
      </w:pPr>
      <w:hyperlink w:anchor="_Toc16779" w:history="1">
        <w:r>
          <w:rPr>
            <w:rFonts w:ascii="仿宋" w:eastAsia="仿宋" w:hAnsi="仿宋" w:cs="仿宋" w:hint="eastAsia"/>
            <w:lang w:eastAsia="zh-CN"/>
          </w:rPr>
          <w:t>(一)、建设周期</w:t>
        </w:r>
        <w:r>
          <w:tab/>
        </w:r>
        <w:r>
          <w:fldChar w:fldCharType="begin"/>
        </w:r>
        <w:r>
          <w:instrText xml:space="preserve"> PAGEREF _Toc16779 \h </w:instrText>
        </w:r>
        <w:r>
          <w:fldChar w:fldCharType="separate"/>
        </w:r>
        <w:r>
          <w:t>26</w:t>
        </w:r>
        <w:r>
          <w:fldChar w:fldCharType="end"/>
        </w:r>
      </w:hyperlink>
    </w:p>
    <w:p>
      <w:pPr>
        <w:pStyle w:val="TOC2"/>
        <w:tabs>
          <w:tab w:val="right" w:leader="dot" w:pos="8306"/>
        </w:tabs>
      </w:pPr>
      <w:hyperlink w:anchor="_Toc3965" w:history="1">
        <w:r>
          <w:rPr>
            <w:rFonts w:ascii="仿宋" w:eastAsia="仿宋" w:hAnsi="仿宋" w:cs="仿宋" w:hint="eastAsia"/>
            <w:lang w:eastAsia="zh-CN"/>
          </w:rPr>
          <w:t>(二)、建设进度</w:t>
        </w:r>
        <w:r>
          <w:tab/>
        </w:r>
        <w:r>
          <w:fldChar w:fldCharType="begin"/>
        </w:r>
        <w:r>
          <w:instrText xml:space="preserve"> PAGEREF _Toc3965 \h </w:instrText>
        </w:r>
        <w:r>
          <w:fldChar w:fldCharType="separate"/>
        </w:r>
        <w:r>
          <w:t>27</w:t>
        </w:r>
        <w:r>
          <w:fldChar w:fldCharType="end"/>
        </w:r>
      </w:hyperlink>
    </w:p>
    <w:p>
      <w:pPr>
        <w:pStyle w:val="TOC2"/>
        <w:tabs>
          <w:tab w:val="right" w:leader="dot" w:pos="8306"/>
        </w:tabs>
      </w:pPr>
      <w:hyperlink w:anchor="_Toc1514" w:history="1">
        <w:r>
          <w:rPr>
            <w:rFonts w:ascii="仿宋" w:eastAsia="仿宋" w:hAnsi="仿宋" w:cs="仿宋" w:hint="eastAsia"/>
            <w:lang w:eastAsia="zh-CN"/>
          </w:rPr>
          <w:t>(三)、进度安排注意事项</w:t>
        </w:r>
        <w:r>
          <w:tab/>
        </w:r>
        <w:r>
          <w:fldChar w:fldCharType="begin"/>
        </w:r>
        <w:r>
          <w:instrText xml:space="preserve"> PAGEREF _Toc1514 \h </w:instrText>
        </w:r>
        <w:r>
          <w:fldChar w:fldCharType="separate"/>
        </w:r>
        <w:r>
          <w:t>28</w:t>
        </w:r>
        <w:r>
          <w:fldChar w:fldCharType="end"/>
        </w:r>
      </w:hyperlink>
    </w:p>
    <w:p>
      <w:pPr>
        <w:pStyle w:val="TOC2"/>
        <w:tabs>
          <w:tab w:val="right" w:leader="dot" w:pos="8306"/>
        </w:tabs>
      </w:pPr>
      <w:hyperlink w:anchor="_Toc25931" w:history="1">
        <w:r>
          <w:rPr>
            <w:rFonts w:ascii="仿宋" w:eastAsia="仿宋" w:hAnsi="仿宋" w:cs="仿宋" w:hint="eastAsia"/>
            <w:lang w:eastAsia="zh-CN"/>
          </w:rPr>
          <w:t>(四)、人力资源配置</w:t>
        </w:r>
        <w:r>
          <w:tab/>
        </w:r>
        <w:r>
          <w:fldChar w:fldCharType="begin"/>
        </w:r>
        <w:r>
          <w:instrText xml:space="preserve"> PAGEREF _Toc25931 \h </w:instrText>
        </w:r>
        <w:r>
          <w:fldChar w:fldCharType="separate"/>
        </w:r>
        <w:r>
          <w:t>30</w:t>
        </w:r>
        <w:r>
          <w:fldChar w:fldCharType="end"/>
        </w:r>
      </w:hyperlink>
    </w:p>
    <w:p>
      <w:pPr>
        <w:pStyle w:val="TOC1"/>
        <w:tabs>
          <w:tab w:val="right" w:leader="dot" w:pos="8306"/>
        </w:tabs>
      </w:pPr>
      <w:hyperlink w:anchor="_Toc5338" w:history="1">
        <w:r>
          <w:rPr>
            <w:rFonts w:ascii="仿宋" w:eastAsia="仿宋" w:hAnsi="仿宋" w:cs="仿宋" w:hint="eastAsia"/>
            <w:lang w:eastAsia="zh-CN"/>
          </w:rPr>
          <w:t>八、内燃机电点火起动装置，相关电工器材项目财务管理</w:t>
        </w:r>
        <w:r>
          <w:tab/>
        </w:r>
        <w:r>
          <w:fldChar w:fldCharType="begin"/>
        </w:r>
        <w:r>
          <w:instrText xml:space="preserve"> PAGEREF _Toc5338 \h </w:instrText>
        </w:r>
        <w:r>
          <w:fldChar w:fldCharType="separate"/>
        </w:r>
        <w:r>
          <w:t>31</w:t>
        </w:r>
        <w:r>
          <w:fldChar w:fldCharType="end"/>
        </w:r>
      </w:hyperlink>
    </w:p>
    <w:p>
      <w:pPr>
        <w:pStyle w:val="TOC2"/>
        <w:tabs>
          <w:tab w:val="right" w:leader="dot" w:pos="8306"/>
        </w:tabs>
      </w:pPr>
      <w:hyperlink w:anchor="_Toc7173" w:history="1">
        <w:r>
          <w:rPr>
            <w:rFonts w:ascii="仿宋" w:eastAsia="仿宋" w:hAnsi="仿宋" w:cs="仿宋" w:hint="eastAsia"/>
            <w:lang w:eastAsia="zh-CN"/>
          </w:rPr>
          <w:t>(一)、资金需求大</w:t>
        </w:r>
        <w:r>
          <w:tab/>
        </w:r>
        <w:r>
          <w:fldChar w:fldCharType="begin"/>
        </w:r>
        <w:r>
          <w:instrText xml:space="preserve"> PAGEREF _Toc7173 \h </w:instrText>
        </w:r>
        <w:r>
          <w:fldChar w:fldCharType="separate"/>
        </w:r>
        <w:r>
          <w:t>31</w:t>
        </w:r>
        <w:r>
          <w:fldChar w:fldCharType="end"/>
        </w:r>
      </w:hyperlink>
    </w:p>
    <w:p>
      <w:pPr>
        <w:pStyle w:val="TOC2"/>
        <w:tabs>
          <w:tab w:val="right" w:leader="dot" w:pos="8306"/>
        </w:tabs>
      </w:pPr>
      <w:hyperlink w:anchor="_Toc2094" w:history="1">
        <w:r>
          <w:rPr>
            <w:rFonts w:ascii="仿宋" w:eastAsia="仿宋" w:hAnsi="仿宋" w:cs="仿宋" w:hint="eastAsia"/>
            <w:lang w:eastAsia="zh-CN"/>
          </w:rPr>
          <w:t>(二)、研发周期长</w:t>
        </w:r>
        <w:r>
          <w:tab/>
        </w:r>
        <w:r>
          <w:fldChar w:fldCharType="begin"/>
        </w:r>
        <w:r>
          <w:instrText xml:space="preserve"> PAGEREF _Toc2094 \h </w:instrText>
        </w:r>
        <w:r>
          <w:fldChar w:fldCharType="separate"/>
        </w:r>
        <w:r>
          <w:t>32</w:t>
        </w:r>
        <w:r>
          <w:fldChar w:fldCharType="end"/>
        </w:r>
      </w:hyperlink>
    </w:p>
    <w:p>
      <w:pPr>
        <w:pStyle w:val="TOC2"/>
        <w:tabs>
          <w:tab w:val="right" w:leader="dot" w:pos="8306"/>
        </w:tabs>
      </w:pPr>
      <w:hyperlink w:anchor="_Toc13603" w:history="1">
        <w:r>
          <w:rPr>
            <w:rFonts w:ascii="仿宋" w:eastAsia="仿宋" w:hAnsi="仿宋" w:cs="仿宋" w:hint="eastAsia"/>
            <w:lang w:eastAsia="zh-CN"/>
          </w:rPr>
          <w:t>(三)、市场风险大</w:t>
        </w:r>
        <w:r>
          <w:tab/>
        </w:r>
        <w:r>
          <w:fldChar w:fldCharType="begin"/>
        </w:r>
        <w:r>
          <w:instrText xml:space="preserve"> PAGEREF _Toc13603 \h </w:instrText>
        </w:r>
        <w:r>
          <w:fldChar w:fldCharType="separate"/>
        </w:r>
        <w:r>
          <w:t>33</w:t>
        </w:r>
        <w:r>
          <w:fldChar w:fldCharType="end"/>
        </w:r>
      </w:hyperlink>
    </w:p>
    <w:p>
      <w:pPr>
        <w:pStyle w:val="TOC2"/>
        <w:tabs>
          <w:tab w:val="right" w:leader="dot" w:pos="8306"/>
        </w:tabs>
      </w:pPr>
      <w:hyperlink w:anchor="_Toc13990" w:history="1">
        <w:r>
          <w:rPr>
            <w:rFonts w:ascii="仿宋" w:eastAsia="仿宋" w:hAnsi="仿宋" w:cs="仿宋" w:hint="eastAsia"/>
            <w:lang w:eastAsia="zh-CN"/>
          </w:rPr>
          <w:t>(四)、利润率高</w:t>
        </w:r>
        <w:r>
          <w:tab/>
        </w:r>
        <w:r>
          <w:fldChar w:fldCharType="begin"/>
        </w:r>
        <w:r>
          <w:instrText xml:space="preserve"> PAGEREF _Toc13990 \h </w:instrText>
        </w:r>
        <w:r>
          <w:fldChar w:fldCharType="separate"/>
        </w:r>
        <w:r>
          <w:t>37</w:t>
        </w:r>
        <w:r>
          <w:fldChar w:fldCharType="end"/>
        </w:r>
      </w:hyperlink>
    </w:p>
    <w:p>
      <w:pPr>
        <w:pStyle w:val="TOC1"/>
        <w:tabs>
          <w:tab w:val="right" w:leader="dot" w:pos="8306"/>
        </w:tabs>
      </w:pPr>
      <w:hyperlink w:anchor="_Toc17127" w:history="1">
        <w:r>
          <w:rPr>
            <w:rFonts w:ascii="仿宋" w:eastAsia="仿宋" w:hAnsi="仿宋" w:cs="仿宋" w:hint="eastAsia"/>
            <w:lang w:eastAsia="zh-CN"/>
          </w:rPr>
          <w:t>九、生产安全保护</w:t>
        </w:r>
        <w:r>
          <w:tab/>
        </w:r>
        <w:r>
          <w:fldChar w:fldCharType="begin"/>
        </w:r>
        <w:r>
          <w:instrText xml:space="preserve"> PAGEREF _Toc17127 \h </w:instrText>
        </w:r>
        <w:r>
          <w:fldChar w:fldCharType="separate"/>
        </w:r>
        <w:r>
          <w:t>39</w:t>
        </w:r>
        <w:r>
          <w:fldChar w:fldCharType="end"/>
        </w:r>
      </w:hyperlink>
    </w:p>
    <w:p>
      <w:pPr>
        <w:pStyle w:val="TOC2"/>
        <w:tabs>
          <w:tab w:val="right" w:leader="dot" w:pos="8306"/>
        </w:tabs>
      </w:pPr>
      <w:hyperlink w:anchor="_Toc11764" w:history="1">
        <w:r>
          <w:rPr>
            <w:rFonts w:ascii="仿宋" w:eastAsia="仿宋" w:hAnsi="仿宋" w:cs="仿宋" w:hint="eastAsia"/>
            <w:lang w:eastAsia="zh-CN"/>
          </w:rPr>
          <w:t>(一)、消防安全</w:t>
        </w:r>
        <w:r>
          <w:tab/>
        </w:r>
        <w:r>
          <w:fldChar w:fldCharType="begin"/>
        </w:r>
        <w:r>
          <w:instrText xml:space="preserve"> PAGEREF _Toc11764 \h </w:instrText>
        </w:r>
        <w:r>
          <w:fldChar w:fldCharType="separate"/>
        </w:r>
        <w:r>
          <w:t>39</w:t>
        </w:r>
        <w:r>
          <w:fldChar w:fldCharType="end"/>
        </w:r>
      </w:hyperlink>
    </w:p>
    <w:p>
      <w:pPr>
        <w:pStyle w:val="TOC2"/>
        <w:tabs>
          <w:tab w:val="right" w:leader="dot" w:pos="8306"/>
        </w:tabs>
      </w:pPr>
      <w:hyperlink w:anchor="_Toc14032" w:history="1">
        <w:r>
          <w:rPr>
            <w:rFonts w:ascii="仿宋" w:eastAsia="仿宋" w:hAnsi="仿宋" w:cs="仿宋" w:hint="eastAsia"/>
            <w:lang w:eastAsia="zh-CN"/>
          </w:rPr>
          <w:t>(二)、防火防爆总图布置措施</w:t>
        </w:r>
        <w:r>
          <w:tab/>
        </w:r>
        <w:r>
          <w:fldChar w:fldCharType="begin"/>
        </w:r>
        <w:r>
          <w:instrText xml:space="preserve"> PAGEREF _Toc14032 \h </w:instrText>
        </w:r>
        <w:r>
          <w:fldChar w:fldCharType="separate"/>
        </w:r>
        <w:r>
          <w:t>41</w:t>
        </w:r>
        <w:r>
          <w:fldChar w:fldCharType="end"/>
        </w:r>
      </w:hyperlink>
    </w:p>
    <w:p>
      <w:pPr>
        <w:pStyle w:val="TOC2"/>
        <w:tabs>
          <w:tab w:val="right" w:leader="dot" w:pos="8306"/>
        </w:tabs>
      </w:pPr>
      <w:hyperlink w:anchor="_Toc4584" w:history="1">
        <w:r>
          <w:rPr>
            <w:rFonts w:ascii="仿宋" w:eastAsia="仿宋" w:hAnsi="仿宋" w:cs="仿宋" w:hint="eastAsia"/>
            <w:lang w:eastAsia="zh-CN"/>
          </w:rPr>
          <w:t>(三)、自然灾害防范措施</w:t>
        </w:r>
        <w:r>
          <w:tab/>
        </w:r>
        <w:r>
          <w:fldChar w:fldCharType="begin"/>
        </w:r>
        <w:r>
          <w:instrText xml:space="preserve"> PAGEREF _Toc4584 \h </w:instrText>
        </w:r>
        <w:r>
          <w:fldChar w:fldCharType="separate"/>
        </w:r>
        <w:r>
          <w:t>42</w:t>
        </w:r>
        <w:r>
          <w:fldChar w:fldCharType="end"/>
        </w:r>
      </w:hyperlink>
    </w:p>
    <w:p>
      <w:pPr>
        <w:pStyle w:val="TOC2"/>
        <w:tabs>
          <w:tab w:val="right" w:leader="dot" w:pos="8306"/>
        </w:tabs>
      </w:pPr>
      <w:hyperlink w:anchor="_Toc25738" w:history="1">
        <w:r>
          <w:rPr>
            <w:rFonts w:ascii="仿宋" w:eastAsia="仿宋" w:hAnsi="仿宋" w:cs="仿宋" w:hint="eastAsia"/>
            <w:lang w:eastAsia="zh-CN"/>
          </w:rPr>
          <w:t>(四)、安全色及安全标志使用要求</w:t>
        </w:r>
        <w:r>
          <w:tab/>
        </w:r>
        <w:r>
          <w:fldChar w:fldCharType="begin"/>
        </w:r>
        <w:r>
          <w:instrText xml:space="preserve"> PAGEREF _Toc25738 \h </w:instrText>
        </w:r>
        <w:r>
          <w:fldChar w:fldCharType="separate"/>
        </w:r>
        <w:r>
          <w:t>43</w:t>
        </w:r>
        <w:r>
          <w:fldChar w:fldCharType="end"/>
        </w:r>
      </w:hyperlink>
    </w:p>
    <w:p>
      <w:pPr>
        <w:pStyle w:val="TOC2"/>
        <w:tabs>
          <w:tab w:val="right" w:leader="dot" w:pos="8306"/>
        </w:tabs>
      </w:pPr>
      <w:hyperlink w:anchor="_Toc12819" w:history="1">
        <w:r>
          <w:rPr>
            <w:rFonts w:ascii="仿宋" w:eastAsia="仿宋" w:hAnsi="仿宋" w:cs="仿宋" w:hint="eastAsia"/>
            <w:lang w:eastAsia="zh-CN"/>
          </w:rPr>
          <w:t>(五)、防尘防毒措施</w:t>
        </w:r>
        <w:r>
          <w:tab/>
        </w:r>
        <w:r>
          <w:fldChar w:fldCharType="begin"/>
        </w:r>
        <w:r>
          <w:instrText xml:space="preserve"> PAGEREF _Toc12819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08" w:history="1">
        <w:r>
          <w:rPr>
            <w:rFonts w:ascii="仿宋" w:eastAsia="仿宋" w:hAnsi="仿宋" w:cs="仿宋" w:hint="eastAsia"/>
            <w:lang w:eastAsia="zh-CN"/>
          </w:rPr>
          <w:t>(六)、防静电、触电防护及防雷措施</w:t>
        </w:r>
        <w:r>
          <w:tab/>
        </w:r>
        <w:r>
          <w:fldChar w:fldCharType="begin"/>
        </w:r>
        <w:r>
          <w:instrText xml:space="preserve"> PAGEREF _Toc26008 \h </w:instrText>
        </w:r>
        <w:r>
          <w:fldChar w:fldCharType="separate"/>
        </w:r>
        <w:r>
          <w:t>45</w:t>
        </w:r>
        <w:r>
          <w:fldChar w:fldCharType="end"/>
        </w:r>
      </w:hyperlink>
    </w:p>
    <w:p>
      <w:pPr>
        <w:pStyle w:val="TOC2"/>
        <w:tabs>
          <w:tab w:val="right" w:leader="dot" w:pos="8306"/>
        </w:tabs>
      </w:pPr>
      <w:hyperlink w:anchor="_Toc29021" w:history="1">
        <w:r>
          <w:rPr>
            <w:rFonts w:ascii="仿宋" w:eastAsia="仿宋" w:hAnsi="仿宋" w:cs="仿宋" w:hint="eastAsia"/>
            <w:lang w:eastAsia="zh-CN"/>
          </w:rPr>
          <w:t>(七)、机械设备安全保障措施</w:t>
        </w:r>
        <w:r>
          <w:tab/>
        </w:r>
        <w:r>
          <w:fldChar w:fldCharType="begin"/>
        </w:r>
        <w:r>
          <w:instrText xml:space="preserve"> PAGEREF _Toc29021 \h </w:instrText>
        </w:r>
        <w:r>
          <w:fldChar w:fldCharType="separate"/>
        </w:r>
        <w:r>
          <w:t>47</w:t>
        </w:r>
        <w:r>
          <w:fldChar w:fldCharType="end"/>
        </w:r>
      </w:hyperlink>
    </w:p>
    <w:p>
      <w:pPr>
        <w:pStyle w:val="TOC1"/>
        <w:tabs>
          <w:tab w:val="right" w:leader="dot" w:pos="8306"/>
        </w:tabs>
      </w:pPr>
      <w:hyperlink w:anchor="_Toc11011" w:history="1">
        <w:r>
          <w:rPr>
            <w:rFonts w:ascii="仿宋" w:eastAsia="仿宋" w:hAnsi="仿宋" w:cs="仿宋" w:hint="eastAsia"/>
            <w:lang w:eastAsia="zh-CN"/>
          </w:rPr>
          <w:t>十、内燃机电点火起动装置，相关电工器材项目风险管理</w:t>
        </w:r>
        <w:r>
          <w:tab/>
        </w:r>
        <w:r>
          <w:fldChar w:fldCharType="begin"/>
        </w:r>
        <w:r>
          <w:instrText xml:space="preserve"> PAGEREF _Toc11011 \h </w:instrText>
        </w:r>
        <w:r>
          <w:fldChar w:fldCharType="separate"/>
        </w:r>
        <w:r>
          <w:t>48</w:t>
        </w:r>
        <w:r>
          <w:fldChar w:fldCharType="end"/>
        </w:r>
      </w:hyperlink>
    </w:p>
    <w:p>
      <w:pPr>
        <w:pStyle w:val="TOC2"/>
        <w:tabs>
          <w:tab w:val="right" w:leader="dot" w:pos="8306"/>
        </w:tabs>
      </w:pPr>
      <w:hyperlink w:anchor="_Toc14173" w:history="1">
        <w:r>
          <w:rPr>
            <w:rFonts w:ascii="仿宋" w:eastAsia="仿宋" w:hAnsi="仿宋" w:cs="仿宋" w:hint="eastAsia"/>
            <w:lang w:eastAsia="zh-CN"/>
          </w:rPr>
          <w:t>(一)、风险识别与评估</w:t>
        </w:r>
        <w:r>
          <w:tab/>
        </w:r>
        <w:r>
          <w:fldChar w:fldCharType="begin"/>
        </w:r>
        <w:r>
          <w:instrText xml:space="preserve"> PAGEREF _Toc14173 \h </w:instrText>
        </w:r>
        <w:r>
          <w:fldChar w:fldCharType="separate"/>
        </w:r>
        <w:r>
          <w:t>48</w:t>
        </w:r>
        <w:r>
          <w:fldChar w:fldCharType="end"/>
        </w:r>
      </w:hyperlink>
    </w:p>
    <w:p>
      <w:pPr>
        <w:pStyle w:val="TOC2"/>
        <w:tabs>
          <w:tab w:val="right" w:leader="dot" w:pos="8306"/>
        </w:tabs>
      </w:pPr>
      <w:hyperlink w:anchor="_Toc13784" w:history="1">
        <w:r>
          <w:rPr>
            <w:rFonts w:ascii="仿宋" w:eastAsia="仿宋" w:hAnsi="仿宋" w:cs="仿宋" w:hint="eastAsia"/>
            <w:lang w:eastAsia="zh-CN"/>
          </w:rPr>
          <w:t>(二)、风险应对策略</w:t>
        </w:r>
        <w:r>
          <w:tab/>
        </w:r>
        <w:r>
          <w:fldChar w:fldCharType="begin"/>
        </w:r>
        <w:r>
          <w:instrText xml:space="preserve"> PAGEREF _Toc13784 \h </w:instrText>
        </w:r>
        <w:r>
          <w:fldChar w:fldCharType="separate"/>
        </w:r>
        <w:r>
          <w:t>50</w:t>
        </w:r>
        <w:r>
          <w:fldChar w:fldCharType="end"/>
        </w:r>
      </w:hyperlink>
    </w:p>
    <w:p>
      <w:pPr>
        <w:pStyle w:val="TOC2"/>
        <w:tabs>
          <w:tab w:val="right" w:leader="dot" w:pos="8306"/>
        </w:tabs>
      </w:pPr>
      <w:hyperlink w:anchor="_Toc8575" w:history="1">
        <w:r>
          <w:rPr>
            <w:rFonts w:ascii="仿宋" w:eastAsia="仿宋" w:hAnsi="仿宋" w:cs="仿宋" w:hint="eastAsia"/>
            <w:lang w:eastAsia="zh-CN"/>
          </w:rPr>
          <w:t>(三)、风险监控与控制</w:t>
        </w:r>
        <w:r>
          <w:tab/>
        </w:r>
        <w:r>
          <w:fldChar w:fldCharType="begin"/>
        </w:r>
        <w:r>
          <w:instrText xml:space="preserve"> PAGEREF _Toc8575 \h </w:instrText>
        </w:r>
        <w:r>
          <w:fldChar w:fldCharType="separate"/>
        </w:r>
        <w:r>
          <w:t>52</w:t>
        </w:r>
        <w:r>
          <w:fldChar w:fldCharType="end"/>
        </w:r>
      </w:hyperlink>
    </w:p>
    <w:p>
      <w:pPr>
        <w:pStyle w:val="TOC1"/>
        <w:tabs>
          <w:tab w:val="right" w:leader="dot" w:pos="8306"/>
        </w:tabs>
      </w:pPr>
      <w:hyperlink w:anchor="_Toc29753" w:history="1">
        <w:r>
          <w:rPr>
            <w:rFonts w:ascii="仿宋" w:eastAsia="仿宋" w:hAnsi="仿宋" w:cs="仿宋" w:hint="eastAsia"/>
            <w:lang w:eastAsia="zh-CN"/>
          </w:rPr>
          <w:t>十一、内燃机电点火起动装置，相关电工器材项目投资规划</w:t>
        </w:r>
        <w:r>
          <w:tab/>
        </w:r>
        <w:r>
          <w:fldChar w:fldCharType="begin"/>
        </w:r>
        <w:r>
          <w:instrText xml:space="preserve"> PAGEREF _Toc29753 \h </w:instrText>
        </w:r>
        <w:r>
          <w:fldChar w:fldCharType="separate"/>
        </w:r>
        <w:r>
          <w:t>53</w:t>
        </w:r>
        <w:r>
          <w:fldChar w:fldCharType="end"/>
        </w:r>
      </w:hyperlink>
    </w:p>
    <w:p>
      <w:pPr>
        <w:pStyle w:val="TOC2"/>
        <w:tabs>
          <w:tab w:val="right" w:leader="dot" w:pos="8306"/>
        </w:tabs>
      </w:pPr>
      <w:hyperlink w:anchor="_Toc6704" w:history="1">
        <w:r>
          <w:rPr>
            <w:rFonts w:ascii="仿宋" w:eastAsia="仿宋" w:hAnsi="仿宋" w:cs="仿宋" w:hint="eastAsia"/>
            <w:lang w:eastAsia="zh-CN"/>
          </w:rPr>
          <w:t>(一)、内燃机电点火起动装置，相关电工器材项目总投资估算</w:t>
        </w:r>
        <w:r>
          <w:tab/>
        </w:r>
        <w:r>
          <w:fldChar w:fldCharType="begin"/>
        </w:r>
        <w:r>
          <w:instrText xml:space="preserve"> PAGEREF _Toc6704 \h </w:instrText>
        </w:r>
        <w:r>
          <w:fldChar w:fldCharType="separate"/>
        </w:r>
        <w:r>
          <w:t>53</w:t>
        </w:r>
        <w:r>
          <w:fldChar w:fldCharType="end"/>
        </w:r>
      </w:hyperlink>
    </w:p>
    <w:p>
      <w:pPr>
        <w:pStyle w:val="TOC2"/>
        <w:tabs>
          <w:tab w:val="right" w:leader="dot" w:pos="8306"/>
        </w:tabs>
      </w:pPr>
      <w:hyperlink w:anchor="_Toc28745" w:history="1">
        <w:r>
          <w:rPr>
            <w:rFonts w:ascii="仿宋" w:eastAsia="仿宋" w:hAnsi="仿宋" w:cs="仿宋" w:hint="eastAsia"/>
            <w:lang w:eastAsia="zh-CN"/>
          </w:rPr>
          <w:t>(二)、资金筹措</w:t>
        </w:r>
        <w:r>
          <w:tab/>
        </w:r>
        <w:r>
          <w:fldChar w:fldCharType="begin"/>
        </w:r>
        <w:r>
          <w:instrText xml:space="preserve"> PAGEREF _Toc28745 \h </w:instrText>
        </w:r>
        <w:r>
          <w:fldChar w:fldCharType="separate"/>
        </w:r>
        <w:r>
          <w:t>54</w:t>
        </w:r>
        <w:r>
          <w:fldChar w:fldCharType="end"/>
        </w:r>
      </w:hyperlink>
    </w:p>
    <w:p>
      <w:pPr>
        <w:pStyle w:val="TOC1"/>
        <w:tabs>
          <w:tab w:val="right" w:leader="dot" w:pos="8306"/>
        </w:tabs>
      </w:pPr>
      <w:hyperlink w:anchor="_Toc28339" w:history="1">
        <w:r>
          <w:rPr>
            <w:rFonts w:ascii="仿宋" w:eastAsia="仿宋" w:hAnsi="仿宋" w:cs="仿宋" w:hint="eastAsia"/>
            <w:lang w:eastAsia="zh-CN"/>
          </w:rPr>
          <w:t>十二、内燃机电点火起动装置，相关电工器材项目创新与研发</w:t>
        </w:r>
        <w:r>
          <w:tab/>
        </w:r>
        <w:r>
          <w:fldChar w:fldCharType="begin"/>
        </w:r>
        <w:r>
          <w:instrText xml:space="preserve"> PAGEREF _Toc28339 \h </w:instrText>
        </w:r>
        <w:r>
          <w:fldChar w:fldCharType="separate"/>
        </w:r>
        <w:r>
          <w:t>55</w:t>
        </w:r>
        <w:r>
          <w:fldChar w:fldCharType="end"/>
        </w:r>
      </w:hyperlink>
    </w:p>
    <w:p>
      <w:pPr>
        <w:pStyle w:val="TOC2"/>
        <w:tabs>
          <w:tab w:val="right" w:leader="dot" w:pos="8306"/>
        </w:tabs>
      </w:pPr>
      <w:hyperlink w:anchor="_Toc10054" w:history="1">
        <w:r>
          <w:rPr>
            <w:rFonts w:ascii="仿宋" w:eastAsia="仿宋" w:hAnsi="仿宋" w:cs="仿宋" w:hint="eastAsia"/>
            <w:lang w:eastAsia="zh-CN"/>
          </w:rPr>
          <w:t>(一)、创新策略与方向</w:t>
        </w:r>
        <w:r>
          <w:tab/>
        </w:r>
        <w:r>
          <w:fldChar w:fldCharType="begin"/>
        </w:r>
        <w:r>
          <w:instrText xml:space="preserve"> PAGEREF _Toc10054 \h </w:instrText>
        </w:r>
        <w:r>
          <w:fldChar w:fldCharType="separate"/>
        </w:r>
        <w:r>
          <w:t>55</w:t>
        </w:r>
        <w:r>
          <w:fldChar w:fldCharType="end"/>
        </w:r>
      </w:hyperlink>
    </w:p>
    <w:p>
      <w:pPr>
        <w:pStyle w:val="TOC2"/>
        <w:tabs>
          <w:tab w:val="right" w:leader="dot" w:pos="8306"/>
        </w:tabs>
      </w:pPr>
      <w:hyperlink w:anchor="_Toc72" w:history="1">
        <w:r>
          <w:rPr>
            <w:rFonts w:ascii="仿宋" w:eastAsia="仿宋" w:hAnsi="仿宋" w:cs="仿宋" w:hint="eastAsia"/>
            <w:lang w:eastAsia="zh-CN"/>
          </w:rPr>
          <w:t>(二)、研发规划与投入</w:t>
        </w:r>
        <w:r>
          <w:tab/>
        </w:r>
        <w:r>
          <w:fldChar w:fldCharType="begin"/>
        </w:r>
        <w:r>
          <w:instrText xml:space="preserve"> PAGEREF _Toc72 \h </w:instrText>
        </w:r>
        <w:r>
          <w:fldChar w:fldCharType="separate"/>
        </w:r>
        <w:r>
          <w:t>57</w:t>
        </w:r>
        <w:r>
          <w:fldChar w:fldCharType="end"/>
        </w:r>
      </w:hyperlink>
    </w:p>
    <w:p>
      <w:pPr>
        <w:pStyle w:val="TOC1"/>
        <w:tabs>
          <w:tab w:val="right" w:leader="dot" w:pos="8306"/>
        </w:tabs>
      </w:pPr>
      <w:hyperlink w:anchor="_Toc21122" w:history="1">
        <w:r>
          <w:rPr>
            <w:rFonts w:ascii="仿宋" w:eastAsia="仿宋" w:hAnsi="仿宋" w:cs="仿宋" w:hint="eastAsia"/>
            <w:lang w:eastAsia="zh-CN"/>
          </w:rPr>
          <w:t>十三、利益相关者分析与沟通计划</w:t>
        </w:r>
        <w:r>
          <w:tab/>
        </w:r>
        <w:r>
          <w:fldChar w:fldCharType="begin"/>
        </w:r>
        <w:r>
          <w:instrText xml:space="preserve"> PAGEREF _Toc21122 \h </w:instrText>
        </w:r>
        <w:r>
          <w:fldChar w:fldCharType="separate"/>
        </w:r>
        <w:r>
          <w:t>59</w:t>
        </w:r>
        <w:r>
          <w:fldChar w:fldCharType="end"/>
        </w:r>
      </w:hyperlink>
    </w:p>
    <w:p>
      <w:pPr>
        <w:pStyle w:val="TOC2"/>
        <w:tabs>
          <w:tab w:val="right" w:leader="dot" w:pos="8306"/>
        </w:tabs>
      </w:pPr>
      <w:hyperlink w:anchor="_Toc21444" w:history="1">
        <w:r>
          <w:rPr>
            <w:rFonts w:ascii="仿宋" w:eastAsia="仿宋" w:hAnsi="仿宋" w:cs="仿宋" w:hint="eastAsia"/>
            <w:lang w:eastAsia="zh-CN"/>
          </w:rPr>
          <w:t>(一)、利益相关者分析</w:t>
        </w:r>
        <w:r>
          <w:tab/>
        </w:r>
        <w:r>
          <w:fldChar w:fldCharType="begin"/>
        </w:r>
        <w:r>
          <w:instrText xml:space="preserve"> PAGEREF _Toc21444 \h </w:instrText>
        </w:r>
        <w:r>
          <w:fldChar w:fldCharType="separate"/>
        </w:r>
        <w:r>
          <w:t>59</w:t>
        </w:r>
        <w:r>
          <w:fldChar w:fldCharType="end"/>
        </w:r>
      </w:hyperlink>
    </w:p>
    <w:p>
      <w:pPr>
        <w:pStyle w:val="TOC2"/>
        <w:tabs>
          <w:tab w:val="right" w:leader="dot" w:pos="8306"/>
        </w:tabs>
      </w:pPr>
      <w:hyperlink w:anchor="_Toc31008" w:history="1">
        <w:r>
          <w:rPr>
            <w:rFonts w:ascii="仿宋" w:eastAsia="仿宋" w:hAnsi="仿宋" w:cs="仿宋" w:hint="eastAsia"/>
            <w:lang w:eastAsia="zh-CN"/>
          </w:rPr>
          <w:t>(二)、沟通计划</w:t>
        </w:r>
        <w:r>
          <w:tab/>
        </w:r>
        <w:r>
          <w:fldChar w:fldCharType="begin"/>
        </w:r>
        <w:r>
          <w:instrText xml:space="preserve"> PAGEREF _Toc31008 \h </w:instrText>
        </w:r>
        <w:r>
          <w:fldChar w:fldCharType="separate"/>
        </w:r>
        <w:r>
          <w:t>60</w:t>
        </w:r>
        <w:r>
          <w:fldChar w:fldCharType="end"/>
        </w:r>
      </w:hyperlink>
    </w:p>
    <w:p>
      <w:pPr>
        <w:pStyle w:val="TOC1"/>
        <w:tabs>
          <w:tab w:val="right" w:leader="dot" w:pos="8306"/>
        </w:tabs>
      </w:pPr>
      <w:hyperlink w:anchor="_Toc6871" w:history="1">
        <w:r>
          <w:rPr>
            <w:rFonts w:ascii="仿宋" w:eastAsia="仿宋" w:hAnsi="仿宋" w:cs="仿宋" w:hint="eastAsia"/>
            <w:lang w:eastAsia="zh-CN"/>
          </w:rPr>
          <w:t>十四、内燃机电点火起动装置，相关电工器材项目治理与监督</w:t>
        </w:r>
        <w:r>
          <w:tab/>
        </w:r>
        <w:r>
          <w:fldChar w:fldCharType="begin"/>
        </w:r>
        <w:r>
          <w:instrText xml:space="preserve"> PAGEREF _Toc6871 \h </w:instrText>
        </w:r>
        <w:r>
          <w:fldChar w:fldCharType="separate"/>
        </w:r>
        <w:r>
          <w:t>61</w:t>
        </w:r>
        <w:r>
          <w:fldChar w:fldCharType="end"/>
        </w:r>
      </w:hyperlink>
    </w:p>
    <w:p>
      <w:pPr>
        <w:pStyle w:val="TOC2"/>
        <w:tabs>
          <w:tab w:val="right" w:leader="dot" w:pos="8306"/>
        </w:tabs>
      </w:pPr>
      <w:hyperlink w:anchor="_Toc6334" w:history="1">
        <w:r>
          <w:rPr>
            <w:rFonts w:ascii="仿宋" w:eastAsia="仿宋" w:hAnsi="仿宋" w:cs="仿宋" w:hint="eastAsia"/>
            <w:lang w:eastAsia="zh-CN"/>
          </w:rPr>
          <w:t>(一)、内燃机电点火起动装置，相关电工器材项目治理结构</w:t>
        </w:r>
        <w:r>
          <w:tab/>
        </w:r>
        <w:r>
          <w:fldChar w:fldCharType="begin"/>
        </w:r>
        <w:r>
          <w:instrText xml:space="preserve"> PAGEREF _Toc6334 \h </w:instrText>
        </w:r>
        <w:r>
          <w:fldChar w:fldCharType="separate"/>
        </w:r>
        <w:r>
          <w:t>61</w:t>
        </w:r>
        <w:r>
          <w:fldChar w:fldCharType="end"/>
        </w:r>
      </w:hyperlink>
    </w:p>
    <w:p>
      <w:pPr>
        <w:pStyle w:val="TOC2"/>
        <w:tabs>
          <w:tab w:val="right" w:leader="dot" w:pos="8306"/>
        </w:tabs>
      </w:pPr>
      <w:hyperlink w:anchor="_Toc27792" w:history="1">
        <w:r>
          <w:rPr>
            <w:rFonts w:ascii="仿宋" w:eastAsia="仿宋" w:hAnsi="仿宋" w:cs="仿宋" w:hint="eastAsia"/>
            <w:lang w:eastAsia="zh-CN"/>
          </w:rPr>
          <w:t>(二)、监督与审计</w:t>
        </w:r>
        <w:r>
          <w:tab/>
        </w:r>
        <w:r>
          <w:fldChar w:fldCharType="begin"/>
        </w:r>
        <w:r>
          <w:instrText xml:space="preserve"> PAGEREF _Toc27792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84"/>
      <w:r>
        <w:rPr>
          <w:rFonts w:ascii="仿宋" w:eastAsia="仿宋" w:hAnsi="仿宋" w:cs="仿宋" w:hint="eastAsia"/>
          <w:sz w:val="28"/>
          <w:lang w:eastAsia="zh-CN"/>
        </w:rPr>
        <w:t>一、内燃机电点火起动装置，相关电工器材项目可持续发展</w:t>
      </w:r>
      <w:bookmarkEnd w:id="2"/>
    </w:p>
    <w:p>
      <w:pPr>
        <w:pStyle w:val="Heading2"/>
        <w:rPr>
          <w:rFonts w:ascii="仿宋" w:eastAsia="仿宋" w:hAnsi="仿宋" w:cs="仿宋" w:hint="eastAsia"/>
          <w:lang w:eastAsia="zh-CN"/>
        </w:rPr>
      </w:pPr>
      <w:bookmarkStart w:id="3" w:name="_Toc272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中，内燃机电点火起动装置，相关电工器材项目团队着眼于未来，明确了可持续发展的战略方向。制定的具体可持续发展目标包括降低资源使用、采用环保技术、最大化社会效益等。这一步骤不仅有助于内燃机电点火起动装置，相关电工器材项目在环保和社会责任方面达到最高标准，也为未来提供了明确的指引，确保内燃机电点火起动装置，相关电工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可持续实践的融入内燃机电点火起动装置，相关电工器材项目管理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内燃机电点火起动装置，相关电工器材项目管理周期。从内燃机电点火起动装置，相关电工器材项目规划开始，内燃机电点火起动装置，相关电工器材项目团队就考虑了环境和社会的因素。在执行阶段，内燃机电点火起动装置，相关电工器材项目团队积极推动绿色技术的应用，优化资源利用。此外，关注员工的社会责任，通过培训和沟通活动提高员工对可持续发展的认知，使他们能够在日常工作中践行可持续实践。这些举措不仅为内燃机电点火起动装置，相关电工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3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内燃机电点火起动装置，相关电工器材项目的可持续发展理念，我们深信环保与社会责任是内燃机电点火起动装置，相关电工器材项目成功的关键支柱。在内燃机电点火起动装置，相关电工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团队通过引入先进的环保技术、建立高效的废物处理系统以及推动能源节约措施，积极履行环保责任。定期的环保监测和评估确保内燃机电点火起动装置，相关电工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不仅致力于自身可持续发展，还注重对社会的回馈。通过支持社区内燃机电点火起动装置，相关电工器材项目、参与慈善事业、提供培训机会等方式，内燃机电点火起动装置，相关电工器材项目积极履行社会责任。与当地社区建立积极互动，关注员工的工作与生活平衡，以及员工的身心健康，是内燃机电点火起动装置，相关电工器材项目在社会责任层面的关键举措。这样的实践不仅增强了内燃机电点火起动装置，相关电工器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275"/>
      <w:r>
        <w:rPr>
          <w:rFonts w:ascii="仿宋" w:eastAsia="仿宋" w:hAnsi="仿宋" w:cs="仿宋" w:hint="eastAsia"/>
          <w:sz w:val="28"/>
          <w:lang w:eastAsia="zh-CN"/>
        </w:rPr>
        <w:t>二、内燃机电点火起动装置，相关电工器材项目土建工程</w:t>
      </w:r>
      <w:bookmarkEnd w:id="5"/>
    </w:p>
    <w:p>
      <w:pPr>
        <w:pStyle w:val="Heading2"/>
        <w:rPr>
          <w:rFonts w:ascii="仿宋" w:eastAsia="仿宋" w:hAnsi="仿宋" w:cs="仿宋" w:hint="eastAsia"/>
          <w:lang w:eastAsia="zh-CN"/>
        </w:rPr>
      </w:pPr>
      <w:bookmarkStart w:id="6" w:name="_Toc1675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在内燃机电点火起动装置，相关电工器材项目的建筑工程设计中，我们将秉承一系列重要的设计原则，以确保内燃机电点火起动装置，相关电工器材项目建筑在功能、美观、可持续性等方面达到最佳效果。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首要原则是确保建筑的功能性得到最大化的发挥。我们将充分理解内燃机电点火起动装置，相关电工器材项目的实际需求，合理布局各个功能区域，保证建筑在满足业务需求的同时，提供高效的工作环境。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在建筑设计中，我们将综合考虑建设和运营成本。通过精细的经济效益分析，确保设计方案在高效利用资源的同时，对内燃机电点火起动装置，相关电工器材项目的长期盈利能力有积极的贡献。</w:t>
      </w:r>
    </w:p>
    <w:p>
      <w:pPr>
        <w:pStyle w:val="Heading2"/>
        <w:ind w:firstLine="560" w:firstLineChars="200"/>
        <w:rPr>
          <w:rFonts w:ascii="仿宋" w:eastAsia="仿宋" w:hAnsi="仿宋" w:cs="仿宋" w:hint="eastAsia"/>
          <w:sz w:val="28"/>
          <w:lang w:eastAsia="zh-CN"/>
        </w:rPr>
      </w:pPr>
      <w:bookmarkStart w:id="7" w:name="_Toc1460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的土建工程设计中，我们将精准设定设计年限，结合内燃机电点火起动装置，相关电工器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内燃机电点火起动装置，相关电工器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024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内燃机电点火起动装置，相关电工器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内燃机电点火起动装置，相关电工器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内燃机电点火起动装置，相关电工器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88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本期工程内燃机电点火起动装置，相关电工器材项目预计总建筑面积XXX平方米，其中：计容建筑面积XXX平方米，计划建筑工程投资XX万元，占内燃机电点火起动装置，相关电工器材项目总投资的XX%。</w:t>
      </w:r>
    </w:p>
    <w:p>
      <w:pPr>
        <w:pStyle w:val="Heading1"/>
        <w:ind w:firstLine="560" w:firstLineChars="200"/>
        <w:rPr>
          <w:rFonts w:ascii="仿宋" w:eastAsia="仿宋" w:hAnsi="仿宋" w:cs="仿宋" w:hint="eastAsia"/>
          <w:sz w:val="28"/>
          <w:lang w:eastAsia="zh-CN"/>
        </w:rPr>
      </w:pPr>
      <w:bookmarkStart w:id="10" w:name="_Toc15977"/>
      <w:r>
        <w:rPr>
          <w:rFonts w:ascii="仿宋" w:eastAsia="仿宋" w:hAnsi="仿宋" w:cs="仿宋" w:hint="eastAsia"/>
          <w:sz w:val="28"/>
          <w:lang w:eastAsia="zh-CN"/>
        </w:rPr>
        <w:t>三、内燃机电点火起动装置，相关电工器材项目危机管理</w:t>
      </w:r>
      <w:bookmarkEnd w:id="10"/>
    </w:p>
    <w:p>
      <w:pPr>
        <w:pStyle w:val="Heading2"/>
        <w:rPr>
          <w:rFonts w:ascii="仿宋" w:eastAsia="仿宋" w:hAnsi="仿宋" w:cs="仿宋" w:hint="eastAsia"/>
          <w:lang w:eastAsia="zh-CN"/>
        </w:rPr>
      </w:pPr>
      <w:bookmarkStart w:id="11" w:name="_Toc3111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内燃机电点火起动装置，相关电工器材项目危机管理中，危机预警与识别是确保内燃机电点火起动装置，相关电工器材项目稳健运行的核心步骤。通过建立全面的监测机制，内燃机电点火起动装置，相关电工器材项目团队旨在及时发现和理解潜在的风险和危机因素，以便采取及时的预防和应对措施，确保内燃机电点火起动装置，相关电工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内燃机电点火起动装置，相关电工器材项目团队全面分析了整个内燃机电点火起动装置，相关电工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内燃机电点火起动装置，相关电工器材项目团队着重于明确定义内燃机电点火起动装置，相关电工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内燃机电点火起动装置，相关电工器材项目进展的持续监控，团队能够及时发现潜在问题并作出迅速反应。内燃机电点火起动装置，相关电工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内燃机电点火起动装置，相关电工器材项目得以更有序、可控地推进。</w:t>
      </w:r>
    </w:p>
    <w:p>
      <w:pPr>
        <w:pStyle w:val="Heading2"/>
        <w:ind w:firstLine="560" w:firstLineChars="200"/>
        <w:rPr>
          <w:rFonts w:ascii="仿宋" w:eastAsia="仿宋" w:hAnsi="仿宋" w:cs="仿宋" w:hint="eastAsia"/>
          <w:sz w:val="28"/>
          <w:lang w:eastAsia="zh-CN"/>
        </w:rPr>
      </w:pPr>
      <w:bookmarkStart w:id="12" w:name="_Toc1857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在危机发生时，内燃机电点火起动装置，相关电工器材项目团队立即行动，成立了应急小组。该小组的任务是迅速制定并实施紧急应对措施，以最小化潜在损失。以下是采取的主要措施：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暂停内燃机电点火起动装置，相关电工器材项目进度：为遏制危机蔓延，内燃机电点火起动装置，相关电工器材项目暂时停止进行，以便全面评估当前状况。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资源重新分配：重新评估内燃机电点火起动装置，相关电工器材项目资源的分配，确保最大限度地减小损失。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实时沟通：与关键利益相关者建立实时沟通机制，向他们传递内燃机电点火起动装置，相关电工器材项目危机的实际状况，保障内燃机电点火起动装置，相关电工器材项目核心利益。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在紧急应对的同时，内燃机电点火起动装置，相关电工器材项目团队强调了团队协作和有效沟通的重要性。以下是团队协作的关键举措：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信息共享机制：建立了信息共享平台，确保团队成员能够及时获取内燃机电点火起动装置，相关电工器材项目危机的实时信息。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领导者沟通：内燃机电点火起动装置，相关电工器材项目领导者通过定期会议和即时沟通工具，指导团队应对危机，保持团队稳定运行。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随着危机得到初步控制，内燃机电点火起动装置，相关电工器材项目团队转向制定恢复计划，以确保内燃机电点火起动装置，相关电工器材项目能够从中迅速恢复。主要恢复计划包括：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修复受损的进度计划：重新评估内燃机电点火起动装置，相关电工器材项目进度，制定修复计划，确保内燃机电点火起动装置，相关电工器材项目尽快回归正常进程。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重新调整资源分配：优化资源分配，确保内燃机电点火起动装置，相关电工器材项目在有限资源下高效运转。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风险管理机制加强：对内燃机电点火起动装置，相关电工器材项目风险进行全面评估，制定更强化的风险管理策略，以预防未来可能的危机。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9320"/>
      <w:r>
        <w:rPr>
          <w:rFonts w:ascii="仿宋" w:eastAsia="仿宋" w:hAnsi="仿宋" w:cs="仿宋" w:hint="eastAsia"/>
          <w:sz w:val="28"/>
          <w:lang w:eastAsia="zh-CN"/>
        </w:rPr>
        <w:t>四、内燃机电点火起动装置，相关电工器材项目建设单位说明</w:t>
      </w:r>
      <w:bookmarkEnd w:id="13"/>
    </w:p>
    <w:p>
      <w:pPr>
        <w:pStyle w:val="Heading2"/>
        <w:rPr>
          <w:rFonts w:ascii="仿宋" w:eastAsia="仿宋" w:hAnsi="仿宋" w:cs="仿宋" w:hint="eastAsia"/>
          <w:lang w:eastAsia="zh-CN"/>
        </w:rPr>
      </w:pPr>
      <w:bookmarkStart w:id="14" w:name="_Toc10009"/>
      <w:r>
        <w:rPr>
          <w:rFonts w:ascii="仿宋" w:eastAsia="仿宋" w:hAnsi="仿宋" w:cs="仿宋" w:hint="eastAsia"/>
          <w:lang w:eastAsia="zh-CN"/>
        </w:rPr>
        <w:t>(一)、内燃机电点火起动装置，相关电工器材项目承办单位基本情况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931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内燃机电点火起动装置，相关电工器材项目承办单位的XXXX，我们着眼于实现可持续的经济效益。通过技术创新和解决方案的提供，公司预计在内燃机电点火起动装置，相关电工器材项目执行期间将获得可观的收入增长。这一收入来源主要包括内燃机电点火起动装置，相关电工器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同时，我们注重成本控制和效率提升，以确保内燃机电点火起动装置，相关电工器材项目的可持续盈利。透过精细的管理和资源优化，公司期望实现内燃机电点火起动装置，相关电工器材项目利润最大化。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内燃机电点火起动装置，相关电工器材项目实施进行全面的投资评估，包括内燃机电点火起动装置，相关电工器材项目启动阶段的资金投入和后续运营成本。通过对内燃机电点火起动装置，相关电工器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内燃机电点火起动装置，相关电工器材项目实施过程中具备足够的资金流动性，公司将进行详尽的现金流分析。这包括资金需求的合理预测、内燃机电点火起动装置，相关电工器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231"/>
      <w:r>
        <w:rPr>
          <w:rFonts w:ascii="仿宋" w:eastAsia="仿宋" w:hAnsi="仿宋" w:cs="仿宋" w:hint="eastAsia"/>
          <w:sz w:val="28"/>
          <w:lang w:eastAsia="zh-CN"/>
        </w:rPr>
        <w:t>五、内燃机电点火起动装置，相关电工器材项目概论</w:t>
      </w:r>
      <w:bookmarkEnd w:id="16"/>
    </w:p>
    <w:p>
      <w:pPr>
        <w:pStyle w:val="Heading2"/>
        <w:rPr>
          <w:rFonts w:ascii="仿宋" w:eastAsia="仿宋" w:hAnsi="仿宋" w:cs="仿宋" w:hint="eastAsia"/>
          <w:lang w:eastAsia="zh-CN"/>
        </w:rPr>
      </w:pPr>
      <w:bookmarkStart w:id="17" w:name="_Toc11541"/>
      <w:r>
        <w:rPr>
          <w:rFonts w:ascii="仿宋" w:eastAsia="仿宋" w:hAnsi="仿宋" w:cs="仿宋" w:hint="eastAsia"/>
          <w:lang w:eastAsia="zh-CN"/>
        </w:rPr>
        <w:t>(一)、内燃机电点火起动装置，相关电工器材项目概况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起源追溯至对市场的深入洞察。市场的不断演变与变革为内燃机电点火起动装置，相关电工器材项目提供了难得的机遇。当前市场存在的需求缺口和变革的大环境共同构成了内燃机电点火起动装置，相关电工器材项目的背景。这个内燃机电点火起动装置，相关电工器材项目旨在充分利用市场机遇，填补行业中尚未满足的需求，为客户提供全新的解决方案。市场的变革和需求的增长使得这个内燃机电点火起动装置，相关电工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内燃机电点火起动装置，相关电工器材项目名称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正式命名为内燃机电点火起动装置，相关电工器材。这个名称不仅仅是一个标识，更代表了内燃机电点火起动装置，相关电工器材项目的核心理念和愿景。它蕴含着内燃机电点火起动装置，相关电工器材项目所要解决问题的关键字，具有强烈的表达和辨识度，为内燃机电点火起动装置，相关电工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内燃机电点火起动装置，相关电工器材项目目标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核心目标是提供一种全新、高效的解决方案，满足客户日益增长的需求。内燃机电点火起动装置，相关电工器材项目追求的不仅仅是满足市场需求，更是在市场中获得卓越的竞争优势。通过不断提升产品或服务的质量和创新水平，内燃机电点火起动装置，相关电工器材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内燃机电点火起动装置，相关电工器材项目范围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全面涵盖了产品研发、制造、市场推广和售后服务，确保从产品设计到最终用户体验的全方位关注。这一全面的内燃机电点火起动装置，相关电工器材项目范围是为了确保内燃机电点火起动装置，相关电工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内燃机电点火起动装置，相关电工器材项目时间表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计划在未来18个月内完成，包括研发、测试、市场试点和正式推出等不同阶段。这个时间表的合理设计是为了确保内燃机电点火起动装置，相关电工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内燃机电点火起动装置，相关电工器材项目预算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总预算估算为XX百万美元，主要分配在研发、市场推广、人员培训和运营等方面。这一充足的预算为内燃机电点火起动装置，相关电工器材项目提供了充足的资源，确保内燃机电点火起动装置，相关电工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内燃机电点火起动装置，相关电工器材项目风险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内燃机电点火起动装置，相关电工器材项目可能面临的风险包括市场接受度低、技术难题、竞争激烈等。内燃机电点火起动装置，相关电工器材项目团队已经制定了相应的风险应对计划，通过前瞻性的风险管理，确保内燃机电点火起动装置，相关电工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内燃机电点火起动装置，相关电工器材项目团队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汇聚了一支经验丰富、多领域专业素养的核心团队，确保内燃机电点火起动装置，相关电工器材项目在各个方面都能拥有高水平的执行力。团队的协同作战是内燃机电点火起动装置，相关电工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内燃机电点火起动装置，相关电工器材项目背景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机电点火起动装置，相关电工器材项目的背景根植于市场对更高效、创新产品的渴望，同时也受到科技发展对行业格局的深刻改变的影响。这为内燃机电点火起动装置，相关电工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内燃机电点火起动装置，相关电工器材项目现状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内燃机电点火起动装置，相关电工器材项目已完成市场调研和技术验证，取得了初步的成功。这为内燃机电点火起动装置，相关电工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1986"/>
      <w:r>
        <w:rPr>
          <w:rFonts w:ascii="仿宋" w:eastAsia="仿宋" w:hAnsi="仿宋" w:cs="仿宋" w:hint="eastAsia"/>
          <w:sz w:val="28"/>
          <w:lang w:eastAsia="zh-CN"/>
        </w:rPr>
        <w:t>(二)、内燃机电点火起动装置，相关电工器材项目目标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内燃机电点火起动装置，相关电工器材项目首要业务目标是在市场中占据有利地位，实现产品/服务的成功推广和销售。通过不断提升产品质量、创新性，内燃机电点火起动装置，相关电工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https://d.book118.com/665211022312011040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内燃机电点火起动装置，相关电工器材项目规划设计方案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104DB"/>
    <w:rsid w:val="640104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110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2024-01-09T02:24:00Z</dcterms:created>
  <dcterms:modified xsi:type="dcterms:W3CDTF">2024-01-09T02:24:33Z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5131C07BA5DD4A598297403E69844BA2_11</vt:lpwstr>
  </property>
  <property fmtid="{D5CDD505-2E9C-101B-9397-08002B2CF9AE}" pid="3" name="KSOProductBuildVer">
    <vt:lpwstr>2052-12.1.0.16120</vt:lpwstr>
  </property>
</Properties>
</file>