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right" w:leader="dot" w:pos="10974"/>
        </w:tabs>
        <w:spacing w:before="100"/>
        <w:ind w:left="2880" w:right="0" w:firstLine="0"/>
        <w:jc w:val="left"/>
        <w:rPr>
          <w:rFonts w:ascii="Arial" w:eastAsia="Arial"/>
          <w:sz w:val="21"/>
        </w:rPr>
      </w:pPr>
      <w:r>
        <w:rPr>
          <w:i/>
          <w:sz w:val="22"/>
        </w:rPr>
        <w:t>图表</w:t>
      </w:r>
      <w:r>
        <w:rPr>
          <w:i/>
          <w:spacing w:val="-60"/>
          <w:sz w:val="22"/>
        </w:rPr>
        <w:t xml:space="preserve"> </w:t>
      </w:r>
      <w:r>
        <w:rPr>
          <w:rFonts w:ascii="Arial" w:eastAsia="Arial"/>
          <w:i/>
          <w:sz w:val="21"/>
        </w:rPr>
        <w:t>15</w:t>
      </w:r>
      <w:r>
        <w:rPr>
          <w:i/>
          <w:sz w:val="22"/>
        </w:rPr>
        <w:t>：浙</w:t>
      </w:r>
      <w:r>
        <w:rPr>
          <w:i/>
          <w:spacing w:val="-3"/>
          <w:sz w:val="22"/>
        </w:rPr>
        <w:t>江</w:t>
      </w:r>
      <w:r>
        <w:rPr>
          <w:i/>
          <w:sz w:val="22"/>
        </w:rPr>
        <w:t>省</w:t>
      </w:r>
      <w:r>
        <w:rPr>
          <w:i/>
          <w:spacing w:val="-3"/>
          <w:sz w:val="22"/>
        </w:rPr>
        <w:t>城</w:t>
      </w:r>
      <w:r>
        <w:rPr>
          <w:i/>
          <w:sz w:val="22"/>
        </w:rPr>
        <w:t>农</w:t>
      </w:r>
      <w:r>
        <w:rPr>
          <w:i/>
          <w:spacing w:val="-3"/>
          <w:sz w:val="22"/>
        </w:rPr>
        <w:t>行资</w:t>
      </w:r>
      <w:r>
        <w:rPr>
          <w:i/>
          <w:sz w:val="22"/>
        </w:rPr>
        <w:t>产规</w:t>
      </w:r>
      <w:r>
        <w:rPr>
          <w:i/>
          <w:spacing w:val="-3"/>
          <w:sz w:val="22"/>
        </w:rPr>
        <w:t>模</w:t>
      </w:r>
      <w:r>
        <w:rPr>
          <w:i/>
          <w:sz w:val="22"/>
        </w:rPr>
        <w:t>分</w:t>
      </w:r>
      <w:r>
        <w:rPr>
          <w:i/>
          <w:spacing w:val="-3"/>
          <w:sz w:val="22"/>
        </w:rPr>
        <w:t>布</w:t>
      </w:r>
      <w:r>
        <w:rPr>
          <w:i/>
          <w:sz w:val="22"/>
        </w:rPr>
        <w:t>情</w:t>
      </w:r>
      <w:r>
        <w:rPr>
          <w:i/>
          <w:spacing w:val="-3"/>
          <w:sz w:val="22"/>
        </w:rPr>
        <w:t>况</w:t>
      </w:r>
      <w:r>
        <w:rPr>
          <w:i/>
          <w:sz w:val="22"/>
        </w:rPr>
        <w:t>（</w:t>
      </w:r>
      <w:r>
        <w:rPr>
          <w:i/>
          <w:spacing w:val="-3"/>
          <w:sz w:val="22"/>
        </w:rPr>
        <w:t>家</w:t>
      </w:r>
      <w:r>
        <w:rPr>
          <w:i/>
          <w:sz w:val="22"/>
        </w:rPr>
        <w:t>）</w:t>
        <w:tab/>
      </w:r>
      <w:r>
        <w:rPr>
          <w:rFonts w:ascii="Arial" w:eastAsia="Arial"/>
          <w:sz w:val="21"/>
        </w:rPr>
        <w:t>9</w:t>
      </w:r>
    </w:p>
    <w:p>
      <w:pPr>
        <w:tabs>
          <w:tab w:val="right" w:leader="dot" w:pos="10977"/>
        </w:tabs>
        <w:spacing w:before="30"/>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16</w:t>
      </w:r>
      <w:r>
        <w:rPr>
          <w:i/>
          <w:sz w:val="22"/>
        </w:rPr>
        <w:t>：宁</w:t>
      </w:r>
      <w:r>
        <w:rPr>
          <w:i/>
          <w:spacing w:val="-3"/>
          <w:sz w:val="22"/>
        </w:rPr>
        <w:t>波</w:t>
      </w:r>
      <w:r>
        <w:rPr>
          <w:i/>
          <w:sz w:val="22"/>
        </w:rPr>
        <w:t>银</w:t>
      </w:r>
      <w:r>
        <w:rPr>
          <w:i/>
          <w:spacing w:val="-3"/>
          <w:sz w:val="22"/>
        </w:rPr>
        <w:t>行</w:t>
      </w:r>
      <w:r>
        <w:rPr>
          <w:i/>
          <w:sz w:val="22"/>
        </w:rPr>
        <w:t>次</w:t>
      </w:r>
      <w:r>
        <w:rPr>
          <w:i/>
          <w:spacing w:val="-3"/>
          <w:sz w:val="22"/>
        </w:rPr>
        <w:t>级债</w:t>
      </w:r>
      <w:r>
        <w:rPr>
          <w:i/>
          <w:sz w:val="22"/>
        </w:rPr>
        <w:t>存续</w:t>
      </w:r>
      <w:r>
        <w:rPr>
          <w:i/>
          <w:spacing w:val="-3"/>
          <w:sz w:val="22"/>
        </w:rPr>
        <w:t>情</w:t>
      </w:r>
      <w:r>
        <w:rPr>
          <w:i/>
          <w:sz w:val="22"/>
        </w:rPr>
        <w:t>况</w:t>
        <w:tab/>
      </w:r>
      <w:r>
        <w:rPr>
          <w:rFonts w:ascii="Arial" w:eastAsia="Arial"/>
          <w:sz w:val="21"/>
        </w:rPr>
        <w:t>10</w:t>
      </w:r>
    </w:p>
    <w:p>
      <w:pPr>
        <w:tabs>
          <w:tab w:val="right" w:leader="dot" w:pos="10958"/>
        </w:tabs>
        <w:spacing w:before="30"/>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17</w:t>
      </w:r>
      <w:r>
        <w:rPr>
          <w:i/>
          <w:sz w:val="22"/>
        </w:rPr>
        <w:t>：杭</w:t>
      </w:r>
      <w:r>
        <w:rPr>
          <w:i/>
          <w:spacing w:val="-3"/>
          <w:sz w:val="22"/>
        </w:rPr>
        <w:t>州</w:t>
      </w:r>
      <w:r>
        <w:rPr>
          <w:i/>
          <w:sz w:val="22"/>
        </w:rPr>
        <w:t>银</w:t>
      </w:r>
      <w:r>
        <w:rPr>
          <w:i/>
          <w:spacing w:val="-3"/>
          <w:sz w:val="22"/>
        </w:rPr>
        <w:t>行</w:t>
      </w:r>
      <w:r>
        <w:rPr>
          <w:i/>
          <w:sz w:val="22"/>
        </w:rPr>
        <w:t>次</w:t>
      </w:r>
      <w:r>
        <w:rPr>
          <w:i/>
          <w:spacing w:val="-3"/>
          <w:sz w:val="22"/>
        </w:rPr>
        <w:t>级债</w:t>
      </w:r>
      <w:r>
        <w:rPr>
          <w:i/>
          <w:sz w:val="22"/>
        </w:rPr>
        <w:t>存续</w:t>
      </w:r>
      <w:r>
        <w:rPr>
          <w:i/>
          <w:spacing w:val="-3"/>
          <w:sz w:val="22"/>
        </w:rPr>
        <w:t>情</w:t>
      </w:r>
      <w:r>
        <w:rPr>
          <w:i/>
          <w:sz w:val="22"/>
        </w:rPr>
        <w:t>况</w:t>
        <w:tab/>
      </w:r>
      <w:r>
        <w:rPr>
          <w:rFonts w:ascii="Arial" w:eastAsia="Arial"/>
          <w:spacing w:val="-17"/>
          <w:sz w:val="21"/>
        </w:rPr>
        <w:t>11</w:t>
      </w:r>
    </w:p>
    <w:p>
      <w:pPr>
        <w:tabs>
          <w:tab w:val="right" w:leader="dot" w:pos="10977"/>
        </w:tabs>
        <w:spacing w:before="31"/>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18</w:t>
      </w:r>
      <w:r>
        <w:rPr>
          <w:i/>
          <w:sz w:val="22"/>
        </w:rPr>
        <w:t>：杭</w:t>
      </w:r>
      <w:r>
        <w:rPr>
          <w:i/>
          <w:spacing w:val="-3"/>
          <w:sz w:val="22"/>
        </w:rPr>
        <w:t>州</w:t>
      </w:r>
      <w:r>
        <w:rPr>
          <w:i/>
          <w:sz w:val="22"/>
        </w:rPr>
        <w:t>联</w:t>
      </w:r>
      <w:r>
        <w:rPr>
          <w:i/>
          <w:spacing w:val="-3"/>
          <w:sz w:val="22"/>
        </w:rPr>
        <w:t>合</w:t>
      </w:r>
      <w:r>
        <w:rPr>
          <w:i/>
          <w:sz w:val="22"/>
        </w:rPr>
        <w:t>银</w:t>
      </w:r>
      <w:r>
        <w:rPr>
          <w:i/>
          <w:spacing w:val="-3"/>
          <w:sz w:val="22"/>
        </w:rPr>
        <w:t>行次</w:t>
      </w:r>
      <w:r>
        <w:rPr>
          <w:i/>
          <w:sz w:val="22"/>
        </w:rPr>
        <w:t>级债</w:t>
      </w:r>
      <w:r>
        <w:rPr>
          <w:i/>
          <w:spacing w:val="-3"/>
          <w:sz w:val="22"/>
        </w:rPr>
        <w:t>存</w:t>
      </w:r>
      <w:r>
        <w:rPr>
          <w:i/>
          <w:sz w:val="22"/>
        </w:rPr>
        <w:t>续</w:t>
      </w:r>
      <w:r>
        <w:rPr>
          <w:i/>
          <w:spacing w:val="-3"/>
          <w:sz w:val="22"/>
        </w:rPr>
        <w:t>情</w:t>
      </w:r>
      <w:r>
        <w:rPr>
          <w:i/>
          <w:sz w:val="22"/>
        </w:rPr>
        <w:t>况</w:t>
        <w:tab/>
      </w:r>
      <w:r>
        <w:rPr>
          <w:rFonts w:ascii="Arial" w:eastAsia="Arial"/>
          <w:sz w:val="21"/>
        </w:rPr>
        <w:t>12</w:t>
      </w:r>
    </w:p>
    <w:p>
      <w:pPr>
        <w:tabs>
          <w:tab w:val="right" w:leader="dot" w:pos="10977"/>
        </w:tabs>
        <w:spacing w:before="30"/>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19</w:t>
      </w:r>
      <w:r>
        <w:rPr>
          <w:i/>
          <w:sz w:val="22"/>
        </w:rPr>
        <w:t>：温</w:t>
      </w:r>
      <w:r>
        <w:rPr>
          <w:i/>
          <w:spacing w:val="-3"/>
          <w:sz w:val="22"/>
        </w:rPr>
        <w:t>州</w:t>
      </w:r>
      <w:r>
        <w:rPr>
          <w:i/>
          <w:sz w:val="22"/>
        </w:rPr>
        <w:t>银</w:t>
      </w:r>
      <w:r>
        <w:rPr>
          <w:i/>
          <w:spacing w:val="-3"/>
          <w:sz w:val="22"/>
        </w:rPr>
        <w:t>行</w:t>
      </w:r>
      <w:r>
        <w:rPr>
          <w:i/>
          <w:sz w:val="22"/>
        </w:rPr>
        <w:t>次</w:t>
      </w:r>
      <w:r>
        <w:rPr>
          <w:i/>
          <w:spacing w:val="-3"/>
          <w:sz w:val="22"/>
        </w:rPr>
        <w:t>级债</w:t>
      </w:r>
      <w:r>
        <w:rPr>
          <w:i/>
          <w:sz w:val="22"/>
        </w:rPr>
        <w:t>存续</w:t>
      </w:r>
      <w:r>
        <w:rPr>
          <w:i/>
          <w:spacing w:val="-3"/>
          <w:sz w:val="22"/>
        </w:rPr>
        <w:t>情</w:t>
      </w:r>
      <w:r>
        <w:rPr>
          <w:i/>
          <w:sz w:val="22"/>
        </w:rPr>
        <w:t>况</w:t>
        <w:tab/>
      </w:r>
      <w:r>
        <w:rPr>
          <w:rFonts w:ascii="Arial" w:eastAsia="Arial"/>
          <w:sz w:val="21"/>
        </w:rPr>
        <w:t>13</w:t>
      </w:r>
    </w:p>
    <w:p>
      <w:pPr>
        <w:tabs>
          <w:tab w:val="right" w:leader="dot" w:pos="10977"/>
        </w:tabs>
        <w:spacing w:before="30"/>
        <w:ind w:left="2880" w:right="0" w:firstLine="0"/>
        <w:jc w:val="left"/>
        <w:rPr>
          <w:rFonts w:ascii="Arial" w:eastAsia="Arial"/>
          <w:sz w:val="21"/>
        </w:rPr>
      </w:pPr>
      <w:r>
        <w:rPr>
          <w:i/>
          <w:sz w:val="22"/>
        </w:rPr>
        <w:t>图表</w:t>
      </w:r>
      <w:r>
        <w:rPr>
          <w:i/>
          <w:spacing w:val="-60"/>
          <w:sz w:val="22"/>
        </w:rPr>
        <w:t xml:space="preserve"> </w:t>
      </w:r>
      <w:r>
        <w:rPr>
          <w:rFonts w:ascii="Arial" w:eastAsia="Arial"/>
          <w:i/>
          <w:sz w:val="21"/>
        </w:rPr>
        <w:t>20</w:t>
      </w:r>
      <w:r>
        <w:rPr>
          <w:i/>
          <w:sz w:val="22"/>
        </w:rPr>
        <w:t>：浙</w:t>
      </w:r>
      <w:r>
        <w:rPr>
          <w:i/>
          <w:spacing w:val="-3"/>
          <w:sz w:val="22"/>
        </w:rPr>
        <w:t>江</w:t>
      </w:r>
      <w:r>
        <w:rPr>
          <w:i/>
          <w:sz w:val="22"/>
        </w:rPr>
        <w:t>稠</w:t>
      </w:r>
      <w:r>
        <w:rPr>
          <w:i/>
          <w:spacing w:val="-3"/>
          <w:sz w:val="22"/>
        </w:rPr>
        <w:t>州</w:t>
      </w:r>
      <w:r>
        <w:rPr>
          <w:i/>
          <w:sz w:val="22"/>
        </w:rPr>
        <w:t>商</w:t>
      </w:r>
      <w:r>
        <w:rPr>
          <w:i/>
          <w:spacing w:val="-3"/>
          <w:sz w:val="22"/>
        </w:rPr>
        <w:t>业银</w:t>
      </w:r>
      <w:r>
        <w:rPr>
          <w:i/>
          <w:sz w:val="22"/>
        </w:rPr>
        <w:t>行次</w:t>
      </w:r>
      <w:r>
        <w:rPr>
          <w:i/>
          <w:spacing w:val="-3"/>
          <w:sz w:val="22"/>
        </w:rPr>
        <w:t>级</w:t>
      </w:r>
      <w:r>
        <w:rPr>
          <w:i/>
          <w:sz w:val="22"/>
        </w:rPr>
        <w:t>债</w:t>
      </w:r>
      <w:r>
        <w:rPr>
          <w:i/>
          <w:spacing w:val="-3"/>
          <w:sz w:val="22"/>
        </w:rPr>
        <w:t>存</w:t>
      </w:r>
      <w:r>
        <w:rPr>
          <w:i/>
          <w:sz w:val="22"/>
        </w:rPr>
        <w:t>续</w:t>
      </w:r>
      <w:r>
        <w:rPr>
          <w:i/>
          <w:spacing w:val="-3"/>
          <w:sz w:val="22"/>
        </w:rPr>
        <w:t>情</w:t>
      </w:r>
      <w:r>
        <w:rPr>
          <w:i/>
          <w:sz w:val="22"/>
        </w:rPr>
        <w:t>况</w:t>
        <w:tab/>
      </w:r>
      <w:r>
        <w:rPr>
          <w:rFonts w:ascii="Arial" w:eastAsia="Arial"/>
          <w:sz w:val="21"/>
        </w:rPr>
        <w:t>14</w:t>
      </w:r>
    </w:p>
    <w:p>
      <w:pPr>
        <w:tabs>
          <w:tab w:val="right" w:leader="dot" w:pos="10977"/>
        </w:tabs>
        <w:spacing w:before="30"/>
        <w:ind w:left="2880" w:right="0" w:firstLine="0"/>
        <w:jc w:val="left"/>
        <w:rPr>
          <w:rFonts w:ascii="Arial" w:eastAsia="Arial"/>
          <w:sz w:val="21"/>
        </w:rPr>
      </w:pPr>
      <w:r>
        <w:rPr>
          <w:rFonts w:ascii="宋体" w:eastAsia="宋体" w:hint="eastAsia"/>
          <w:sz w:val="22"/>
        </w:rPr>
        <w:t>图表</w:t>
      </w:r>
      <w:r>
        <w:rPr>
          <w:rFonts w:ascii="宋体" w:eastAsia="宋体" w:hint="eastAsia"/>
          <w:spacing w:val="-62"/>
          <w:sz w:val="22"/>
        </w:rPr>
        <w:t xml:space="preserve"> </w:t>
      </w:r>
      <w:r>
        <w:rPr>
          <w:rFonts w:ascii="Tahoma" w:eastAsia="Tahoma"/>
          <w:i/>
          <w:sz w:val="22"/>
        </w:rPr>
        <w:t>21</w:t>
      </w:r>
      <w:r>
        <w:rPr>
          <w:rFonts w:ascii="宋体" w:eastAsia="宋体" w:hint="eastAsia"/>
          <w:sz w:val="22"/>
        </w:rPr>
        <w:t>：</w:t>
      </w:r>
      <w:r>
        <w:rPr>
          <w:i/>
          <w:sz w:val="22"/>
        </w:rPr>
        <w:t>泰隆银行次级债情况一览</w:t>
        <w:tab/>
      </w:r>
      <w:r>
        <w:rPr>
          <w:rFonts w:ascii="Arial" w:eastAsia="Arial"/>
          <w:sz w:val="21"/>
        </w:rPr>
        <w:t>15</w:t>
      </w:r>
    </w:p>
    <w:p>
      <w:pPr>
        <w:tabs>
          <w:tab w:val="right" w:leader="dot" w:pos="10977"/>
        </w:tabs>
        <w:spacing w:before="30"/>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22</w:t>
      </w:r>
      <w:r>
        <w:rPr>
          <w:i/>
          <w:sz w:val="22"/>
        </w:rPr>
        <w:t>：浙</w:t>
      </w:r>
      <w:r>
        <w:rPr>
          <w:i/>
          <w:spacing w:val="-3"/>
          <w:sz w:val="22"/>
        </w:rPr>
        <w:t>江</w:t>
      </w:r>
      <w:r>
        <w:rPr>
          <w:i/>
          <w:sz w:val="22"/>
        </w:rPr>
        <w:t>民</w:t>
      </w:r>
      <w:r>
        <w:rPr>
          <w:i/>
          <w:spacing w:val="-3"/>
          <w:sz w:val="22"/>
        </w:rPr>
        <w:t>泰</w:t>
      </w:r>
      <w:r>
        <w:rPr>
          <w:i/>
          <w:sz w:val="22"/>
        </w:rPr>
        <w:t>银</w:t>
      </w:r>
      <w:r>
        <w:rPr>
          <w:i/>
          <w:spacing w:val="-3"/>
          <w:sz w:val="22"/>
        </w:rPr>
        <w:t>行次</w:t>
      </w:r>
      <w:r>
        <w:rPr>
          <w:i/>
          <w:sz w:val="22"/>
        </w:rPr>
        <w:t>级债</w:t>
      </w:r>
      <w:r>
        <w:rPr>
          <w:i/>
          <w:spacing w:val="-3"/>
          <w:sz w:val="22"/>
        </w:rPr>
        <w:t>存</w:t>
      </w:r>
      <w:r>
        <w:rPr>
          <w:i/>
          <w:sz w:val="22"/>
        </w:rPr>
        <w:t>续</w:t>
      </w:r>
      <w:r>
        <w:rPr>
          <w:i/>
          <w:spacing w:val="-3"/>
          <w:sz w:val="22"/>
        </w:rPr>
        <w:t>情</w:t>
      </w:r>
      <w:r>
        <w:rPr>
          <w:i/>
          <w:sz w:val="22"/>
        </w:rPr>
        <w:t>况</w:t>
        <w:tab/>
      </w:r>
      <w:r>
        <w:rPr>
          <w:rFonts w:ascii="Arial" w:eastAsia="Arial"/>
          <w:sz w:val="21"/>
        </w:rPr>
        <w:t>16</w:t>
      </w:r>
    </w:p>
    <w:p>
      <w:pPr>
        <w:tabs>
          <w:tab w:val="right" w:leader="dot" w:pos="10977"/>
        </w:tabs>
        <w:spacing w:before="30"/>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23</w:t>
      </w:r>
      <w:r>
        <w:rPr>
          <w:i/>
          <w:sz w:val="22"/>
        </w:rPr>
        <w:t>：绍</w:t>
      </w:r>
      <w:r>
        <w:rPr>
          <w:i/>
          <w:spacing w:val="-3"/>
          <w:sz w:val="22"/>
        </w:rPr>
        <w:t>兴</w:t>
      </w:r>
      <w:r>
        <w:rPr>
          <w:i/>
          <w:sz w:val="22"/>
        </w:rPr>
        <w:t>银</w:t>
      </w:r>
      <w:r>
        <w:rPr>
          <w:i/>
          <w:spacing w:val="-3"/>
          <w:sz w:val="22"/>
        </w:rPr>
        <w:t>行</w:t>
      </w:r>
      <w:r>
        <w:rPr>
          <w:i/>
          <w:sz w:val="22"/>
        </w:rPr>
        <w:t>次</w:t>
      </w:r>
      <w:r>
        <w:rPr>
          <w:i/>
          <w:spacing w:val="-3"/>
          <w:sz w:val="22"/>
        </w:rPr>
        <w:t>级债</w:t>
      </w:r>
      <w:r>
        <w:rPr>
          <w:i/>
          <w:sz w:val="22"/>
        </w:rPr>
        <w:t>存续</w:t>
      </w:r>
      <w:r>
        <w:rPr>
          <w:i/>
          <w:spacing w:val="-3"/>
          <w:sz w:val="22"/>
        </w:rPr>
        <w:t>情</w:t>
      </w:r>
      <w:r>
        <w:rPr>
          <w:i/>
          <w:sz w:val="22"/>
        </w:rPr>
        <w:t>况</w:t>
        <w:tab/>
      </w:r>
      <w:r>
        <w:rPr>
          <w:rFonts w:ascii="Arial" w:eastAsia="Arial"/>
          <w:sz w:val="21"/>
        </w:rPr>
        <w:t>17</w:t>
      </w:r>
    </w:p>
    <w:p>
      <w:pPr>
        <w:tabs>
          <w:tab w:val="right" w:leader="dot" w:pos="10977"/>
        </w:tabs>
        <w:spacing w:before="30"/>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24</w:t>
      </w:r>
      <w:r>
        <w:rPr>
          <w:i/>
          <w:sz w:val="22"/>
        </w:rPr>
        <w:t>：台</w:t>
      </w:r>
      <w:r>
        <w:rPr>
          <w:i/>
          <w:spacing w:val="-3"/>
          <w:sz w:val="22"/>
        </w:rPr>
        <w:t>州</w:t>
      </w:r>
      <w:r>
        <w:rPr>
          <w:i/>
          <w:sz w:val="22"/>
        </w:rPr>
        <w:t>银</w:t>
      </w:r>
      <w:r>
        <w:rPr>
          <w:i/>
          <w:spacing w:val="-3"/>
          <w:sz w:val="22"/>
        </w:rPr>
        <w:t>行</w:t>
      </w:r>
      <w:r>
        <w:rPr>
          <w:i/>
          <w:sz w:val="22"/>
        </w:rPr>
        <w:t>次</w:t>
      </w:r>
      <w:r>
        <w:rPr>
          <w:i/>
          <w:spacing w:val="-3"/>
          <w:sz w:val="22"/>
        </w:rPr>
        <w:t>级债</w:t>
      </w:r>
      <w:r>
        <w:rPr>
          <w:i/>
          <w:sz w:val="22"/>
        </w:rPr>
        <w:t>存续</w:t>
      </w:r>
      <w:r>
        <w:rPr>
          <w:i/>
          <w:spacing w:val="-3"/>
          <w:sz w:val="22"/>
        </w:rPr>
        <w:t>情</w:t>
      </w:r>
      <w:r>
        <w:rPr>
          <w:i/>
          <w:sz w:val="22"/>
        </w:rPr>
        <w:t>况</w:t>
        <w:tab/>
      </w:r>
      <w:r>
        <w:rPr>
          <w:rFonts w:ascii="Arial" w:eastAsia="Arial"/>
          <w:sz w:val="21"/>
        </w:rPr>
        <w:t>18</w:t>
      </w:r>
    </w:p>
    <w:p>
      <w:pPr>
        <w:tabs>
          <w:tab w:val="right" w:leader="dot" w:pos="10977"/>
        </w:tabs>
        <w:spacing w:before="30"/>
        <w:ind w:left="2880" w:right="0" w:firstLine="0"/>
        <w:jc w:val="left"/>
        <w:rPr>
          <w:rFonts w:ascii="Arial" w:eastAsia="Arial"/>
          <w:sz w:val="21"/>
        </w:rPr>
      </w:pPr>
      <w:r>
        <w:rPr>
          <w:i/>
          <w:sz w:val="22"/>
        </w:rPr>
        <w:t>图表</w:t>
      </w:r>
      <w:r>
        <w:rPr>
          <w:i/>
          <w:spacing w:val="-60"/>
          <w:sz w:val="22"/>
        </w:rPr>
        <w:t xml:space="preserve"> </w:t>
      </w:r>
      <w:r>
        <w:rPr>
          <w:rFonts w:ascii="Arial" w:eastAsia="Arial"/>
          <w:i/>
          <w:sz w:val="21"/>
        </w:rPr>
        <w:t>25</w:t>
      </w:r>
      <w:r>
        <w:rPr>
          <w:i/>
          <w:sz w:val="22"/>
        </w:rPr>
        <w:t>：杭</w:t>
      </w:r>
      <w:r>
        <w:rPr>
          <w:i/>
          <w:spacing w:val="-3"/>
          <w:sz w:val="22"/>
        </w:rPr>
        <w:t>州</w:t>
      </w:r>
      <w:r>
        <w:rPr>
          <w:i/>
          <w:sz w:val="22"/>
        </w:rPr>
        <w:t>余</w:t>
      </w:r>
      <w:r>
        <w:rPr>
          <w:i/>
          <w:spacing w:val="-3"/>
          <w:sz w:val="22"/>
        </w:rPr>
        <w:t>杭</w:t>
      </w:r>
      <w:r>
        <w:rPr>
          <w:i/>
          <w:sz w:val="22"/>
        </w:rPr>
        <w:t>农</w:t>
      </w:r>
      <w:r>
        <w:rPr>
          <w:i/>
          <w:spacing w:val="-3"/>
          <w:sz w:val="22"/>
        </w:rPr>
        <w:t>商银</w:t>
      </w:r>
      <w:r>
        <w:rPr>
          <w:i/>
          <w:sz w:val="22"/>
        </w:rPr>
        <w:t>行次</w:t>
      </w:r>
      <w:r>
        <w:rPr>
          <w:i/>
          <w:spacing w:val="-3"/>
          <w:sz w:val="22"/>
        </w:rPr>
        <w:t>级</w:t>
      </w:r>
      <w:r>
        <w:rPr>
          <w:i/>
          <w:sz w:val="22"/>
        </w:rPr>
        <w:t>债</w:t>
      </w:r>
      <w:r>
        <w:rPr>
          <w:i/>
          <w:spacing w:val="-3"/>
          <w:sz w:val="22"/>
        </w:rPr>
        <w:t>存</w:t>
      </w:r>
      <w:r>
        <w:rPr>
          <w:i/>
          <w:sz w:val="22"/>
        </w:rPr>
        <w:t>续</w:t>
      </w:r>
      <w:r>
        <w:rPr>
          <w:i/>
          <w:spacing w:val="-3"/>
          <w:sz w:val="22"/>
        </w:rPr>
        <w:t>情</w:t>
      </w:r>
      <w:r>
        <w:rPr>
          <w:i/>
          <w:sz w:val="22"/>
        </w:rPr>
        <w:t>况</w:t>
        <w:tab/>
      </w:r>
      <w:r>
        <w:rPr>
          <w:rFonts w:ascii="Arial" w:eastAsia="Arial"/>
          <w:sz w:val="21"/>
        </w:rPr>
        <w:t>19</w:t>
      </w:r>
    </w:p>
    <w:p>
      <w:pPr>
        <w:tabs>
          <w:tab w:val="right" w:leader="dot" w:pos="10977"/>
        </w:tabs>
        <w:spacing w:before="31"/>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26</w:t>
      </w:r>
      <w:r>
        <w:rPr>
          <w:i/>
          <w:sz w:val="22"/>
        </w:rPr>
        <w:t>：宁</w:t>
      </w:r>
      <w:r>
        <w:rPr>
          <w:i/>
          <w:spacing w:val="-3"/>
          <w:sz w:val="22"/>
        </w:rPr>
        <w:t>波</w:t>
      </w:r>
      <w:r>
        <w:rPr>
          <w:i/>
          <w:sz w:val="22"/>
        </w:rPr>
        <w:t>鄞</w:t>
      </w:r>
      <w:r>
        <w:rPr>
          <w:i/>
          <w:spacing w:val="-3"/>
          <w:sz w:val="22"/>
        </w:rPr>
        <w:t>州</w:t>
      </w:r>
      <w:r>
        <w:rPr>
          <w:i/>
          <w:sz w:val="22"/>
        </w:rPr>
        <w:t>银</w:t>
      </w:r>
      <w:r>
        <w:rPr>
          <w:i/>
          <w:spacing w:val="-3"/>
          <w:sz w:val="22"/>
        </w:rPr>
        <w:t>行次</w:t>
      </w:r>
      <w:r>
        <w:rPr>
          <w:i/>
          <w:sz w:val="22"/>
        </w:rPr>
        <w:t>级债</w:t>
      </w:r>
      <w:r>
        <w:rPr>
          <w:i/>
          <w:spacing w:val="-3"/>
          <w:sz w:val="22"/>
        </w:rPr>
        <w:t>存</w:t>
      </w:r>
      <w:r>
        <w:rPr>
          <w:i/>
          <w:sz w:val="22"/>
        </w:rPr>
        <w:t>续</w:t>
      </w:r>
      <w:r>
        <w:rPr>
          <w:i/>
          <w:spacing w:val="-3"/>
          <w:sz w:val="22"/>
        </w:rPr>
        <w:t>情</w:t>
      </w:r>
      <w:r>
        <w:rPr>
          <w:i/>
          <w:sz w:val="22"/>
        </w:rPr>
        <w:t>况</w:t>
        <w:tab/>
      </w:r>
      <w:r>
        <w:rPr>
          <w:rFonts w:ascii="Arial" w:eastAsia="Arial"/>
          <w:sz w:val="21"/>
        </w:rPr>
        <w:t>20</w:t>
      </w:r>
    </w:p>
    <w:p>
      <w:pPr>
        <w:tabs>
          <w:tab w:val="right" w:leader="dot" w:pos="10977"/>
        </w:tabs>
        <w:spacing w:before="30"/>
        <w:ind w:left="2880" w:right="0" w:firstLine="0"/>
        <w:jc w:val="left"/>
        <w:rPr>
          <w:rFonts w:ascii="Arial" w:eastAsia="Arial"/>
          <w:sz w:val="21"/>
        </w:rPr>
      </w:pPr>
      <w:r>
        <w:rPr>
          <w:rFonts w:ascii="宋体" w:eastAsia="宋体" w:hint="eastAsia"/>
          <w:sz w:val="22"/>
        </w:rPr>
        <w:t>图表</w:t>
      </w:r>
      <w:r>
        <w:rPr>
          <w:rFonts w:ascii="宋体" w:eastAsia="宋体" w:hint="eastAsia"/>
          <w:spacing w:val="-62"/>
          <w:sz w:val="22"/>
        </w:rPr>
        <w:t xml:space="preserve"> </w:t>
      </w:r>
      <w:r>
        <w:rPr>
          <w:rFonts w:ascii="Tahoma" w:eastAsia="Tahoma"/>
          <w:i/>
          <w:sz w:val="22"/>
        </w:rPr>
        <w:t>27</w:t>
      </w:r>
      <w:r>
        <w:rPr>
          <w:rFonts w:ascii="宋体" w:eastAsia="宋体" w:hint="eastAsia"/>
          <w:sz w:val="22"/>
        </w:rPr>
        <w:t>：</w:t>
      </w:r>
      <w:r>
        <w:rPr>
          <w:i/>
          <w:sz w:val="22"/>
        </w:rPr>
        <w:t>通商银行次级债情况一览</w:t>
        <w:tab/>
      </w:r>
      <w:r>
        <w:rPr>
          <w:rFonts w:ascii="Arial" w:eastAsia="Arial"/>
          <w:sz w:val="21"/>
        </w:rPr>
        <w:t>20</w:t>
      </w:r>
    </w:p>
    <w:p>
      <w:pPr>
        <w:tabs>
          <w:tab w:val="right" w:leader="dot" w:pos="10977"/>
        </w:tabs>
        <w:spacing w:before="30"/>
        <w:ind w:left="2880" w:right="0" w:firstLine="0"/>
        <w:jc w:val="left"/>
        <w:rPr>
          <w:rFonts w:ascii="Arial" w:eastAsia="Arial"/>
          <w:sz w:val="21"/>
        </w:rPr>
      </w:pPr>
      <w:r>
        <w:rPr>
          <w:rFonts w:ascii="宋体" w:eastAsia="宋体" w:hint="eastAsia"/>
          <w:sz w:val="22"/>
        </w:rPr>
        <w:t>图表</w:t>
      </w:r>
      <w:r>
        <w:rPr>
          <w:rFonts w:ascii="宋体" w:eastAsia="宋体" w:hint="eastAsia"/>
          <w:spacing w:val="-62"/>
          <w:sz w:val="22"/>
        </w:rPr>
        <w:t xml:space="preserve"> </w:t>
      </w:r>
      <w:r>
        <w:rPr>
          <w:rFonts w:ascii="Tahoma" w:eastAsia="Tahoma"/>
          <w:i/>
          <w:sz w:val="22"/>
        </w:rPr>
        <w:t>28</w:t>
      </w:r>
      <w:r>
        <w:rPr>
          <w:rFonts w:ascii="宋体" w:eastAsia="宋体" w:hint="eastAsia"/>
          <w:sz w:val="22"/>
        </w:rPr>
        <w:t>：</w:t>
      </w:r>
      <w:r>
        <w:rPr>
          <w:i/>
          <w:sz w:val="22"/>
        </w:rPr>
        <w:t>嘉兴银行次级债情况一览</w:t>
        <w:tab/>
      </w:r>
      <w:r>
        <w:rPr>
          <w:rFonts w:ascii="Arial" w:eastAsia="Arial"/>
          <w:sz w:val="21"/>
        </w:rPr>
        <w:t>21</w:t>
      </w:r>
    </w:p>
    <w:p>
      <w:pPr>
        <w:tabs>
          <w:tab w:val="right" w:leader="dot" w:pos="10977"/>
        </w:tabs>
        <w:spacing w:before="30"/>
        <w:ind w:left="2880" w:right="0" w:firstLine="0"/>
        <w:jc w:val="left"/>
        <w:rPr>
          <w:rFonts w:ascii="Arial" w:eastAsia="Arial"/>
          <w:sz w:val="21"/>
        </w:rPr>
      </w:pPr>
      <w:r>
        <w:rPr>
          <w:rFonts w:ascii="宋体" w:eastAsia="宋体" w:hint="eastAsia"/>
          <w:sz w:val="22"/>
        </w:rPr>
        <w:t>图表</w:t>
      </w:r>
      <w:r>
        <w:rPr>
          <w:rFonts w:ascii="宋体" w:eastAsia="宋体" w:hint="eastAsia"/>
          <w:spacing w:val="-62"/>
          <w:sz w:val="22"/>
        </w:rPr>
        <w:t xml:space="preserve"> </w:t>
      </w:r>
      <w:r>
        <w:rPr>
          <w:rFonts w:ascii="Tahoma" w:eastAsia="Tahoma"/>
          <w:i/>
          <w:sz w:val="22"/>
        </w:rPr>
        <w:t>29</w:t>
      </w:r>
      <w:r>
        <w:rPr>
          <w:rFonts w:ascii="宋体" w:eastAsia="宋体" w:hint="eastAsia"/>
          <w:sz w:val="22"/>
        </w:rPr>
        <w:t>：</w:t>
      </w:r>
      <w:r>
        <w:rPr>
          <w:i/>
          <w:sz w:val="22"/>
        </w:rPr>
        <w:t>湖州银行次级债情况一览</w:t>
        <w:tab/>
      </w:r>
      <w:r>
        <w:rPr>
          <w:rFonts w:ascii="Arial" w:eastAsia="Arial"/>
          <w:sz w:val="21"/>
        </w:rPr>
        <w:t>22</w:t>
      </w:r>
    </w:p>
    <w:p>
      <w:pPr>
        <w:tabs>
          <w:tab w:val="right" w:leader="dot" w:pos="10977"/>
        </w:tabs>
        <w:spacing w:before="30"/>
        <w:ind w:left="2880" w:right="0" w:firstLine="0"/>
        <w:jc w:val="left"/>
        <w:rPr>
          <w:rFonts w:ascii="Arial" w:eastAsia="Arial"/>
          <w:sz w:val="21"/>
        </w:rPr>
      </w:pPr>
      <w:r>
        <w:rPr>
          <w:rFonts w:ascii="宋体" w:eastAsia="宋体" w:hint="eastAsia"/>
          <w:sz w:val="22"/>
        </w:rPr>
        <w:t>图表</w:t>
      </w:r>
      <w:r>
        <w:rPr>
          <w:rFonts w:ascii="宋体" w:eastAsia="宋体" w:hint="eastAsia"/>
          <w:spacing w:val="-63"/>
          <w:sz w:val="22"/>
        </w:rPr>
        <w:t xml:space="preserve"> </w:t>
      </w:r>
      <w:r>
        <w:rPr>
          <w:rFonts w:ascii="Tahoma" w:eastAsia="Tahoma"/>
          <w:i/>
          <w:sz w:val="22"/>
        </w:rPr>
        <w:t>30</w:t>
      </w:r>
      <w:r>
        <w:rPr>
          <w:rFonts w:ascii="宋体" w:eastAsia="宋体" w:hint="eastAsia"/>
          <w:sz w:val="22"/>
        </w:rPr>
        <w:t>：</w:t>
      </w:r>
      <w:r>
        <w:rPr>
          <w:i/>
          <w:sz w:val="22"/>
        </w:rPr>
        <w:t>萧山农商银行次级债情况一览</w:t>
        <w:tab/>
      </w:r>
      <w:r>
        <w:rPr>
          <w:rFonts w:ascii="Arial" w:eastAsia="Arial"/>
          <w:sz w:val="21"/>
        </w:rPr>
        <w:t>22</w:t>
      </w:r>
    </w:p>
    <w:p>
      <w:pPr>
        <w:tabs>
          <w:tab w:val="right" w:leader="dot" w:pos="10977"/>
        </w:tabs>
        <w:spacing w:before="30"/>
        <w:ind w:left="2880" w:right="0" w:firstLine="0"/>
        <w:jc w:val="left"/>
        <w:rPr>
          <w:rFonts w:ascii="Arial" w:eastAsia="Arial"/>
          <w:sz w:val="21"/>
        </w:rPr>
      </w:pPr>
      <w:r>
        <w:rPr>
          <w:rFonts w:ascii="宋体" w:eastAsia="宋体" w:hint="eastAsia"/>
          <w:sz w:val="22"/>
        </w:rPr>
        <w:t>图表</w:t>
      </w:r>
      <w:r>
        <w:rPr>
          <w:rFonts w:ascii="宋体" w:eastAsia="宋体" w:hint="eastAsia"/>
          <w:spacing w:val="-62"/>
          <w:sz w:val="22"/>
        </w:rPr>
        <w:t xml:space="preserve"> </w:t>
      </w:r>
      <w:r>
        <w:rPr>
          <w:rFonts w:ascii="Tahoma" w:eastAsia="Tahoma"/>
          <w:i/>
          <w:spacing w:val="-3"/>
          <w:sz w:val="22"/>
        </w:rPr>
        <w:t>31</w:t>
      </w:r>
      <w:r>
        <w:rPr>
          <w:rFonts w:ascii="宋体" w:eastAsia="宋体" w:hint="eastAsia"/>
          <w:spacing w:val="-3"/>
          <w:sz w:val="22"/>
        </w:rPr>
        <w:t>：</w:t>
      </w:r>
      <w:r>
        <w:rPr>
          <w:i/>
          <w:sz w:val="22"/>
        </w:rPr>
        <w:t>浙</w:t>
      </w:r>
      <w:r>
        <w:rPr>
          <w:i/>
          <w:spacing w:val="-3"/>
          <w:sz w:val="22"/>
        </w:rPr>
        <w:t>江</w:t>
      </w:r>
      <w:r>
        <w:rPr>
          <w:i/>
          <w:sz w:val="22"/>
        </w:rPr>
        <w:t>省</w:t>
      </w:r>
      <w:r>
        <w:rPr>
          <w:i/>
          <w:spacing w:val="-3"/>
          <w:sz w:val="22"/>
        </w:rPr>
        <w:t>各</w:t>
      </w:r>
      <w:r>
        <w:rPr>
          <w:i/>
          <w:sz w:val="22"/>
        </w:rPr>
        <w:t>地</w:t>
      </w:r>
      <w:r>
        <w:rPr>
          <w:i/>
          <w:spacing w:val="-3"/>
          <w:sz w:val="22"/>
        </w:rPr>
        <w:t>级市</w:t>
      </w:r>
      <w:r>
        <w:rPr>
          <w:i/>
          <w:sz w:val="22"/>
        </w:rPr>
        <w:t>城农</w:t>
      </w:r>
      <w:r>
        <w:rPr>
          <w:i/>
          <w:spacing w:val="-3"/>
          <w:sz w:val="22"/>
        </w:rPr>
        <w:t>行</w:t>
      </w:r>
      <w:r>
        <w:rPr>
          <w:i/>
          <w:sz w:val="22"/>
        </w:rPr>
        <w:t>存</w:t>
      </w:r>
      <w:r>
        <w:rPr>
          <w:i/>
          <w:spacing w:val="-3"/>
          <w:sz w:val="22"/>
        </w:rPr>
        <w:t>续</w:t>
      </w:r>
      <w:r>
        <w:rPr>
          <w:i/>
          <w:sz w:val="22"/>
        </w:rPr>
        <w:t>次</w:t>
      </w:r>
      <w:r>
        <w:rPr>
          <w:i/>
          <w:spacing w:val="-3"/>
          <w:sz w:val="22"/>
        </w:rPr>
        <w:t>级</w:t>
      </w:r>
      <w:r>
        <w:rPr>
          <w:i/>
          <w:sz w:val="22"/>
        </w:rPr>
        <w:t>债</w:t>
      </w:r>
      <w:r>
        <w:rPr>
          <w:i/>
          <w:spacing w:val="-3"/>
          <w:sz w:val="22"/>
        </w:rPr>
        <w:t>规</w:t>
      </w:r>
      <w:r>
        <w:rPr>
          <w:i/>
          <w:sz w:val="22"/>
        </w:rPr>
        <w:t>模</w:t>
      </w:r>
      <w:r>
        <w:rPr>
          <w:i/>
          <w:spacing w:val="-3"/>
          <w:sz w:val="22"/>
        </w:rPr>
        <w:t>（</w:t>
      </w:r>
      <w:r>
        <w:rPr>
          <w:i/>
          <w:sz w:val="22"/>
        </w:rPr>
        <w:t>亿元）</w:t>
        <w:tab/>
      </w:r>
      <w:r>
        <w:rPr>
          <w:rFonts w:ascii="Arial" w:eastAsia="Arial"/>
          <w:sz w:val="21"/>
        </w:rPr>
        <w:t>23</w:t>
      </w:r>
    </w:p>
    <w:p>
      <w:pPr>
        <w:tabs>
          <w:tab w:val="right" w:leader="dot" w:pos="10977"/>
        </w:tabs>
        <w:spacing w:before="30"/>
        <w:ind w:left="2880" w:right="0" w:firstLine="0"/>
        <w:jc w:val="left"/>
        <w:rPr>
          <w:rFonts w:ascii="Arial" w:eastAsia="Arial"/>
          <w:sz w:val="21"/>
        </w:rPr>
      </w:pPr>
      <w:r>
        <w:rPr>
          <w:rFonts w:ascii="宋体" w:eastAsia="宋体" w:hint="eastAsia"/>
          <w:sz w:val="22"/>
        </w:rPr>
        <w:t>图表</w:t>
      </w:r>
      <w:r>
        <w:rPr>
          <w:rFonts w:ascii="宋体" w:eastAsia="宋体" w:hint="eastAsia"/>
          <w:spacing w:val="-61"/>
          <w:sz w:val="22"/>
        </w:rPr>
        <w:t xml:space="preserve"> </w:t>
      </w:r>
      <w:r>
        <w:rPr>
          <w:rFonts w:ascii="Tahoma" w:eastAsia="Tahoma"/>
          <w:i/>
          <w:spacing w:val="-3"/>
          <w:sz w:val="22"/>
        </w:rPr>
        <w:t>32</w:t>
      </w:r>
      <w:r>
        <w:rPr>
          <w:rFonts w:ascii="宋体" w:eastAsia="宋体" w:hint="eastAsia"/>
          <w:spacing w:val="-3"/>
          <w:sz w:val="22"/>
        </w:rPr>
        <w:t>：</w:t>
      </w:r>
      <w:r>
        <w:rPr>
          <w:i/>
          <w:sz w:val="22"/>
        </w:rPr>
        <w:t>浙</w:t>
      </w:r>
      <w:r>
        <w:rPr>
          <w:i/>
          <w:spacing w:val="-3"/>
          <w:sz w:val="22"/>
        </w:rPr>
        <w:t>江</w:t>
      </w:r>
      <w:r>
        <w:rPr>
          <w:i/>
          <w:sz w:val="22"/>
        </w:rPr>
        <w:t>省</w:t>
      </w:r>
      <w:r>
        <w:rPr>
          <w:i/>
          <w:spacing w:val="-3"/>
          <w:sz w:val="22"/>
        </w:rPr>
        <w:t>存</w:t>
      </w:r>
      <w:r>
        <w:rPr>
          <w:i/>
          <w:sz w:val="22"/>
        </w:rPr>
        <w:t>续</w:t>
      </w:r>
      <w:r>
        <w:rPr>
          <w:i/>
          <w:spacing w:val="-3"/>
          <w:sz w:val="22"/>
        </w:rPr>
        <w:t>次级</w:t>
      </w:r>
      <w:r>
        <w:rPr>
          <w:i/>
          <w:sz w:val="22"/>
        </w:rPr>
        <w:t>债隐</w:t>
      </w:r>
      <w:r>
        <w:rPr>
          <w:i/>
          <w:spacing w:val="-3"/>
          <w:sz w:val="22"/>
        </w:rPr>
        <w:t>含</w:t>
      </w:r>
      <w:r>
        <w:rPr>
          <w:i/>
          <w:sz w:val="22"/>
        </w:rPr>
        <w:t>评</w:t>
      </w:r>
      <w:r>
        <w:rPr>
          <w:i/>
          <w:spacing w:val="-3"/>
          <w:sz w:val="22"/>
        </w:rPr>
        <w:t>级</w:t>
      </w:r>
      <w:r>
        <w:rPr>
          <w:i/>
          <w:sz w:val="22"/>
        </w:rPr>
        <w:t>规</w:t>
      </w:r>
      <w:r>
        <w:rPr>
          <w:i/>
          <w:spacing w:val="-3"/>
          <w:sz w:val="22"/>
        </w:rPr>
        <w:t>模</w:t>
      </w:r>
      <w:r>
        <w:rPr>
          <w:i/>
          <w:sz w:val="22"/>
        </w:rPr>
        <w:t>（</w:t>
      </w:r>
      <w:r>
        <w:rPr>
          <w:i/>
          <w:spacing w:val="-3"/>
          <w:sz w:val="22"/>
        </w:rPr>
        <w:t>亿</w:t>
      </w:r>
      <w:r>
        <w:rPr>
          <w:i/>
          <w:sz w:val="22"/>
        </w:rPr>
        <w:t>元）</w:t>
        <w:tab/>
      </w:r>
      <w:r>
        <w:rPr>
          <w:rFonts w:ascii="Arial" w:eastAsia="Arial"/>
          <w:sz w:val="21"/>
        </w:rPr>
        <w:t>23</w:t>
      </w:r>
    </w:p>
    <w:p>
      <w:pPr>
        <w:tabs>
          <w:tab w:val="right" w:leader="dot" w:pos="10977"/>
        </w:tabs>
        <w:spacing w:before="30"/>
        <w:ind w:left="2880" w:right="0" w:firstLine="0"/>
        <w:jc w:val="left"/>
        <w:rPr>
          <w:rFonts w:ascii="Arial" w:eastAsia="Arial"/>
          <w:sz w:val="21"/>
        </w:rPr>
      </w:pPr>
      <w:r>
        <w:rPr>
          <w:i/>
          <w:sz w:val="22"/>
        </w:rPr>
        <w:t>图表</w:t>
      </w:r>
      <w:r>
        <w:rPr>
          <w:i/>
          <w:spacing w:val="-60"/>
          <w:sz w:val="22"/>
        </w:rPr>
        <w:t xml:space="preserve"> </w:t>
      </w:r>
      <w:r>
        <w:rPr>
          <w:rFonts w:ascii="Arial" w:eastAsia="Arial"/>
          <w:i/>
          <w:sz w:val="21"/>
        </w:rPr>
        <w:t>33</w:t>
      </w:r>
      <w:r>
        <w:rPr>
          <w:i/>
          <w:sz w:val="22"/>
        </w:rPr>
        <w:t>：浙</w:t>
      </w:r>
      <w:r>
        <w:rPr>
          <w:i/>
          <w:spacing w:val="-3"/>
          <w:sz w:val="22"/>
        </w:rPr>
        <w:t>江</w:t>
      </w:r>
      <w:r>
        <w:rPr>
          <w:i/>
          <w:sz w:val="22"/>
        </w:rPr>
        <w:t>省</w:t>
      </w:r>
      <w:r>
        <w:rPr>
          <w:i/>
          <w:spacing w:val="-3"/>
          <w:sz w:val="22"/>
        </w:rPr>
        <w:t>城</w:t>
      </w:r>
      <w:r>
        <w:rPr>
          <w:i/>
          <w:sz w:val="22"/>
        </w:rPr>
        <w:t>农</w:t>
      </w:r>
      <w:r>
        <w:rPr>
          <w:i/>
          <w:spacing w:val="-3"/>
          <w:sz w:val="22"/>
        </w:rPr>
        <w:t>行资</w:t>
      </w:r>
      <w:r>
        <w:rPr>
          <w:i/>
          <w:sz w:val="22"/>
        </w:rPr>
        <w:t>产规</w:t>
      </w:r>
      <w:r>
        <w:rPr>
          <w:i/>
          <w:spacing w:val="-3"/>
          <w:sz w:val="22"/>
        </w:rPr>
        <w:t>模</w:t>
      </w:r>
      <w:r>
        <w:rPr>
          <w:i/>
          <w:sz w:val="22"/>
        </w:rPr>
        <w:t>分</w:t>
      </w:r>
      <w:r>
        <w:rPr>
          <w:i/>
          <w:spacing w:val="-3"/>
          <w:sz w:val="22"/>
        </w:rPr>
        <w:t>布</w:t>
      </w:r>
      <w:r>
        <w:rPr>
          <w:i/>
          <w:sz w:val="22"/>
        </w:rPr>
        <w:t>情</w:t>
      </w:r>
      <w:r>
        <w:rPr>
          <w:i/>
          <w:spacing w:val="-3"/>
          <w:sz w:val="22"/>
        </w:rPr>
        <w:t>况</w:t>
      </w:r>
      <w:r>
        <w:rPr>
          <w:i/>
          <w:sz w:val="22"/>
        </w:rPr>
        <w:t>（</w:t>
      </w:r>
      <w:r>
        <w:rPr>
          <w:i/>
          <w:spacing w:val="-3"/>
          <w:sz w:val="22"/>
        </w:rPr>
        <w:t>家</w:t>
      </w:r>
      <w:r>
        <w:rPr>
          <w:i/>
          <w:sz w:val="22"/>
        </w:rPr>
        <w:t>）</w:t>
        <w:tab/>
      </w:r>
      <w:r>
        <w:rPr>
          <w:rFonts w:ascii="Arial" w:eastAsia="Arial"/>
          <w:sz w:val="21"/>
        </w:rPr>
        <w:t>23</w:t>
      </w:r>
    </w:p>
    <w:p>
      <w:pPr>
        <w:tabs>
          <w:tab w:val="right" w:leader="dot" w:pos="10977"/>
        </w:tabs>
        <w:spacing w:before="30"/>
        <w:ind w:left="2880" w:right="0" w:firstLine="0"/>
        <w:jc w:val="left"/>
        <w:rPr>
          <w:rFonts w:ascii="Arial" w:eastAsia="Arial"/>
          <w:sz w:val="21"/>
        </w:rPr>
      </w:pPr>
      <w:r>
        <w:rPr>
          <w:i/>
          <w:sz w:val="22"/>
        </w:rPr>
        <w:t>图表</w:t>
      </w:r>
      <w:r>
        <w:rPr>
          <w:i/>
          <w:spacing w:val="-65"/>
          <w:sz w:val="22"/>
        </w:rPr>
        <w:t xml:space="preserve"> </w:t>
      </w:r>
      <w:r>
        <w:rPr>
          <w:rFonts w:ascii="Arial" w:eastAsia="Arial"/>
          <w:i/>
          <w:sz w:val="21"/>
        </w:rPr>
        <w:t>34</w:t>
      </w:r>
      <w:r>
        <w:rPr>
          <w:i/>
          <w:sz w:val="22"/>
        </w:rPr>
        <w:t>：二</w:t>
      </w:r>
      <w:r>
        <w:rPr>
          <w:i/>
          <w:spacing w:val="-3"/>
          <w:sz w:val="22"/>
        </w:rPr>
        <w:t>级</w:t>
      </w:r>
      <w:r>
        <w:rPr>
          <w:i/>
          <w:sz w:val="22"/>
        </w:rPr>
        <w:t>资</w:t>
      </w:r>
      <w:r>
        <w:rPr>
          <w:i/>
          <w:spacing w:val="-3"/>
          <w:sz w:val="22"/>
        </w:rPr>
        <w:t>本</w:t>
      </w:r>
      <w:r>
        <w:rPr>
          <w:i/>
          <w:sz w:val="22"/>
        </w:rPr>
        <w:t>债</w:t>
      </w:r>
      <w:r>
        <w:rPr>
          <w:i/>
          <w:spacing w:val="-3"/>
          <w:sz w:val="22"/>
        </w:rPr>
        <w:t>和永</w:t>
      </w:r>
      <w:r>
        <w:rPr>
          <w:i/>
          <w:sz w:val="22"/>
        </w:rPr>
        <w:t>续债</w:t>
      </w:r>
      <w:r>
        <w:rPr>
          <w:i/>
          <w:spacing w:val="-3"/>
          <w:sz w:val="22"/>
        </w:rPr>
        <w:t>分</w:t>
      </w:r>
      <w:r>
        <w:rPr>
          <w:i/>
          <w:sz w:val="22"/>
        </w:rPr>
        <w:t>期</w:t>
      </w:r>
      <w:r>
        <w:rPr>
          <w:i/>
          <w:spacing w:val="-3"/>
          <w:sz w:val="22"/>
        </w:rPr>
        <w:t>限</w:t>
      </w:r>
      <w:r>
        <w:rPr>
          <w:i/>
          <w:sz w:val="22"/>
        </w:rPr>
        <w:t>和</w:t>
      </w:r>
      <w:r>
        <w:rPr>
          <w:i/>
          <w:spacing w:val="-3"/>
          <w:sz w:val="22"/>
        </w:rPr>
        <w:t>评</w:t>
      </w:r>
      <w:r>
        <w:rPr>
          <w:i/>
          <w:sz w:val="22"/>
        </w:rPr>
        <w:t>级</w:t>
      </w:r>
      <w:r>
        <w:rPr>
          <w:i/>
          <w:spacing w:val="-3"/>
          <w:sz w:val="22"/>
        </w:rPr>
        <w:t>估</w:t>
      </w:r>
      <w:r>
        <w:rPr>
          <w:i/>
          <w:sz w:val="22"/>
        </w:rPr>
        <w:t>值</w:t>
      </w:r>
      <w:r>
        <w:rPr>
          <w:i/>
          <w:spacing w:val="-3"/>
          <w:sz w:val="22"/>
        </w:rPr>
        <w:t>收</w:t>
      </w:r>
      <w:r>
        <w:rPr>
          <w:i/>
          <w:sz w:val="22"/>
        </w:rPr>
        <w:t>益率</w:t>
      </w:r>
      <w:r>
        <w:rPr>
          <w:i/>
          <w:spacing w:val="-3"/>
          <w:sz w:val="22"/>
        </w:rPr>
        <w:t>情</w:t>
      </w:r>
      <w:r>
        <w:rPr>
          <w:i/>
          <w:sz w:val="22"/>
        </w:rPr>
        <w:t>况（</w:t>
      </w:r>
      <w:r>
        <w:rPr>
          <w:rFonts w:ascii="Arial" w:eastAsia="Arial"/>
          <w:i/>
          <w:sz w:val="21"/>
        </w:rPr>
        <w:t>%</w:t>
      </w:r>
      <w:r>
        <w:rPr>
          <w:i/>
          <w:sz w:val="22"/>
        </w:rPr>
        <w:t>）</w:t>
        <w:tab/>
      </w:r>
      <w:r>
        <w:rPr>
          <w:rFonts w:ascii="Arial" w:eastAsia="Arial"/>
          <w:sz w:val="21"/>
        </w:rPr>
        <w:t>23</w:t>
      </w:r>
    </w:p>
    <w:p>
      <w:pPr>
        <w:tabs>
          <w:tab w:val="right" w:leader="dot" w:pos="10977"/>
        </w:tabs>
        <w:spacing w:before="31"/>
        <w:ind w:left="2880" w:right="0" w:firstLine="0"/>
        <w:jc w:val="left"/>
        <w:rPr>
          <w:rFonts w:ascii="Arial" w:eastAsia="Arial"/>
          <w:sz w:val="21"/>
        </w:rPr>
      </w:pPr>
      <w:r>
        <w:rPr>
          <w:i/>
          <w:sz w:val="22"/>
        </w:rPr>
        <w:t>图表</w:t>
      </w:r>
      <w:r>
        <w:rPr>
          <w:i/>
          <w:spacing w:val="-64"/>
          <w:sz w:val="22"/>
        </w:rPr>
        <w:t xml:space="preserve"> </w:t>
      </w:r>
      <w:r>
        <w:rPr>
          <w:rFonts w:ascii="Arial" w:eastAsia="Arial"/>
          <w:i/>
          <w:sz w:val="21"/>
        </w:rPr>
        <w:t>35</w:t>
      </w:r>
      <w:r>
        <w:rPr>
          <w:i/>
          <w:sz w:val="22"/>
        </w:rPr>
        <w:t>：二</w:t>
      </w:r>
      <w:r>
        <w:rPr>
          <w:i/>
          <w:spacing w:val="-3"/>
          <w:sz w:val="22"/>
        </w:rPr>
        <w:t>级</w:t>
      </w:r>
      <w:r>
        <w:rPr>
          <w:i/>
          <w:sz w:val="22"/>
        </w:rPr>
        <w:t>资</w:t>
      </w:r>
      <w:r>
        <w:rPr>
          <w:i/>
          <w:spacing w:val="-3"/>
          <w:sz w:val="22"/>
        </w:rPr>
        <w:t>本</w:t>
      </w:r>
      <w:r>
        <w:rPr>
          <w:i/>
          <w:sz w:val="22"/>
        </w:rPr>
        <w:t>债</w:t>
      </w:r>
      <w:r>
        <w:rPr>
          <w:i/>
          <w:spacing w:val="-3"/>
          <w:sz w:val="22"/>
        </w:rPr>
        <w:t>存续</w:t>
      </w:r>
      <w:r>
        <w:rPr>
          <w:i/>
          <w:sz w:val="22"/>
        </w:rPr>
        <w:t>规模</w:t>
      </w:r>
      <w:r>
        <w:rPr>
          <w:i/>
          <w:spacing w:val="-64"/>
          <w:sz w:val="22"/>
        </w:rPr>
        <w:t xml:space="preserve"> </w:t>
      </w:r>
      <w:r>
        <w:rPr>
          <w:rFonts w:ascii="Arial" w:eastAsia="Arial"/>
          <w:i/>
          <w:sz w:val="21"/>
        </w:rPr>
        <w:t>10</w:t>
      </w:r>
      <w:r>
        <w:rPr>
          <w:rFonts w:ascii="Arial" w:eastAsia="Arial"/>
          <w:i/>
          <w:spacing w:val="-12"/>
          <w:sz w:val="21"/>
        </w:rPr>
        <w:t xml:space="preserve"> </w:t>
      </w:r>
      <w:r>
        <w:rPr>
          <w:i/>
          <w:spacing w:val="-3"/>
          <w:sz w:val="22"/>
        </w:rPr>
        <w:t>亿</w:t>
      </w:r>
      <w:r>
        <w:rPr>
          <w:i/>
          <w:sz w:val="22"/>
        </w:rPr>
        <w:t>元</w:t>
      </w:r>
      <w:r>
        <w:rPr>
          <w:i/>
          <w:spacing w:val="-3"/>
          <w:sz w:val="22"/>
        </w:rPr>
        <w:t>以</w:t>
      </w:r>
      <w:r>
        <w:rPr>
          <w:i/>
          <w:sz w:val="22"/>
        </w:rPr>
        <w:t>上</w:t>
      </w:r>
      <w:r>
        <w:rPr>
          <w:i/>
          <w:spacing w:val="-3"/>
          <w:sz w:val="22"/>
        </w:rPr>
        <w:t>银</w:t>
      </w:r>
      <w:r>
        <w:rPr>
          <w:i/>
          <w:sz w:val="22"/>
        </w:rPr>
        <w:t>行</w:t>
      </w:r>
      <w:r>
        <w:rPr>
          <w:i/>
          <w:spacing w:val="-3"/>
          <w:sz w:val="22"/>
        </w:rPr>
        <w:t>换手</w:t>
      </w:r>
      <w:r>
        <w:rPr>
          <w:i/>
          <w:sz w:val="22"/>
        </w:rPr>
        <w:t>率及</w:t>
      </w:r>
      <w:r>
        <w:rPr>
          <w:i/>
          <w:spacing w:val="-3"/>
          <w:sz w:val="22"/>
        </w:rPr>
        <w:t>估</w:t>
      </w:r>
      <w:r>
        <w:rPr>
          <w:i/>
          <w:sz w:val="22"/>
        </w:rPr>
        <w:t>值</w:t>
      </w:r>
      <w:r>
        <w:rPr>
          <w:i/>
          <w:spacing w:val="-3"/>
          <w:sz w:val="22"/>
        </w:rPr>
        <w:t>情</w:t>
      </w:r>
      <w:r>
        <w:rPr>
          <w:i/>
          <w:sz w:val="22"/>
        </w:rPr>
        <w:t>况</w:t>
        <w:tab/>
      </w:r>
      <w:r>
        <w:rPr>
          <w:rFonts w:ascii="Arial" w:eastAsia="Arial"/>
          <w:sz w:val="21"/>
        </w:rPr>
        <w:t>24</w:t>
      </w:r>
    </w:p>
    <w:p>
      <w:pPr>
        <w:tabs>
          <w:tab w:val="right" w:leader="dot" w:pos="10977"/>
        </w:tabs>
        <w:spacing w:before="30"/>
        <w:ind w:left="2880" w:right="0" w:firstLine="0"/>
        <w:jc w:val="left"/>
        <w:rPr>
          <w:rFonts w:ascii="Arial" w:eastAsia="Arial"/>
          <w:sz w:val="21"/>
        </w:rPr>
      </w:pPr>
      <w:r>
        <w:rPr>
          <w:i/>
          <w:sz w:val="22"/>
        </w:rPr>
        <w:t>图表</w:t>
      </w:r>
      <w:r>
        <w:rPr>
          <w:i/>
          <w:spacing w:val="-59"/>
          <w:sz w:val="22"/>
        </w:rPr>
        <w:t xml:space="preserve"> </w:t>
      </w:r>
      <w:r>
        <w:rPr>
          <w:rFonts w:ascii="Arial" w:eastAsia="Arial"/>
          <w:i/>
          <w:sz w:val="21"/>
        </w:rPr>
        <w:t>36</w:t>
      </w:r>
      <w:r>
        <w:rPr>
          <w:i/>
          <w:sz w:val="22"/>
        </w:rPr>
        <w:t>：永</w:t>
      </w:r>
      <w:r>
        <w:rPr>
          <w:i/>
          <w:spacing w:val="-3"/>
          <w:sz w:val="22"/>
        </w:rPr>
        <w:t>续</w:t>
      </w:r>
      <w:r>
        <w:rPr>
          <w:i/>
          <w:sz w:val="22"/>
        </w:rPr>
        <w:t>债</w:t>
      </w:r>
      <w:r>
        <w:rPr>
          <w:i/>
          <w:spacing w:val="-3"/>
          <w:sz w:val="22"/>
        </w:rPr>
        <w:t>换</w:t>
      </w:r>
      <w:r>
        <w:rPr>
          <w:i/>
          <w:sz w:val="22"/>
        </w:rPr>
        <w:t>手</w:t>
      </w:r>
      <w:r>
        <w:rPr>
          <w:i/>
          <w:spacing w:val="-3"/>
          <w:sz w:val="22"/>
        </w:rPr>
        <w:t>率及</w:t>
      </w:r>
      <w:r>
        <w:rPr>
          <w:i/>
          <w:sz w:val="22"/>
        </w:rPr>
        <w:t>估值</w:t>
      </w:r>
      <w:r>
        <w:rPr>
          <w:i/>
          <w:spacing w:val="-3"/>
          <w:sz w:val="22"/>
        </w:rPr>
        <w:t>情</w:t>
      </w:r>
      <w:r>
        <w:rPr>
          <w:i/>
          <w:sz w:val="22"/>
        </w:rPr>
        <w:t>况</w:t>
        <w:tab/>
      </w:r>
      <w:r>
        <w:rPr>
          <w:rFonts w:ascii="Arial" w:eastAsia="Arial"/>
          <w:sz w:val="21"/>
        </w:rPr>
        <w:t>25</w:t>
      </w:r>
    </w:p>
    <w:p>
      <w:pPr>
        <w:spacing w:before="561"/>
        <w:ind w:left="1820" w:right="0" w:firstLine="0"/>
        <w:jc w:val="left"/>
        <w:rPr>
          <w:rFonts w:ascii="仿宋" w:eastAsia="仿宋" w:hint="eastAsia"/>
          <w:sz w:val="2"/>
        </w:rPr>
      </w:pPr>
      <w:r>
        <w:rPr>
          <w:rFonts w:ascii="仿宋" w:eastAsia="仿宋" w:hint="eastAsia"/>
          <w:color w:val="BFBFBF"/>
          <w:sz w:val="2"/>
        </w:rPr>
        <w:t>华福证券</w:t>
      </w:r>
    </w:p>
    <w:p>
      <w:pPr>
        <w:spacing w:after="0"/>
        <w:jc w:val="left"/>
        <w:rPr>
          <w:rFonts w:ascii="仿宋" w:eastAsia="仿宋" w:hint="eastAsia"/>
          <w:sz w:val="2"/>
        </w:rPr>
        <w:sectPr>
          <w:headerReference w:type="default" r:id="rId4"/>
          <w:footerReference w:type="default" r:id="rId5"/>
          <w:type w:val="continuous"/>
          <w:pgSz w:w="11910" w:h="16840"/>
          <w:pgMar w:top="1320" w:right="0" w:bottom="660" w:left="180" w:header="708" w:footer="708"/>
          <w:cols w:space="708"/>
        </w:sectPr>
      </w:pPr>
    </w:p>
    <w:p>
      <w:pPr>
        <w:spacing w:before="134" w:line="319" w:lineRule="auto"/>
        <w:ind w:left="3192" w:right="841" w:firstLine="439"/>
        <w:jc w:val="both"/>
        <w:rPr>
          <w:b/>
          <w:sz w:val="22"/>
        </w:rPr>
      </w:pPr>
      <w:r>
        <w:rPr>
          <w:spacing w:val="-5"/>
          <w:sz w:val="22"/>
        </w:rPr>
        <w:t>随着城投化债行情演绎，一方面城投债发行受到严监管、净融资规模大幅下降，另一方面中短期城投债利差已经压缩至历史低位，性价比已经较低。市场资</w:t>
      </w:r>
      <w:r>
        <w:rPr>
          <w:spacing w:val="-6"/>
          <w:sz w:val="22"/>
        </w:rPr>
        <w:t>产荒局面并未得到缓解，机构对于兼具安全性与收益性的资产需求较大。因此流动性较好的商业银行二永债成为机构挖掘收益的新方向，而信用资质适度下沉的城农商行可能成为较合适的投资对象。</w:t>
      </w:r>
      <w:r>
        <w:rPr>
          <w:b/>
          <w:spacing w:val="-6"/>
          <w:sz w:val="22"/>
        </w:rPr>
        <w:t>由于城农商行是地方金融资源的重要组成</w:t>
      </w:r>
      <w:r>
        <w:rPr>
          <w:b/>
          <w:spacing w:val="-3"/>
          <w:sz w:val="22"/>
        </w:rPr>
        <w:t>部分，与所属地方区域经济发展高度绑定，因此我们将按照区域对所有存续二永</w:t>
      </w:r>
      <w:r>
        <w:rPr>
          <w:b/>
          <w:spacing w:val="-5"/>
          <w:sz w:val="22"/>
        </w:rPr>
        <w:t>债发行城商行进行梳理与打分，旨在挑选出具有投资价值的二永债。</w:t>
      </w:r>
    </w:p>
    <w:p>
      <w:pPr>
        <w:pStyle w:val="BodyText"/>
        <w:spacing w:before="5"/>
        <w:rPr>
          <w:b/>
          <w:sz w:val="28"/>
        </w:rPr>
      </w:pPr>
    </w:p>
    <w:p>
      <w:pPr>
        <w:pStyle w:val="Heading1"/>
        <w:numPr>
          <w:ilvl w:val="0"/>
          <w:numId w:val="1"/>
        </w:numPr>
        <w:tabs>
          <w:tab w:val="left" w:pos="3563"/>
        </w:tabs>
        <w:spacing w:before="1" w:after="0" w:line="240" w:lineRule="auto"/>
        <w:ind w:left="3562" w:right="0" w:hanging="340"/>
        <w:jc w:val="left"/>
        <w:rPr>
          <w:rFonts w:ascii="Arial" w:eastAsia="Arial"/>
          <w:color w:val="013E96"/>
        </w:rPr>
      </w:pPr>
      <w:r>
        <w:rPr>
          <w:color w:val="013E96"/>
        </w:rPr>
        <w:t>城农商行二永债情况概览</w:t>
      </w:r>
    </w:p>
    <w:p>
      <w:pPr>
        <w:pStyle w:val="BodyText"/>
        <w:spacing w:before="9"/>
        <w:rPr>
          <w:b/>
          <w:sz w:val="30"/>
        </w:rPr>
      </w:pPr>
    </w:p>
    <w:p>
      <w:pPr>
        <w:pStyle w:val="Heading2"/>
        <w:numPr>
          <w:ilvl w:val="1"/>
          <w:numId w:val="1"/>
        </w:numPr>
        <w:tabs>
          <w:tab w:val="left" w:pos="3685"/>
        </w:tabs>
        <w:spacing w:before="0" w:after="0" w:line="240" w:lineRule="auto"/>
        <w:ind w:left="3685" w:right="0" w:hanging="462"/>
        <w:jc w:val="left"/>
      </w:pPr>
      <w:r>
        <w:rPr>
          <w:color w:val="013E96"/>
        </w:rPr>
        <w:t>二永债成交活跃度高，城农商行仍有投资价值</w:t>
      </w:r>
    </w:p>
    <w:p>
      <w:pPr>
        <w:pStyle w:val="BodyText"/>
        <w:spacing w:before="4"/>
        <w:rPr>
          <w:b/>
          <w:sz w:val="38"/>
        </w:rPr>
      </w:pPr>
    </w:p>
    <w:p>
      <w:pPr>
        <w:pStyle w:val="BodyText"/>
        <w:spacing w:line="319" w:lineRule="auto"/>
        <w:ind w:left="3192" w:right="846" w:firstLine="439"/>
        <w:jc w:val="both"/>
      </w:pPr>
      <w:r>
        <w:rPr>
          <w:spacing w:val="-5"/>
        </w:rPr>
        <w:t>可以看出近期二级现券市场上，二永商金债的成交活跃度显著上升，月度机</w:t>
      </w:r>
      <w:r>
        <w:rPr>
          <w:spacing w:val="-7"/>
        </w:rPr>
        <w:t>构成交额与过去相比明显增加。其中主要净买入机构为保险、基金、理财、其他产品类；而大行、股份行和券商由于多在一级市场进行承销因此月度数据呈现为净卖出。</w:t>
      </w:r>
    </w:p>
    <w:p>
      <w:pPr>
        <w:pStyle w:val="BodyText"/>
        <w:spacing w:before="6"/>
        <w:rPr>
          <w:sz w:val="9"/>
        </w:rPr>
      </w:pPr>
    </w:p>
    <w:p>
      <w:pPr>
        <w:spacing w:before="76"/>
        <w:ind w:left="2796" w:right="0" w:firstLine="0"/>
        <w:jc w:val="left"/>
        <w:rPr>
          <w:i/>
          <w:sz w:val="17"/>
        </w:rPr>
      </w:pPr>
      <w:r>
        <w:pict>
          <v:line id="_x0000_s1025" style="mso-position-horizontal-relative:page;position:absolute;z-index:251658240" from="143.4pt,19.6pt" to="552.1pt,19.6pt" stroked="t" strokecolor="#013e96" strokeweight="0.48pt">
            <v:stroke dashstyle="solid"/>
          </v:line>
        </w:pict>
      </w:r>
      <w:r>
        <w:rPr>
          <w:i/>
          <w:color w:val="004097"/>
          <w:sz w:val="17"/>
        </w:rPr>
        <w:t xml:space="preserve">图表 </w:t>
      </w:r>
      <w:r>
        <w:rPr>
          <w:rFonts w:ascii="Arial" w:eastAsia="Arial"/>
          <w:i/>
          <w:color w:val="004097"/>
          <w:sz w:val="16"/>
        </w:rPr>
        <w:t>1</w:t>
      </w:r>
      <w:r>
        <w:rPr>
          <w:i/>
          <w:color w:val="004097"/>
          <w:sz w:val="17"/>
        </w:rPr>
        <w:t>：二永商金债现券成交情况（亿元）</w:t>
      </w:r>
    </w:p>
    <w:p>
      <w:pPr>
        <w:spacing w:after="0"/>
        <w:jc w:val="left"/>
        <w:rPr>
          <w:sz w:val="17"/>
        </w:rPr>
        <w:sectPr>
          <w:headerReference w:type="default" r:id="rId6"/>
          <w:footerReference w:type="default" r:id="rId7"/>
          <w:pgSz w:w="11910" w:h="16840"/>
          <w:pgMar w:top="1320" w:right="0" w:bottom="660" w:left="180" w:header="708" w:footer="708"/>
          <w:pgNumType w:start="2"/>
          <w:cols w:space="708"/>
        </w:sectPr>
      </w:pPr>
    </w:p>
    <w:p>
      <w:pPr>
        <w:pStyle w:val="BodyText"/>
        <w:rPr>
          <w:i/>
          <w:sz w:val="14"/>
        </w:rPr>
      </w:pPr>
    </w:p>
    <w:p>
      <w:pPr>
        <w:pStyle w:val="BodyText"/>
        <w:rPr>
          <w:i/>
          <w:sz w:val="14"/>
        </w:rPr>
      </w:pPr>
    </w:p>
    <w:p>
      <w:pPr>
        <w:spacing w:before="104"/>
        <w:ind w:left="0" w:right="0" w:firstLine="0"/>
        <w:jc w:val="right"/>
        <w:rPr>
          <w:sz w:val="14"/>
        </w:rPr>
      </w:pPr>
      <w:r>
        <w:rPr>
          <w:color w:val="585858"/>
          <w:sz w:val="14"/>
        </w:rPr>
        <w:t>3000</w:t>
      </w:r>
    </w:p>
    <w:p>
      <w:pPr>
        <w:pStyle w:val="BodyText"/>
        <w:spacing w:before="4"/>
        <w:rPr>
          <w:sz w:val="12"/>
        </w:rPr>
      </w:pPr>
      <w:r>
        <w:br w:type="column"/>
      </w:r>
    </w:p>
    <w:p>
      <w:pPr>
        <w:tabs>
          <w:tab w:val="left" w:pos="1984"/>
          <w:tab w:val="left" w:pos="3678"/>
          <w:tab w:val="left" w:pos="5371"/>
        </w:tabs>
        <w:spacing w:before="0"/>
        <w:ind w:left="291" w:right="0" w:firstLine="0"/>
        <w:jc w:val="left"/>
        <w:rPr>
          <w:sz w:val="12"/>
        </w:rPr>
      </w:pPr>
      <w:r>
        <w:rPr>
          <w:color w:val="585858"/>
          <w:sz w:val="12"/>
        </w:rPr>
        <w:t>大型商业银行/政策性银行</w:t>
        <w:tab/>
        <w:t>股份制商业银行</w:t>
        <w:tab/>
        <w:t>城市商业银行</w:t>
        <w:tab/>
        <w:t>外资银行</w:t>
      </w:r>
    </w:p>
    <w:p>
      <w:pPr>
        <w:tabs>
          <w:tab w:val="left" w:pos="1984"/>
          <w:tab w:val="left" w:pos="3678"/>
          <w:tab w:val="left" w:pos="5371"/>
        </w:tabs>
        <w:spacing w:before="63"/>
        <w:ind w:left="291" w:right="0" w:firstLine="0"/>
        <w:jc w:val="left"/>
        <w:rPr>
          <w:sz w:val="12"/>
        </w:rPr>
      </w:pPr>
      <w:r>
        <w:drawing>
          <wp:anchor distT="0" distB="0" distL="0" distR="0" simplePos="0" relativeHeight="251665408" behindDoc="0" locked="0" layoutInCell="1" allowOverlap="1">
            <wp:simplePos x="0" y="0"/>
            <wp:positionH relativeFrom="page">
              <wp:posOffset>2635504</wp:posOffset>
            </wp:positionH>
            <wp:positionV relativeFrom="paragraph">
              <wp:posOffset>-65532</wp:posOffset>
            </wp:positionV>
            <wp:extent cx="34289" cy="3428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34289" cy="34289"/>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3710432</wp:posOffset>
            </wp:positionH>
            <wp:positionV relativeFrom="paragraph">
              <wp:posOffset>-65532</wp:posOffset>
            </wp:positionV>
            <wp:extent cx="34289" cy="3428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9" cstate="print"/>
                    <a:stretch>
                      <a:fillRect/>
                    </a:stretch>
                  </pic:blipFill>
                  <pic:spPr>
                    <a:xfrm>
                      <a:off x="0" y="0"/>
                      <a:ext cx="34289" cy="34289"/>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4785486</wp:posOffset>
            </wp:positionH>
            <wp:positionV relativeFrom="paragraph">
              <wp:posOffset>-65532</wp:posOffset>
            </wp:positionV>
            <wp:extent cx="34289" cy="3428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0" cstate="print"/>
                    <a:stretch>
                      <a:fillRect/>
                    </a:stretch>
                  </pic:blipFill>
                  <pic:spPr>
                    <a:xfrm>
                      <a:off x="0" y="0"/>
                      <a:ext cx="34289" cy="34289"/>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5860415</wp:posOffset>
            </wp:positionH>
            <wp:positionV relativeFrom="paragraph">
              <wp:posOffset>-65532</wp:posOffset>
            </wp:positionV>
            <wp:extent cx="34289" cy="34289"/>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1" cstate="print"/>
                    <a:stretch>
                      <a:fillRect/>
                    </a:stretch>
                  </pic:blipFill>
                  <pic:spPr>
                    <a:xfrm>
                      <a:off x="0" y="0"/>
                      <a:ext cx="34289" cy="34289"/>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2635504</wp:posOffset>
            </wp:positionH>
            <wp:positionV relativeFrom="paragraph">
              <wp:posOffset>71627</wp:posOffset>
            </wp:positionV>
            <wp:extent cx="34289" cy="34289"/>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2" cstate="print"/>
                    <a:stretch>
                      <a:fillRect/>
                    </a:stretch>
                  </pic:blipFill>
                  <pic:spPr>
                    <a:xfrm>
                      <a:off x="0" y="0"/>
                      <a:ext cx="34289" cy="34289"/>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3710432</wp:posOffset>
            </wp:positionH>
            <wp:positionV relativeFrom="paragraph">
              <wp:posOffset>71627</wp:posOffset>
            </wp:positionV>
            <wp:extent cx="34289" cy="34289"/>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3" cstate="print"/>
                    <a:stretch>
                      <a:fillRect/>
                    </a:stretch>
                  </pic:blipFill>
                  <pic:spPr>
                    <a:xfrm>
                      <a:off x="0" y="0"/>
                      <a:ext cx="34289" cy="34289"/>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4785486</wp:posOffset>
            </wp:positionH>
            <wp:positionV relativeFrom="paragraph">
              <wp:posOffset>71627</wp:posOffset>
            </wp:positionV>
            <wp:extent cx="34289" cy="34289"/>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4" cstate="print"/>
                    <a:stretch>
                      <a:fillRect/>
                    </a:stretch>
                  </pic:blipFill>
                  <pic:spPr>
                    <a:xfrm>
                      <a:off x="0" y="0"/>
                      <a:ext cx="34289" cy="34289"/>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5860415</wp:posOffset>
            </wp:positionH>
            <wp:positionV relativeFrom="paragraph">
              <wp:posOffset>71627</wp:posOffset>
            </wp:positionV>
            <wp:extent cx="34289" cy="34289"/>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5" cstate="print"/>
                    <a:stretch>
                      <a:fillRect/>
                    </a:stretch>
                  </pic:blipFill>
                  <pic:spPr>
                    <a:xfrm>
                      <a:off x="0" y="0"/>
                      <a:ext cx="34289" cy="34289"/>
                    </a:xfrm>
                    <a:prstGeom prst="rect">
                      <a:avLst/>
                    </a:prstGeom>
                  </pic:spPr>
                </pic:pic>
              </a:graphicData>
            </a:graphic>
          </wp:anchor>
        </w:drawing>
      </w:r>
      <w:r>
        <w:rPr>
          <w:color w:val="585858"/>
          <w:sz w:val="12"/>
        </w:rPr>
        <w:t>农村金融机构</w:t>
        <w:tab/>
        <w:t>证券公司</w:t>
        <w:tab/>
        <w:t>保险公司</w:t>
        <w:tab/>
        <w:t>基金公司及产品</w:t>
      </w:r>
    </w:p>
    <w:p>
      <w:pPr>
        <w:spacing w:after="0"/>
        <w:jc w:val="left"/>
        <w:rPr>
          <w:sz w:val="12"/>
        </w:rPr>
        <w:sectPr>
          <w:headerReference w:type="default" r:id="rId16"/>
          <w:footerReference w:type="default" r:id="rId17"/>
          <w:type w:val="continuous"/>
          <w:pgSz w:w="11910" w:h="16840"/>
          <w:pgMar w:top="1320" w:right="0" w:bottom="660" w:left="180" w:header="708" w:footer="708"/>
          <w:pgNumType w:start="3"/>
          <w:cols w:num="2" w:space="708" w:equalWidth="0">
            <w:col w:w="3714" w:space="40"/>
            <w:col w:w="7976" w:space="0"/>
          </w:cols>
        </w:sect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spacing w:before="9"/>
        <w:rPr>
          <w:sz w:val="2"/>
        </w:rPr>
      </w:pPr>
    </w:p>
    <w:p>
      <w:pPr>
        <w:spacing w:before="0"/>
        <w:ind w:left="0" w:right="0" w:firstLine="0"/>
        <w:jc w:val="right"/>
        <w:rPr>
          <w:rFonts w:ascii="仿宋" w:eastAsia="仿宋" w:hint="eastAsia"/>
          <w:sz w:val="2"/>
        </w:rPr>
      </w:pPr>
      <w:r>
        <w:rPr>
          <w:rFonts w:ascii="仿宋" w:eastAsia="仿宋" w:hint="eastAsia"/>
          <w:color w:val="BFBFBF"/>
          <w:sz w:val="2"/>
        </w:rPr>
        <w:t>华福证券</w:t>
      </w:r>
    </w:p>
    <w:p>
      <w:pPr>
        <w:pStyle w:val="BodyText"/>
        <w:spacing w:before="10"/>
        <w:rPr>
          <w:rFonts w:ascii="仿宋"/>
          <w:sz w:val="20"/>
        </w:rPr>
      </w:pPr>
      <w:r>
        <w:br w:type="column"/>
      </w:r>
    </w:p>
    <w:p>
      <w:pPr>
        <w:spacing w:before="0"/>
        <w:ind w:left="1492" w:right="0" w:firstLine="0"/>
        <w:jc w:val="left"/>
        <w:rPr>
          <w:sz w:val="14"/>
        </w:rPr>
      </w:pPr>
      <w:r>
        <w:pict>
          <v:group id="_x0000_s1026" style="width:327.4pt;height:133.85pt;margin-top:-17.96pt;margin-left:203.46pt;mso-position-horizontal-relative:page;position:absolute;z-index:251667456" coordorigin="4069,-359" coordsize="6548,26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6548;height:2677;left:4069;position:absolute;top:-360" stroked="f">
              <v:imagedata r:id="rId18" o:title=""/>
            </v:shape>
            <v:shapetype id="_x0000_t202" coordsize="21600,21600" o:spt="202" path="m,l,21600r21600,l21600,xe">
              <v:stroke joinstyle="miter"/>
              <v:path gradientshapeok="t" o:connecttype="rect"/>
            </v:shapetype>
            <v:shape id="_x0000_s1028" type="#_x0000_t202" style="width:623;height:120;left:4224;position:absolute;top:-302" filled="f" stroked="f">
              <v:textbox inset="0,0,0,0">
                <w:txbxContent>
                  <w:p>
                    <w:pPr>
                      <w:spacing w:before="0" w:line="120" w:lineRule="exact"/>
                      <w:ind w:left="0" w:right="0" w:firstLine="0"/>
                      <w:jc w:val="left"/>
                      <w:rPr>
                        <w:sz w:val="12"/>
                      </w:rPr>
                    </w:pPr>
                    <w:r>
                      <w:rPr>
                        <w:color w:val="585858"/>
                        <w:sz w:val="12"/>
                      </w:rPr>
                      <w:t>理财类产品</w:t>
                    </w:r>
                  </w:p>
                </w:txbxContent>
              </v:textbox>
            </v:shape>
            <v:shape id="_x0000_s1029" type="#_x0000_t202" style="width:620;height:120;left:5918;position:absolute;top:-302" filled="f" stroked="f">
              <v:textbox inset="0,0,0,0">
                <w:txbxContent>
                  <w:p>
                    <w:pPr>
                      <w:spacing w:before="0" w:line="120" w:lineRule="exact"/>
                      <w:ind w:left="0" w:right="0" w:firstLine="0"/>
                      <w:jc w:val="left"/>
                      <w:rPr>
                        <w:sz w:val="12"/>
                      </w:rPr>
                    </w:pPr>
                    <w:r>
                      <w:rPr>
                        <w:color w:val="585858"/>
                        <w:sz w:val="12"/>
                      </w:rPr>
                      <w:t>其他产品类</w:t>
                    </w:r>
                  </w:p>
                </w:txbxContent>
              </v:textbox>
            </v:shape>
            <v:shape id="_x0000_s1030" type="#_x0000_t202" style="width:260;height:120;left:7611;position:absolute;top:-302" filled="f" stroked="f">
              <v:textbox inset="0,0,0,0">
                <w:txbxContent>
                  <w:p>
                    <w:pPr>
                      <w:spacing w:before="0" w:line="120" w:lineRule="exact"/>
                      <w:ind w:left="0" w:right="0" w:firstLine="0"/>
                      <w:jc w:val="left"/>
                      <w:rPr>
                        <w:sz w:val="12"/>
                      </w:rPr>
                    </w:pPr>
                    <w:r>
                      <w:rPr>
                        <w:color w:val="585858"/>
                        <w:sz w:val="12"/>
                      </w:rPr>
                      <w:t>其他</w:t>
                    </w:r>
                  </w:p>
                </w:txbxContent>
              </v:textbox>
            </v:shape>
            <v:shape id="_x0000_s1031" type="#_x0000_t202" style="width:500;height:120;left:9304;position:absolute;top:-302" filled="f" stroked="f">
              <v:textbox inset="0,0,0,0">
                <w:txbxContent>
                  <w:p>
                    <w:pPr>
                      <w:spacing w:before="0" w:line="120" w:lineRule="exact"/>
                      <w:ind w:left="0" w:right="0" w:firstLine="0"/>
                      <w:jc w:val="left"/>
                      <w:rPr>
                        <w:sz w:val="12"/>
                      </w:rPr>
                    </w:pPr>
                    <w:r>
                      <w:rPr>
                        <w:color w:val="585858"/>
                        <w:sz w:val="12"/>
                      </w:rPr>
                      <w:t>货币基金</w:t>
                    </w:r>
                  </w:p>
                </w:txbxContent>
              </v:textbox>
            </v:shape>
          </v:group>
        </w:pict>
      </w:r>
      <w:r>
        <w:rPr>
          <w:color w:val="585858"/>
          <w:sz w:val="14"/>
        </w:rPr>
        <w:t>2000</w:t>
      </w:r>
    </w:p>
    <w:p>
      <w:pPr>
        <w:spacing w:after="0"/>
        <w:jc w:val="left"/>
        <w:rPr>
          <w:sz w:val="14"/>
        </w:rPr>
        <w:sectPr>
          <w:headerReference w:type="default" r:id="rId19"/>
          <w:footerReference w:type="default" r:id="rId20"/>
          <w:type w:val="continuous"/>
          <w:pgSz w:w="11910" w:h="16840"/>
          <w:pgMar w:top="1320" w:right="0" w:bottom="660" w:left="180" w:header="708" w:footer="708"/>
          <w:pgNumType w:start="4"/>
          <w:cols w:num="2" w:space="708" w:equalWidth="0">
            <w:col w:w="1901" w:space="40"/>
            <w:col w:w="9789" w:space="0"/>
          </w:cols>
        </w:sectPr>
      </w:pPr>
    </w:p>
    <w:p>
      <w:pPr>
        <w:pStyle w:val="BodyText"/>
        <w:spacing w:before="6"/>
        <w:rPr>
          <w:sz w:val="14"/>
        </w:rPr>
      </w:pPr>
    </w:p>
    <w:p>
      <w:pPr>
        <w:spacing w:before="80"/>
        <w:ind w:left="3432" w:right="0" w:firstLine="0"/>
        <w:jc w:val="left"/>
        <w:rPr>
          <w:sz w:val="14"/>
        </w:rPr>
      </w:pPr>
      <w:r>
        <w:rPr>
          <w:color w:val="585858"/>
          <w:sz w:val="14"/>
        </w:rPr>
        <w:t>1000</w:t>
      </w:r>
    </w:p>
    <w:p>
      <w:pPr>
        <w:pStyle w:val="BodyText"/>
        <w:spacing w:before="7"/>
        <w:rPr>
          <w:sz w:val="14"/>
        </w:rPr>
      </w:pPr>
    </w:p>
    <w:p>
      <w:pPr>
        <w:spacing w:before="80"/>
        <w:ind w:left="3642" w:right="0" w:firstLine="0"/>
        <w:jc w:val="left"/>
        <w:rPr>
          <w:sz w:val="14"/>
        </w:rPr>
      </w:pPr>
      <w:r>
        <w:rPr>
          <w:color w:val="585858"/>
          <w:w w:val="99"/>
          <w:sz w:val="14"/>
        </w:rPr>
        <w:t>0</w:t>
      </w:r>
    </w:p>
    <w:p>
      <w:pPr>
        <w:pStyle w:val="BodyText"/>
        <w:spacing w:before="7"/>
        <w:rPr>
          <w:sz w:val="14"/>
        </w:rPr>
      </w:pPr>
    </w:p>
    <w:p>
      <w:pPr>
        <w:spacing w:before="80"/>
        <w:ind w:left="3362" w:right="0" w:firstLine="0"/>
        <w:jc w:val="left"/>
        <w:rPr>
          <w:sz w:val="14"/>
        </w:rPr>
      </w:pPr>
      <w:r>
        <w:rPr>
          <w:color w:val="585858"/>
          <w:sz w:val="14"/>
        </w:rPr>
        <w:t>-1000</w:t>
      </w:r>
    </w:p>
    <w:p>
      <w:pPr>
        <w:pStyle w:val="BodyText"/>
        <w:spacing w:before="7"/>
        <w:rPr>
          <w:sz w:val="14"/>
        </w:rPr>
      </w:pPr>
    </w:p>
    <w:p>
      <w:pPr>
        <w:spacing w:before="79"/>
        <w:ind w:left="3362" w:right="0" w:firstLine="0"/>
        <w:jc w:val="left"/>
        <w:rPr>
          <w:sz w:val="14"/>
        </w:rPr>
      </w:pPr>
      <w:r>
        <w:rPr>
          <w:color w:val="585858"/>
          <w:sz w:val="14"/>
        </w:rPr>
        <w:t>-2000</w:t>
      </w:r>
    </w:p>
    <w:p>
      <w:pPr>
        <w:pStyle w:val="BodyText"/>
        <w:spacing w:before="7"/>
        <w:rPr>
          <w:sz w:val="14"/>
        </w:rPr>
      </w:pPr>
    </w:p>
    <w:p>
      <w:pPr>
        <w:spacing w:before="80"/>
        <w:ind w:left="3362" w:right="0" w:firstLine="0"/>
        <w:jc w:val="left"/>
        <w:rPr>
          <w:sz w:val="14"/>
        </w:rPr>
      </w:pPr>
      <w:r>
        <w:pict>
          <v:shape id="_x0000_s1032" type="#_x0000_t202" style="width:325.6pt;height:26.5pt;margin-top:11.52pt;margin-left:201.8pt;mso-position-horizontal-relative:page;position:absolute;z-index:251669504" filled="f" stroked="f">
            <v:textbox style="layout-flow:vertical;mso-layout-flow-alt:bottom-to-top" inset="0,0,0,0">
              <w:txbxContent>
                <w:p>
                  <w:pPr>
                    <w:spacing w:before="0" w:line="179" w:lineRule="exact"/>
                    <w:ind w:left="20" w:right="0" w:firstLine="0"/>
                    <w:jc w:val="left"/>
                    <w:rPr>
                      <w:sz w:val="14"/>
                    </w:rPr>
                  </w:pPr>
                  <w:r>
                    <w:rPr>
                      <w:color w:val="585858"/>
                      <w:sz w:val="14"/>
                    </w:rPr>
                    <w:t>2019/01</w:t>
                  </w:r>
                </w:p>
                <w:p>
                  <w:pPr>
                    <w:spacing w:before="32"/>
                    <w:ind w:left="20" w:right="0" w:firstLine="0"/>
                    <w:jc w:val="left"/>
                    <w:rPr>
                      <w:sz w:val="14"/>
                    </w:rPr>
                  </w:pPr>
                  <w:r>
                    <w:rPr>
                      <w:color w:val="585858"/>
                      <w:sz w:val="14"/>
                    </w:rPr>
                    <w:t>2019/03</w:t>
                  </w:r>
                </w:p>
                <w:p>
                  <w:pPr>
                    <w:spacing w:before="31"/>
                    <w:ind w:left="20" w:right="0" w:firstLine="0"/>
                    <w:jc w:val="left"/>
                    <w:rPr>
                      <w:sz w:val="14"/>
                    </w:rPr>
                  </w:pPr>
                  <w:r>
                    <w:rPr>
                      <w:color w:val="585858"/>
                      <w:sz w:val="14"/>
                    </w:rPr>
                    <w:t>2019/05</w:t>
                  </w:r>
                </w:p>
                <w:p>
                  <w:pPr>
                    <w:spacing w:before="32"/>
                    <w:ind w:left="20" w:right="0" w:firstLine="0"/>
                    <w:jc w:val="left"/>
                    <w:rPr>
                      <w:sz w:val="14"/>
                    </w:rPr>
                  </w:pPr>
                  <w:r>
                    <w:rPr>
                      <w:color w:val="585858"/>
                      <w:sz w:val="14"/>
                    </w:rPr>
                    <w:t>2019/07</w:t>
                  </w:r>
                </w:p>
                <w:p>
                  <w:pPr>
                    <w:spacing w:before="31"/>
                    <w:ind w:left="20" w:right="0" w:firstLine="0"/>
                    <w:jc w:val="left"/>
                    <w:rPr>
                      <w:sz w:val="14"/>
                    </w:rPr>
                  </w:pPr>
                  <w:r>
                    <w:rPr>
                      <w:color w:val="585858"/>
                      <w:sz w:val="14"/>
                    </w:rPr>
                    <w:t>2019/09</w:t>
                  </w:r>
                </w:p>
                <w:p>
                  <w:pPr>
                    <w:spacing w:before="32"/>
                    <w:ind w:left="20" w:right="0" w:firstLine="0"/>
                    <w:jc w:val="left"/>
                    <w:rPr>
                      <w:sz w:val="14"/>
                    </w:rPr>
                  </w:pPr>
                  <w:r>
                    <w:rPr>
                      <w:color w:val="585858"/>
                      <w:sz w:val="14"/>
                    </w:rPr>
                    <w:t>2019/11</w:t>
                  </w:r>
                </w:p>
                <w:p>
                  <w:pPr>
                    <w:spacing w:before="32"/>
                    <w:ind w:left="20" w:right="0" w:firstLine="0"/>
                    <w:jc w:val="left"/>
                    <w:rPr>
                      <w:sz w:val="14"/>
                    </w:rPr>
                  </w:pPr>
                  <w:r>
                    <w:rPr>
                      <w:color w:val="585858"/>
                      <w:sz w:val="14"/>
                    </w:rPr>
                    <w:t>2020/01</w:t>
                  </w:r>
                </w:p>
                <w:p>
                  <w:pPr>
                    <w:spacing w:before="31"/>
                    <w:ind w:left="20" w:right="0" w:firstLine="0"/>
                    <w:jc w:val="left"/>
                    <w:rPr>
                      <w:sz w:val="14"/>
                    </w:rPr>
                  </w:pPr>
                  <w:r>
                    <w:rPr>
                      <w:color w:val="585858"/>
                      <w:sz w:val="14"/>
                    </w:rPr>
                    <w:t>2020/03</w:t>
                  </w:r>
                </w:p>
                <w:p>
                  <w:pPr>
                    <w:spacing w:before="32"/>
                    <w:ind w:left="20" w:right="0" w:firstLine="0"/>
                    <w:jc w:val="left"/>
                    <w:rPr>
                      <w:sz w:val="14"/>
                    </w:rPr>
                  </w:pPr>
                  <w:r>
                    <w:rPr>
                      <w:color w:val="585858"/>
                      <w:sz w:val="14"/>
                    </w:rPr>
                    <w:t>2020/05</w:t>
                  </w:r>
                </w:p>
                <w:p>
                  <w:pPr>
                    <w:spacing w:before="32"/>
                    <w:ind w:left="20" w:right="0" w:firstLine="0"/>
                    <w:jc w:val="left"/>
                    <w:rPr>
                      <w:sz w:val="14"/>
                    </w:rPr>
                  </w:pPr>
                  <w:r>
                    <w:rPr>
                      <w:color w:val="585858"/>
                      <w:sz w:val="14"/>
                    </w:rPr>
                    <w:t>2020/07</w:t>
                  </w:r>
                </w:p>
                <w:p>
                  <w:pPr>
                    <w:spacing w:before="31"/>
                    <w:ind w:left="20" w:right="0" w:firstLine="0"/>
                    <w:jc w:val="left"/>
                    <w:rPr>
                      <w:sz w:val="14"/>
                    </w:rPr>
                  </w:pPr>
                  <w:r>
                    <w:rPr>
                      <w:color w:val="585858"/>
                      <w:sz w:val="14"/>
                    </w:rPr>
                    <w:t>2020/09</w:t>
                  </w:r>
                </w:p>
                <w:p>
                  <w:pPr>
                    <w:spacing w:before="32"/>
                    <w:ind w:left="20" w:right="0" w:firstLine="0"/>
                    <w:jc w:val="left"/>
                    <w:rPr>
                      <w:sz w:val="14"/>
                    </w:rPr>
                  </w:pPr>
                  <w:r>
                    <w:rPr>
                      <w:color w:val="585858"/>
                      <w:sz w:val="14"/>
                    </w:rPr>
                    <w:t>2020/11</w:t>
                  </w:r>
                </w:p>
                <w:p>
                  <w:pPr>
                    <w:spacing w:before="32"/>
                    <w:ind w:left="20" w:right="0" w:firstLine="0"/>
                    <w:jc w:val="left"/>
                    <w:rPr>
                      <w:sz w:val="14"/>
                    </w:rPr>
                  </w:pPr>
                  <w:r>
                    <w:rPr>
                      <w:color w:val="585858"/>
                      <w:sz w:val="14"/>
                    </w:rPr>
                    <w:t>2021/01</w:t>
                  </w:r>
                </w:p>
                <w:p>
                  <w:pPr>
                    <w:spacing w:before="32"/>
                    <w:ind w:left="20" w:right="0" w:firstLine="0"/>
                    <w:jc w:val="left"/>
                    <w:rPr>
                      <w:sz w:val="14"/>
                    </w:rPr>
                  </w:pPr>
                  <w:r>
                    <w:rPr>
                      <w:color w:val="585858"/>
                      <w:sz w:val="14"/>
                    </w:rPr>
                    <w:t>2021/03</w:t>
                  </w:r>
                </w:p>
                <w:p>
                  <w:pPr>
                    <w:spacing w:before="31"/>
                    <w:ind w:left="20" w:right="0" w:firstLine="0"/>
                    <w:jc w:val="left"/>
                    <w:rPr>
                      <w:sz w:val="14"/>
                    </w:rPr>
                  </w:pPr>
                  <w:r>
                    <w:rPr>
                      <w:color w:val="585858"/>
                      <w:sz w:val="14"/>
                    </w:rPr>
                    <w:t>2021/05</w:t>
                  </w:r>
                </w:p>
                <w:p>
                  <w:pPr>
                    <w:spacing w:before="32"/>
                    <w:ind w:left="20" w:right="0" w:firstLine="0"/>
                    <w:jc w:val="left"/>
                    <w:rPr>
                      <w:sz w:val="14"/>
                    </w:rPr>
                  </w:pPr>
                  <w:r>
                    <w:rPr>
                      <w:color w:val="585858"/>
                      <w:sz w:val="14"/>
                    </w:rPr>
                    <w:t>2021/07</w:t>
                  </w:r>
                </w:p>
                <w:p>
                  <w:pPr>
                    <w:spacing w:before="32"/>
                    <w:ind w:left="20" w:right="0" w:firstLine="0"/>
                    <w:jc w:val="left"/>
                    <w:rPr>
                      <w:sz w:val="14"/>
                    </w:rPr>
                  </w:pPr>
                  <w:r>
                    <w:rPr>
                      <w:color w:val="585858"/>
                      <w:sz w:val="14"/>
                    </w:rPr>
                    <w:t>2021/09</w:t>
                  </w:r>
                </w:p>
                <w:p>
                  <w:pPr>
                    <w:spacing w:before="32"/>
                    <w:ind w:left="20" w:right="0" w:firstLine="0"/>
                    <w:jc w:val="left"/>
                    <w:rPr>
                      <w:sz w:val="14"/>
                    </w:rPr>
                  </w:pPr>
                  <w:r>
                    <w:rPr>
                      <w:color w:val="585858"/>
                      <w:sz w:val="14"/>
                    </w:rPr>
                    <w:t>2021/11</w:t>
                  </w:r>
                </w:p>
                <w:p>
                  <w:pPr>
                    <w:spacing w:before="31"/>
                    <w:ind w:left="20" w:right="0" w:firstLine="0"/>
                    <w:jc w:val="left"/>
                    <w:rPr>
                      <w:sz w:val="14"/>
                    </w:rPr>
                  </w:pPr>
                  <w:r>
                    <w:rPr>
                      <w:color w:val="585858"/>
                      <w:sz w:val="14"/>
                    </w:rPr>
                    <w:t>2022/01</w:t>
                  </w:r>
                </w:p>
                <w:p>
                  <w:pPr>
                    <w:spacing w:before="32"/>
                    <w:ind w:left="20" w:right="0" w:firstLine="0"/>
                    <w:jc w:val="left"/>
                    <w:rPr>
                      <w:sz w:val="14"/>
                    </w:rPr>
                  </w:pPr>
                  <w:r>
                    <w:rPr>
                      <w:color w:val="585858"/>
                      <w:sz w:val="14"/>
                    </w:rPr>
                    <w:t>2022/03</w:t>
                  </w:r>
                </w:p>
                <w:p>
                  <w:pPr>
                    <w:spacing w:before="32"/>
                    <w:ind w:left="20" w:right="0" w:firstLine="0"/>
                    <w:jc w:val="left"/>
                    <w:rPr>
                      <w:sz w:val="14"/>
                    </w:rPr>
                  </w:pPr>
                  <w:r>
                    <w:rPr>
                      <w:color w:val="585858"/>
                      <w:sz w:val="14"/>
                    </w:rPr>
                    <w:t>2022/05</w:t>
                  </w:r>
                </w:p>
                <w:p>
                  <w:pPr>
                    <w:spacing w:before="32"/>
                    <w:ind w:left="20" w:right="0" w:firstLine="0"/>
                    <w:jc w:val="left"/>
                    <w:rPr>
                      <w:sz w:val="14"/>
                    </w:rPr>
                  </w:pPr>
                  <w:r>
                    <w:rPr>
                      <w:color w:val="585858"/>
                      <w:sz w:val="14"/>
                    </w:rPr>
                    <w:t>2022/07</w:t>
                  </w:r>
                </w:p>
                <w:p>
                  <w:pPr>
                    <w:spacing w:before="31"/>
                    <w:ind w:left="20" w:right="0" w:firstLine="0"/>
                    <w:jc w:val="left"/>
                    <w:rPr>
                      <w:sz w:val="14"/>
                    </w:rPr>
                  </w:pPr>
                  <w:r>
                    <w:rPr>
                      <w:color w:val="585858"/>
                      <w:sz w:val="14"/>
                    </w:rPr>
                    <w:t>2022/09</w:t>
                  </w:r>
                </w:p>
                <w:p>
                  <w:pPr>
                    <w:spacing w:before="32"/>
                    <w:ind w:left="20" w:right="0" w:firstLine="0"/>
                    <w:jc w:val="left"/>
                    <w:rPr>
                      <w:sz w:val="14"/>
                    </w:rPr>
                  </w:pPr>
                  <w:r>
                    <w:rPr>
                      <w:color w:val="585858"/>
                      <w:sz w:val="14"/>
                    </w:rPr>
                    <w:t>2022/11</w:t>
                  </w:r>
                </w:p>
                <w:p>
                  <w:pPr>
                    <w:spacing w:before="32"/>
                    <w:ind w:left="20" w:right="0" w:firstLine="0"/>
                    <w:jc w:val="left"/>
                    <w:rPr>
                      <w:sz w:val="14"/>
                    </w:rPr>
                  </w:pPr>
                  <w:r>
                    <w:rPr>
                      <w:color w:val="585858"/>
                      <w:sz w:val="14"/>
                    </w:rPr>
                    <w:t>2023/01</w:t>
                  </w:r>
                </w:p>
                <w:p>
                  <w:pPr>
                    <w:spacing w:before="31"/>
                    <w:ind w:left="20" w:right="0" w:firstLine="0"/>
                    <w:jc w:val="left"/>
                    <w:rPr>
                      <w:sz w:val="14"/>
                    </w:rPr>
                  </w:pPr>
                  <w:r>
                    <w:rPr>
                      <w:color w:val="585858"/>
                      <w:sz w:val="14"/>
                    </w:rPr>
                    <w:t>2023/03</w:t>
                  </w:r>
                </w:p>
                <w:p>
                  <w:pPr>
                    <w:spacing w:before="32"/>
                    <w:ind w:left="20" w:right="0" w:firstLine="0"/>
                    <w:jc w:val="left"/>
                    <w:rPr>
                      <w:sz w:val="14"/>
                    </w:rPr>
                  </w:pPr>
                  <w:r>
                    <w:rPr>
                      <w:color w:val="585858"/>
                      <w:sz w:val="14"/>
                    </w:rPr>
                    <w:t>2023/05</w:t>
                  </w:r>
                </w:p>
                <w:p>
                  <w:pPr>
                    <w:spacing w:before="32"/>
                    <w:ind w:left="20" w:right="0" w:firstLine="0"/>
                    <w:jc w:val="left"/>
                    <w:rPr>
                      <w:sz w:val="14"/>
                    </w:rPr>
                  </w:pPr>
                  <w:r>
                    <w:rPr>
                      <w:color w:val="585858"/>
                      <w:sz w:val="14"/>
                    </w:rPr>
                    <w:t>2023/07</w:t>
                  </w:r>
                </w:p>
                <w:p>
                  <w:pPr>
                    <w:spacing w:before="31"/>
                    <w:ind w:left="20" w:right="0" w:firstLine="0"/>
                    <w:jc w:val="left"/>
                    <w:rPr>
                      <w:sz w:val="14"/>
                    </w:rPr>
                  </w:pPr>
                  <w:r>
                    <w:rPr>
                      <w:color w:val="585858"/>
                      <w:sz w:val="14"/>
                    </w:rPr>
                    <w:t>2023/09</w:t>
                  </w:r>
                </w:p>
                <w:p>
                  <w:pPr>
                    <w:spacing w:before="32"/>
                    <w:ind w:left="20" w:right="0" w:firstLine="0"/>
                    <w:jc w:val="left"/>
                    <w:rPr>
                      <w:sz w:val="14"/>
                    </w:rPr>
                  </w:pPr>
                  <w:r>
                    <w:rPr>
                      <w:color w:val="585858"/>
                      <w:sz w:val="14"/>
                    </w:rPr>
                    <w:t>2023/11</w:t>
                  </w:r>
                </w:p>
                <w:p>
                  <w:pPr>
                    <w:spacing w:before="32"/>
                    <w:ind w:left="20" w:right="0" w:firstLine="0"/>
                    <w:jc w:val="left"/>
                    <w:rPr>
                      <w:sz w:val="14"/>
                    </w:rPr>
                  </w:pPr>
                  <w:r>
                    <w:rPr>
                      <w:color w:val="585858"/>
                      <w:sz w:val="14"/>
                    </w:rPr>
                    <w:t>2024/01</w:t>
                  </w:r>
                </w:p>
              </w:txbxContent>
            </v:textbox>
          </v:shape>
        </w:pict>
      </w:r>
      <w:r>
        <w:rPr>
          <w:color w:val="585858"/>
          <w:sz w:val="14"/>
        </w:rPr>
        <w:t>-3000</w:t>
      </w:r>
    </w:p>
    <w:p>
      <w:pPr>
        <w:pStyle w:val="BodyText"/>
        <w:rPr>
          <w:sz w:val="20"/>
        </w:rPr>
      </w:pPr>
    </w:p>
    <w:p>
      <w:pPr>
        <w:pStyle w:val="BodyText"/>
        <w:spacing w:before="7"/>
        <w:rPr>
          <w:sz w:val="18"/>
        </w:rPr>
      </w:pPr>
      <w:r>
        <w:pict>
          <v:shape id="_x0000_s1033" style="width:408.7pt;height:0.1pt;margin-top:14.11pt;margin-left:143.42pt;mso-position-horizontal-relative:page;mso-wrap-distance-left:0;mso-wrap-distance-right:0;position:absolute;z-index:-251648000" coordorigin="2868,282" coordsize="8174,0" path="m2868,282l11042,282e" filled="f" stroked="t" strokecolor="#013e96" strokeweight="0.48pt">
            <v:stroke dashstyle="solid"/>
            <v:path arrowok="t"/>
            <w10:wrap type="topAndBottom"/>
          </v:shape>
        </w:pict>
      </w:r>
    </w:p>
    <w:p>
      <w:pPr>
        <w:spacing w:before="14"/>
        <w:ind w:left="2796" w:right="0" w:firstLine="0"/>
        <w:jc w:val="left"/>
        <w:rPr>
          <w:i/>
          <w:sz w:val="17"/>
        </w:rPr>
      </w:pPr>
      <w:r>
        <w:t xml:space="preserve">来源：CFETS， </w:t>
      </w:r>
    </w:p>
    <w:p>
      <w:pPr>
        <w:pStyle w:val="BodyText"/>
        <w:spacing w:before="4"/>
        <w:rPr>
          <w:i/>
          <w:sz w:val="14"/>
        </w:rPr>
      </w:pPr>
    </w:p>
    <w:p>
      <w:pPr>
        <w:pStyle w:val="BodyText"/>
        <w:spacing w:line="319" w:lineRule="auto"/>
        <w:ind w:left="3192" w:right="843" w:firstLine="439"/>
        <w:jc w:val="both"/>
      </w:pPr>
      <w:r>
        <w:rPr>
          <w:spacing w:val="-11"/>
        </w:rPr>
        <w:t xml:space="preserve">从信用利差情况来看，自 </w:t>
      </w:r>
      <w:r>
        <w:rPr>
          <w:rFonts w:ascii="Arial" w:eastAsia="Arial" w:hAnsi="Arial"/>
        </w:rPr>
        <w:t xml:space="preserve">2022 </w:t>
      </w:r>
      <w:r>
        <w:rPr>
          <w:spacing w:val="-25"/>
        </w:rPr>
        <w:t xml:space="preserve">年 </w:t>
      </w:r>
      <w:r>
        <w:rPr>
          <w:rFonts w:ascii="Arial" w:eastAsia="Arial" w:hAnsi="Arial"/>
        </w:rPr>
        <w:t xml:space="preserve">10 </w:t>
      </w:r>
      <w:r>
        <w:rPr>
          <w:spacing w:val="-8"/>
        </w:rPr>
        <w:t>月赎回潮之后，二永债估值情况逐渐修</w:t>
      </w:r>
      <w:r>
        <w:rPr>
          <w:spacing w:val="-9"/>
        </w:rPr>
        <w:t>复，</w:t>
      </w:r>
      <w:r>
        <w:rPr>
          <w:rFonts w:ascii="Arial" w:eastAsia="Arial" w:hAnsi="Arial"/>
          <w:spacing w:val="-10"/>
        </w:rPr>
        <w:t xml:space="preserve">2023 </w:t>
      </w:r>
      <w:r>
        <w:rPr>
          <w:spacing w:val="-8"/>
        </w:rPr>
        <w:t xml:space="preserve">年上半年基本在震荡回调的通道之中。而到了 </w:t>
      </w:r>
      <w:r>
        <w:rPr>
          <w:rFonts w:ascii="Arial" w:eastAsia="Arial" w:hAnsi="Arial"/>
        </w:rPr>
        <w:t xml:space="preserve">7 </w:t>
      </w:r>
      <w:r>
        <w:rPr>
          <w:spacing w:val="-8"/>
        </w:rPr>
        <w:t>月“一揽子化债政策” 提出之后，城投债市场出现抢买热潮，城投信用利差快速压缩，投资机会大幅下</w:t>
      </w:r>
      <w:r>
        <w:rPr>
          <w:spacing w:val="-5"/>
        </w:rPr>
        <w:t>降，此时二永债投资性价比凸显。机构资金外溢到二永债，带来二永债利差再度</w:t>
      </w:r>
      <w:r>
        <w:rPr>
          <w:spacing w:val="-4"/>
        </w:rPr>
        <w:t>快速下调，目前已压缩至历史低位。</w:t>
      </w:r>
    </w:p>
    <w:p>
      <w:pPr>
        <w:pStyle w:val="BodyText"/>
        <w:spacing w:line="319" w:lineRule="auto"/>
        <w:ind w:left="3192" w:right="843" w:firstLine="439"/>
        <w:jc w:val="both"/>
        <w:sectPr>
          <w:headerReference w:type="default" r:id="rId21"/>
          <w:footerReference w:type="default" r:id="rId22"/>
          <w:type w:val="continuous"/>
          <w:pgSz w:w="11910" w:h="16840"/>
          <w:pgMar w:top="1320" w:right="0" w:bottom="660" w:left="180" w:header="708" w:footer="708"/>
          <w:pgNumType w:start="5"/>
          <w:cols w:space="708"/>
        </w:sectPr>
      </w:pPr>
      <w:r>
        <w:rPr>
          <w:spacing w:val="-5"/>
        </w:rPr>
        <w:t>但是在资产荒持续演绎之下，二永债仍有值得挖掘的价值和空间。分不同类</w:t>
      </w:r>
      <w:r>
        <w:rPr>
          <w:spacing w:val="-6"/>
        </w:rPr>
        <w:t>型银行来看，由于大行自身特殊意义，其发行债券有类利率债性质，因此信用利</w:t>
      </w:r>
      <w:r>
        <w:rPr>
          <w:spacing w:val="-14"/>
        </w:rPr>
        <w:t xml:space="preserve">差目前较低。而城商行和农商行的次级债相比而言利差仍有压缩空间，截至 </w:t>
      </w:r>
      <w:r>
        <w:rPr>
          <w:rFonts w:ascii="Arial" w:eastAsia="Arial"/>
        </w:rPr>
        <w:t xml:space="preserve">2024 </w:t>
      </w:r>
      <w:r>
        <w:rPr>
          <w:spacing w:val="-21"/>
        </w:rPr>
        <w:t xml:space="preserve">年 </w:t>
      </w:r>
      <w:r>
        <w:rPr>
          <w:rFonts w:ascii="Arial" w:eastAsia="Arial"/>
        </w:rPr>
        <w:t xml:space="preserve">3 </w:t>
      </w:r>
      <w:r>
        <w:rPr>
          <w:spacing w:val="-21"/>
        </w:rPr>
        <w:t xml:space="preserve">月 </w:t>
      </w:r>
      <w:r>
        <w:rPr>
          <w:rFonts w:ascii="Arial" w:eastAsia="Arial"/>
        </w:rPr>
        <w:t xml:space="preserve">8 </w:t>
      </w:r>
      <w:r>
        <w:rPr>
          <w:spacing w:val="-7"/>
        </w:rPr>
        <w:t xml:space="preserve">日信用利差分别为 </w:t>
      </w:r>
      <w:r>
        <w:rPr>
          <w:rFonts w:ascii="Arial" w:eastAsia="Arial"/>
        </w:rPr>
        <w:t xml:space="preserve">52.59BP </w:t>
      </w:r>
      <w:r>
        <w:rPr>
          <w:spacing w:val="-21"/>
        </w:rPr>
        <w:t xml:space="preserve">和 </w:t>
      </w:r>
      <w:r>
        <w:rPr>
          <w:rFonts w:ascii="Arial" w:eastAsia="Arial"/>
        </w:rPr>
        <w:t>42.35BP</w:t>
      </w:r>
      <w:r>
        <w:rPr>
          <w:spacing w:val="-3"/>
        </w:rPr>
        <w:t>。从分评级二级资本债信用利</w:t>
      </w:r>
    </w:p>
    <w:p>
      <w:pPr>
        <w:pStyle w:val="BodyText"/>
        <w:spacing w:line="319" w:lineRule="auto"/>
        <w:ind w:left="3192" w:right="843" w:firstLine="439"/>
        <w:jc w:val="both"/>
      </w:pPr>
      <w:r>
        <w:rPr>
          <w:spacing w:val="-8"/>
        </w:rPr>
        <w:t>差来看，也可以看出</w:t>
      </w:r>
      <w:r>
        <w:rPr>
          <w:spacing w:val="-8"/>
        </w:rPr>
        <w:t xml:space="preserve"> </w:t>
      </w:r>
      <w:r>
        <w:rPr>
          <w:rFonts w:ascii="Arial" w:eastAsia="Arial"/>
        </w:rPr>
        <w:t>AA+</w:t>
      </w:r>
      <w:r>
        <w:rPr>
          <w:spacing w:val="-25"/>
        </w:rPr>
        <w:t xml:space="preserve">和 </w:t>
      </w:r>
      <w:r>
        <w:rPr>
          <w:rFonts w:ascii="Arial" w:eastAsia="Arial"/>
        </w:rPr>
        <w:t xml:space="preserve">AA </w:t>
      </w:r>
      <w:r>
        <w:rPr>
          <w:spacing w:val="-8"/>
        </w:rPr>
        <w:t xml:space="preserve">级别利差水平仍高，截至 </w:t>
      </w:r>
      <w:r>
        <w:rPr>
          <w:rFonts w:ascii="Arial" w:eastAsia="Arial"/>
        </w:rPr>
        <w:t xml:space="preserve">2024 </w:t>
      </w:r>
      <w:r>
        <w:rPr>
          <w:spacing w:val="-26"/>
        </w:rPr>
        <w:t xml:space="preserve">年 </w:t>
      </w:r>
      <w:r>
        <w:rPr>
          <w:rFonts w:ascii="Arial" w:eastAsia="Arial"/>
        </w:rPr>
        <w:t xml:space="preserve">3 </w:t>
      </w:r>
      <w:r>
        <w:rPr>
          <w:spacing w:val="-26"/>
        </w:rPr>
        <w:t xml:space="preserve">月 </w:t>
      </w:r>
      <w:r>
        <w:rPr>
          <w:rFonts w:ascii="Arial" w:eastAsia="Arial"/>
        </w:rPr>
        <w:t xml:space="preserve">8 </w:t>
      </w:r>
      <w:r>
        <w:t>日信用</w:t>
      </w:r>
    </w:p>
    <w:p>
      <w:pPr>
        <w:spacing w:after="0" w:line="319" w:lineRule="auto"/>
        <w:jc w:val="both"/>
        <w:sectPr>
          <w:headerReference w:type="default" r:id="rId23"/>
          <w:footerReference w:type="default" r:id="rId24"/>
          <w:type w:val="nextPage"/>
          <w:pgSz w:w="11910" w:h="16840"/>
          <w:pgMar w:top="1320" w:right="0" w:bottom="660" w:left="180" w:header="708" w:footer="708"/>
          <w:pgNumType w:start="6"/>
          <w:cols w:space="708"/>
          <w:titlePg w:val="0"/>
        </w:sectPr>
      </w:pPr>
    </w:p>
    <w:p>
      <w:pPr>
        <w:pStyle w:val="BodyText"/>
        <w:spacing w:before="134" w:line="319" w:lineRule="auto"/>
        <w:ind w:left="3192" w:right="843"/>
      </w:pPr>
      <w:r>
        <w:rPr>
          <w:spacing w:val="-3"/>
        </w:rPr>
        <w:t xml:space="preserve">利差分别为 </w:t>
      </w:r>
      <w:r>
        <w:rPr>
          <w:rFonts w:ascii="Arial" w:eastAsia="Arial"/>
          <w:spacing w:val="-4"/>
        </w:rPr>
        <w:t xml:space="preserve">114.06BP </w:t>
      </w:r>
      <w:r>
        <w:rPr>
          <w:spacing w:val="-6"/>
        </w:rPr>
        <w:t xml:space="preserve">和 </w:t>
      </w:r>
      <w:r>
        <w:rPr>
          <w:rFonts w:ascii="Arial" w:eastAsia="Arial"/>
        </w:rPr>
        <w:t>175.74BP</w:t>
      </w:r>
      <w:r>
        <w:t>。</w:t>
      </w:r>
      <w:r>
        <w:rPr>
          <w:spacing w:val="-3"/>
          <w:u w:val="single"/>
        </w:rPr>
        <w:t>因此我们将对各区域城农商行进行梳理与</w:t>
      </w:r>
      <w:r>
        <w:rPr>
          <w:spacing w:val="-212"/>
          <w:u w:val="single"/>
        </w:rPr>
        <w:t>打分</w:t>
      </w:r>
      <w:r>
        <w:rPr>
          <w:spacing w:val="-3"/>
          <w:u w:val="single"/>
        </w:rPr>
        <w:t>，旨在挖掘出值得投资的城农商行二永债。</w:t>
      </w:r>
    </w:p>
    <w:p>
      <w:pPr>
        <w:pStyle w:val="BodyText"/>
        <w:spacing w:before="4"/>
        <w:rPr>
          <w:sz w:val="14"/>
        </w:rPr>
      </w:pPr>
    </w:p>
    <w:p>
      <w:pPr>
        <w:tabs>
          <w:tab w:val="left" w:pos="6025"/>
        </w:tabs>
        <w:spacing w:before="0"/>
        <w:ind w:left="780" w:right="0" w:firstLine="0"/>
        <w:jc w:val="left"/>
        <w:rPr>
          <w:rFonts w:ascii="宋体" w:eastAsia="宋体" w:hint="eastAsia"/>
          <w:sz w:val="17"/>
        </w:rPr>
      </w:pPr>
      <w:r>
        <w:pict>
          <v:line id="_x0000_s1034" style="mso-position-horizontal-relative:page;position:absolute;z-index:251670528" from="42.6pt,15.8pt" to="290.7pt,15.8pt" stroked="t" strokecolor="#013e96" strokeweight="0.48pt">
            <v:stroke dashstyle="solid"/>
          </v:line>
        </w:pict>
      </w:r>
      <w:r>
        <w:pict>
          <v:line id="_x0000_s1035" style="mso-position-horizontal-relative:page;position:absolute;z-index:251671552" from="304.85pt,15.8pt" to="553.1pt,15.8pt" stroked="t" strokecolor="#013e96" strokeweight="0.48pt">
            <v:stroke dashstyle="solid"/>
          </v:line>
        </w:pict>
      </w:r>
      <w:r>
        <w:pict>
          <v:line id="_x0000_s1036" style="mso-position-horizontal-relative:page;position:absolute;z-index:251672576" from="383.95pt,21.65pt" to="403.15pt,21.65pt" stroked="t" strokecolor="#1f4e79" strokeweight="1pt">
            <v:stroke dashstyle="solid"/>
          </v:line>
        </w:pict>
      </w:r>
      <w:r>
        <w:rPr>
          <w:rFonts w:ascii="宋体" w:eastAsia="宋体" w:hint="eastAsia"/>
          <w:color w:val="004097"/>
          <w:w w:val="95"/>
          <w:sz w:val="17"/>
        </w:rPr>
        <w:t>图表</w:t>
      </w:r>
      <w:r>
        <w:rPr>
          <w:rFonts w:ascii="宋体" w:eastAsia="宋体" w:hint="eastAsia"/>
          <w:color w:val="004097"/>
          <w:spacing w:val="-47"/>
          <w:w w:val="95"/>
          <w:sz w:val="17"/>
        </w:rPr>
        <w:t xml:space="preserve"> </w:t>
      </w:r>
      <w:r>
        <w:rPr>
          <w:rFonts w:ascii="Tahoma" w:eastAsia="Tahoma"/>
          <w:i/>
          <w:color w:val="004097"/>
          <w:w w:val="95"/>
          <w:sz w:val="17"/>
        </w:rPr>
        <w:t>2</w:t>
      </w:r>
      <w:r>
        <w:rPr>
          <w:rFonts w:ascii="宋体" w:eastAsia="宋体" w:hint="eastAsia"/>
          <w:color w:val="004097"/>
          <w:w w:val="95"/>
          <w:sz w:val="17"/>
        </w:rPr>
        <w:t>：</w:t>
      </w:r>
      <w:r>
        <w:rPr>
          <w:rFonts w:ascii="宋体" w:eastAsia="宋体" w:hint="eastAsia"/>
          <w:color w:val="004097"/>
          <w:spacing w:val="-3"/>
          <w:w w:val="95"/>
          <w:sz w:val="17"/>
        </w:rPr>
        <w:t>不</w:t>
      </w:r>
      <w:r>
        <w:rPr>
          <w:rFonts w:ascii="宋体" w:eastAsia="宋体" w:hint="eastAsia"/>
          <w:color w:val="004097"/>
          <w:w w:val="95"/>
          <w:sz w:val="17"/>
        </w:rPr>
        <w:t>同类</w:t>
      </w:r>
      <w:r>
        <w:rPr>
          <w:rFonts w:ascii="宋体" w:eastAsia="宋体" w:hint="eastAsia"/>
          <w:color w:val="004097"/>
          <w:spacing w:val="-3"/>
          <w:w w:val="95"/>
          <w:sz w:val="17"/>
        </w:rPr>
        <w:t>型</w:t>
      </w:r>
      <w:r>
        <w:rPr>
          <w:rFonts w:ascii="宋体" w:eastAsia="宋体" w:hint="eastAsia"/>
          <w:color w:val="004097"/>
          <w:w w:val="95"/>
          <w:sz w:val="17"/>
        </w:rPr>
        <w:t>商业</w:t>
      </w:r>
      <w:r>
        <w:rPr>
          <w:rFonts w:ascii="宋体" w:eastAsia="宋体" w:hint="eastAsia"/>
          <w:color w:val="004097"/>
          <w:spacing w:val="-3"/>
          <w:w w:val="95"/>
          <w:sz w:val="17"/>
        </w:rPr>
        <w:t>银</w:t>
      </w:r>
      <w:r>
        <w:rPr>
          <w:rFonts w:ascii="宋体" w:eastAsia="宋体" w:hint="eastAsia"/>
          <w:color w:val="004097"/>
          <w:w w:val="95"/>
          <w:sz w:val="17"/>
        </w:rPr>
        <w:t>行信</w:t>
      </w:r>
      <w:r>
        <w:rPr>
          <w:rFonts w:ascii="宋体" w:eastAsia="宋体" w:hint="eastAsia"/>
          <w:color w:val="004097"/>
          <w:spacing w:val="-3"/>
          <w:w w:val="95"/>
          <w:sz w:val="17"/>
        </w:rPr>
        <w:t>用利</w:t>
      </w:r>
      <w:r>
        <w:rPr>
          <w:rFonts w:ascii="宋体" w:eastAsia="宋体" w:hint="eastAsia"/>
          <w:color w:val="004097"/>
          <w:w w:val="95"/>
          <w:sz w:val="17"/>
        </w:rPr>
        <w:t>差情况（</w:t>
      </w:r>
      <w:r>
        <w:rPr>
          <w:rFonts w:ascii="Tahoma" w:eastAsia="Tahoma"/>
          <w:i/>
          <w:color w:val="004097"/>
          <w:w w:val="95"/>
          <w:sz w:val="17"/>
        </w:rPr>
        <w:t>BP</w:t>
      </w:r>
      <w:r>
        <w:rPr>
          <w:rFonts w:ascii="宋体" w:eastAsia="宋体" w:hint="eastAsia"/>
          <w:color w:val="004097"/>
          <w:w w:val="95"/>
          <w:sz w:val="17"/>
        </w:rPr>
        <w:t>）</w:t>
        <w:tab/>
      </w:r>
      <w:r>
        <w:rPr>
          <w:rFonts w:ascii="宋体" w:eastAsia="宋体" w:hint="eastAsia"/>
          <w:color w:val="004097"/>
          <w:sz w:val="17"/>
        </w:rPr>
        <w:t>图表</w:t>
      </w:r>
      <w:r>
        <w:rPr>
          <w:rFonts w:ascii="宋体" w:eastAsia="宋体" w:hint="eastAsia"/>
          <w:color w:val="004097"/>
          <w:spacing w:val="-50"/>
          <w:sz w:val="17"/>
        </w:rPr>
        <w:t xml:space="preserve"> </w:t>
      </w:r>
      <w:r>
        <w:rPr>
          <w:rFonts w:ascii="Tahoma" w:eastAsia="Tahoma"/>
          <w:i/>
          <w:color w:val="004097"/>
          <w:sz w:val="17"/>
        </w:rPr>
        <w:t>3</w:t>
      </w:r>
      <w:r>
        <w:rPr>
          <w:rFonts w:ascii="宋体" w:eastAsia="宋体" w:hint="eastAsia"/>
          <w:color w:val="004097"/>
          <w:sz w:val="17"/>
        </w:rPr>
        <w:t>：</w:t>
      </w:r>
      <w:r>
        <w:rPr>
          <w:rFonts w:ascii="宋体" w:eastAsia="宋体" w:hint="eastAsia"/>
          <w:color w:val="004097"/>
          <w:spacing w:val="-3"/>
          <w:sz w:val="17"/>
        </w:rPr>
        <w:t>分</w:t>
      </w:r>
      <w:r>
        <w:rPr>
          <w:rFonts w:ascii="宋体" w:eastAsia="宋体" w:hint="eastAsia"/>
          <w:color w:val="004097"/>
          <w:sz w:val="17"/>
        </w:rPr>
        <w:t>评级</w:t>
      </w:r>
      <w:r>
        <w:rPr>
          <w:rFonts w:ascii="宋体" w:eastAsia="宋体" w:hint="eastAsia"/>
          <w:color w:val="004097"/>
          <w:spacing w:val="-3"/>
          <w:sz w:val="17"/>
        </w:rPr>
        <w:t>二</w:t>
      </w:r>
      <w:r>
        <w:rPr>
          <w:rFonts w:ascii="宋体" w:eastAsia="宋体" w:hint="eastAsia"/>
          <w:color w:val="004097"/>
          <w:sz w:val="17"/>
        </w:rPr>
        <w:t>级资</w:t>
      </w:r>
      <w:r>
        <w:rPr>
          <w:rFonts w:ascii="宋体" w:eastAsia="宋体" w:hint="eastAsia"/>
          <w:color w:val="004097"/>
          <w:spacing w:val="-3"/>
          <w:sz w:val="17"/>
        </w:rPr>
        <w:t>本</w:t>
      </w:r>
      <w:r>
        <w:rPr>
          <w:rFonts w:ascii="宋体" w:eastAsia="宋体" w:hint="eastAsia"/>
          <w:color w:val="004097"/>
          <w:sz w:val="17"/>
        </w:rPr>
        <w:t>债利</w:t>
      </w:r>
      <w:r>
        <w:rPr>
          <w:rFonts w:ascii="宋体" w:eastAsia="宋体" w:hint="eastAsia"/>
          <w:color w:val="004097"/>
          <w:spacing w:val="-3"/>
          <w:sz w:val="17"/>
        </w:rPr>
        <w:t>差情</w:t>
      </w:r>
      <w:r>
        <w:rPr>
          <w:rFonts w:ascii="宋体" w:eastAsia="宋体" w:hint="eastAsia"/>
          <w:color w:val="004097"/>
          <w:sz w:val="17"/>
        </w:rPr>
        <w:t>况（</w:t>
      </w:r>
      <w:r>
        <w:rPr>
          <w:rFonts w:ascii="Tahoma" w:eastAsia="Tahoma"/>
          <w:i/>
          <w:color w:val="004097"/>
          <w:sz w:val="17"/>
        </w:rPr>
        <w:t>BP</w:t>
      </w:r>
      <w:r>
        <w:rPr>
          <w:rFonts w:ascii="宋体" w:eastAsia="宋体" w:hint="eastAsia"/>
          <w:color w:val="004097"/>
          <w:sz w:val="17"/>
        </w:rPr>
        <w:t>）</w:t>
      </w:r>
    </w:p>
    <w:p>
      <w:pPr>
        <w:spacing w:after="0"/>
        <w:jc w:val="left"/>
        <w:rPr>
          <w:rFonts w:ascii="宋体" w:eastAsia="宋体" w:hint="eastAsia"/>
          <w:sz w:val="17"/>
        </w:rPr>
        <w:sectPr>
          <w:headerReference w:type="default" r:id="rId25"/>
          <w:footerReference w:type="default" r:id="rId26"/>
          <w:pgSz w:w="11910" w:h="16840"/>
          <w:pgMar w:top="1320" w:right="0" w:bottom="660" w:left="180" w:header="708" w:footer="708"/>
          <w:pgNumType w:start="7"/>
          <w:cols w:space="708"/>
        </w:sectPr>
      </w:pPr>
    </w:p>
    <w:p>
      <w:pPr>
        <w:pStyle w:val="BodyText"/>
        <w:spacing w:before="5"/>
        <w:rPr>
          <w:rFonts w:ascii="宋体"/>
          <w:sz w:val="28"/>
        </w:rPr>
      </w:pPr>
    </w:p>
    <w:p>
      <w:pPr>
        <w:pStyle w:val="BodyText"/>
        <w:spacing w:line="20" w:lineRule="exact"/>
        <w:ind w:left="1559" w:right="-951"/>
        <w:rPr>
          <w:rFonts w:ascii="宋体"/>
          <w:sz w:val="2"/>
        </w:rPr>
      </w:pPr>
      <w:r>
        <w:rPr>
          <w:rFonts w:ascii="宋体"/>
          <w:sz w:val="2"/>
        </w:rPr>
        <w:pict>
          <v:group id="_x0000_i1037" style="width:19.2pt;height:1pt;mso-position-horizontal-relative:char;mso-position-vertical-relative:line" coordorigin="0,0" coordsize="384,20">
            <v:line id="_x0000_s1038" style="position:absolute" from="0,10" to="384,10" stroked="t" strokecolor="#1f4e79" strokeweight="1pt">
              <v:stroke dashstyle="solid"/>
            </v:line>
            <w10:wrap type="none"/>
          </v:group>
        </w:pict>
      </w:r>
    </w:p>
    <w:p>
      <w:pPr>
        <w:pStyle w:val="BodyText"/>
        <w:rPr>
          <w:rFonts w:ascii="宋体"/>
          <w:sz w:val="13"/>
        </w:rPr>
      </w:pPr>
    </w:p>
    <w:p>
      <w:pPr>
        <w:spacing w:before="0"/>
        <w:ind w:left="0" w:right="38" w:firstLine="0"/>
        <w:jc w:val="right"/>
        <w:rPr>
          <w:sz w:val="14"/>
        </w:rPr>
      </w:pPr>
      <w:r>
        <w:rPr>
          <w:color w:val="585858"/>
          <w:w w:val="95"/>
          <w:sz w:val="14"/>
        </w:rPr>
        <w:t>180</w:t>
      </w:r>
    </w:p>
    <w:p>
      <w:pPr>
        <w:spacing w:before="39"/>
        <w:ind w:left="0" w:right="38" w:firstLine="0"/>
        <w:jc w:val="right"/>
        <w:rPr>
          <w:sz w:val="14"/>
        </w:rPr>
      </w:pPr>
      <w:r>
        <w:rPr>
          <w:color w:val="585858"/>
          <w:w w:val="95"/>
          <w:sz w:val="14"/>
        </w:rPr>
        <w:t>160</w:t>
      </w:r>
    </w:p>
    <w:p>
      <w:pPr>
        <w:spacing w:before="39"/>
        <w:ind w:left="0" w:right="38" w:firstLine="0"/>
        <w:jc w:val="right"/>
        <w:rPr>
          <w:sz w:val="14"/>
        </w:rPr>
      </w:pPr>
      <w:r>
        <w:rPr>
          <w:color w:val="585858"/>
          <w:w w:val="95"/>
          <w:sz w:val="14"/>
        </w:rPr>
        <w:t>140</w:t>
      </w:r>
    </w:p>
    <w:p>
      <w:pPr>
        <w:spacing w:before="39"/>
        <w:ind w:left="0" w:right="38" w:firstLine="0"/>
        <w:jc w:val="right"/>
        <w:rPr>
          <w:sz w:val="14"/>
        </w:rPr>
      </w:pPr>
      <w:r>
        <w:rPr>
          <w:color w:val="585858"/>
          <w:w w:val="95"/>
          <w:sz w:val="14"/>
        </w:rPr>
        <w:t>120</w:t>
      </w:r>
    </w:p>
    <w:p>
      <w:pPr>
        <w:spacing w:before="39"/>
        <w:ind w:left="0" w:right="38" w:firstLine="0"/>
        <w:jc w:val="right"/>
        <w:rPr>
          <w:sz w:val="14"/>
        </w:rPr>
      </w:pPr>
      <w:r>
        <w:rPr>
          <w:color w:val="585858"/>
          <w:w w:val="95"/>
          <w:sz w:val="14"/>
        </w:rPr>
        <w:t>100</w:t>
      </w:r>
    </w:p>
    <w:p>
      <w:pPr>
        <w:spacing w:before="39"/>
        <w:ind w:left="0" w:right="38" w:firstLine="0"/>
        <w:jc w:val="right"/>
        <w:rPr>
          <w:sz w:val="14"/>
        </w:rPr>
      </w:pPr>
      <w:r>
        <w:rPr>
          <w:color w:val="585858"/>
          <w:w w:val="95"/>
          <w:sz w:val="14"/>
        </w:rPr>
        <w:t>80</w:t>
      </w:r>
    </w:p>
    <w:p>
      <w:pPr>
        <w:spacing w:before="39"/>
        <w:ind w:left="0" w:right="38" w:firstLine="0"/>
        <w:jc w:val="right"/>
        <w:rPr>
          <w:sz w:val="14"/>
        </w:rPr>
      </w:pPr>
      <w:r>
        <w:rPr>
          <w:color w:val="585858"/>
          <w:w w:val="95"/>
          <w:sz w:val="14"/>
        </w:rPr>
        <w:t>60</w:t>
      </w:r>
    </w:p>
    <w:p>
      <w:pPr>
        <w:spacing w:before="40"/>
        <w:ind w:left="0" w:right="38" w:firstLine="0"/>
        <w:jc w:val="right"/>
        <w:rPr>
          <w:sz w:val="14"/>
        </w:rPr>
      </w:pPr>
      <w:r>
        <w:rPr>
          <w:color w:val="585858"/>
          <w:w w:val="95"/>
          <w:sz w:val="14"/>
        </w:rPr>
        <w:t>40</w:t>
      </w:r>
    </w:p>
    <w:p>
      <w:pPr>
        <w:spacing w:before="39"/>
        <w:ind w:left="0" w:right="38" w:firstLine="0"/>
        <w:jc w:val="right"/>
        <w:rPr>
          <w:sz w:val="14"/>
        </w:rPr>
      </w:pPr>
      <w:r>
        <w:rPr>
          <w:color w:val="585858"/>
          <w:w w:val="95"/>
          <w:sz w:val="14"/>
        </w:rPr>
        <w:t>20</w:t>
      </w:r>
    </w:p>
    <w:p>
      <w:pPr>
        <w:spacing w:before="39"/>
        <w:ind w:left="0" w:right="38" w:firstLine="0"/>
        <w:jc w:val="right"/>
        <w:rPr>
          <w:sz w:val="14"/>
        </w:rPr>
      </w:pPr>
      <w:r>
        <w:pict>
          <v:shape id="_x0000_s1039" type="#_x0000_t202" style="width:219.5pt;height:26.5pt;margin-top:9.47pt;margin-left:61.01pt;mso-position-horizontal-relative:page;position:absolute;z-index:251677696" filled="f" stroked="f">
            <v:textbox style="layout-flow:vertical;mso-layout-flow-alt:bottom-to-top" inset="0,0,0,0">
              <w:txbxContent>
                <w:p>
                  <w:pPr>
                    <w:spacing w:before="0" w:line="179" w:lineRule="exact"/>
                    <w:ind w:left="20" w:right="0" w:firstLine="0"/>
                    <w:jc w:val="left"/>
                    <w:rPr>
                      <w:sz w:val="14"/>
                    </w:rPr>
                  </w:pPr>
                  <w:r>
                    <w:rPr>
                      <w:color w:val="585858"/>
                      <w:sz w:val="14"/>
                    </w:rPr>
                    <w:t>2015-02</w:t>
                  </w:r>
                </w:p>
                <w:p>
                  <w:pPr>
                    <w:spacing w:before="18"/>
                    <w:ind w:left="20" w:right="0" w:firstLine="0"/>
                    <w:jc w:val="left"/>
                    <w:rPr>
                      <w:sz w:val="14"/>
                    </w:rPr>
                  </w:pPr>
                  <w:r>
                    <w:rPr>
                      <w:color w:val="585858"/>
                      <w:sz w:val="14"/>
                    </w:rPr>
                    <w:t>2015-07</w:t>
                  </w:r>
                </w:p>
                <w:p>
                  <w:pPr>
                    <w:spacing w:before="22"/>
                    <w:ind w:left="20" w:right="0" w:firstLine="0"/>
                    <w:jc w:val="left"/>
                    <w:rPr>
                      <w:sz w:val="14"/>
                    </w:rPr>
                  </w:pPr>
                  <w:r>
                    <w:rPr>
                      <w:color w:val="585858"/>
                      <w:sz w:val="14"/>
                    </w:rPr>
                    <w:t>2015-12</w:t>
                  </w:r>
                </w:p>
                <w:p>
                  <w:pPr>
                    <w:spacing w:before="22"/>
                    <w:ind w:left="20" w:right="0" w:firstLine="0"/>
                    <w:jc w:val="left"/>
                    <w:rPr>
                      <w:sz w:val="14"/>
                    </w:rPr>
                  </w:pPr>
                  <w:r>
                    <w:rPr>
                      <w:color w:val="585858"/>
                      <w:sz w:val="14"/>
                    </w:rPr>
                    <w:t>2016-05</w:t>
                  </w:r>
                </w:p>
                <w:p>
                  <w:pPr>
                    <w:spacing w:before="22"/>
                    <w:ind w:left="20" w:right="0" w:firstLine="0"/>
                    <w:jc w:val="left"/>
                    <w:rPr>
                      <w:sz w:val="14"/>
                    </w:rPr>
                  </w:pPr>
                  <w:r>
                    <w:rPr>
                      <w:color w:val="585858"/>
                      <w:sz w:val="14"/>
                    </w:rPr>
                    <w:t>2016-10</w:t>
                  </w:r>
                </w:p>
                <w:p>
                  <w:pPr>
                    <w:spacing w:before="19"/>
                    <w:ind w:left="20" w:right="0" w:firstLine="0"/>
                    <w:jc w:val="left"/>
                    <w:rPr>
                      <w:sz w:val="14"/>
                    </w:rPr>
                  </w:pPr>
                  <w:r>
                    <w:rPr>
                      <w:color w:val="585858"/>
                      <w:sz w:val="14"/>
                    </w:rPr>
                    <w:t>2017-03</w:t>
                  </w:r>
                </w:p>
                <w:p>
                  <w:pPr>
                    <w:spacing w:before="22"/>
                    <w:ind w:left="20" w:right="0" w:firstLine="0"/>
                    <w:jc w:val="left"/>
                    <w:rPr>
                      <w:sz w:val="14"/>
                    </w:rPr>
                  </w:pPr>
                  <w:r>
                    <w:rPr>
                      <w:color w:val="585858"/>
                      <w:sz w:val="14"/>
                    </w:rPr>
                    <w:t>2017-08</w:t>
                  </w:r>
                </w:p>
                <w:p>
                  <w:pPr>
                    <w:spacing w:before="23"/>
                    <w:ind w:left="20" w:right="0" w:firstLine="0"/>
                    <w:jc w:val="left"/>
                    <w:rPr>
                      <w:sz w:val="14"/>
                    </w:rPr>
                  </w:pPr>
                  <w:r>
                    <w:rPr>
                      <w:color w:val="585858"/>
                      <w:sz w:val="14"/>
                    </w:rPr>
                    <w:t>2018-01</w:t>
                  </w:r>
                </w:p>
                <w:p>
                  <w:pPr>
                    <w:spacing w:before="19"/>
                    <w:ind w:left="20" w:right="0" w:firstLine="0"/>
                    <w:jc w:val="left"/>
                    <w:rPr>
                      <w:sz w:val="14"/>
                    </w:rPr>
                  </w:pPr>
                  <w:r>
                    <w:rPr>
                      <w:color w:val="585858"/>
                      <w:sz w:val="14"/>
                    </w:rPr>
                    <w:t>2018-06</w:t>
                  </w:r>
                </w:p>
                <w:p>
                  <w:pPr>
                    <w:spacing w:before="23"/>
                    <w:ind w:left="20" w:right="0" w:firstLine="0"/>
                    <w:jc w:val="left"/>
                    <w:rPr>
                      <w:sz w:val="14"/>
                    </w:rPr>
                  </w:pPr>
                  <w:r>
                    <w:rPr>
                      <w:color w:val="585858"/>
                      <w:sz w:val="14"/>
                    </w:rPr>
                    <w:t>2018-11</w:t>
                  </w:r>
                </w:p>
                <w:p>
                  <w:pPr>
                    <w:spacing w:before="20"/>
                    <w:ind w:left="20" w:right="0" w:firstLine="0"/>
                    <w:jc w:val="left"/>
                    <w:rPr>
                      <w:sz w:val="14"/>
                    </w:rPr>
                  </w:pPr>
                  <w:r>
                    <w:rPr>
                      <w:color w:val="585858"/>
                      <w:sz w:val="14"/>
                    </w:rPr>
                    <w:t>2019-04</w:t>
                  </w:r>
                </w:p>
                <w:p>
                  <w:pPr>
                    <w:spacing w:before="22"/>
                    <w:ind w:left="20" w:right="0" w:firstLine="0"/>
                    <w:jc w:val="left"/>
                    <w:rPr>
                      <w:sz w:val="14"/>
                    </w:rPr>
                  </w:pPr>
                  <w:r>
                    <w:rPr>
                      <w:color w:val="585858"/>
                      <w:sz w:val="14"/>
                    </w:rPr>
                    <w:t>2019-09</w:t>
                  </w:r>
                </w:p>
                <w:p>
                  <w:pPr>
                    <w:spacing w:before="22"/>
                    <w:ind w:left="20" w:right="0" w:firstLine="0"/>
                    <w:jc w:val="left"/>
                    <w:rPr>
                      <w:sz w:val="14"/>
                    </w:rPr>
                  </w:pPr>
                  <w:r>
                    <w:rPr>
                      <w:color w:val="585858"/>
                      <w:sz w:val="14"/>
                    </w:rPr>
                    <w:t>2020-02</w:t>
                  </w:r>
                </w:p>
                <w:p>
                  <w:pPr>
                    <w:spacing w:before="19"/>
                    <w:ind w:left="20" w:right="0" w:firstLine="0"/>
                    <w:jc w:val="left"/>
                    <w:rPr>
                      <w:sz w:val="14"/>
                    </w:rPr>
                  </w:pPr>
                  <w:r>
                    <w:rPr>
                      <w:color w:val="585858"/>
                      <w:sz w:val="14"/>
                    </w:rPr>
                    <w:t>2020-07</w:t>
                  </w:r>
                </w:p>
                <w:p>
                  <w:pPr>
                    <w:spacing w:before="22"/>
                    <w:ind w:left="20" w:right="0" w:firstLine="0"/>
                    <w:jc w:val="left"/>
                    <w:rPr>
                      <w:sz w:val="14"/>
                    </w:rPr>
                  </w:pPr>
                  <w:r>
                    <w:rPr>
                      <w:color w:val="585858"/>
                      <w:sz w:val="14"/>
                    </w:rPr>
                    <w:t>2020-12</w:t>
                  </w:r>
                </w:p>
                <w:p>
                  <w:pPr>
                    <w:spacing w:before="20"/>
                    <w:ind w:left="20" w:right="0" w:firstLine="0"/>
                    <w:jc w:val="left"/>
                    <w:rPr>
                      <w:sz w:val="14"/>
                    </w:rPr>
                  </w:pPr>
                  <w:r>
                    <w:rPr>
                      <w:color w:val="585858"/>
                      <w:sz w:val="14"/>
                    </w:rPr>
                    <w:t>2021-05</w:t>
                  </w:r>
                </w:p>
                <w:p>
                  <w:pPr>
                    <w:spacing w:before="22"/>
                    <w:ind w:left="20" w:right="0" w:firstLine="0"/>
                    <w:jc w:val="left"/>
                    <w:rPr>
                      <w:sz w:val="14"/>
                    </w:rPr>
                  </w:pPr>
                  <w:r>
                    <w:rPr>
                      <w:color w:val="585858"/>
                      <w:sz w:val="14"/>
                    </w:rPr>
                    <w:t>2021-10</w:t>
                  </w:r>
                </w:p>
                <w:p>
                  <w:pPr>
                    <w:spacing w:before="20"/>
                    <w:ind w:left="20" w:right="0" w:firstLine="0"/>
                    <w:jc w:val="left"/>
                    <w:rPr>
                      <w:sz w:val="14"/>
                    </w:rPr>
                  </w:pPr>
                  <w:r>
                    <w:rPr>
                      <w:color w:val="585858"/>
                      <w:sz w:val="14"/>
                    </w:rPr>
                    <w:t>2022-03</w:t>
                  </w:r>
                </w:p>
                <w:p>
                  <w:pPr>
                    <w:spacing w:before="22"/>
                    <w:ind w:left="20" w:right="0" w:firstLine="0"/>
                    <w:jc w:val="left"/>
                    <w:rPr>
                      <w:sz w:val="14"/>
                    </w:rPr>
                  </w:pPr>
                  <w:r>
                    <w:rPr>
                      <w:color w:val="585858"/>
                      <w:sz w:val="14"/>
                    </w:rPr>
                    <w:t>2022-08</w:t>
                  </w:r>
                </w:p>
                <w:p>
                  <w:pPr>
                    <w:spacing w:before="23"/>
                    <w:ind w:left="20" w:right="0" w:firstLine="0"/>
                    <w:jc w:val="left"/>
                    <w:rPr>
                      <w:sz w:val="14"/>
                    </w:rPr>
                  </w:pPr>
                  <w:r>
                    <w:rPr>
                      <w:color w:val="585858"/>
                      <w:sz w:val="14"/>
                    </w:rPr>
                    <w:t>2023-01</w:t>
                  </w:r>
                </w:p>
                <w:p>
                  <w:pPr>
                    <w:spacing w:before="19"/>
                    <w:ind w:left="20" w:right="0" w:firstLine="0"/>
                    <w:jc w:val="left"/>
                    <w:rPr>
                      <w:sz w:val="14"/>
                    </w:rPr>
                  </w:pPr>
                  <w:r>
                    <w:rPr>
                      <w:color w:val="585858"/>
                      <w:sz w:val="14"/>
                    </w:rPr>
                    <w:t>2023-06</w:t>
                  </w:r>
                </w:p>
                <w:p>
                  <w:pPr>
                    <w:spacing w:before="22"/>
                    <w:ind w:left="20" w:right="0" w:firstLine="0"/>
                    <w:jc w:val="left"/>
                    <w:rPr>
                      <w:sz w:val="14"/>
                    </w:rPr>
                  </w:pPr>
                  <w:r>
                    <w:rPr>
                      <w:color w:val="585858"/>
                      <w:sz w:val="14"/>
                    </w:rPr>
                    <w:t>2023-11</w:t>
                  </w:r>
                </w:p>
              </w:txbxContent>
            </v:textbox>
          </v:shape>
        </w:pict>
      </w:r>
      <w:r>
        <w:rPr>
          <w:color w:val="585858"/>
          <w:w w:val="99"/>
          <w:sz w:val="14"/>
        </w:rPr>
        <w:t>0</w:t>
      </w:r>
    </w:p>
    <w:p>
      <w:pPr>
        <w:pStyle w:val="BodyText"/>
        <w:spacing w:before="5"/>
        <w:rPr>
          <w:sz w:val="28"/>
        </w:rPr>
      </w:pPr>
      <w:r>
        <w:br w:type="column"/>
      </w:r>
    </w:p>
    <w:p>
      <w:pPr>
        <w:pStyle w:val="BodyText"/>
        <w:spacing w:line="20" w:lineRule="exact"/>
        <w:ind w:left="-1857"/>
        <w:rPr>
          <w:sz w:val="2"/>
        </w:rPr>
      </w:pPr>
      <w:r>
        <w:rPr>
          <w:sz w:val="2"/>
        </w:rPr>
        <w:pict>
          <v:group id="_x0000_i1040" style="width:19.2pt;height:1pt;mso-position-horizontal-relative:char;mso-position-vertical-relative:line" coordorigin="0,0" coordsize="384,20">
            <v:line id="_x0000_s1041" style="position:absolute" from="0,10" to="384,10" stroked="t" strokecolor="#7e7e7e" strokeweight="1pt">
              <v:stroke dashstyle="solid"/>
            </v:line>
            <w10:wrap type="none"/>
          </v:group>
        </w:pict>
      </w:r>
    </w:p>
    <w:p>
      <w:pPr>
        <w:pStyle w:val="BodyText"/>
        <w:spacing w:before="8"/>
        <w:rPr>
          <w:sz w:val="20"/>
        </w:rPr>
      </w:pPr>
    </w:p>
    <w:p>
      <w:pPr>
        <w:spacing w:before="0"/>
        <w:ind w:left="0" w:right="38" w:firstLine="0"/>
        <w:jc w:val="right"/>
        <w:rPr>
          <w:sz w:val="14"/>
        </w:rPr>
      </w:pPr>
      <w:r>
        <w:pict>
          <v:group id="_x0000_s1042" style="width:218.9pt;height:128.3pt;margin-top:-17.18pt;margin-left:64.99pt;mso-position-horizontal-relative:page;position:absolute;z-index:-251642880" coordorigin="1300,-344" coordsize="4378,2566">
            <v:shape id="_x0000_s1043" style="width:4359;height:1966;left:1309;position:absolute;top:-9" coordorigin="1309,-8" coordsize="4359,1966" path="m1309,1957l1309,-8m1309,1957l1349,1957m1309,1739l1349,1739m1309,1520l1349,1520m1309,1302l1349,1302m1309,1084l1349,1084m1309,865l1349,865m1309,647l1349,647m1309,428l1349,428m1309,210l1349,210m1309,-8l1349,-8m1309,1957l5668,1957m1309,1917l1309,1957m1507,1917l1507,1957m1709,1917l1709,1957m1908,1917l1908,1957m2110,1917l2110,1957m2309,1917l2309,1957m2510,1917l2510,1957m2712,1917l2712,1957m2911,1917l2911,1957m3113,1917l3113,1957m3312,1917l3312,1957m3514,1917l3514,1957m3715,1917l3715,1957m3914,1917l3914,1957m4116,1917l4116,1957m4315,1917l4315,1957m4517,1917l4517,1957m4716,1917l4716,1957m4918,1917l4918,1957m5119,1917l5119,1957m5316,1917l5316,1957e" filled="f" stroked="t" strokecolor="black" strokeweight="0.75pt">
              <v:stroke dashstyle="solid"/>
              <v:path arrowok="t"/>
            </v:shape>
            <v:shape id="_x0000_s1044" type="#_x0000_t75" style="width:4378;height:1958;left:1299;position:absolute;top:252" stroked="f">
              <v:imagedata r:id="rId27" o:title=""/>
            </v:shape>
            <v:line id="_x0000_s1045" style="position:absolute" from="1749,-56" to="2133,-56" stroked="t" strokecolor="#ffc000" strokeweight="1pt">
              <v:stroke dashstyle="solid"/>
            </v:line>
            <v:line id="_x0000_s1046" style="position:absolute" from="3679,-56" to="4063,-56" stroked="t" strokecolor="#c00000" strokeweight="1pt">
              <v:stroke dashstyle="solid"/>
            </v:line>
            <v:rect id="_x0000_s1047" style="width:236;height:1804;left:4987;position:absolute;top:407" filled="f" stroked="t" strokecolor="red" strokeweight="1pt">
              <v:stroke dashstyle="solid"/>
            </v:rect>
            <v:shape id="_x0000_s1048" type="#_x0000_t202" style="width:788;height:359;left:2174;position:absolute;top:-344" filled="f" stroked="f">
              <v:textbox inset="0,0,0,0">
                <w:txbxContent>
                  <w:p>
                    <w:pPr>
                      <w:spacing w:before="0" w:line="159" w:lineRule="exact"/>
                      <w:ind w:left="0" w:right="0" w:firstLine="0"/>
                      <w:jc w:val="left"/>
                      <w:rPr>
                        <w:sz w:val="14"/>
                      </w:rPr>
                    </w:pPr>
                    <w:r>
                      <w:rPr>
                        <w:color w:val="585858"/>
                        <w:sz w:val="14"/>
                      </w:rPr>
                      <w:t>AAA国有银行</w:t>
                    </w:r>
                  </w:p>
                  <w:p>
                    <w:pPr>
                      <w:spacing w:before="39" w:line="160" w:lineRule="exact"/>
                      <w:ind w:left="0" w:right="0" w:firstLine="0"/>
                      <w:jc w:val="left"/>
                      <w:rPr>
                        <w:sz w:val="14"/>
                      </w:rPr>
                    </w:pPr>
                    <w:r>
                      <w:rPr>
                        <w:color w:val="585858"/>
                        <w:sz w:val="14"/>
                      </w:rPr>
                      <w:t>AAA城商行</w:t>
                    </w:r>
                  </w:p>
                </w:txbxContent>
              </v:textbox>
            </v:shape>
            <v:shape id="_x0000_s1049" type="#_x0000_t202" style="width:928;height:359;left:4105;position:absolute;top:-344" filled="f" stroked="f">
              <v:textbox inset="0,0,0,0">
                <w:txbxContent>
                  <w:p>
                    <w:pPr>
                      <w:spacing w:before="0" w:line="159" w:lineRule="exact"/>
                      <w:ind w:left="0" w:right="0" w:firstLine="0"/>
                      <w:jc w:val="left"/>
                      <w:rPr>
                        <w:sz w:val="14"/>
                      </w:rPr>
                    </w:pPr>
                    <w:r>
                      <w:rPr>
                        <w:color w:val="585858"/>
                        <w:sz w:val="14"/>
                      </w:rPr>
                      <w:t>AAA股份制银行</w:t>
                    </w:r>
                  </w:p>
                  <w:p>
                    <w:pPr>
                      <w:spacing w:before="39" w:line="160" w:lineRule="exact"/>
                      <w:ind w:left="0" w:right="0" w:firstLine="0"/>
                      <w:jc w:val="left"/>
                      <w:rPr>
                        <w:sz w:val="14"/>
                      </w:rPr>
                    </w:pPr>
                    <w:r>
                      <w:rPr>
                        <w:color w:val="585858"/>
                        <w:sz w:val="14"/>
                      </w:rPr>
                      <w:t>AAA农商行</w:t>
                    </w:r>
                  </w:p>
                </w:txbxContent>
              </v:textbox>
            </v:shape>
          </v:group>
        </w:pict>
      </w:r>
      <w:r>
        <w:pict>
          <v:line id="_x0000_s1050" style="mso-position-horizontal-relative:page;position:absolute;z-index:251675648" from="383.95pt,-13.2pt" to="403.15pt,-13.2pt" stroked="t" strokecolor="#7e7e7e" strokeweight="1pt">
            <v:stroke dashstyle="solid"/>
          </v:line>
        </w:pict>
      </w:r>
      <w:r>
        <w:pict>
          <v:line id="_x0000_s1051" style="mso-position-horizontal-relative:page;position:absolute;z-index:251676672" from="383.95pt,-4.75pt" to="403.15pt,-4.75pt" stroked="t" strokecolor="#ffc000" strokeweight="1pt">
            <v:stroke dashstyle="solid"/>
          </v:line>
        </w:pict>
      </w:r>
      <w:r>
        <w:rPr>
          <w:color w:val="585858"/>
          <w:w w:val="95"/>
          <w:sz w:val="14"/>
        </w:rPr>
        <w:t>350</w:t>
      </w:r>
    </w:p>
    <w:p>
      <w:pPr>
        <w:spacing w:before="71"/>
        <w:ind w:left="0" w:right="38" w:firstLine="0"/>
        <w:jc w:val="right"/>
        <w:rPr>
          <w:sz w:val="14"/>
        </w:rPr>
      </w:pPr>
      <w:r>
        <w:rPr>
          <w:color w:val="585858"/>
          <w:w w:val="95"/>
          <w:sz w:val="14"/>
        </w:rPr>
        <w:t>300</w:t>
      </w:r>
    </w:p>
    <w:p>
      <w:pPr>
        <w:spacing w:before="72"/>
        <w:ind w:left="0" w:right="38" w:firstLine="0"/>
        <w:jc w:val="right"/>
        <w:rPr>
          <w:sz w:val="14"/>
        </w:rPr>
      </w:pPr>
      <w:r>
        <w:rPr>
          <w:color w:val="585858"/>
          <w:w w:val="95"/>
          <w:sz w:val="14"/>
        </w:rPr>
        <w:t>250</w:t>
      </w:r>
    </w:p>
    <w:p>
      <w:pPr>
        <w:spacing w:before="71"/>
        <w:ind w:left="0" w:right="38" w:firstLine="0"/>
        <w:jc w:val="right"/>
        <w:rPr>
          <w:sz w:val="14"/>
        </w:rPr>
      </w:pPr>
      <w:r>
        <w:rPr>
          <w:color w:val="585858"/>
          <w:w w:val="95"/>
          <w:sz w:val="14"/>
        </w:rPr>
        <w:t>200</w:t>
      </w:r>
    </w:p>
    <w:p>
      <w:pPr>
        <w:spacing w:before="72"/>
        <w:ind w:left="0" w:right="38" w:firstLine="0"/>
        <w:jc w:val="right"/>
        <w:rPr>
          <w:sz w:val="14"/>
        </w:rPr>
      </w:pPr>
      <w:r>
        <w:rPr>
          <w:color w:val="585858"/>
          <w:w w:val="95"/>
          <w:sz w:val="14"/>
        </w:rPr>
        <w:t>150</w:t>
      </w:r>
    </w:p>
    <w:p>
      <w:pPr>
        <w:spacing w:before="72"/>
        <w:ind w:left="0" w:right="38" w:firstLine="0"/>
        <w:jc w:val="right"/>
        <w:rPr>
          <w:sz w:val="14"/>
        </w:rPr>
      </w:pPr>
      <w:r>
        <w:rPr>
          <w:color w:val="585858"/>
          <w:w w:val="95"/>
          <w:sz w:val="14"/>
        </w:rPr>
        <w:t>100</w:t>
      </w:r>
    </w:p>
    <w:p>
      <w:pPr>
        <w:spacing w:before="71"/>
        <w:ind w:left="0" w:right="38" w:firstLine="0"/>
        <w:jc w:val="right"/>
        <w:rPr>
          <w:sz w:val="14"/>
        </w:rPr>
      </w:pPr>
      <w:r>
        <w:rPr>
          <w:color w:val="585858"/>
          <w:spacing w:val="-1"/>
          <w:sz w:val="14"/>
        </w:rPr>
        <w:t>50</w:t>
      </w:r>
    </w:p>
    <w:p>
      <w:pPr>
        <w:spacing w:before="71"/>
        <w:ind w:left="0" w:right="38" w:firstLine="0"/>
        <w:jc w:val="right"/>
        <w:rPr>
          <w:sz w:val="14"/>
        </w:rPr>
      </w:pPr>
      <w:r>
        <w:pict>
          <v:shape id="_x0000_s1052" type="#_x0000_t202" style="width:209.05pt;height:26.5pt;margin-top:11.06pt;margin-left:328.32pt;mso-position-horizontal-relative:page;position:absolute;z-index:251678720" filled="f" stroked="f">
            <v:textbox style="layout-flow:vertical;mso-layout-flow-alt:bottom-to-top" inset="0,0,0,0">
              <w:txbxContent>
                <w:p>
                  <w:pPr>
                    <w:spacing w:before="0" w:line="179" w:lineRule="exact"/>
                    <w:ind w:left="20" w:right="0" w:firstLine="0"/>
                    <w:jc w:val="left"/>
                    <w:rPr>
                      <w:sz w:val="14"/>
                    </w:rPr>
                  </w:pPr>
                  <w:r>
                    <w:rPr>
                      <w:color w:val="585858"/>
                      <w:sz w:val="14"/>
                    </w:rPr>
                    <w:t>2015-04</w:t>
                  </w:r>
                </w:p>
                <w:p>
                  <w:pPr>
                    <w:spacing w:before="12"/>
                    <w:ind w:left="20" w:right="0" w:firstLine="0"/>
                    <w:jc w:val="left"/>
                    <w:rPr>
                      <w:sz w:val="14"/>
                    </w:rPr>
                  </w:pPr>
                  <w:r>
                    <w:rPr>
                      <w:color w:val="585858"/>
                      <w:sz w:val="14"/>
                    </w:rPr>
                    <w:t>2015-09</w:t>
                  </w:r>
                </w:p>
                <w:p>
                  <w:pPr>
                    <w:spacing w:before="12"/>
                    <w:ind w:left="20" w:right="0" w:firstLine="0"/>
                    <w:jc w:val="left"/>
                    <w:rPr>
                      <w:sz w:val="14"/>
                    </w:rPr>
                  </w:pPr>
                  <w:r>
                    <w:rPr>
                      <w:color w:val="585858"/>
                      <w:sz w:val="14"/>
                    </w:rPr>
                    <w:t>2016-02</w:t>
                  </w:r>
                </w:p>
                <w:p>
                  <w:pPr>
                    <w:spacing w:before="10"/>
                    <w:ind w:left="20" w:right="0" w:firstLine="0"/>
                    <w:jc w:val="left"/>
                    <w:rPr>
                      <w:sz w:val="14"/>
                    </w:rPr>
                  </w:pPr>
                  <w:r>
                    <w:rPr>
                      <w:color w:val="585858"/>
                      <w:sz w:val="14"/>
                    </w:rPr>
                    <w:t>2016-07</w:t>
                  </w:r>
                </w:p>
                <w:p>
                  <w:pPr>
                    <w:spacing w:before="12"/>
                    <w:ind w:left="20" w:right="0" w:firstLine="0"/>
                    <w:jc w:val="left"/>
                    <w:rPr>
                      <w:sz w:val="14"/>
                    </w:rPr>
                  </w:pPr>
                  <w:r>
                    <w:rPr>
                      <w:color w:val="585858"/>
                      <w:sz w:val="14"/>
                    </w:rPr>
                    <w:t>2016-12</w:t>
                  </w:r>
                </w:p>
                <w:p>
                  <w:pPr>
                    <w:spacing w:before="10"/>
                    <w:ind w:left="20" w:right="0" w:firstLine="0"/>
                    <w:jc w:val="left"/>
                    <w:rPr>
                      <w:sz w:val="14"/>
                    </w:rPr>
                  </w:pPr>
                  <w:r>
                    <w:rPr>
                      <w:color w:val="585858"/>
                      <w:sz w:val="14"/>
                    </w:rPr>
                    <w:t>2017-05</w:t>
                  </w:r>
                </w:p>
                <w:p>
                  <w:pPr>
                    <w:spacing w:before="12"/>
                    <w:ind w:left="20" w:right="0" w:firstLine="0"/>
                    <w:jc w:val="left"/>
                    <w:rPr>
                      <w:sz w:val="14"/>
                    </w:rPr>
                  </w:pPr>
                  <w:r>
                    <w:rPr>
                      <w:color w:val="585858"/>
                      <w:sz w:val="14"/>
                    </w:rPr>
                    <w:t>2017-10</w:t>
                  </w:r>
                </w:p>
                <w:p>
                  <w:pPr>
                    <w:spacing w:before="9"/>
                    <w:ind w:left="20" w:right="0" w:firstLine="0"/>
                    <w:jc w:val="left"/>
                    <w:rPr>
                      <w:sz w:val="14"/>
                    </w:rPr>
                  </w:pPr>
                  <w:r>
                    <w:rPr>
                      <w:color w:val="585858"/>
                      <w:sz w:val="14"/>
                    </w:rPr>
                    <w:t>2018-03</w:t>
                  </w:r>
                </w:p>
                <w:p>
                  <w:pPr>
                    <w:spacing w:before="12"/>
                    <w:ind w:left="20" w:right="0" w:firstLine="0"/>
                    <w:jc w:val="left"/>
                    <w:rPr>
                      <w:sz w:val="14"/>
                    </w:rPr>
                  </w:pPr>
                  <w:r>
                    <w:rPr>
                      <w:color w:val="585858"/>
                      <w:sz w:val="14"/>
                    </w:rPr>
                    <w:t>2018-08</w:t>
                  </w:r>
                </w:p>
                <w:p>
                  <w:pPr>
                    <w:spacing w:before="12"/>
                    <w:ind w:left="20" w:right="0" w:firstLine="0"/>
                    <w:jc w:val="left"/>
                    <w:rPr>
                      <w:sz w:val="14"/>
                    </w:rPr>
                  </w:pPr>
                  <w:r>
                    <w:rPr>
                      <w:color w:val="585858"/>
                      <w:sz w:val="14"/>
                    </w:rPr>
                    <w:t>2019-01</w:t>
                  </w:r>
                </w:p>
                <w:p>
                  <w:pPr>
                    <w:spacing w:before="10"/>
                    <w:ind w:left="20" w:right="0" w:firstLine="0"/>
                    <w:jc w:val="left"/>
                    <w:rPr>
                      <w:sz w:val="14"/>
                    </w:rPr>
                  </w:pPr>
                  <w:r>
                    <w:rPr>
                      <w:color w:val="585858"/>
                      <w:sz w:val="14"/>
                    </w:rPr>
                    <w:t>2019-06</w:t>
                  </w:r>
                </w:p>
                <w:p>
                  <w:pPr>
                    <w:spacing w:before="12"/>
                    <w:ind w:left="20" w:right="0" w:firstLine="0"/>
                    <w:jc w:val="left"/>
                    <w:rPr>
                      <w:sz w:val="14"/>
                    </w:rPr>
                  </w:pPr>
                  <w:r>
                    <w:rPr>
                      <w:color w:val="585858"/>
                      <w:sz w:val="14"/>
                    </w:rPr>
                    <w:t>2019-11</w:t>
                  </w:r>
                </w:p>
                <w:p>
                  <w:pPr>
                    <w:spacing w:before="11"/>
                    <w:ind w:left="20" w:right="0" w:firstLine="0"/>
                    <w:jc w:val="left"/>
                    <w:rPr>
                      <w:sz w:val="14"/>
                    </w:rPr>
                  </w:pPr>
                  <w:r>
                    <w:rPr>
                      <w:color w:val="585858"/>
                      <w:sz w:val="14"/>
                    </w:rPr>
                    <w:t>2020-04</w:t>
                  </w:r>
                </w:p>
                <w:p>
                  <w:pPr>
                    <w:spacing w:before="13"/>
                    <w:ind w:left="20" w:right="0" w:firstLine="0"/>
                    <w:jc w:val="left"/>
                    <w:rPr>
                      <w:sz w:val="14"/>
                    </w:rPr>
                  </w:pPr>
                  <w:r>
                    <w:rPr>
                      <w:color w:val="585858"/>
                      <w:sz w:val="14"/>
                    </w:rPr>
                    <w:t>2020-09</w:t>
                  </w:r>
                </w:p>
                <w:p>
                  <w:pPr>
                    <w:spacing w:before="12"/>
                    <w:ind w:left="20" w:right="0" w:firstLine="0"/>
                    <w:jc w:val="left"/>
                    <w:rPr>
                      <w:sz w:val="14"/>
                    </w:rPr>
                  </w:pPr>
                  <w:r>
                    <w:rPr>
                      <w:color w:val="585858"/>
                      <w:sz w:val="14"/>
                    </w:rPr>
                    <w:t>2021-02</w:t>
                  </w:r>
                </w:p>
                <w:p>
                  <w:pPr>
                    <w:spacing w:before="8"/>
                    <w:ind w:left="20" w:right="0" w:firstLine="0"/>
                    <w:jc w:val="left"/>
                    <w:rPr>
                      <w:sz w:val="14"/>
                    </w:rPr>
                  </w:pPr>
                  <w:r>
                    <w:rPr>
                      <w:color w:val="585858"/>
                      <w:sz w:val="14"/>
                    </w:rPr>
                    <w:t>2021-07</w:t>
                  </w:r>
                </w:p>
                <w:p>
                  <w:pPr>
                    <w:spacing w:before="12"/>
                    <w:ind w:left="20" w:right="0" w:firstLine="0"/>
                    <w:jc w:val="left"/>
                    <w:rPr>
                      <w:sz w:val="14"/>
                    </w:rPr>
                  </w:pPr>
                  <w:r>
                    <w:rPr>
                      <w:color w:val="585858"/>
                      <w:sz w:val="14"/>
                    </w:rPr>
                    <w:t>2021-12</w:t>
                  </w:r>
                </w:p>
                <w:p>
                  <w:pPr>
                    <w:spacing w:before="10"/>
                    <w:ind w:left="20" w:right="0" w:firstLine="0"/>
                    <w:jc w:val="left"/>
                    <w:rPr>
                      <w:sz w:val="14"/>
                    </w:rPr>
                  </w:pPr>
                  <w:r>
                    <w:rPr>
                      <w:color w:val="585858"/>
                      <w:sz w:val="14"/>
                    </w:rPr>
                    <w:t>2022-05</w:t>
                  </w:r>
                </w:p>
                <w:p>
                  <w:pPr>
                    <w:spacing w:before="12"/>
                    <w:ind w:left="20" w:right="0" w:firstLine="0"/>
                    <w:jc w:val="left"/>
                    <w:rPr>
                      <w:sz w:val="14"/>
                    </w:rPr>
                  </w:pPr>
                  <w:r>
                    <w:rPr>
                      <w:color w:val="585858"/>
                      <w:sz w:val="14"/>
                    </w:rPr>
                    <w:t>2022-10</w:t>
                  </w:r>
                </w:p>
                <w:p>
                  <w:pPr>
                    <w:spacing w:before="9"/>
                    <w:ind w:left="20" w:right="0" w:firstLine="0"/>
                    <w:jc w:val="left"/>
                    <w:rPr>
                      <w:sz w:val="14"/>
                    </w:rPr>
                  </w:pPr>
                  <w:r>
                    <w:rPr>
                      <w:color w:val="585858"/>
                      <w:sz w:val="14"/>
                    </w:rPr>
                    <w:t>2023-03</w:t>
                  </w:r>
                </w:p>
                <w:p>
                  <w:pPr>
                    <w:spacing w:before="13"/>
                    <w:ind w:left="20" w:right="0" w:firstLine="0"/>
                    <w:jc w:val="left"/>
                    <w:rPr>
                      <w:sz w:val="14"/>
                    </w:rPr>
                  </w:pPr>
                  <w:r>
                    <w:rPr>
                      <w:color w:val="585858"/>
                      <w:sz w:val="14"/>
                    </w:rPr>
                    <w:t>2023-08</w:t>
                  </w:r>
                </w:p>
                <w:p>
                  <w:pPr>
                    <w:spacing w:before="12"/>
                    <w:ind w:left="20" w:right="0" w:firstLine="0"/>
                    <w:jc w:val="left"/>
                    <w:rPr>
                      <w:sz w:val="14"/>
                    </w:rPr>
                  </w:pPr>
                  <w:r>
                    <w:rPr>
                      <w:color w:val="585858"/>
                      <w:sz w:val="14"/>
                    </w:rPr>
                    <w:t>2024-01</w:t>
                  </w:r>
                </w:p>
              </w:txbxContent>
            </v:textbox>
          </v:shape>
        </w:pict>
      </w:r>
      <w:r>
        <w:rPr>
          <w:color w:val="585858"/>
          <w:w w:val="99"/>
          <w:sz w:val="14"/>
        </w:rPr>
        <w:t>0</w:t>
      </w:r>
    </w:p>
    <w:p>
      <w:pPr>
        <w:pStyle w:val="BodyText"/>
        <w:spacing w:before="6"/>
        <w:rPr>
          <w:sz w:val="10"/>
        </w:rPr>
      </w:pPr>
      <w:r>
        <w:br w:type="column"/>
      </w:r>
    </w:p>
    <w:p>
      <w:pPr>
        <w:spacing w:before="1" w:line="225" w:lineRule="auto"/>
        <w:ind w:left="809" w:right="2332" w:firstLine="0"/>
        <w:jc w:val="both"/>
        <w:rPr>
          <w:sz w:val="14"/>
        </w:rPr>
      </w:pPr>
      <w:r>
        <w:pict>
          <v:group id="_x0000_s1053" style="width:204.7pt;height:88.55pt;margin-top:29.84pt;margin-left:332.24pt;mso-position-horizontal-relative:page;position:absolute;z-index:251674624" coordorigin="6645,597" coordsize="4094,1771">
            <v:shape id="_x0000_s1054" style="width:4075;height:1756;left:6654;position:absolute;top:604" coordorigin="6654,604" coordsize="4075,1756" path="m6654,2360l6654,604m6654,2360l6694,2360m6654,2110l6694,2110m6654,1858l6694,1858m6654,1608l6694,1608m6654,1356l6694,1356m6654,1107l6694,1107m6654,855l6694,855m6654,604l6694,604m6654,2360l10729,2360m6654,2320l6654,2360m6845,2320l6845,2360m7037,2320l7037,2360m7226,2320l7226,2360m7418,2320l7418,2360m7606,2320l7606,2360m7798,2320l7798,2360m7987,2320l7987,2360m8179,2320l8179,2360m8369,2320l8369,2360m8558,2320l8558,2360m8750,2320l8750,2360m8940,2320l8940,2360m9132,2320l9132,2360m9324,2320l9324,2360m9511,2320l9511,2360m9703,2320l9703,2360m9893,2320l9893,2360m10082,2320l10082,2360m10272,2320l10272,2360m10464,2320l10464,2360m10655,2320l10655,2360e" filled="f" stroked="t" strokecolor="black" strokeweight="0.75pt">
              <v:stroke dashstyle="solid"/>
              <v:path arrowok="t"/>
            </v:shape>
            <v:shape id="_x0000_s1055" type="#_x0000_t75" style="width:4094;height:1443;left:6644;position:absolute;top:689" stroked="f">
              <v:imagedata r:id="rId28" o:title=""/>
            </v:shape>
          </v:group>
        </w:pict>
      </w:r>
      <w:r>
        <w:rPr>
          <w:color w:val="585858"/>
          <w:sz w:val="14"/>
        </w:rPr>
        <w:t>AAA商业银行二级资本债AA+商业银行二级资本债AA商业银行二级资本债</w:t>
      </w:r>
    </w:p>
    <w:p>
      <w:pPr>
        <w:spacing w:after="0" w:line="225" w:lineRule="auto"/>
        <w:jc w:val="both"/>
        <w:rPr>
          <w:sz w:val="14"/>
        </w:rPr>
        <w:sectPr>
          <w:headerReference w:type="default" r:id="rId29"/>
          <w:footerReference w:type="default" r:id="rId30"/>
          <w:type w:val="continuous"/>
          <w:pgSz w:w="11910" w:h="16840"/>
          <w:pgMar w:top="1320" w:right="0" w:bottom="660" w:left="180" w:header="708" w:footer="708"/>
          <w:pgNumType w:start="8"/>
          <w:cols w:num="3" w:space="708" w:equalWidth="0">
            <w:col w:w="1060" w:space="4287"/>
            <w:col w:w="1059" w:space="711"/>
            <w:col w:w="4613" w:space="0"/>
          </w:cols>
        </w:sectPr>
      </w:pPr>
    </w:p>
    <w:p>
      <w:pPr>
        <w:pStyle w:val="BodyText"/>
        <w:rPr>
          <w:sz w:val="20"/>
        </w:rPr>
      </w:pPr>
    </w:p>
    <w:p>
      <w:pPr>
        <w:pStyle w:val="BodyText"/>
        <w:spacing w:before="1"/>
        <w:rPr>
          <w:sz w:val="18"/>
        </w:rPr>
      </w:pPr>
      <w:r>
        <w:pict>
          <v:shape id="_x0000_s1056" style="width:248.1pt;height:0.1pt;margin-top:13.8pt;margin-left:42.6pt;mso-position-horizontal-relative:page;mso-wrap-distance-left:0;mso-wrap-distance-right:0;position:absolute;z-index:-251636736" coordorigin="852,276" coordsize="4962,0" path="m852,276l5814,276e" filled="f" stroked="t" strokecolor="#013e96" strokeweight="0.48pt">
            <v:stroke dashstyle="solid"/>
            <v:path arrowok="t"/>
            <w10:wrap type="topAndBottom"/>
          </v:shape>
        </w:pict>
      </w:r>
      <w:r>
        <w:pict>
          <v:shape id="_x0000_s1057" style="width:248.25pt;height:0.1pt;margin-top:13.8pt;margin-left:304.87pt;mso-position-horizontal-relative:page;mso-wrap-distance-left:0;mso-wrap-distance-right:0;position:absolute;z-index:-251635712" coordorigin="6097,276" coordsize="4965,0" path="m6097,276l11062,276e" filled="f" stroked="t" strokecolor="#013e96" strokeweight="0.48pt">
            <v:stroke dashstyle="solid"/>
            <v:path arrowok="t"/>
            <w10:wrap type="topAndBottom"/>
          </v:shape>
        </w:pict>
      </w:r>
    </w:p>
    <w:p>
      <w:pPr>
        <w:tabs>
          <w:tab w:val="left" w:pos="6025"/>
        </w:tabs>
        <w:spacing w:before="0"/>
        <w:ind w:left="780" w:right="0" w:firstLine="0"/>
        <w:jc w:val="left"/>
        <w:rPr>
          <w:rFonts w:ascii="宋体" w:eastAsia="宋体" w:hint="eastAsia"/>
          <w:sz w:val="17"/>
        </w:rPr>
      </w:pPr>
      <w:r>
        <w:t xml:space="preserve">来源： ， </w:t>
        <w:tab/>
        <w:t xml:space="preserve">来源： ， </w:t>
      </w:r>
    </w:p>
    <w:p>
      <w:pPr>
        <w:pStyle w:val="BodyText"/>
        <w:rPr>
          <w:rFonts w:ascii="宋体"/>
          <w:sz w:val="20"/>
        </w:rPr>
      </w:pPr>
    </w:p>
    <w:p>
      <w:pPr>
        <w:pStyle w:val="BodyText"/>
        <w:spacing w:before="1"/>
        <w:rPr>
          <w:rFonts w:ascii="宋体"/>
          <w:sz w:val="24"/>
        </w:rPr>
      </w:pPr>
    </w:p>
    <w:p>
      <w:pPr>
        <w:pStyle w:val="Heading2"/>
        <w:numPr>
          <w:ilvl w:val="1"/>
          <w:numId w:val="2"/>
        </w:numPr>
        <w:tabs>
          <w:tab w:val="left" w:pos="3685"/>
        </w:tabs>
        <w:spacing w:before="74" w:after="0" w:line="240" w:lineRule="auto"/>
        <w:ind w:left="3685" w:right="0" w:hanging="462"/>
        <w:jc w:val="left"/>
      </w:pPr>
      <w:r>
        <w:rPr>
          <w:color w:val="013E96"/>
        </w:rPr>
        <w:t>江浙区域存续规模较大，债项评级多为中高等级</w:t>
      </w:r>
    </w:p>
    <w:p>
      <w:pPr>
        <w:pStyle w:val="BodyText"/>
        <w:rPr>
          <w:b/>
          <w:sz w:val="20"/>
        </w:rPr>
      </w:pPr>
    </w:p>
    <w:p>
      <w:pPr>
        <w:spacing w:after="0"/>
        <w:rPr>
          <w:sz w:val="20"/>
        </w:rPr>
        <w:sectPr>
          <w:headerReference w:type="default" r:id="rId31"/>
          <w:footerReference w:type="default" r:id="rId32"/>
          <w:type w:val="continuous"/>
          <w:pgSz w:w="11910" w:h="16840"/>
          <w:pgMar w:top="1320" w:right="0" w:bottom="660" w:left="180" w:header="708" w:footer="708"/>
          <w:pgNumType w:start="9"/>
          <w:cols w:space="708"/>
        </w:sect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pStyle w:val="BodyText"/>
        <w:rPr>
          <w:b/>
          <w:sz w:val="2"/>
        </w:rPr>
      </w:pPr>
    </w:p>
    <w:p>
      <w:pPr>
        <w:spacing w:before="0"/>
        <w:ind w:left="0" w:right="0" w:firstLine="0"/>
        <w:jc w:val="right"/>
        <w:rPr>
          <w:rFonts w:ascii="仿宋" w:eastAsia="仿宋" w:hint="eastAsia"/>
          <w:sz w:val="2"/>
        </w:rPr>
      </w:pPr>
      <w:r>
        <w:rPr>
          <w:rFonts w:ascii="仿宋" w:eastAsia="仿宋" w:hint="eastAsia"/>
          <w:color w:val="BFBFBF"/>
          <w:sz w:val="2"/>
        </w:rPr>
        <w:t>华福证券</w:t>
      </w:r>
    </w:p>
    <w:p>
      <w:pPr>
        <w:pStyle w:val="BodyText"/>
        <w:spacing w:before="4"/>
        <w:rPr>
          <w:rFonts w:ascii="仿宋"/>
          <w:sz w:val="18"/>
        </w:rPr>
      </w:pPr>
      <w:r>
        <w:br w:type="column"/>
      </w:r>
    </w:p>
    <w:p>
      <w:pPr>
        <w:pStyle w:val="BodyText"/>
        <w:ind w:right="850"/>
        <w:jc w:val="right"/>
      </w:pPr>
      <w:r>
        <w:rPr>
          <w:spacing w:val="-13"/>
        </w:rPr>
        <w:t xml:space="preserve">截至 </w:t>
      </w:r>
      <w:r>
        <w:rPr>
          <w:rFonts w:ascii="Arial" w:eastAsia="Arial"/>
        </w:rPr>
        <w:t>2024</w:t>
      </w:r>
      <w:r>
        <w:rPr>
          <w:rFonts w:ascii="Arial" w:eastAsia="Arial"/>
          <w:spacing w:val="12"/>
        </w:rPr>
        <w:t xml:space="preserve"> </w:t>
      </w:r>
      <w:r>
        <w:rPr>
          <w:spacing w:val="-18"/>
        </w:rPr>
        <w:t xml:space="preserve">年 </w:t>
      </w:r>
      <w:r>
        <w:rPr>
          <w:rFonts w:ascii="Arial" w:eastAsia="Arial"/>
        </w:rPr>
        <w:t>2</w:t>
      </w:r>
      <w:r>
        <w:rPr>
          <w:rFonts w:ascii="Arial" w:eastAsia="Arial"/>
          <w:spacing w:val="13"/>
        </w:rPr>
        <w:t xml:space="preserve"> </w:t>
      </w:r>
      <w:r>
        <w:rPr>
          <w:spacing w:val="-18"/>
        </w:rPr>
        <w:t xml:space="preserve">月 </w:t>
      </w:r>
      <w:r>
        <w:rPr>
          <w:rFonts w:ascii="Arial" w:eastAsia="Arial"/>
        </w:rPr>
        <w:t>5</w:t>
      </w:r>
      <w:r>
        <w:rPr>
          <w:rFonts w:ascii="Arial" w:eastAsia="Arial"/>
          <w:spacing w:val="12"/>
        </w:rPr>
        <w:t xml:space="preserve"> </w:t>
      </w:r>
      <w:r>
        <w:rPr>
          <w:spacing w:val="-5"/>
        </w:rPr>
        <w:t xml:space="preserve">日，全国整体存续的商业银行次级债共计有 </w:t>
      </w:r>
      <w:r>
        <w:rPr>
          <w:rFonts w:ascii="Arial" w:eastAsia="Arial"/>
        </w:rPr>
        <w:t>6.06</w:t>
      </w:r>
      <w:r>
        <w:rPr>
          <w:rFonts w:ascii="Arial" w:eastAsia="Arial"/>
          <w:spacing w:val="13"/>
        </w:rPr>
        <w:t xml:space="preserve"> </w:t>
      </w:r>
      <w:r>
        <w:rPr>
          <w:spacing w:val="-3"/>
        </w:rPr>
        <w:t>万亿</w:t>
      </w:r>
    </w:p>
    <w:p>
      <w:pPr>
        <w:pStyle w:val="BodyText"/>
        <w:spacing w:before="93"/>
        <w:ind w:right="843"/>
        <w:jc w:val="right"/>
      </w:pPr>
      <w:r>
        <w:rPr>
          <w:spacing w:val="-6"/>
        </w:rPr>
        <w:t xml:space="preserve">元，与城投债总存量 </w:t>
      </w:r>
      <w:r>
        <w:rPr>
          <w:rFonts w:ascii="Arial" w:eastAsia="Arial"/>
          <w:spacing w:val="-5"/>
        </w:rPr>
        <w:t>11.71</w:t>
      </w:r>
      <w:r>
        <w:rPr>
          <w:rFonts w:ascii="Arial" w:eastAsia="Arial"/>
          <w:spacing w:val="9"/>
        </w:rPr>
        <w:t xml:space="preserve"> </w:t>
      </w:r>
      <w:r>
        <w:rPr>
          <w:spacing w:val="-3"/>
        </w:rPr>
        <w:t>万亿元相比已经初具规模。具体来看城商行次级债共</w:t>
      </w:r>
    </w:p>
    <w:p>
      <w:pPr>
        <w:pStyle w:val="BodyText"/>
        <w:spacing w:before="93"/>
        <w:ind w:right="843"/>
        <w:jc w:val="right"/>
      </w:pPr>
      <w:r>
        <w:rPr>
          <w:w w:val="100"/>
        </w:rPr>
        <w:t>计</w:t>
      </w:r>
      <w:r>
        <w:rPr>
          <w:spacing w:val="-45"/>
        </w:rPr>
        <w:t xml:space="preserve"> </w:t>
      </w:r>
      <w:r>
        <w:rPr>
          <w:rFonts w:ascii="Arial" w:eastAsia="Arial"/>
          <w:spacing w:val="-1"/>
          <w:w w:val="100"/>
        </w:rPr>
        <w:t>814</w:t>
      </w:r>
      <w:r>
        <w:rPr>
          <w:rFonts w:ascii="Arial" w:eastAsia="Arial"/>
          <w:w w:val="100"/>
        </w:rPr>
        <w:t>1</w:t>
      </w:r>
      <w:r>
        <w:rPr>
          <w:rFonts w:ascii="Arial" w:eastAsia="Arial"/>
          <w:spacing w:val="3"/>
        </w:rPr>
        <w:t xml:space="preserve"> </w:t>
      </w:r>
      <w:r>
        <w:rPr>
          <w:spacing w:val="-2"/>
          <w:w w:val="100"/>
        </w:rPr>
        <w:t>亿元</w:t>
      </w:r>
      <w:r>
        <w:rPr>
          <w:w w:val="100"/>
        </w:rPr>
        <w:t>（</w:t>
      </w:r>
      <w:r>
        <w:rPr>
          <w:spacing w:val="-3"/>
          <w:w w:val="100"/>
        </w:rPr>
        <w:t>其中二级资本债为</w:t>
      </w:r>
      <w:r>
        <w:rPr>
          <w:spacing w:val="-45"/>
        </w:rPr>
        <w:t xml:space="preserve"> </w:t>
      </w:r>
      <w:r>
        <w:rPr>
          <w:rFonts w:ascii="Arial" w:eastAsia="Arial"/>
          <w:spacing w:val="-1"/>
          <w:w w:val="100"/>
        </w:rPr>
        <w:t>425</w:t>
      </w:r>
      <w:r>
        <w:rPr>
          <w:rFonts w:ascii="Arial" w:eastAsia="Arial"/>
          <w:w w:val="100"/>
        </w:rPr>
        <w:t>1</w:t>
      </w:r>
      <w:r>
        <w:rPr>
          <w:rFonts w:ascii="Arial" w:eastAsia="Arial"/>
          <w:spacing w:val="3"/>
        </w:rPr>
        <w:t xml:space="preserve"> </w:t>
      </w:r>
      <w:r>
        <w:rPr>
          <w:spacing w:val="-3"/>
          <w:w w:val="100"/>
        </w:rPr>
        <w:t>亿元、永续债</w:t>
      </w:r>
      <w:r>
        <w:rPr>
          <w:spacing w:val="-45"/>
        </w:rPr>
        <w:t xml:space="preserve"> </w:t>
      </w:r>
      <w:r>
        <w:rPr>
          <w:rFonts w:ascii="Arial" w:eastAsia="Arial"/>
          <w:spacing w:val="-1"/>
          <w:w w:val="100"/>
        </w:rPr>
        <w:t>389</w:t>
      </w:r>
      <w:r>
        <w:rPr>
          <w:rFonts w:ascii="Arial" w:eastAsia="Arial"/>
          <w:w w:val="100"/>
        </w:rPr>
        <w:t>0</w:t>
      </w:r>
      <w:r>
        <w:rPr>
          <w:rFonts w:ascii="Arial" w:eastAsia="Arial"/>
          <w:spacing w:val="3"/>
        </w:rPr>
        <w:t xml:space="preserve"> </w:t>
      </w:r>
      <w:r>
        <w:rPr>
          <w:spacing w:val="-2"/>
          <w:w w:val="100"/>
        </w:rPr>
        <w:t>亿元</w:t>
      </w:r>
      <w:r>
        <w:rPr>
          <w:spacing w:val="-111"/>
          <w:w w:val="100"/>
        </w:rPr>
        <w:t>）</w:t>
      </w:r>
      <w:r>
        <w:rPr>
          <w:spacing w:val="-3"/>
          <w:w w:val="100"/>
        </w:rPr>
        <w:t>，农商行次级</w:t>
      </w:r>
    </w:p>
    <w:p>
      <w:pPr>
        <w:pStyle w:val="BodyText"/>
        <w:spacing w:before="92"/>
        <w:ind w:left="1252"/>
      </w:pPr>
      <w:r>
        <w:rPr>
          <w:spacing w:val="-14"/>
        </w:rPr>
        <w:t xml:space="preserve">债共计 </w:t>
      </w:r>
      <w:r>
        <w:rPr>
          <w:rFonts w:ascii="Arial" w:eastAsia="Arial"/>
        </w:rPr>
        <w:t xml:space="preserve">2058 </w:t>
      </w:r>
      <w:r>
        <w:t>亿元</w:t>
      </w:r>
      <w:r>
        <w:rPr>
          <w:spacing w:val="-3"/>
        </w:rPr>
        <w:t>（</w:t>
      </w:r>
      <w:r>
        <w:rPr>
          <w:spacing w:val="-10"/>
        </w:rPr>
        <w:t xml:space="preserve">其中二级资本债 </w:t>
      </w:r>
      <w:r>
        <w:rPr>
          <w:rFonts w:ascii="Arial" w:eastAsia="Arial"/>
        </w:rPr>
        <w:t xml:space="preserve">1610 </w:t>
      </w:r>
      <w:r>
        <w:rPr>
          <w:spacing w:val="-11"/>
        </w:rPr>
        <w:t xml:space="preserve">亿元、永续债 </w:t>
      </w:r>
      <w:r>
        <w:rPr>
          <w:rFonts w:ascii="Arial" w:eastAsia="Arial"/>
        </w:rPr>
        <w:t xml:space="preserve">448 </w:t>
      </w:r>
      <w:r>
        <w:t>亿元</w:t>
      </w:r>
      <w:r>
        <w:rPr>
          <w:spacing w:val="-111"/>
        </w:rPr>
        <w:t>）</w:t>
      </w:r>
      <w:r>
        <w:t>。</w:t>
      </w:r>
    </w:p>
    <w:p>
      <w:pPr>
        <w:spacing w:after="0"/>
        <w:sectPr>
          <w:headerReference w:type="default" r:id="rId33"/>
          <w:footerReference w:type="default" r:id="rId34"/>
          <w:type w:val="continuous"/>
          <w:pgSz w:w="11910" w:h="16840"/>
          <w:pgMar w:top="1320" w:right="0" w:bottom="660" w:left="180" w:header="708" w:footer="708"/>
          <w:pgNumType w:start="10"/>
          <w:cols w:num="2" w:space="708" w:equalWidth="0">
            <w:col w:w="1901" w:space="40"/>
            <w:col w:w="9789" w:space="0"/>
          </w:cols>
        </w:sectPr>
      </w:pPr>
    </w:p>
    <w:p>
      <w:pPr>
        <w:pStyle w:val="BodyText"/>
        <w:spacing w:before="11"/>
        <w:rPr>
          <w:sz w:val="16"/>
        </w:rPr>
      </w:pPr>
    </w:p>
    <w:p>
      <w:pPr>
        <w:spacing w:before="76"/>
        <w:ind w:left="3209" w:right="0" w:firstLine="0"/>
        <w:jc w:val="left"/>
        <w:rPr>
          <w:i/>
          <w:sz w:val="17"/>
        </w:rPr>
      </w:pPr>
      <w:r>
        <w:pict>
          <v:shape id="_x0000_s1058" style="width:388.1pt;height:0.1pt;margin-top:19.62pt;margin-left:164.06pt;mso-position-horizontal-relative:page;mso-wrap-distance-left:0;mso-wrap-distance-right:0;position:absolute;z-index:-251634688" coordorigin="3281,392" coordsize="7762,0" path="m3281,392l11042,392e" filled="f" stroked="t" strokecolor="#013e96" strokeweight="0.48pt">
            <v:stroke dashstyle="solid"/>
            <v:path arrowok="t"/>
            <w10:wrap type="topAndBottom"/>
          </v:shape>
        </w:pict>
      </w:r>
      <w:r>
        <w:rPr>
          <w:i/>
          <w:color w:val="004097"/>
          <w:sz w:val="17"/>
        </w:rPr>
        <w:t xml:space="preserve">图表 </w:t>
      </w:r>
      <w:r>
        <w:rPr>
          <w:rFonts w:ascii="Arial" w:eastAsia="Arial"/>
          <w:i/>
          <w:color w:val="004097"/>
          <w:sz w:val="16"/>
        </w:rPr>
        <w:t>4</w:t>
      </w:r>
      <w:r>
        <w:rPr>
          <w:i/>
          <w:color w:val="004097"/>
          <w:sz w:val="17"/>
        </w:rPr>
        <w:t xml:space="preserve">：截至 </w:t>
      </w:r>
      <w:r>
        <w:rPr>
          <w:rFonts w:ascii="Arial" w:eastAsia="Arial"/>
          <w:i/>
          <w:color w:val="004097"/>
          <w:sz w:val="16"/>
        </w:rPr>
        <w:t xml:space="preserve">2024 </w:t>
      </w:r>
      <w:r>
        <w:rPr>
          <w:i/>
          <w:color w:val="004097"/>
          <w:sz w:val="17"/>
        </w:rPr>
        <w:t xml:space="preserve">年 </w:t>
      </w:r>
      <w:r>
        <w:rPr>
          <w:rFonts w:ascii="Arial" w:eastAsia="Arial"/>
          <w:i/>
          <w:color w:val="004097"/>
          <w:sz w:val="16"/>
        </w:rPr>
        <w:t xml:space="preserve">2 </w:t>
      </w:r>
      <w:r>
        <w:rPr>
          <w:i/>
          <w:color w:val="004097"/>
          <w:sz w:val="17"/>
        </w:rPr>
        <w:t xml:space="preserve">月 </w:t>
      </w:r>
      <w:r>
        <w:rPr>
          <w:rFonts w:ascii="Arial" w:eastAsia="Arial"/>
          <w:i/>
          <w:color w:val="004097"/>
          <w:sz w:val="16"/>
        </w:rPr>
        <w:t xml:space="preserve">5 </w:t>
      </w:r>
      <w:r>
        <w:rPr>
          <w:i/>
          <w:color w:val="004097"/>
          <w:sz w:val="17"/>
        </w:rPr>
        <w:t>日所有存续商业银行次级债规模（亿元）</w:t>
      </w:r>
    </w:p>
    <w:p>
      <w:pPr>
        <w:pStyle w:val="BodyText"/>
        <w:spacing w:before="12"/>
        <w:rPr>
          <w:i/>
          <w:sz w:val="13"/>
        </w:rPr>
      </w:pPr>
    </w:p>
    <w:p>
      <w:pPr>
        <w:spacing w:after="0"/>
        <w:rPr>
          <w:sz w:val="13"/>
        </w:rPr>
        <w:sectPr>
          <w:headerReference w:type="default" r:id="rId35"/>
          <w:footerReference w:type="default" r:id="rId36"/>
          <w:type w:val="continuous"/>
          <w:pgSz w:w="11910" w:h="16840"/>
          <w:pgMar w:top="1320" w:right="0" w:bottom="660" w:left="180" w:header="708" w:footer="708"/>
          <w:pgNumType w:start="11"/>
          <w:cols w:space="708"/>
        </w:sectPr>
      </w:pPr>
    </w:p>
    <w:p>
      <w:pPr>
        <w:pStyle w:val="BodyText"/>
        <w:spacing w:before="5"/>
        <w:rPr>
          <w:i/>
          <w:sz w:val="17"/>
        </w:rPr>
      </w:pPr>
    </w:p>
    <w:p>
      <w:pPr>
        <w:spacing w:before="0"/>
        <w:ind w:left="0" w:right="0" w:firstLine="0"/>
        <w:jc w:val="right"/>
        <w:rPr>
          <w:rFonts w:ascii="宋体"/>
          <w:sz w:val="16"/>
        </w:rPr>
      </w:pPr>
      <w:r>
        <w:rPr>
          <w:rFonts w:ascii="宋体"/>
          <w:spacing w:val="-2"/>
          <w:sz w:val="16"/>
        </w:rPr>
        <w:t>40000</w:t>
      </w:r>
    </w:p>
    <w:p>
      <w:pPr>
        <w:spacing w:before="113"/>
        <w:ind w:left="0" w:right="1" w:firstLine="0"/>
        <w:jc w:val="right"/>
        <w:rPr>
          <w:rFonts w:ascii="宋体"/>
          <w:sz w:val="16"/>
        </w:rPr>
      </w:pPr>
      <w:r>
        <w:rPr>
          <w:rFonts w:ascii="宋体"/>
          <w:spacing w:val="-2"/>
          <w:sz w:val="16"/>
        </w:rPr>
        <w:t>35000</w:t>
      </w:r>
    </w:p>
    <w:p>
      <w:pPr>
        <w:spacing w:before="112"/>
        <w:ind w:left="0" w:right="1" w:firstLine="0"/>
        <w:jc w:val="right"/>
        <w:rPr>
          <w:rFonts w:ascii="宋体"/>
          <w:sz w:val="16"/>
        </w:rPr>
      </w:pPr>
      <w:r>
        <w:rPr>
          <w:rFonts w:ascii="宋体"/>
          <w:spacing w:val="-2"/>
          <w:sz w:val="16"/>
        </w:rPr>
        <w:t>30000</w:t>
      </w:r>
    </w:p>
    <w:p>
      <w:pPr>
        <w:spacing w:before="113"/>
        <w:ind w:left="0" w:right="1" w:firstLine="0"/>
        <w:jc w:val="right"/>
        <w:rPr>
          <w:rFonts w:ascii="宋体"/>
          <w:sz w:val="16"/>
        </w:rPr>
      </w:pPr>
      <w:r>
        <w:rPr>
          <w:rFonts w:ascii="宋体"/>
          <w:spacing w:val="-2"/>
          <w:sz w:val="16"/>
        </w:rPr>
        <w:t>25000</w:t>
      </w:r>
    </w:p>
    <w:p>
      <w:pPr>
        <w:spacing w:before="112"/>
        <w:ind w:left="0" w:right="1" w:firstLine="0"/>
        <w:jc w:val="right"/>
        <w:rPr>
          <w:rFonts w:ascii="宋体"/>
          <w:sz w:val="16"/>
        </w:rPr>
      </w:pPr>
      <w:r>
        <w:rPr>
          <w:rFonts w:ascii="宋体"/>
          <w:spacing w:val="-2"/>
          <w:sz w:val="16"/>
        </w:rPr>
        <w:t>20000</w:t>
      </w:r>
    </w:p>
    <w:p>
      <w:pPr>
        <w:spacing w:before="112"/>
        <w:ind w:left="0" w:right="1" w:firstLine="0"/>
        <w:jc w:val="right"/>
        <w:rPr>
          <w:rFonts w:ascii="宋体"/>
          <w:sz w:val="16"/>
        </w:rPr>
      </w:pPr>
      <w:r>
        <w:rPr>
          <w:rFonts w:ascii="宋体"/>
          <w:spacing w:val="-2"/>
          <w:sz w:val="16"/>
        </w:rPr>
        <w:t>15000</w:t>
      </w:r>
    </w:p>
    <w:p>
      <w:pPr>
        <w:spacing w:before="113"/>
        <w:ind w:left="0" w:right="1" w:firstLine="0"/>
        <w:jc w:val="right"/>
        <w:rPr>
          <w:rFonts w:ascii="宋体"/>
          <w:sz w:val="16"/>
        </w:rPr>
      </w:pPr>
      <w:r>
        <w:rPr>
          <w:rFonts w:ascii="宋体"/>
          <w:spacing w:val="-2"/>
          <w:sz w:val="16"/>
        </w:rPr>
        <w:t>10000</w:t>
      </w:r>
    </w:p>
    <w:p>
      <w:pPr>
        <w:spacing w:before="113"/>
        <w:ind w:left="0" w:right="0" w:firstLine="0"/>
        <w:jc w:val="right"/>
        <w:rPr>
          <w:rFonts w:ascii="宋体"/>
          <w:sz w:val="16"/>
        </w:rPr>
      </w:pPr>
      <w:r>
        <w:rPr>
          <w:rFonts w:ascii="宋体"/>
          <w:spacing w:val="-1"/>
          <w:sz w:val="16"/>
        </w:rPr>
        <w:t>5000</w:t>
      </w:r>
    </w:p>
    <w:p>
      <w:pPr>
        <w:spacing w:before="112"/>
        <w:ind w:left="0" w:right="0" w:firstLine="0"/>
        <w:jc w:val="right"/>
        <w:rPr>
          <w:rFonts w:ascii="宋体"/>
          <w:sz w:val="16"/>
        </w:rPr>
      </w:pPr>
      <w:r>
        <w:rPr>
          <w:rFonts w:ascii="宋体"/>
          <w:w w:val="100"/>
          <w:sz w:val="16"/>
        </w:rPr>
        <w:t>0</w:t>
      </w:r>
    </w:p>
    <w:p>
      <w:pPr>
        <w:tabs>
          <w:tab w:val="left" w:pos="3692"/>
        </w:tabs>
        <w:spacing w:before="78"/>
        <w:ind w:left="2009" w:right="0" w:firstLine="0"/>
        <w:jc w:val="left"/>
        <w:rPr>
          <w:rFonts w:ascii="宋体" w:eastAsia="宋体" w:hint="eastAsia"/>
          <w:sz w:val="16"/>
        </w:rPr>
      </w:pPr>
      <w:r>
        <w:br w:type="column"/>
      </w:r>
      <w:r>
        <w:rPr>
          <w:rFonts w:ascii="宋体" w:eastAsia="宋体" w:hint="eastAsia"/>
          <w:sz w:val="16"/>
        </w:rPr>
        <w:t>商业银</w:t>
      </w:r>
      <w:r>
        <w:rPr>
          <w:rFonts w:ascii="宋体" w:eastAsia="宋体" w:hint="eastAsia"/>
          <w:spacing w:val="-3"/>
          <w:sz w:val="16"/>
        </w:rPr>
        <w:t>行</w:t>
      </w:r>
      <w:r>
        <w:rPr>
          <w:rFonts w:ascii="宋体" w:eastAsia="宋体" w:hint="eastAsia"/>
          <w:sz w:val="16"/>
        </w:rPr>
        <w:t>二级</w:t>
      </w:r>
      <w:r>
        <w:rPr>
          <w:rFonts w:ascii="宋体" w:eastAsia="宋体" w:hint="eastAsia"/>
          <w:spacing w:val="-3"/>
          <w:sz w:val="16"/>
        </w:rPr>
        <w:t>资</w:t>
      </w:r>
      <w:r>
        <w:rPr>
          <w:rFonts w:ascii="宋体" w:eastAsia="宋体" w:hint="eastAsia"/>
          <w:sz w:val="16"/>
        </w:rPr>
        <w:t>本债</w:t>
        <w:tab/>
        <w:t>商业银行永续债</w:t>
      </w:r>
    </w:p>
    <w:p>
      <w:pPr>
        <w:pStyle w:val="BodyText"/>
        <w:spacing w:before="8"/>
        <w:rPr>
          <w:rFonts w:ascii="宋体"/>
          <w:sz w:val="2"/>
        </w:rPr>
      </w:pPr>
    </w:p>
    <w:p>
      <w:pPr>
        <w:pStyle w:val="BodyText"/>
        <w:ind w:left="30"/>
        <w:rPr>
          <w:rFonts w:ascii="宋体"/>
          <w:sz w:val="20"/>
        </w:rPr>
      </w:pPr>
      <w:r>
        <w:rPr>
          <w:rFonts w:ascii="宋体"/>
          <w:sz w:val="20"/>
        </w:rPr>
        <w:pict>
          <v:group id="_x0000_i1059" style="width:339.1pt;height:131.25pt;mso-position-horizontal-relative:char;mso-position-vertical-relative:line" coordorigin="0,0" coordsize="6782,2625">
            <v:rect id="_x0000_s1060" style="width:538;height:1605;left:449;position:absolute;top:942" filled="t" fillcolor="#1f4e79" stroked="f">
              <v:fill type="solid"/>
            </v:rect>
            <v:rect id="_x0000_s1061" style="width:538;height:788;left:449;position:absolute;top:154" filled="t" fillcolor="#7e7e7e" stroked="f">
              <v:fill type="solid"/>
            </v:rect>
            <v:rect id="_x0000_s1062" style="width:538;height:388;left:1795;position:absolute;top:2158" filled="t" fillcolor="#1f4e79" stroked="f">
              <v:fill type="solid"/>
            </v:rect>
            <v:rect id="_x0000_s1063" style="width:538;height:406;left:1795;position:absolute;top:1753" filled="t" fillcolor="#7e7e7e" stroked="f">
              <v:fill type="solid"/>
            </v:rect>
            <v:rect id="_x0000_s1064" style="width:538;height:271;left:3142;position:absolute;top:2276" filled="t" fillcolor="#1f4e79" stroked="f">
              <v:fill type="solid"/>
            </v:rect>
            <v:rect id="_x0000_s1065" style="width:538;height:248;left:3142;position:absolute;top:2029" filled="t" fillcolor="#7e7e7e" stroked="f">
              <v:fill type="solid"/>
            </v:rect>
            <v:rect id="_x0000_s1066" style="width:540;height:103;left:4486;position:absolute;top:2444" filled="t" fillcolor="#1f4e79" stroked="f">
              <v:fill type="solid"/>
            </v:rect>
            <v:rect id="_x0000_s1067" style="width:540;height:29;left:4486;position:absolute;top:2415" filled="t" fillcolor="#7e7e7e" stroked="f">
              <v:fill type="solid"/>
            </v:rect>
            <v:line id="_x0000_s1068" style="position:absolute" from="5832,2544" to="6370,2544" stroked="t" strokecolor="#1f4e79" strokeweight="0.32pt">
              <v:stroke dashstyle="solid"/>
            </v:line>
            <v:line id="_x0000_s1069" style="position:absolute" from="5832,2538" to="6370,2538" stroked="t" strokecolor="#7e7e7e" strokeweight="0.24pt">
              <v:stroke dashstyle="solid"/>
            </v:line>
            <v:line id="_x0000_s1070" style="position:absolute" from="46,2547" to="46,8" stroked="t" strokecolor="black" strokeweight="0.75pt">
              <v:stroke dashstyle="solid"/>
            </v:line>
            <v:line id="_x0000_s1071" style="position:absolute" from="0,2547" to="46,2547" stroked="t" strokecolor="black" strokeweight="0.75pt">
              <v:stroke dashstyle="solid"/>
            </v:line>
            <v:line id="_x0000_s1072" style="position:absolute" from="0,2229" to="46,2229" stroked="t" strokecolor="black" strokeweight="0.75pt">
              <v:stroke dashstyle="solid"/>
            </v:line>
            <v:line id="_x0000_s1073" style="position:absolute" from="0,1912" to="46,1912" stroked="t" strokecolor="black" strokeweight="0.75pt">
              <v:stroke dashstyle="solid"/>
            </v:line>
            <v:line id="_x0000_s1074" style="position:absolute" from="0,1595" to="46,1595" stroked="t" strokecolor="black" strokeweight="0.75pt">
              <v:stroke dashstyle="solid"/>
            </v:line>
            <v:line id="_x0000_s1075" style="position:absolute" from="0,1278" to="46,1278" stroked="t" strokecolor="black" strokeweight="0.75pt">
              <v:stroke dashstyle="solid"/>
            </v:line>
            <v:line id="_x0000_s1076" style="position:absolute" from="0,959" to="46,959" stroked="t" strokecolor="black" strokeweight="0.75pt">
              <v:stroke dashstyle="solid"/>
            </v:line>
            <v:line id="_x0000_s1077" style="position:absolute" from="0,642" to="46,642" stroked="t" strokecolor="black" strokeweight="0.75pt">
              <v:stroke dashstyle="solid"/>
            </v:line>
            <v:line id="_x0000_s1078" style="position:absolute" from="0,325" to="46,325" stroked="t" strokecolor="black" strokeweight="0.75pt">
              <v:stroke dashstyle="solid"/>
            </v:line>
            <v:line id="_x0000_s1079" style="position:absolute" from="0,8" to="46,8" stroked="t" strokecolor="black" strokeweight="0.75pt">
              <v:stroke dashstyle="solid"/>
            </v:line>
            <v:line id="_x0000_s1080" style="position:absolute" from="46,2547" to="6774,2547" stroked="t" strokecolor="black" strokeweight="0.75pt">
              <v:stroke dashstyle="solid"/>
            </v:line>
            <v:line id="_x0000_s1081" style="position:absolute" from="46,2501" to="46,2547" stroked="t" strokecolor="black" strokeweight="0.75pt">
              <v:stroke dashstyle="solid"/>
            </v:line>
            <v:line id="_x0000_s1082" style="position:absolute" from="1392,2501" to="1392,2547" stroked="t" strokecolor="black" strokeweight="0.75pt">
              <v:stroke dashstyle="solid"/>
            </v:line>
            <v:line id="_x0000_s1083" style="position:absolute" from="2736,2501" to="2736,2547" stroked="t" strokecolor="black" strokeweight="0.75pt">
              <v:stroke dashstyle="solid"/>
            </v:line>
            <v:line id="_x0000_s1084" style="position:absolute" from="4083,2501" to="4083,2547" stroked="t" strokecolor="black" strokeweight="0.75pt">
              <v:stroke dashstyle="solid"/>
            </v:line>
            <v:line id="_x0000_s1085" style="position:absolute" from="5429,2501" to="5429,2547" stroked="t" strokecolor="black" strokeweight="0.75pt">
              <v:stroke dashstyle="solid"/>
            </v:line>
            <v:line id="_x0000_s1086" style="position:absolute" from="6774,2501" to="6774,2547" stroked="t" strokecolor="black" strokeweight="0.75pt">
              <v:stroke dashstyle="solid"/>
            </v:line>
            <v:shape id="_x0000_s1087" type="#_x0000_t202" style="width:422;height:162;left:518;position:absolute;top:467" filled="f" stroked="f">
              <v:textbox inset="0,0,0,0">
                <w:txbxContent>
                  <w:p>
                    <w:pPr>
                      <w:spacing w:before="0" w:line="161" w:lineRule="exact"/>
                      <w:ind w:left="0" w:right="0" w:firstLine="0"/>
                      <w:jc w:val="left"/>
                      <w:rPr>
                        <w:rFonts w:ascii="宋体"/>
                        <w:sz w:val="16"/>
                      </w:rPr>
                    </w:pPr>
                    <w:r>
                      <w:rPr>
                        <w:rFonts w:ascii="宋体"/>
                        <w:sz w:val="16"/>
                      </w:rPr>
                      <w:t>12415</w:t>
                    </w:r>
                  </w:p>
                </w:txbxContent>
              </v:textbox>
            </v:shape>
            <v:shape id="_x0000_s1088" type="#_x0000_t202" style="width:422;height:161;left:518;position:absolute;top:1665" filled="f" stroked="f">
              <v:textbox inset="0,0,0,0">
                <w:txbxContent>
                  <w:p>
                    <w:pPr>
                      <w:spacing w:before="0" w:line="161" w:lineRule="exact"/>
                      <w:ind w:left="0" w:right="0" w:firstLine="0"/>
                      <w:jc w:val="left"/>
                      <w:rPr>
                        <w:rFonts w:ascii="宋体"/>
                        <w:sz w:val="16"/>
                      </w:rPr>
                    </w:pPr>
                    <w:r>
                      <w:rPr>
                        <w:rFonts w:ascii="宋体"/>
                        <w:color w:val="FFFFFF"/>
                        <w:sz w:val="16"/>
                      </w:rPr>
                      <w:t>25280</w:t>
                    </w:r>
                  </w:p>
                </w:txbxContent>
              </v:textbox>
            </v:shape>
            <v:shape id="_x0000_s1089" type="#_x0000_t202" style="width:341;height:557;left:1905;position:absolute;top:1876" filled="f" stroked="f">
              <v:textbox inset="0,0,0,0">
                <w:txbxContent>
                  <w:p>
                    <w:pPr>
                      <w:spacing w:before="0" w:line="183" w:lineRule="exact"/>
                      <w:ind w:left="0" w:right="0" w:firstLine="0"/>
                      <w:jc w:val="left"/>
                      <w:rPr>
                        <w:rFonts w:ascii="宋体"/>
                        <w:sz w:val="16"/>
                      </w:rPr>
                    </w:pPr>
                    <w:r>
                      <w:rPr>
                        <w:rFonts w:ascii="宋体"/>
                        <w:sz w:val="16"/>
                      </w:rPr>
                      <w:t>6360</w:t>
                    </w:r>
                  </w:p>
                  <w:p>
                    <w:pPr>
                      <w:spacing w:before="11" w:line="240" w:lineRule="auto"/>
                      <w:rPr>
                        <w:rFonts w:ascii="宋体"/>
                        <w:sz w:val="14"/>
                      </w:rPr>
                    </w:pPr>
                  </w:p>
                  <w:p>
                    <w:pPr>
                      <w:spacing w:before="0" w:line="183" w:lineRule="exact"/>
                      <w:ind w:left="0" w:right="0" w:firstLine="0"/>
                      <w:jc w:val="left"/>
                      <w:rPr>
                        <w:rFonts w:ascii="宋体"/>
                        <w:sz w:val="16"/>
                      </w:rPr>
                    </w:pPr>
                    <w:r>
                      <w:rPr>
                        <w:rFonts w:ascii="宋体"/>
                        <w:color w:val="FFFFFF"/>
                        <w:sz w:val="16"/>
                      </w:rPr>
                      <w:t>6125</w:t>
                    </w:r>
                  </w:p>
                </w:txbxContent>
              </v:textbox>
            </v:shape>
            <v:shape id="_x0000_s1090" type="#_x0000_t202" style="width:341;height:420;left:3251;position:absolute;top:2073" filled="f" stroked="f">
              <v:textbox inset="0,0,0,0">
                <w:txbxContent>
                  <w:p>
                    <w:pPr>
                      <w:spacing w:before="0" w:line="183" w:lineRule="exact"/>
                      <w:ind w:left="0" w:right="0" w:firstLine="0"/>
                      <w:jc w:val="left"/>
                      <w:rPr>
                        <w:rFonts w:ascii="宋体"/>
                        <w:sz w:val="16"/>
                      </w:rPr>
                    </w:pPr>
                    <w:r>
                      <w:rPr>
                        <w:rFonts w:ascii="宋体"/>
                        <w:sz w:val="16"/>
                      </w:rPr>
                      <w:t>3890</w:t>
                    </w:r>
                  </w:p>
                  <w:p>
                    <w:pPr>
                      <w:spacing w:before="53" w:line="183" w:lineRule="exact"/>
                      <w:ind w:left="0" w:right="0" w:firstLine="0"/>
                      <w:jc w:val="left"/>
                      <w:rPr>
                        <w:rFonts w:ascii="宋体"/>
                        <w:sz w:val="16"/>
                      </w:rPr>
                    </w:pPr>
                    <w:r>
                      <w:rPr>
                        <w:rFonts w:ascii="宋体"/>
                        <w:color w:val="FFFFFF"/>
                        <w:sz w:val="16"/>
                      </w:rPr>
                      <w:t>4251</w:t>
                    </w:r>
                  </w:p>
                </w:txbxContent>
              </v:textbox>
            </v:shape>
            <v:shape id="_x0000_s1091" type="#_x0000_t202" style="width:343;height:407;left:4595;position:absolute;top:2170" filled="f" stroked="f">
              <v:textbox inset="0,0,0,0">
                <w:txbxContent>
                  <w:p>
                    <w:pPr>
                      <w:spacing w:before="0" w:line="183" w:lineRule="exact"/>
                      <w:ind w:left="80" w:right="0" w:firstLine="0"/>
                      <w:jc w:val="left"/>
                      <w:rPr>
                        <w:rFonts w:ascii="宋体"/>
                        <w:sz w:val="16"/>
                      </w:rPr>
                    </w:pPr>
                    <w:r>
                      <w:rPr>
                        <w:rFonts w:ascii="宋体"/>
                        <w:sz w:val="16"/>
                      </w:rPr>
                      <w:t>448</w:t>
                    </w:r>
                  </w:p>
                  <w:p>
                    <w:pPr>
                      <w:spacing w:before="40" w:line="183" w:lineRule="exact"/>
                      <w:ind w:left="0" w:right="0" w:firstLine="0"/>
                      <w:jc w:val="left"/>
                      <w:rPr>
                        <w:rFonts w:ascii="宋体"/>
                        <w:sz w:val="16"/>
                      </w:rPr>
                    </w:pPr>
                    <w:r>
                      <w:rPr>
                        <w:rFonts w:ascii="宋体"/>
                        <w:color w:val="FFFFFF"/>
                        <w:sz w:val="16"/>
                      </w:rPr>
                      <w:t>1610</w:t>
                    </w:r>
                  </w:p>
                </w:txbxContent>
              </v:textbox>
            </v:shape>
            <v:shape id="_x0000_s1092" type="#_x0000_t202" style="width:184;height:161;left:6023;position:absolute;top:2157" filled="f" stroked="f">
              <v:textbox inset="0,0,0,0">
                <w:txbxContent>
                  <w:p>
                    <w:pPr>
                      <w:spacing w:before="0" w:line="161" w:lineRule="exact"/>
                      <w:ind w:left="0" w:right="0" w:firstLine="0"/>
                      <w:jc w:val="left"/>
                      <w:rPr>
                        <w:rFonts w:ascii="宋体"/>
                        <w:sz w:val="16"/>
                      </w:rPr>
                    </w:pPr>
                    <w:r>
                      <w:rPr>
                        <w:rFonts w:ascii="宋体"/>
                        <w:sz w:val="16"/>
                      </w:rPr>
                      <w:t>58</w:t>
                    </w:r>
                  </w:p>
                </w:txbxContent>
              </v:textbox>
            </v:shape>
            <v:shape id="_x0000_s1093" type="#_x0000_t202" style="width:262;height:161;left:5981;position:absolute;top:2463" filled="f" stroked="f">
              <v:textbox inset="0,0,0,0">
                <w:txbxContent>
                  <w:p>
                    <w:pPr>
                      <w:spacing w:before="0" w:line="161" w:lineRule="exact"/>
                      <w:ind w:left="0" w:right="0" w:firstLine="0"/>
                      <w:jc w:val="left"/>
                      <w:rPr>
                        <w:rFonts w:ascii="宋体"/>
                        <w:sz w:val="16"/>
                      </w:rPr>
                    </w:pPr>
                    <w:r>
                      <w:rPr>
                        <w:rFonts w:ascii="宋体"/>
                        <w:sz w:val="16"/>
                      </w:rPr>
                      <w:t>115</w:t>
                    </w:r>
                  </w:p>
                </w:txbxContent>
              </v:textbox>
            </v:shape>
            <w10:wrap type="none"/>
          </v:group>
        </w:pict>
      </w:r>
    </w:p>
    <w:p>
      <w:pPr>
        <w:tabs>
          <w:tab w:val="left" w:pos="2969"/>
          <w:tab w:val="left" w:pos="4315"/>
          <w:tab w:val="left" w:pos="5982"/>
        </w:tabs>
        <w:spacing w:before="0"/>
        <w:ind w:left="119" w:right="0" w:firstLine="0"/>
        <w:jc w:val="left"/>
        <w:rPr>
          <w:rFonts w:ascii="宋体" w:eastAsia="宋体" w:hint="eastAsia"/>
          <w:sz w:val="16"/>
        </w:rPr>
      </w:pPr>
      <w:r>
        <w:pict>
          <v:rect id="_x0000_s1094" style="width:3.6pt;height:3.6pt;margin-top:-140.74pt;margin-left:297.58pt;mso-position-horizontal-relative:page;position:absolute;z-index:251683840" filled="t" fillcolor="#1f4e79" stroked="f">
            <v:fill type="solid"/>
          </v:rect>
        </w:pict>
      </w:r>
      <w:r>
        <w:pict>
          <v:rect id="_x0000_s1095" style="width:3.6pt;height:3.6pt;margin-top:-140.74pt;margin-left:381.72pt;mso-position-horizontal-relative:page;position:absolute;z-index:-251633664" filled="t" fillcolor="#7e7e7e" stroked="f">
            <v:fill type="solid"/>
          </v:rect>
        </w:pict>
      </w:r>
      <w:r>
        <w:rPr>
          <w:rFonts w:ascii="宋体" w:eastAsia="宋体" w:hint="eastAsia"/>
          <w:sz w:val="16"/>
        </w:rPr>
        <w:t>国有大</w:t>
      </w:r>
      <w:r>
        <w:rPr>
          <w:rFonts w:ascii="宋体" w:eastAsia="宋体" w:hint="eastAsia"/>
          <w:spacing w:val="-3"/>
          <w:sz w:val="16"/>
        </w:rPr>
        <w:t>型</w:t>
      </w:r>
      <w:r>
        <w:rPr>
          <w:rFonts w:ascii="宋体" w:eastAsia="宋体" w:hint="eastAsia"/>
          <w:sz w:val="16"/>
        </w:rPr>
        <w:t>商业</w:t>
      </w:r>
      <w:r>
        <w:rPr>
          <w:rFonts w:ascii="宋体" w:eastAsia="宋体" w:hint="eastAsia"/>
          <w:spacing w:val="-3"/>
          <w:sz w:val="16"/>
        </w:rPr>
        <w:t>银</w:t>
      </w:r>
      <w:r>
        <w:rPr>
          <w:rFonts w:ascii="宋体" w:eastAsia="宋体" w:hint="eastAsia"/>
          <w:sz w:val="16"/>
        </w:rPr>
        <w:t>行</w:t>
      </w:r>
      <w:r>
        <w:rPr>
          <w:rFonts w:ascii="宋体" w:eastAsia="宋体" w:hint="eastAsia"/>
          <w:spacing w:val="69"/>
          <w:sz w:val="16"/>
        </w:rPr>
        <w:t xml:space="preserve"> </w:t>
      </w:r>
      <w:r>
        <w:rPr>
          <w:rFonts w:ascii="宋体" w:eastAsia="宋体" w:hint="eastAsia"/>
          <w:sz w:val="16"/>
        </w:rPr>
        <w:t>股份制</w:t>
      </w:r>
      <w:r>
        <w:rPr>
          <w:rFonts w:ascii="宋体" w:eastAsia="宋体" w:hint="eastAsia"/>
          <w:spacing w:val="-3"/>
          <w:sz w:val="16"/>
        </w:rPr>
        <w:t>商</w:t>
      </w:r>
      <w:r>
        <w:rPr>
          <w:rFonts w:ascii="宋体" w:eastAsia="宋体" w:hint="eastAsia"/>
          <w:sz w:val="16"/>
        </w:rPr>
        <w:t>业银行</w:t>
        <w:tab/>
        <w:t>城市商</w:t>
      </w:r>
      <w:r>
        <w:rPr>
          <w:rFonts w:ascii="宋体" w:eastAsia="宋体" w:hint="eastAsia"/>
          <w:spacing w:val="-3"/>
          <w:sz w:val="16"/>
        </w:rPr>
        <w:t>业</w:t>
      </w:r>
      <w:r>
        <w:rPr>
          <w:rFonts w:ascii="宋体" w:eastAsia="宋体" w:hint="eastAsia"/>
          <w:sz w:val="16"/>
        </w:rPr>
        <w:t>银行</w:t>
        <w:tab/>
        <w:t>农村商</w:t>
      </w:r>
      <w:r>
        <w:rPr>
          <w:rFonts w:ascii="宋体" w:eastAsia="宋体" w:hint="eastAsia"/>
          <w:spacing w:val="-3"/>
          <w:sz w:val="16"/>
        </w:rPr>
        <w:t>业</w:t>
      </w:r>
      <w:r>
        <w:rPr>
          <w:rFonts w:ascii="宋体" w:eastAsia="宋体" w:hint="eastAsia"/>
          <w:sz w:val="16"/>
        </w:rPr>
        <w:t>银行</w:t>
        <w:tab/>
        <w:t>其他</w:t>
      </w:r>
    </w:p>
    <w:p>
      <w:pPr>
        <w:spacing w:after="0"/>
        <w:jc w:val="left"/>
        <w:rPr>
          <w:rFonts w:ascii="宋体" w:eastAsia="宋体" w:hint="eastAsia"/>
          <w:sz w:val="16"/>
        </w:rPr>
        <w:sectPr>
          <w:headerReference w:type="default" r:id="rId37"/>
          <w:footerReference w:type="default" r:id="rId38"/>
          <w:type w:val="continuous"/>
          <w:pgSz w:w="11910" w:h="16840"/>
          <w:pgMar w:top="1320" w:right="0" w:bottom="660" w:left="180" w:header="708" w:footer="708"/>
          <w:pgNumType w:start="12"/>
          <w:cols w:num="2" w:space="708" w:equalWidth="0">
            <w:col w:w="3824" w:space="40"/>
            <w:col w:w="7866" w:space="0"/>
          </w:cols>
        </w:sectPr>
      </w:pPr>
    </w:p>
    <w:p>
      <w:pPr>
        <w:pStyle w:val="BodyText"/>
        <w:spacing w:before="3" w:after="1"/>
        <w:rPr>
          <w:rFonts w:ascii="宋体"/>
          <w:sz w:val="23"/>
        </w:rPr>
      </w:pPr>
    </w:p>
    <w:p>
      <w:pPr>
        <w:pStyle w:val="BodyText"/>
        <w:spacing w:line="20" w:lineRule="exact"/>
        <w:ind w:left="3096"/>
        <w:rPr>
          <w:rFonts w:ascii="宋体"/>
          <w:sz w:val="2"/>
        </w:rPr>
      </w:pPr>
      <w:r>
        <w:rPr>
          <w:rFonts w:ascii="宋体"/>
          <w:sz w:val="2"/>
        </w:rPr>
        <w:pict>
          <v:group id="_x0000_i1096" style="width:388.1pt;height:0.5pt;mso-position-horizontal-relative:char;mso-position-vertical-relative:line" coordorigin="0,0" coordsize="7762,10">
            <v:line id="_x0000_s1097" style="position:absolute" from="0,5" to="7761,5" stroked="t" strokecolor="#013e96" strokeweight="0.48pt">
              <v:stroke dashstyle="solid"/>
            </v:line>
            <w10:wrap type="none"/>
          </v:group>
        </w:pict>
      </w:r>
    </w:p>
    <w:p>
      <w:pPr>
        <w:spacing w:before="33"/>
        <w:ind w:left="3209" w:right="0" w:firstLine="0"/>
        <w:jc w:val="left"/>
        <w:rPr>
          <w:i/>
          <w:sz w:val="17"/>
        </w:rPr>
      </w:pPr>
      <w:r>
        <w:t xml:space="preserve">来源： ， </w:t>
      </w:r>
    </w:p>
    <w:p>
      <w:pPr>
        <w:spacing w:before="94"/>
        <w:ind w:left="3209" w:right="0" w:firstLine="0"/>
        <w:jc w:val="left"/>
        <w:rPr>
          <w:i/>
          <w:sz w:val="17"/>
        </w:rPr>
      </w:pPr>
      <w:r>
        <w:rPr>
          <w:i/>
          <w:color w:val="004097"/>
          <w:sz w:val="17"/>
        </w:rPr>
        <w:t>注：其他包括民营银行、其他金融机构和外资银行</w:t>
      </w:r>
    </w:p>
    <w:p>
      <w:pPr>
        <w:spacing w:before="97" w:line="319" w:lineRule="auto"/>
        <w:ind w:left="3192" w:right="845" w:firstLine="442"/>
        <w:jc w:val="left"/>
        <w:rPr>
          <w:sz w:val="22"/>
        </w:rPr>
      </w:pPr>
      <w:r>
        <w:rPr>
          <w:b/>
          <w:spacing w:val="-2"/>
          <w:sz w:val="22"/>
        </w:rPr>
        <w:t>江浙地区存量规模超千亿，多以二级资本债为主。</w:t>
      </w:r>
      <w:r>
        <w:rPr>
          <w:spacing w:val="-4"/>
          <w:sz w:val="22"/>
        </w:rPr>
        <w:t>分省份来看，浙江省存续</w:t>
      </w:r>
      <w:r>
        <w:rPr>
          <w:spacing w:val="-5"/>
          <w:sz w:val="22"/>
        </w:rPr>
        <w:t xml:space="preserve">城农商行二永债规模最大，接近 </w:t>
      </w:r>
      <w:r>
        <w:rPr>
          <w:rFonts w:ascii="Arial" w:eastAsia="Arial"/>
          <w:sz w:val="22"/>
        </w:rPr>
        <w:t>2000</w:t>
      </w:r>
      <w:r>
        <w:rPr>
          <w:rFonts w:ascii="Arial" w:eastAsia="Arial"/>
          <w:spacing w:val="27"/>
          <w:sz w:val="22"/>
        </w:rPr>
        <w:t xml:space="preserve"> </w:t>
      </w:r>
      <w:r>
        <w:rPr>
          <w:spacing w:val="-3"/>
          <w:sz w:val="22"/>
        </w:rPr>
        <w:t>亿元，此外还有江苏省城农商行二永债存</w:t>
      </w:r>
    </w:p>
    <w:p>
      <w:pPr>
        <w:pStyle w:val="BodyText"/>
        <w:spacing w:line="281" w:lineRule="exact"/>
        <w:ind w:left="3192"/>
      </w:pPr>
      <w:r>
        <w:rPr>
          <w:spacing w:val="-3"/>
          <w:w w:val="100"/>
        </w:rPr>
        <w:t>续规模超千亿元</w:t>
      </w:r>
      <w:r>
        <w:rPr>
          <w:w w:val="100"/>
        </w:rPr>
        <w:t>（为</w:t>
      </w:r>
      <w:r>
        <w:rPr>
          <w:spacing w:val="-55"/>
        </w:rPr>
        <w:t xml:space="preserve"> </w:t>
      </w:r>
      <w:r>
        <w:rPr>
          <w:rFonts w:ascii="Arial" w:eastAsia="Arial"/>
          <w:spacing w:val="-1"/>
          <w:w w:val="100"/>
        </w:rPr>
        <w:t>1</w:t>
      </w:r>
      <w:r>
        <w:rPr>
          <w:rFonts w:ascii="Arial" w:eastAsia="Arial"/>
          <w:spacing w:val="-3"/>
          <w:w w:val="100"/>
        </w:rPr>
        <w:t>07</w:t>
      </w:r>
      <w:r>
        <w:rPr>
          <w:rFonts w:ascii="Arial" w:eastAsia="Arial"/>
          <w:w w:val="100"/>
        </w:rPr>
        <w:t>9</w:t>
      </w:r>
      <w:r>
        <w:rPr>
          <w:rFonts w:ascii="Arial" w:eastAsia="Arial"/>
          <w:spacing w:val="-6"/>
        </w:rPr>
        <w:t xml:space="preserve"> </w:t>
      </w:r>
      <w:r>
        <w:rPr>
          <w:w w:val="100"/>
        </w:rPr>
        <w:t>亿元</w:t>
      </w:r>
      <w:r>
        <w:rPr>
          <w:spacing w:val="-113"/>
          <w:w w:val="100"/>
        </w:rPr>
        <w:t>）</w:t>
      </w:r>
      <w:r>
        <w:rPr>
          <w:spacing w:val="-7"/>
          <w:w w:val="100"/>
        </w:rPr>
        <w:t>，山东、广东和北京等省</w:t>
      </w:r>
      <w:r>
        <w:rPr>
          <w:w w:val="100"/>
        </w:rPr>
        <w:t>（</w:t>
      </w:r>
      <w:r>
        <w:rPr>
          <w:spacing w:val="-3"/>
          <w:w w:val="100"/>
        </w:rPr>
        <w:t>直辖市</w:t>
      </w:r>
      <w:r>
        <w:rPr>
          <w:spacing w:val="-12"/>
          <w:w w:val="100"/>
        </w:rPr>
        <w:t>）</w:t>
      </w:r>
      <w:r>
        <w:rPr>
          <w:spacing w:val="-2"/>
          <w:w w:val="100"/>
        </w:rPr>
        <w:t>存续规模也</w:t>
      </w:r>
    </w:p>
    <w:p>
      <w:pPr>
        <w:pStyle w:val="BodyText"/>
        <w:spacing w:before="93"/>
        <w:ind w:left="3192"/>
      </w:pPr>
      <w:r>
        <w:t xml:space="preserve">较大，超 </w:t>
      </w:r>
      <w:r>
        <w:rPr>
          <w:rFonts w:ascii="Arial" w:eastAsia="Arial"/>
        </w:rPr>
        <w:t xml:space="preserve">700 </w:t>
      </w:r>
      <w:r>
        <w:t>亿元，并且大多数省份是以二级资本债为主。</w:t>
      </w:r>
    </w:p>
    <w:p>
      <w:pPr>
        <w:pStyle w:val="BodyText"/>
        <w:spacing w:before="11"/>
        <w:rPr>
          <w:sz w:val="16"/>
        </w:rPr>
        <w:sectPr>
          <w:headerReference w:type="default" r:id="rId39"/>
          <w:footerReference w:type="default" r:id="rId40"/>
          <w:type w:val="continuous"/>
          <w:pgSz w:w="11910" w:h="16840"/>
          <w:pgMar w:top="1320" w:right="0" w:bottom="660" w:left="180" w:header="708" w:footer="708"/>
          <w:pgNumType w:start="13"/>
          <w:cols w:space="708"/>
        </w:sectPr>
      </w:pPr>
    </w:p>
    <w:p>
      <w:pPr>
        <w:spacing w:before="76"/>
        <w:ind w:left="2789" w:right="0" w:firstLine="0"/>
        <w:jc w:val="left"/>
        <w:rPr>
          <w:i/>
          <w:sz w:val="17"/>
        </w:rPr>
      </w:pPr>
      <w:r>
        <w:pict>
          <v:shape id="_x0000_s1098" style="width:409.8pt;height:0.1pt;margin-top:19.62pt;margin-left:142.34pt;mso-position-horizontal-relative:page;mso-wrap-distance-left:0;mso-wrap-distance-right:0;position:absolute;z-index:-251631616" coordorigin="2847,392" coordsize="8196,0" path="m2847,392l11042,392e" filled="f" stroked="t" strokecolor="#013e96" strokeweight="0.48pt">
            <v:stroke dashstyle="solid"/>
            <v:path arrowok="t"/>
            <w10:wrap type="topAndBottom"/>
          </v:shape>
        </w:pict>
      </w:r>
      <w:r>
        <w:rPr>
          <w:i/>
          <w:color w:val="004097"/>
          <w:sz w:val="17"/>
        </w:rPr>
        <w:t xml:space="preserve">图表 </w:t>
      </w:r>
      <w:r>
        <w:rPr>
          <w:rFonts w:ascii="Arial" w:eastAsia="Arial"/>
          <w:i/>
          <w:color w:val="004097"/>
          <w:sz w:val="16"/>
        </w:rPr>
        <w:t>5</w:t>
      </w:r>
      <w:r>
        <w:rPr>
          <w:i/>
          <w:color w:val="004097"/>
          <w:sz w:val="17"/>
        </w:rPr>
        <w:t>：各省（直辖市、自治区）存续商业银行二级资本债和永续债规模及二级资本债占比情况</w:t>
      </w:r>
    </w:p>
    <w:p>
      <w:pPr>
        <w:spacing w:after="0"/>
        <w:jc w:val="left"/>
        <w:rPr>
          <w:sz w:val="17"/>
        </w:rPr>
        <w:sectPr>
          <w:headerReference w:type="default" r:id="rId41"/>
          <w:footerReference w:type="default" r:id="rId42"/>
          <w:type w:val="nextPage"/>
          <w:pgSz w:w="11910" w:h="16840"/>
          <w:pgMar w:top="1320" w:right="0" w:bottom="660" w:left="180" w:header="708" w:footer="708"/>
          <w:pgNumType w:start="14"/>
          <w:cols w:space="708"/>
          <w:titlePg w:val="0"/>
        </w:sectPr>
      </w:pPr>
    </w:p>
    <w:p>
      <w:pPr>
        <w:pStyle w:val="BodyText"/>
        <w:spacing w:before="10"/>
        <w:rPr>
          <w:i/>
          <w:sz w:val="6"/>
        </w:rPr>
      </w:pPr>
    </w:p>
    <w:p>
      <w:pPr>
        <w:pStyle w:val="BodyText"/>
        <w:spacing w:line="20" w:lineRule="exact"/>
        <w:ind w:left="2676"/>
        <w:rPr>
          <w:sz w:val="2"/>
        </w:rPr>
      </w:pPr>
      <w:r>
        <w:rPr>
          <w:sz w:val="2"/>
        </w:rPr>
        <w:pict>
          <v:group id="_x0000_i1099" style="width:409.1pt;height:0.5pt;mso-position-horizontal-relative:char;mso-position-vertical-relative:line" coordorigin="0,0" coordsize="8182,10">
            <v:line id="_x0000_s1100" style="position:absolute" from="0,5" to="8181,5" stroked="t" strokecolor="#013e96" strokeweight="0.48pt">
              <v:stroke dashstyle="solid"/>
            </v:line>
            <w10:wrap type="none"/>
          </v:group>
        </w:pict>
      </w:r>
    </w:p>
    <w:p>
      <w:pPr>
        <w:pStyle w:val="BodyText"/>
        <w:spacing w:before="5"/>
        <w:rPr>
          <w:i/>
          <w:sz w:val="12"/>
        </w:rPr>
      </w:pPr>
    </w:p>
    <w:p>
      <w:pPr>
        <w:tabs>
          <w:tab w:val="left" w:pos="6550"/>
          <w:tab w:val="left" w:pos="8144"/>
        </w:tabs>
        <w:spacing w:before="79"/>
        <w:ind w:left="4638" w:right="0" w:firstLine="0"/>
        <w:jc w:val="left"/>
        <w:rPr>
          <w:rFonts w:ascii="宋体" w:eastAsia="宋体" w:hint="eastAsia"/>
          <w:sz w:val="16"/>
        </w:rPr>
      </w:pPr>
      <w:r>
        <w:pict>
          <v:rect id="_x0000_s1101" style="width:3.6pt;height:3.6pt;margin-top:7.3pt;margin-left:235.85pt;mso-position-horizontal-relative:page;position:absolute;z-index:251687936" filled="t" fillcolor="#244060" stroked="f">
            <v:fill type="solid"/>
          </v:rect>
        </w:pict>
      </w:r>
      <w:r>
        <w:pict>
          <v:rect id="_x0000_s1102" style="width:3.6pt;height:3.6pt;margin-top:7.3pt;margin-left:331.47pt;mso-position-horizontal-relative:page;position:absolute;z-index:-251630592" filled="t" fillcolor="#7e7e7e" stroked="f">
            <v:fill type="solid"/>
          </v:rect>
        </w:pict>
      </w:r>
      <w:r>
        <w:pict>
          <v:shape id="_x0000_s1103" style="width:4pt;height:4pt;margin-top:7.05pt;margin-left:410.76pt;mso-position-horizontal-relative:page;position:absolute;z-index:-251629568" coordorigin="8215,141" coordsize="80,80" path="m8255,141l8239,144,8227,153,8218,165,8215,181,8218,196,8227,209,8239,217,8255,220,8270,217,8283,209,8291,196,8294,181,8291,165,8283,153,8270,144,8255,141xe" filled="t" fillcolor="#ffc000" stroked="f">
            <v:fill type="solid"/>
            <v:path arrowok="t"/>
          </v:shape>
        </w:pict>
      </w:r>
      <w:r>
        <w:rPr>
          <w:rFonts w:ascii="宋体" w:eastAsia="宋体" w:hint="eastAsia"/>
          <w:sz w:val="16"/>
        </w:rPr>
        <w:t>二级资</w:t>
      </w:r>
      <w:r>
        <w:rPr>
          <w:rFonts w:ascii="宋体" w:eastAsia="宋体" w:hint="eastAsia"/>
          <w:spacing w:val="-3"/>
          <w:sz w:val="16"/>
        </w:rPr>
        <w:t>本</w:t>
      </w:r>
      <w:r>
        <w:rPr>
          <w:rFonts w:ascii="宋体" w:eastAsia="宋体" w:hint="eastAsia"/>
          <w:sz w:val="16"/>
        </w:rPr>
        <w:t>债（</w:t>
      </w:r>
      <w:r>
        <w:rPr>
          <w:rFonts w:ascii="宋体" w:eastAsia="宋体" w:hint="eastAsia"/>
          <w:spacing w:val="-3"/>
          <w:sz w:val="16"/>
        </w:rPr>
        <w:t>亿</w:t>
      </w:r>
      <w:r>
        <w:rPr>
          <w:rFonts w:ascii="宋体" w:eastAsia="宋体" w:hint="eastAsia"/>
          <w:sz w:val="16"/>
        </w:rPr>
        <w:t>元）</w:t>
        <w:tab/>
        <w:t>永续债</w:t>
      </w:r>
      <w:r>
        <w:rPr>
          <w:rFonts w:ascii="宋体" w:eastAsia="宋体" w:hint="eastAsia"/>
          <w:spacing w:val="-3"/>
          <w:sz w:val="16"/>
        </w:rPr>
        <w:t>（</w:t>
      </w:r>
      <w:r>
        <w:rPr>
          <w:rFonts w:ascii="宋体" w:eastAsia="宋体" w:hint="eastAsia"/>
          <w:sz w:val="16"/>
        </w:rPr>
        <w:t>亿元）</w:t>
        <w:tab/>
        <w:t>二级资</w:t>
      </w:r>
      <w:r>
        <w:rPr>
          <w:rFonts w:ascii="宋体" w:eastAsia="宋体" w:hint="eastAsia"/>
          <w:spacing w:val="-3"/>
          <w:sz w:val="16"/>
        </w:rPr>
        <w:t>本</w:t>
      </w:r>
      <w:r>
        <w:rPr>
          <w:rFonts w:ascii="宋体" w:eastAsia="宋体" w:hint="eastAsia"/>
          <w:sz w:val="16"/>
        </w:rPr>
        <w:t>债占比</w:t>
      </w:r>
    </w:p>
    <w:p>
      <w:pPr>
        <w:pStyle w:val="BodyText"/>
        <w:spacing w:before="8"/>
        <w:rPr>
          <w:rFonts w:ascii="宋体"/>
          <w:sz w:val="20"/>
        </w:rPr>
      </w:pPr>
    </w:p>
    <w:p>
      <w:pPr>
        <w:spacing w:after="0"/>
        <w:rPr>
          <w:rFonts w:ascii="宋体"/>
          <w:sz w:val="20"/>
        </w:rPr>
        <w:sectPr>
          <w:headerReference w:type="default" r:id="rId43"/>
          <w:footerReference w:type="default" r:id="rId44"/>
          <w:pgSz w:w="11910" w:h="16840"/>
          <w:pgMar w:top="1320" w:right="0" w:bottom="660" w:left="180" w:header="708" w:footer="708"/>
          <w:pgNumType w:start="15"/>
          <w:cols w:space="708"/>
        </w:sectPr>
      </w:pPr>
    </w:p>
    <w:p>
      <w:pPr>
        <w:spacing w:before="78"/>
        <w:ind w:left="0" w:right="0" w:firstLine="0"/>
        <w:jc w:val="right"/>
        <w:rPr>
          <w:rFonts w:ascii="宋体"/>
          <w:sz w:val="16"/>
        </w:rPr>
      </w:pPr>
      <w:r>
        <w:rPr>
          <w:rFonts w:ascii="宋体"/>
          <w:spacing w:val="-1"/>
          <w:sz w:val="16"/>
        </w:rPr>
        <w:t>2000</w:t>
      </w:r>
    </w:p>
    <w:p>
      <w:pPr>
        <w:spacing w:before="74"/>
        <w:ind w:left="0" w:right="0" w:firstLine="0"/>
        <w:jc w:val="right"/>
        <w:rPr>
          <w:rFonts w:ascii="宋体"/>
          <w:sz w:val="16"/>
        </w:rPr>
      </w:pPr>
      <w:r>
        <w:rPr>
          <w:rFonts w:ascii="宋体"/>
          <w:spacing w:val="-1"/>
          <w:sz w:val="16"/>
        </w:rPr>
        <w:t>1800</w:t>
      </w:r>
    </w:p>
    <w:p>
      <w:pPr>
        <w:spacing w:before="75"/>
        <w:ind w:left="0" w:right="0" w:firstLine="0"/>
        <w:jc w:val="right"/>
        <w:rPr>
          <w:rFonts w:ascii="宋体"/>
          <w:sz w:val="16"/>
        </w:rPr>
      </w:pPr>
      <w:r>
        <w:rPr>
          <w:rFonts w:ascii="宋体"/>
          <w:spacing w:val="-1"/>
          <w:sz w:val="16"/>
        </w:rPr>
        <w:t>1600</w:t>
      </w:r>
    </w:p>
    <w:p>
      <w:pPr>
        <w:spacing w:before="75"/>
        <w:ind w:left="0" w:right="0" w:firstLine="0"/>
        <w:jc w:val="right"/>
        <w:rPr>
          <w:rFonts w:ascii="宋体"/>
          <w:sz w:val="16"/>
        </w:rPr>
      </w:pPr>
      <w:r>
        <w:rPr>
          <w:rFonts w:ascii="宋体"/>
          <w:spacing w:val="-1"/>
          <w:sz w:val="16"/>
        </w:rPr>
        <w:t>1400</w:t>
      </w:r>
    </w:p>
    <w:p>
      <w:pPr>
        <w:spacing w:before="74"/>
        <w:ind w:left="0" w:right="0" w:firstLine="0"/>
        <w:jc w:val="right"/>
        <w:rPr>
          <w:rFonts w:ascii="宋体"/>
          <w:sz w:val="16"/>
        </w:rPr>
      </w:pPr>
      <w:r>
        <w:rPr>
          <w:rFonts w:ascii="宋体"/>
          <w:spacing w:val="-1"/>
          <w:sz w:val="16"/>
        </w:rPr>
        <w:t>1200</w:t>
      </w:r>
    </w:p>
    <w:p>
      <w:pPr>
        <w:spacing w:before="75"/>
        <w:ind w:left="0" w:right="0" w:firstLine="0"/>
        <w:jc w:val="right"/>
        <w:rPr>
          <w:rFonts w:ascii="宋体"/>
          <w:sz w:val="16"/>
        </w:rPr>
      </w:pPr>
      <w:r>
        <w:rPr>
          <w:rFonts w:ascii="宋体"/>
          <w:spacing w:val="-1"/>
          <w:sz w:val="16"/>
        </w:rPr>
        <w:t>1000</w:t>
      </w:r>
    </w:p>
    <w:p>
      <w:pPr>
        <w:spacing w:before="74"/>
        <w:ind w:left="0" w:right="0" w:firstLine="0"/>
        <w:jc w:val="right"/>
        <w:rPr>
          <w:rFonts w:ascii="宋体"/>
          <w:sz w:val="16"/>
        </w:rPr>
      </w:pPr>
      <w:r>
        <w:rPr>
          <w:rFonts w:ascii="宋体"/>
          <w:spacing w:val="-1"/>
          <w:sz w:val="16"/>
        </w:rPr>
        <w:t>800</w:t>
      </w:r>
    </w:p>
    <w:p>
      <w:pPr>
        <w:spacing w:before="75"/>
        <w:ind w:left="0" w:right="0" w:firstLine="0"/>
        <w:jc w:val="right"/>
        <w:rPr>
          <w:rFonts w:ascii="宋体"/>
          <w:sz w:val="16"/>
        </w:rPr>
      </w:pPr>
      <w:r>
        <w:rPr>
          <w:rFonts w:ascii="宋体"/>
          <w:spacing w:val="-1"/>
          <w:sz w:val="16"/>
        </w:rPr>
        <w:t>600</w:t>
      </w:r>
    </w:p>
    <w:p>
      <w:pPr>
        <w:spacing w:before="74"/>
        <w:ind w:left="0" w:right="0" w:firstLine="0"/>
        <w:jc w:val="right"/>
        <w:rPr>
          <w:rFonts w:ascii="宋体"/>
          <w:sz w:val="16"/>
        </w:rPr>
      </w:pPr>
      <w:r>
        <w:rPr>
          <w:rFonts w:ascii="宋体"/>
          <w:spacing w:val="-1"/>
          <w:sz w:val="16"/>
        </w:rPr>
        <w:t>400</w:t>
      </w:r>
    </w:p>
    <w:p>
      <w:pPr>
        <w:spacing w:before="75"/>
        <w:ind w:left="0" w:right="0" w:firstLine="0"/>
        <w:jc w:val="right"/>
        <w:rPr>
          <w:rFonts w:ascii="宋体"/>
          <w:sz w:val="16"/>
        </w:rPr>
      </w:pPr>
      <w:r>
        <w:rPr>
          <w:rFonts w:ascii="宋体"/>
          <w:spacing w:val="-1"/>
          <w:sz w:val="16"/>
        </w:rPr>
        <w:t>200</w:t>
      </w:r>
    </w:p>
    <w:p>
      <w:pPr>
        <w:spacing w:before="75"/>
        <w:ind w:left="0" w:right="0" w:firstLine="0"/>
        <w:jc w:val="right"/>
        <w:rPr>
          <w:rFonts w:ascii="宋体"/>
          <w:sz w:val="16"/>
        </w:rPr>
      </w:pPr>
      <w:r>
        <w:rPr>
          <w:rFonts w:ascii="宋体"/>
          <w:w w:val="100"/>
          <w:sz w:val="16"/>
        </w:rPr>
        <w:t>0</w:t>
      </w:r>
    </w:p>
    <w:p>
      <w:pPr>
        <w:pStyle w:val="BodyText"/>
        <w:rPr>
          <w:rFonts w:ascii="宋体"/>
          <w:sz w:val="16"/>
        </w:rPr>
      </w:pPr>
      <w:r>
        <w:br w:type="column"/>
      </w: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rPr>
          <w:rFonts w:ascii="宋体"/>
          <w:sz w:val="16"/>
        </w:rPr>
      </w:pPr>
    </w:p>
    <w:p>
      <w:pPr>
        <w:pStyle w:val="BodyText"/>
        <w:spacing w:before="7"/>
        <w:rPr>
          <w:rFonts w:ascii="宋体"/>
          <w:sz w:val="16"/>
        </w:rPr>
      </w:pPr>
    </w:p>
    <w:p>
      <w:pPr>
        <w:spacing w:before="0" w:line="187" w:lineRule="auto"/>
        <w:ind w:left="119" w:right="0" w:firstLine="0"/>
        <w:jc w:val="left"/>
        <w:rPr>
          <w:rFonts w:ascii="宋体" w:eastAsia="宋体" w:hint="eastAsia"/>
          <w:sz w:val="16"/>
        </w:rPr>
      </w:pPr>
      <w:r>
        <w:rPr>
          <w:rFonts w:ascii="宋体" w:eastAsia="宋体" w:hint="eastAsia"/>
          <w:spacing w:val="-14"/>
          <w:sz w:val="16"/>
        </w:rPr>
        <w:t>浙 江 山 广 北 四 上 河 福 安 河 重 辽 江 湖 湖 广 黑 天 陕 贵 吉 山 甘 云 海 新 宁 内 青江 苏 东 东 京 川 海 北 建 徽 南 庆 宁 西 北 南 西 龙 津 西 州 林 西 肃 南 南 疆 夏 蒙 海</w:t>
      </w:r>
    </w:p>
    <w:p>
      <w:pPr>
        <w:spacing w:before="73"/>
        <w:ind w:left="117" w:right="0" w:firstLine="0"/>
        <w:jc w:val="left"/>
        <w:rPr>
          <w:rFonts w:ascii="宋体"/>
          <w:sz w:val="16"/>
        </w:rPr>
      </w:pPr>
      <w:r>
        <w:br w:type="column"/>
      </w:r>
      <w:r>
        <w:rPr>
          <w:rFonts w:ascii="宋体"/>
          <w:position w:val="1"/>
          <w:sz w:val="16"/>
        </w:rPr>
        <w:t xml:space="preserve">100 </w:t>
      </w:r>
      <w:r>
        <w:rPr>
          <w:rFonts w:ascii="宋体"/>
          <w:spacing w:val="3"/>
          <w:w w:val="100"/>
          <w:sz w:val="16"/>
        </w:rPr>
        <w:drawing>
          <wp:inline distT="0" distB="0" distL="0" distR="0">
            <wp:extent cx="44450" cy="79375"/>
            <wp:effectExtent l="0" t="0" r="0" b="0"/>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45" cstate="print"/>
                    <a:stretch>
                      <a:fillRect/>
                    </a:stretch>
                  </pic:blipFill>
                  <pic:spPr>
                    <a:xfrm>
                      <a:off x="0" y="0"/>
                      <a:ext cx="44450" cy="79375"/>
                    </a:xfrm>
                    <a:prstGeom prst="rect">
                      <a:avLst/>
                    </a:prstGeom>
                  </pic:spPr>
                </pic:pic>
              </a:graphicData>
            </a:graphic>
          </wp:inline>
        </w:drawing>
      </w:r>
    </w:p>
    <w:p>
      <w:pPr>
        <w:pStyle w:val="BodyText"/>
        <w:rPr>
          <w:rFonts w:ascii="宋体"/>
          <w:sz w:val="16"/>
        </w:rPr>
      </w:pPr>
    </w:p>
    <w:p>
      <w:pPr>
        <w:pStyle w:val="BodyText"/>
        <w:spacing w:before="5"/>
        <w:rPr>
          <w:rFonts w:ascii="宋体"/>
          <w:sz w:val="12"/>
        </w:rPr>
      </w:pPr>
    </w:p>
    <w:p>
      <w:pPr>
        <w:spacing w:before="0"/>
        <w:ind w:left="117" w:right="0" w:firstLine="0"/>
        <w:jc w:val="left"/>
        <w:rPr>
          <w:rFonts w:ascii="宋体"/>
          <w:sz w:val="16"/>
        </w:rPr>
      </w:pPr>
      <w:r>
        <w:pict>
          <v:group id="_x0000_s1104" style="width:346pt;height:143.8pt;margin-top:-25.08pt;margin-left:179.1pt;mso-position-horizontal-relative:page;position:absolute;z-index:251689984" coordorigin="3582,-502" coordsize="6920,2876">
            <v:line id="_x0000_s1105" style="position:absolute" from="3742,275" to="3742,2334" stroked="t" strokecolor="#244060" strokeweight="4.56pt">
              <v:stroke dashstyle="solid"/>
            </v:line>
            <v:line id="_x0000_s1106" style="position:absolute" from="3742,-419" to="3742,275" stroked="t" strokecolor="#7e7e7e" strokeweight="4.56pt">
              <v:stroke dashstyle="solid"/>
            </v:line>
            <v:shape id="_x0000_s1107" style="width:46;height:2796;left:3582;position:absolute;top:-462" coordorigin="3582,-462" coordsize="46,2796" path="m3628,2334l3628,-462m3582,2334l3628,2334m3582,2053l3628,2053m3582,1775l3628,1775m3582,1494l3628,1494m3582,1216l3628,1216m3582,935l3628,935m3582,657l3628,657m3582,378l3628,378m3582,97l3628,97m3582,-181l3628,-181m3582,-462l3628,-462e" filled="f" stroked="t" strokecolor="black" strokeweight="0.75pt">
              <v:stroke dashstyle="solid"/>
              <v:path arrowok="t"/>
            </v:shape>
            <v:line id="_x0000_s1108" style="position:absolute" from="3970,1636" to="3970,2334" stroked="t" strokecolor="#244060" strokeweight="4.56pt">
              <v:stroke dashstyle="solid"/>
            </v:line>
            <v:line id="_x0000_s1109" style="position:absolute" from="3970,825" to="3970,1636" stroked="t" strokecolor="#7e7e7e" strokeweight="4.56pt">
              <v:stroke dashstyle="solid"/>
            </v:line>
            <v:line id="_x0000_s1110" style="position:absolute" from="4198,1852" to="4198,2334" stroked="t" strokecolor="#244060" strokeweight="4.56pt">
              <v:stroke dashstyle="solid"/>
            </v:line>
            <v:line id="_x0000_s1111" style="position:absolute" from="4198,1197" to="4198,1852" stroked="t" strokecolor="#7e7e7e" strokeweight="4.56pt">
              <v:stroke dashstyle="solid"/>
            </v:line>
            <v:line id="_x0000_s1112" style="position:absolute" from="4424,1461" to="4424,2334" stroked="t" strokecolor="#244060" strokeweight="4.44pt">
              <v:stroke dashstyle="solid"/>
            </v:line>
            <v:line id="_x0000_s1113" style="position:absolute" from="4424,1204" to="4424,1461" stroked="t" strokecolor="#7e7e7e" strokeweight="4.44pt">
              <v:stroke dashstyle="solid"/>
            </v:line>
            <v:line id="_x0000_s1114" style="position:absolute" from="4651,2195" to="4651,2334" stroked="t" strokecolor="#244060" strokeweight="4.56pt">
              <v:stroke dashstyle="solid"/>
            </v:line>
            <v:line id="_x0000_s1115" style="position:absolute" from="4651,1355" to="4651,2195" stroked="t" strokecolor="#7e7e7e" strokeweight="4.56pt">
              <v:stroke dashstyle="solid"/>
            </v:line>
            <v:line id="_x0000_s1116" style="position:absolute" from="4879,1739" to="4879,2334" stroked="t" strokecolor="#244060" strokeweight="4.56pt">
              <v:stroke dashstyle="solid"/>
            </v:line>
            <v:line id="_x0000_s1117" style="position:absolute" from="4879,1492" to="4879,1739" stroked="t" strokecolor="#7e7e7e" strokeweight="4.56pt">
              <v:stroke dashstyle="solid"/>
            </v:line>
            <v:line id="_x0000_s1118" style="position:absolute" from="5107,1600" to="5107,2334" stroked="t" strokecolor="#244060" strokeweight="4.56pt">
              <v:stroke dashstyle="solid"/>
            </v:line>
            <v:line id="_x0000_s1119" style="position:absolute" from="5335,2154" to="5335,2334" stroked="t" strokecolor="#244060" strokeweight="4.56pt">
              <v:stroke dashstyle="solid"/>
            </v:line>
            <v:line id="_x0000_s1120" style="position:absolute" from="5335,1705" to="5335,2154" stroked="t" strokecolor="#7e7e7e" strokeweight="4.56pt">
              <v:stroke dashstyle="solid"/>
            </v:line>
            <v:line id="_x0000_s1121" style="position:absolute" from="5563,2008" to="5563,2334" stroked="t" strokecolor="#244060" strokeweight="4.56pt">
              <v:stroke dashstyle="solid"/>
            </v:line>
            <v:line id="_x0000_s1122" style="position:absolute" from="5563,1782" to="5563,2008" stroked="t" strokecolor="#7e7e7e" strokeweight="4.56pt">
              <v:stroke dashstyle="solid"/>
            </v:line>
            <v:line id="_x0000_s1123" style="position:absolute" from="5791,2077" to="5791,2334" stroked="t" strokecolor="#244060" strokeweight="4.56pt">
              <v:stroke dashstyle="solid"/>
            </v:line>
            <v:line id="_x0000_s1124" style="position:absolute" from="5791,1799" to="5791,2077" stroked="t" strokecolor="#7e7e7e" strokeweight="4.56pt">
              <v:stroke dashstyle="solid"/>
            </v:line>
            <v:rect id="_x0000_s1125" style="width:92;height:36;left:5971;position:absolute;top:2298" filled="t" fillcolor="#244060" stroked="f">
              <v:fill type="solid"/>
            </v:rect>
            <v:line id="_x0000_s1126" style="position:absolute" from="6017,1965" to="6017,2298" stroked="t" strokecolor="#7e7e7e" strokeweight="4.56pt">
              <v:stroke dashstyle="solid"/>
            </v:line>
            <v:line id="_x0000_s1127" style="position:absolute" from="6245,2195" to="6245,2334" stroked="t" strokecolor="#244060" strokeweight="4.56pt">
              <v:stroke dashstyle="solid"/>
            </v:line>
            <v:line id="_x0000_s1128" style="position:absolute" from="6245,1974" to="6245,2195" stroked="t" strokecolor="#7e7e7e" strokeweight="4.56pt">
              <v:stroke dashstyle="solid"/>
            </v:line>
            <v:line id="_x0000_s1129" style="position:absolute" from="6473,2046" to="6473,2334" stroked="t" strokecolor="#244060" strokeweight="4.56pt">
              <v:stroke dashstyle="solid"/>
            </v:line>
            <v:rect id="_x0000_s1130" style="width:92;height:70;left:6427;position:absolute;top:1976" filled="t" fillcolor="#7e7e7e" stroked="f">
              <v:fill type="solid"/>
            </v:rect>
            <v:rect id="_x0000_s1131" style="width:92;height:12;left:6655;position:absolute;top:2322" filled="t" fillcolor="#244060" stroked="f">
              <v:fill type="solid"/>
            </v:rect>
            <v:line id="_x0000_s1132" style="position:absolute" from="6701,2029" to="6701,2322" stroked="t" strokecolor="#7e7e7e" strokeweight="4.56pt">
              <v:stroke dashstyle="solid"/>
            </v:line>
            <v:line id="_x0000_s1133" style="position:absolute" from="6929,2142" to="6929,2334" stroked="t" strokecolor="#244060" strokeweight="4.56pt">
              <v:stroke dashstyle="solid"/>
            </v:line>
            <v:rect id="_x0000_s1134" style="width:92;height:113;left:6883;position:absolute;top:2029" filled="t" fillcolor="#7e7e7e" stroked="f">
              <v:fill type="solid"/>
            </v:rect>
            <v:line id="_x0000_s1135" style="position:absolute" from="7157,2106" to="7157,2334" stroked="t" strokecolor="#244060" strokeweight="4.56pt">
              <v:stroke dashstyle="solid"/>
            </v:line>
            <v:rect id="_x0000_s1136" style="width:92;height:75;left:7111;position:absolute;top:2031" filled="t" fillcolor="#7e7e7e" stroked="f">
              <v:fill type="solid"/>
            </v:rect>
            <v:line id="_x0000_s1137" style="position:absolute" from="7382,2181" to="7382,2334" stroked="t" strokecolor="#244060" strokeweight="4.56pt">
              <v:stroke dashstyle="solid"/>
            </v:line>
            <v:rect id="_x0000_s1138" style="width:92;height:113;left:7336;position:absolute;top:2067" filled="t" fillcolor="#7e7e7e" stroked="f">
              <v:fill type="solid"/>
            </v:rect>
            <v:rect id="_x0000_s1139" style="width:92;height:72;left:7564;position:absolute;top:2262" filled="t" fillcolor="#244060" stroked="f">
              <v:fill type="solid"/>
            </v:rect>
            <v:line id="_x0000_s1140" style="position:absolute" from="7610,2097" to="7610,2262" stroked="t" strokecolor="#7e7e7e" strokeweight="4.56pt">
              <v:stroke dashstyle="solid"/>
            </v:line>
            <v:line id="_x0000_s1141" style="position:absolute" from="7838,2137" to="7838,2334" stroked="t" strokecolor="#244060" strokeweight="4.56pt">
              <v:stroke dashstyle="solid"/>
            </v:line>
            <v:rect id="_x0000_s1142" style="width:92;height:132;left:8020;position:absolute;top:2202" filled="t" fillcolor="#244060" stroked="f">
              <v:fill type="solid"/>
            </v:rect>
            <v:rect id="_x0000_s1143" style="width:92;height:44;left:8020;position:absolute;top:2159" filled="t" fillcolor="#7e7e7e" stroked="f">
              <v:fill type="solid"/>
            </v:rect>
            <v:rect id="_x0000_s1144" style="width:92;height:106;left:8248;position:absolute;top:2228" filled="t" fillcolor="#244060" stroked="f">
              <v:fill type="solid"/>
            </v:rect>
            <v:rect id="_x0000_s1145" style="width:92;height:51;left:8248;position:absolute;top:2178" filled="t" fillcolor="#7e7e7e" stroked="f">
              <v:fill type="solid"/>
            </v:rect>
            <v:line id="_x0000_s1146" style="position:absolute" from="8522,2195" to="8522,2334" stroked="t" strokecolor="#244060" strokeweight="4.56pt">
              <v:stroke dashstyle="solid"/>
            </v:line>
            <v:shape id="_x0000_s1147" style="width:548;height:96;left:8702;position:absolute;top:2238" coordorigin="8702,2238" coordsize="548,96" path="m8794,2238l8702,2238,8702,2334,8794,2334,8794,2238m9250,2313l9158,2313,9158,2334,9250,2334,9250,2313e" filled="t" fillcolor="#244060" stroked="f">
              <v:fill type="solid"/>
              <v:path arrowok="t"/>
            </v:shape>
            <v:rect id="_x0000_s1148" style="width:92;height:29;left:9158;position:absolute;top:2283" filled="t" fillcolor="#7e7e7e" stroked="f">
              <v:fill type="solid"/>
            </v:rect>
            <v:shape id="_x0000_s1149" style="width:773;height:27;left:9614;position:absolute;top:2307" coordorigin="9614,2308" coordsize="773,27" path="m9706,2308l9614,2308,9614,2334,9706,2334,9706,2308m9934,2325l9842,2325,9842,2334,9934,2334,9934,2325m10387,2329l10296,2329,10296,2334,10387,2334,10387,2329e" filled="t" fillcolor="#244060" stroked="f">
              <v:fill type="solid"/>
              <v:path arrowok="t"/>
            </v:shape>
            <v:shape id="_x0000_s1150" style="width:46;height:2796;left:10456;position:absolute;top:-462" coordorigin="10456,-462" coordsize="46,2796" path="m10456,2334l10456,-462m10456,2334l10502,2334m10456,1775l10502,1775m10456,1216l10502,1216m10456,657l10502,657m10456,97l10502,97m10456,-462l10502,-462e" filled="f" stroked="t" strokecolor="#858585" strokeweight="0.75pt">
              <v:stroke dashstyle="solid"/>
              <v:path arrowok="t"/>
            </v:shape>
            <v:shape id="_x0000_s1151" style="width:1229;height:70;left:8930;position:absolute;top:2264" coordorigin="8930,2265" coordsize="1229,70" path="m9022,2265l8930,2265,8930,2334,9022,2334,9022,2265m9478,2305l9386,2305,9386,2334,9478,2334,9478,2305m10159,2327l10070,2327,10070,2334,10159,2334,10159,2327e" filled="t" fillcolor="#7e7e7e" stroked="f">
              <v:fill type="solid"/>
              <v:path arrowok="t"/>
            </v:shape>
            <v:shape id="_x0000_s1152" style="width:6829;height:46;left:3627;position:absolute;top:2288" coordorigin="3628,2288" coordsize="6829,46" path="m3628,2334l10456,2334m3628,2288l3628,2334m3854,2288l3854,2334m4082,2288l4082,2334m4310,2288l4310,2334m4538,2288l4538,2334m4766,2288l4766,2334m4994,2288l4994,2334m5220,2288l5220,2334m5448,2288l5448,2334m5676,2288l5676,2334m5904,2288l5904,2334m6132,2288l6132,2334m6360,2288l6360,2334m6586,2288l6586,2334m6814,2288l6814,2334m7042,2288l7042,2334m7270,2288l7270,2334m7498,2288l7498,2334m7726,2288l7726,2334m7954,2288l7954,2334m8179,2288l8179,2334m8407,2288l8407,2334m8635,2288l8635,2334m8863,2288l8863,2334m9091,2288l9091,2334m9319,2288l9319,2334m9545,2288l9545,2334m9773,2288l9773,2334m10001,2288l10001,2334m10229,2288l10229,2334m10456,2288l10456,2334e" filled="f" stroked="t" strokecolor="black" strokeweight="0.75pt">
              <v:stroke dashstyle="solid"/>
              <v:path arrowok="t"/>
            </v:shape>
            <v:line id="_x0000_s1153" style="position:absolute" from="3719,936" to="10365,936" stroked="t" strokecolor="#c00000" strokeweight="2.25pt">
              <v:stroke dashstyle="solid"/>
            </v:line>
            <v:shape id="_x0000_s1154" style="width:6680;height:2876;left:3701;position:absolute;top:-502" coordorigin="3702,-502" coordsize="6680,2876" path="m3781,244l3778,228,3769,216,3757,207,3741,204,3726,207,3713,216,3705,228,3702,244,3705,259,3713,272,3726,280,3741,283,3757,280,3769,272,3778,259,3781,244m4009,1038l4006,1023,3997,1010,3985,1002,3969,998,3954,1002,3941,1010,3933,1023,3930,1038,3933,1053,3941,1066,3954,1074,3969,1078,3985,1074,3997,1066,4006,1053,4009,1038m4237,1153l4234,1138,4225,1125,4213,1117,4197,1114,4182,1117,4169,1125,4161,1138,4158,1153,4161,1169,4169,1181,4182,1190,4197,1193,4213,1190,4225,1181,4234,1169,4237,1153m4465,174l4462,159,4453,146,4441,138,4425,134,4410,138,4397,146,4389,159,4386,174,4389,189,4397,202,4410,210,4425,214,4441,210,4453,202,4462,189,4465,174m4690,1933l4687,1918,4679,1905,4666,1897,4651,1894,4635,1897,4623,1905,4614,1918,4611,1933,4614,1949,4623,1961,4635,1970,4651,1973,4666,1970,4679,1961,4687,1949,4690,1933m4918,359l4915,343,4907,331,4894,322,4879,319,4863,322,4851,331,4842,343,4839,359,4842,374,4851,387,4863,395,4879,398,4894,395,4907,387,4915,374,4918,359m5146,-462l5143,-477,5135,-490,5122,-498,5107,-502,5091,-498,5079,-490,5070,-477,5067,-462,5070,-447,5079,-434,5091,-426,5107,-422,5122,-426,5135,-434,5143,-447,5146,-462m5374,1530l5371,1515,5363,1502,5350,1494,5335,1490,5319,1494,5307,1502,5298,1515,5295,1530,5298,1545,5307,1558,5319,1566,5335,1570,5350,1566,5363,1558,5371,1545,5374,1530m5602,685l5599,670,5591,657,5578,649,5563,646,5547,649,5535,657,5526,670,5523,685,5526,701,5535,713,5547,722,5563,725,5578,722,5591,713,5599,701,5602,685m5830,997l5827,982,5819,969,5806,961,5791,958,5775,961,5763,969,5754,982,5751,997,5754,1013,5763,1025,5775,1034,5791,1037,5806,1034,5819,1025,5827,1013,5830,997m6056,2070l6053,2055,6044,2042,6032,2034,6016,2030,6001,2034,5988,2042,5980,2055,5977,2070,5980,2085,5988,2098,6001,2106,6016,2110,6032,2106,6044,2098,6053,2085,6056,2070m6284,1247l6281,1231,6272,1219,6260,1210,6244,1207,6229,1210,6216,1219,6208,1231,6205,1247,6208,1262,6216,1275,6229,1283,6244,1286,6260,1283,6272,1275,6281,1262,6284,1247m6512,85l6509,70,6500,57,6488,49,6472,46,6457,49,6444,57,6436,70,6433,85,6436,101,6444,113,6457,122,6472,125,6488,122,6500,113,6509,101,6512,85m6740,2236l6737,2220,6728,2208,6716,2199,6700,2196,6685,2199,6672,2208,6664,2220,6661,2236,6664,2251,6672,2264,6685,2272,6700,2275,6716,2272,6728,2264,6737,2251,6740,2236m6968,568l6965,552,6956,540,6944,531,6928,528,6913,531,6900,540,6892,552,6889,568,6892,583,6900,596,6913,604,6928,607,6944,604,6956,596,6965,583,6968,568m7196,222l7193,207,7184,194,7172,186,7156,182,7141,186,7128,194,7120,207,7117,222,7120,237,7128,250,7141,258,7156,262,7172,258,7184,250,7193,237,7196,222m7422,738l7418,723,7410,710,7397,702,7382,698,7367,702,7354,710,7346,723,7342,738,7346,753,7354,766,7367,774,7382,778,7397,774,7410,766,7418,753,7422,738m7650,1472l7646,1457,7638,1444,7625,1436,7610,1433,7595,1436,7582,1444,7574,1457,7570,1472,7574,1488,7582,1500,7595,1509,7610,1512,7625,1509,7638,1500,7646,1488,7650,1472m7878,-462l7874,-477,7866,-490,7853,-498,7838,-502,7823,-498,7810,-490,7802,-477,7798,-462,7802,-447,7810,-434,7823,-426,7838,-422,7853,-426,7866,-434,7874,-447,7878,-462m8106,210l8102,195,8094,182,8081,174,8066,170,8051,174,8038,182,8030,195,8026,210,8030,225,8038,238,8051,246,8066,250,8081,246,8094,238,8102,225,8106,210m8334,419l8330,403,8322,391,8309,382,8294,379,8279,382,8266,391,8258,403,8254,419,8258,434,8266,447,8279,455,8294,458,8309,455,8322,447,8330,434,8334,419m8562,-462l8558,-477,8550,-490,8537,-498,8522,-502,8507,-498,8494,-490,8486,-477,8482,-462,8486,-447,8494,-434,8507,-426,8522,-422,8537,-426,8550,-434,8558,-447,8562,-462m8787,-462l8784,-477,8776,-490,8763,-498,8748,-502,8732,-498,8720,-490,8711,-477,8708,-462,8711,-447,8720,-434,8732,-426,8748,-422,8763,-426,8776,-434,8784,-447,8787,-462m9015,2334l9012,2319,9004,2306,8991,2298,8976,2294,8960,2298,8948,2306,8939,2319,8936,2334,8939,2349,8948,2362,8960,2370,8976,2374,8991,2370,9004,2362,9012,2349,9015,2334m9243,1136l9240,1121,9232,1108,9219,1100,9204,1097,9188,1100,9176,1108,9167,1121,9164,1136,9167,1152,9176,1164,9188,1173,9204,1176,9219,1173,9232,1164,9240,1152,9243,1136m9471,2334l9468,2319,9460,2306,9447,2298,9432,2294,9416,2298,9404,2306,9395,2319,9392,2334,9395,2349,9404,2362,9416,2370,9432,2374,9447,2370,9460,2362,9468,2349,9471,2334m9699,-462l9696,-477,9688,-490,9675,-498,9660,-502,9644,-498,9632,-490,9623,-477,9620,-462,9623,-447,9632,-434,9644,-426,9660,-422,9675,-426,9688,-434,9696,-447,9699,-462m9927,-462l9924,-477,9916,-490,9903,-498,9888,-502,9872,-498,9860,-490,9851,-477,9848,-462,9851,-447,9860,-434,9872,-426,9888,-422,9903,-426,9916,-434,9924,-447,9927,-462m10153,2334l10150,2319,10141,2306,10129,2298,10113,2294,10098,2298,10085,2306,10077,2319,10074,2334,10077,2349,10085,2362,10098,2370,10113,2374,10129,2370,10141,2362,10150,2349,10153,2334m10381,-462l10378,-477,10369,-490,10357,-498,10341,-502,10326,-498,10313,-490,10305,-477,10302,-462,10305,-447,10313,-434,10326,-426,10341,-422,10357,-426,10369,-434,10378,-447,10381,-462e" filled="t" fillcolor="#ffc000" stroked="f">
              <v:fill type="solid"/>
              <v:path arrowok="t"/>
            </v:shape>
          </v:group>
        </w:pict>
      </w:r>
      <w:r>
        <w:rPr>
          <w:rFonts w:ascii="宋体"/>
          <w:sz w:val="16"/>
        </w:rPr>
        <w:t xml:space="preserve">80 </w:t>
      </w:r>
      <w:r>
        <w:rPr>
          <w:rFonts w:ascii="宋体"/>
          <w:spacing w:val="5"/>
          <w:w w:val="100"/>
          <w:sz w:val="16"/>
        </w:rPr>
        <w:drawing>
          <wp:inline distT="0" distB="0" distL="0" distR="0">
            <wp:extent cx="44450" cy="79375"/>
            <wp:effectExtent l="0" t="0" r="0" b="0"/>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45" cstate="print"/>
                    <a:stretch>
                      <a:fillRect/>
                    </a:stretch>
                  </pic:blipFill>
                  <pic:spPr>
                    <a:xfrm>
                      <a:off x="0" y="0"/>
                      <a:ext cx="44450" cy="79375"/>
                    </a:xfrm>
                    <a:prstGeom prst="rect">
                      <a:avLst/>
                    </a:prstGeom>
                  </pic:spPr>
                </pic:pic>
              </a:graphicData>
            </a:graphic>
          </wp:inline>
        </w:drawing>
      </w:r>
    </w:p>
    <w:p>
      <w:pPr>
        <w:pStyle w:val="BodyText"/>
        <w:rPr>
          <w:rFonts w:ascii="宋体"/>
          <w:sz w:val="16"/>
        </w:rPr>
      </w:pPr>
    </w:p>
    <w:p>
      <w:pPr>
        <w:pStyle w:val="BodyText"/>
        <w:spacing w:before="8"/>
        <w:rPr>
          <w:rFonts w:ascii="宋体"/>
          <w:sz w:val="11"/>
        </w:rPr>
      </w:pPr>
    </w:p>
    <w:p>
      <w:pPr>
        <w:spacing w:before="0"/>
        <w:ind w:left="117" w:right="0" w:firstLine="0"/>
        <w:jc w:val="left"/>
        <w:rPr>
          <w:rFonts w:ascii="宋体"/>
          <w:sz w:val="16"/>
        </w:rPr>
      </w:pPr>
      <w:r>
        <w:rPr>
          <w:rFonts w:ascii="宋体"/>
          <w:sz w:val="16"/>
        </w:rPr>
        <w:t xml:space="preserve">60 </w:t>
      </w:r>
      <w:r>
        <w:rPr>
          <w:rFonts w:ascii="宋体"/>
          <w:spacing w:val="5"/>
          <w:w w:val="100"/>
          <w:sz w:val="16"/>
        </w:rPr>
        <w:drawing>
          <wp:inline distT="0" distB="0" distL="0" distR="0">
            <wp:extent cx="44450" cy="79375"/>
            <wp:effectExtent l="0" t="0" r="0" b="0"/>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45" cstate="print"/>
                    <a:stretch>
                      <a:fillRect/>
                    </a:stretch>
                  </pic:blipFill>
                  <pic:spPr>
                    <a:xfrm>
                      <a:off x="0" y="0"/>
                      <a:ext cx="44450" cy="79375"/>
                    </a:xfrm>
                    <a:prstGeom prst="rect">
                      <a:avLst/>
                    </a:prstGeom>
                  </pic:spPr>
                </pic:pic>
              </a:graphicData>
            </a:graphic>
          </wp:inline>
        </w:drawing>
      </w:r>
    </w:p>
    <w:p>
      <w:pPr>
        <w:pStyle w:val="BodyText"/>
        <w:rPr>
          <w:rFonts w:ascii="宋体"/>
          <w:sz w:val="16"/>
        </w:rPr>
      </w:pPr>
    </w:p>
    <w:p>
      <w:pPr>
        <w:spacing w:before="139"/>
        <w:ind w:left="117" w:right="0" w:firstLine="0"/>
        <w:jc w:val="left"/>
        <w:rPr>
          <w:rFonts w:ascii="宋体"/>
          <w:sz w:val="16"/>
        </w:rPr>
      </w:pPr>
      <w:r>
        <w:rPr>
          <w:rFonts w:ascii="宋体"/>
          <w:position w:val="1"/>
          <w:sz w:val="16"/>
        </w:rPr>
        <w:t xml:space="preserve">40 </w:t>
      </w:r>
      <w:r>
        <w:rPr>
          <w:rFonts w:ascii="宋体"/>
          <w:spacing w:val="5"/>
          <w:w w:val="100"/>
          <w:sz w:val="16"/>
        </w:rPr>
        <w:drawing>
          <wp:inline distT="0" distB="0" distL="0" distR="0">
            <wp:extent cx="44450" cy="79375"/>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45" cstate="print"/>
                    <a:stretch>
                      <a:fillRect/>
                    </a:stretch>
                  </pic:blipFill>
                  <pic:spPr>
                    <a:xfrm>
                      <a:off x="0" y="0"/>
                      <a:ext cx="44450" cy="79375"/>
                    </a:xfrm>
                    <a:prstGeom prst="rect">
                      <a:avLst/>
                    </a:prstGeom>
                  </pic:spPr>
                </pic:pic>
              </a:graphicData>
            </a:graphic>
          </wp:inline>
        </w:drawing>
      </w:r>
    </w:p>
    <w:p>
      <w:pPr>
        <w:pStyle w:val="BodyText"/>
        <w:rPr>
          <w:rFonts w:ascii="宋体"/>
          <w:sz w:val="16"/>
        </w:rPr>
      </w:pPr>
    </w:p>
    <w:p>
      <w:pPr>
        <w:pStyle w:val="BodyText"/>
        <w:spacing w:before="9"/>
        <w:rPr>
          <w:rFonts w:ascii="宋体"/>
          <w:sz w:val="11"/>
        </w:rPr>
      </w:pPr>
    </w:p>
    <w:p>
      <w:pPr>
        <w:spacing w:before="0"/>
        <w:ind w:left="117" w:right="0" w:firstLine="0"/>
        <w:jc w:val="left"/>
        <w:rPr>
          <w:rFonts w:ascii="宋体"/>
          <w:sz w:val="16"/>
        </w:rPr>
      </w:pPr>
      <w:r>
        <w:rPr>
          <w:rFonts w:ascii="宋体"/>
          <w:position w:val="1"/>
          <w:sz w:val="16"/>
        </w:rPr>
        <w:t xml:space="preserve">20 </w:t>
      </w:r>
      <w:r>
        <w:rPr>
          <w:rFonts w:ascii="宋体"/>
          <w:spacing w:val="5"/>
          <w:w w:val="100"/>
          <w:sz w:val="16"/>
        </w:rPr>
        <w:drawing>
          <wp:inline distT="0" distB="0" distL="0" distR="0">
            <wp:extent cx="44450" cy="79375"/>
            <wp:effectExtent l="0" t="0" r="0" b="0"/>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45" cstate="print"/>
                    <a:stretch>
                      <a:fillRect/>
                    </a:stretch>
                  </pic:blipFill>
                  <pic:spPr>
                    <a:xfrm>
                      <a:off x="0" y="0"/>
                      <a:ext cx="44450" cy="79375"/>
                    </a:xfrm>
                    <a:prstGeom prst="rect">
                      <a:avLst/>
                    </a:prstGeom>
                  </pic:spPr>
                </pic:pic>
              </a:graphicData>
            </a:graphic>
          </wp:inline>
        </w:drawing>
      </w:r>
    </w:p>
    <w:p>
      <w:pPr>
        <w:pStyle w:val="BodyText"/>
        <w:rPr>
          <w:rFonts w:ascii="宋体"/>
          <w:sz w:val="16"/>
        </w:rPr>
      </w:pPr>
    </w:p>
    <w:p>
      <w:pPr>
        <w:pStyle w:val="BodyText"/>
        <w:rPr>
          <w:rFonts w:ascii="宋体"/>
          <w:sz w:val="12"/>
        </w:rPr>
      </w:pPr>
    </w:p>
    <w:p>
      <w:pPr>
        <w:spacing w:before="0"/>
        <w:ind w:left="117" w:right="0" w:firstLine="0"/>
        <w:jc w:val="left"/>
        <w:rPr>
          <w:rFonts w:ascii="宋体" w:hAnsi="宋体"/>
          <w:sz w:val="16"/>
        </w:rPr>
      </w:pPr>
      <w:r>
        <w:drawing>
          <wp:anchor distT="0" distB="0" distL="0" distR="0" simplePos="0" relativeHeight="251688960" behindDoc="1" locked="0" layoutInCell="1" allowOverlap="1">
            <wp:simplePos x="0" y="0"/>
            <wp:positionH relativeFrom="page">
              <wp:posOffset>6774306</wp:posOffset>
            </wp:positionH>
            <wp:positionV relativeFrom="paragraph">
              <wp:posOffset>25399</wp:posOffset>
            </wp:positionV>
            <wp:extent cx="44450" cy="79375"/>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45" cstate="print"/>
                    <a:stretch>
                      <a:fillRect/>
                    </a:stretch>
                  </pic:blipFill>
                  <pic:spPr>
                    <a:xfrm>
                      <a:off x="0" y="0"/>
                      <a:ext cx="44450" cy="79375"/>
                    </a:xfrm>
                    <a:prstGeom prst="rect">
                      <a:avLst/>
                    </a:prstGeom>
                  </pic:spPr>
                </pic:pic>
              </a:graphicData>
            </a:graphic>
          </wp:anchor>
        </w:drawing>
      </w:r>
      <w:r>
        <w:rPr>
          <w:rFonts w:ascii="宋体" w:hAnsi="宋体"/>
          <w:sz w:val="16"/>
        </w:rPr>
        <w:t>0</w:t>
      </w:r>
    </w:p>
    <w:p>
      <w:pPr>
        <w:spacing w:after="0"/>
        <w:jc w:val="left"/>
        <w:rPr>
          <w:rFonts w:ascii="宋体" w:hAnsi="宋体"/>
          <w:sz w:val="16"/>
        </w:rPr>
        <w:sectPr>
          <w:headerReference w:type="default" r:id="rId46"/>
          <w:footerReference w:type="default" r:id="rId47"/>
          <w:type w:val="continuous"/>
          <w:pgSz w:w="11910" w:h="16840"/>
          <w:pgMar w:top="1320" w:right="0" w:bottom="660" w:left="180" w:header="708" w:footer="708"/>
          <w:pgNumType w:start="16"/>
          <w:cols w:num="3" w:space="708" w:equalWidth="0">
            <w:col w:w="3324" w:space="40"/>
            <w:col w:w="6883" w:space="39"/>
            <w:col w:w="1444" w:space="0"/>
          </w:cols>
        </w:sectPr>
      </w:pPr>
    </w:p>
    <w:p>
      <w:pPr>
        <w:tabs>
          <w:tab w:val="left" w:pos="9857"/>
        </w:tabs>
        <w:spacing w:before="0" w:line="170" w:lineRule="exact"/>
        <w:ind w:left="7353" w:right="0" w:firstLine="0"/>
        <w:jc w:val="left"/>
        <w:rPr>
          <w:rFonts w:ascii="宋体" w:eastAsia="宋体" w:hint="eastAsia"/>
          <w:sz w:val="16"/>
        </w:rPr>
      </w:pPr>
      <w:r>
        <w:pict>
          <v:shape id="_x0000_s1155" style="width:409.1pt;height:0.1pt;margin-top:12.75pt;margin-left:143.06pt;mso-position-horizontal-relative:page;mso-wrap-distance-left:0;mso-wrap-distance-right:0;position:absolute;z-index:-251625472" coordorigin="2861,255" coordsize="8182,0" path="m2861,255l11042,255e" filled="f" stroked="t" strokecolor="#013e96" strokeweight="0.48pt">
            <v:stroke dashstyle="solid"/>
            <v:path arrowok="t"/>
            <w10:wrap type="topAndBottom"/>
          </v:shape>
        </w:pict>
      </w:r>
      <w:r>
        <w:rPr>
          <w:rFonts w:ascii="宋体" w:eastAsia="宋体" w:hint="eastAsia"/>
          <w:sz w:val="16"/>
        </w:rPr>
        <w:t>江</w:t>
        <w:tab/>
        <w:t>古</w:t>
      </w:r>
    </w:p>
    <w:p>
      <w:pPr>
        <w:spacing w:before="14"/>
        <w:ind w:left="2789" w:right="0" w:firstLine="0"/>
        <w:jc w:val="left"/>
        <w:rPr>
          <w:i/>
          <w:sz w:val="17"/>
        </w:rPr>
      </w:pPr>
      <w:r>
        <w:t xml:space="preserve">来源： ， </w:t>
      </w:r>
    </w:p>
    <w:p>
      <w:pPr>
        <w:pStyle w:val="BodyText"/>
        <w:spacing w:before="4"/>
        <w:rPr>
          <w:i/>
          <w:sz w:val="14"/>
        </w:rPr>
      </w:pPr>
    </w:p>
    <w:p>
      <w:pPr>
        <w:pStyle w:val="BodyText"/>
        <w:spacing w:line="319" w:lineRule="auto"/>
        <w:ind w:left="3192" w:right="624" w:firstLine="442"/>
      </w:pPr>
      <w:r>
        <w:rPr>
          <w:b/>
          <w:spacing w:val="-8"/>
        </w:rPr>
        <w:t xml:space="preserve">城农商行二永债主体评级大部分较高，债项隐含评级多集中在 </w:t>
      </w:r>
      <w:r>
        <w:rPr>
          <w:rFonts w:ascii="Arial" w:eastAsia="Arial"/>
          <w:b/>
          <w:spacing w:val="-2"/>
        </w:rPr>
        <w:t>AA+</w:t>
      </w:r>
      <w:r>
        <w:rPr>
          <w:b/>
          <w:spacing w:val="-27"/>
        </w:rPr>
        <w:t xml:space="preserve">和 </w:t>
      </w:r>
      <w:r>
        <w:rPr>
          <w:rFonts w:ascii="Arial" w:eastAsia="Arial"/>
          <w:b/>
        </w:rPr>
        <w:t xml:space="preserve">AA </w:t>
      </w:r>
      <w:r>
        <w:rPr>
          <w:b/>
          <w:spacing w:val="-6"/>
        </w:rPr>
        <w:t>级。</w:t>
      </w:r>
      <w:r>
        <w:rPr>
          <w:spacing w:val="-4"/>
        </w:rPr>
        <w:t xml:space="preserve">目前存续城农商行二永债的发行主体评级大多为中高等级，其中 </w:t>
      </w:r>
      <w:r>
        <w:rPr>
          <w:rFonts w:ascii="Arial" w:eastAsia="Arial"/>
        </w:rPr>
        <w:t xml:space="preserve">4021 </w:t>
      </w:r>
      <w:r>
        <w:rPr>
          <w:spacing w:val="-2"/>
        </w:rPr>
        <w:t>亿元二级资</w:t>
      </w:r>
      <w:r>
        <w:rPr>
          <w:spacing w:val="-4"/>
        </w:rPr>
        <w:t xml:space="preserve">本债和 </w:t>
      </w:r>
      <w:r>
        <w:rPr>
          <w:rFonts w:ascii="Arial" w:eastAsia="Arial"/>
          <w:spacing w:val="-5"/>
        </w:rPr>
        <w:t xml:space="preserve">3311 </w:t>
      </w:r>
      <w:r>
        <w:rPr>
          <w:spacing w:val="-4"/>
        </w:rPr>
        <w:t xml:space="preserve">亿元永续债的发行主体为 </w:t>
      </w:r>
      <w:r>
        <w:rPr>
          <w:rFonts w:ascii="Arial" w:eastAsia="Arial"/>
        </w:rPr>
        <w:t xml:space="preserve">AAA </w:t>
      </w:r>
      <w:r>
        <w:rPr>
          <w:spacing w:val="-2"/>
        </w:rPr>
        <w:t>级别，</w:t>
      </w:r>
      <w:r>
        <w:rPr>
          <w:rFonts w:ascii="Arial" w:eastAsia="Arial"/>
        </w:rPr>
        <w:t>91%</w:t>
      </w:r>
      <w:r>
        <w:rPr>
          <w:spacing w:val="-3"/>
        </w:rPr>
        <w:t>的二永债主体评级在</w:t>
      </w:r>
      <w:r>
        <w:rPr>
          <w:rFonts w:ascii="Arial" w:eastAsia="Arial"/>
        </w:rPr>
        <w:t>AA+</w:t>
      </w:r>
      <w:r>
        <w:rPr>
          <w:spacing w:val="-1"/>
        </w:rPr>
        <w:t>及以上。</w:t>
      </w:r>
      <w:r>
        <w:rPr>
          <w:spacing w:val="-4"/>
          <w:u w:val="single"/>
        </w:rPr>
        <w:t>相比而言债项隐含评级大多都比主体评级低一等级，因此城农商行二</w:t>
      </w:r>
      <w:r>
        <w:rPr>
          <w:spacing w:val="-69"/>
          <w:u w:val="single"/>
        </w:rPr>
        <w:t>永债隐</w:t>
      </w:r>
      <w:r>
        <w:rPr>
          <w:spacing w:val="-6"/>
          <w:u w:val="single"/>
        </w:rPr>
        <w:t xml:space="preserve">含债项评级最高为 </w:t>
      </w:r>
      <w:r>
        <w:rPr>
          <w:rFonts w:ascii="Arial" w:eastAsia="Arial"/>
          <w:u w:val="single"/>
        </w:rPr>
        <w:t>AA+</w:t>
      </w:r>
      <w:r>
        <w:rPr>
          <w:u w:val="single"/>
        </w:rPr>
        <w:t>级别</w:t>
      </w:r>
      <w:r>
        <w:rPr>
          <w:spacing w:val="-7"/>
        </w:rPr>
        <w:t xml:space="preserve">，规模为 </w:t>
      </w:r>
      <w:r>
        <w:rPr>
          <w:rFonts w:ascii="Arial" w:eastAsia="Arial"/>
        </w:rPr>
        <w:t xml:space="preserve">3095 </w:t>
      </w:r>
      <w:r>
        <w:t>亿元，</w:t>
      </w:r>
      <w:r>
        <w:rPr>
          <w:rFonts w:ascii="Arial" w:eastAsia="Arial"/>
        </w:rPr>
        <w:t xml:space="preserve">AA </w:t>
      </w:r>
      <w:r>
        <w:rPr>
          <w:spacing w:val="-2"/>
        </w:rPr>
        <w:t>级及以上规模合计占比约</w:t>
      </w:r>
      <w:r>
        <w:rPr>
          <w:spacing w:val="-55"/>
        </w:rPr>
        <w:t xml:space="preserve"> </w:t>
      </w:r>
      <w:r>
        <w:rPr>
          <w:rFonts w:ascii="Arial" w:eastAsia="Arial"/>
        </w:rPr>
        <w:t>64%</w:t>
      </w:r>
      <w:r>
        <w:t>。</w:t>
      </w:r>
    </w:p>
    <w:p>
      <w:pPr>
        <w:pStyle w:val="BodyText"/>
        <w:spacing w:before="2"/>
        <w:rPr>
          <w:sz w:val="14"/>
        </w:rPr>
      </w:pPr>
    </w:p>
    <w:p>
      <w:pPr>
        <w:tabs>
          <w:tab w:val="left" w:pos="6025"/>
        </w:tabs>
        <w:spacing w:before="0"/>
        <w:ind w:left="780" w:right="0" w:firstLine="0"/>
        <w:jc w:val="left"/>
        <w:rPr>
          <w:rFonts w:ascii="宋体" w:eastAsia="宋体" w:hint="eastAsia"/>
          <w:sz w:val="17"/>
        </w:rPr>
      </w:pPr>
      <w:r>
        <w:pict>
          <v:shape id="_x0000_s1156" style="width:248.1pt;height:0.1pt;margin-top:15.7pt;margin-left:42.6pt;mso-position-horizontal-relative:page;mso-wrap-distance-left:0;mso-wrap-distance-right:0;position:absolute;z-index:-251624448" coordorigin="852,314" coordsize="4962,0" path="m852,314l5814,314e" filled="f" stroked="t" strokecolor="#013e96" strokeweight="0.48pt">
            <v:stroke dashstyle="solid"/>
            <v:path arrowok="t"/>
            <w10:wrap type="topAndBottom"/>
          </v:shape>
        </w:pict>
      </w:r>
      <w:r>
        <w:pict>
          <v:shape id="_x0000_s1157" style="width:248.25pt;height:0.1pt;margin-top:15.7pt;margin-left:304.87pt;mso-position-horizontal-relative:page;mso-wrap-distance-left:0;mso-wrap-distance-right:0;position:absolute;z-index:-251623424" coordorigin="6097,314" coordsize="4965,0" path="m6097,314l11062,314e" filled="f" stroked="t" strokecolor="#013e96" strokeweight="0.48pt">
            <v:stroke dashstyle="solid"/>
            <v:path arrowok="t"/>
            <w10:wrap type="topAndBottom"/>
          </v:shape>
        </w:pict>
      </w:r>
      <w:r>
        <w:rPr>
          <w:rFonts w:ascii="宋体" w:eastAsia="宋体" w:hint="eastAsia"/>
          <w:color w:val="004097"/>
          <w:sz w:val="17"/>
        </w:rPr>
        <w:t>图表</w:t>
      </w:r>
      <w:r>
        <w:rPr>
          <w:rFonts w:ascii="宋体" w:eastAsia="宋体" w:hint="eastAsia"/>
          <w:color w:val="004097"/>
          <w:spacing w:val="-70"/>
          <w:sz w:val="17"/>
        </w:rPr>
        <w:t xml:space="preserve"> </w:t>
      </w:r>
      <w:r>
        <w:rPr>
          <w:rFonts w:ascii="Tahoma" w:eastAsia="Tahoma"/>
          <w:i/>
          <w:color w:val="004097"/>
          <w:sz w:val="17"/>
        </w:rPr>
        <w:t>6</w:t>
      </w:r>
      <w:r>
        <w:rPr>
          <w:rFonts w:ascii="宋体" w:eastAsia="宋体" w:hint="eastAsia"/>
          <w:color w:val="004097"/>
          <w:sz w:val="17"/>
        </w:rPr>
        <w:t>：</w:t>
      </w:r>
      <w:r>
        <w:rPr>
          <w:rFonts w:ascii="宋体" w:eastAsia="宋体" w:hint="eastAsia"/>
          <w:color w:val="004097"/>
          <w:spacing w:val="-3"/>
          <w:sz w:val="17"/>
        </w:rPr>
        <w:t>发</w:t>
      </w:r>
      <w:r>
        <w:rPr>
          <w:rFonts w:ascii="宋体" w:eastAsia="宋体" w:hint="eastAsia"/>
          <w:color w:val="004097"/>
          <w:sz w:val="17"/>
        </w:rPr>
        <w:t>行</w:t>
      </w:r>
      <w:r>
        <w:rPr>
          <w:rFonts w:ascii="宋体" w:eastAsia="宋体" w:hint="eastAsia"/>
          <w:color w:val="004097"/>
          <w:spacing w:val="-51"/>
          <w:sz w:val="17"/>
        </w:rPr>
        <w:t>人</w:t>
      </w:r>
      <w:r>
        <w:rPr>
          <w:rFonts w:ascii="仿宋" w:eastAsia="仿宋" w:hint="eastAsia"/>
          <w:color w:val="BFBFBF"/>
          <w:position w:val="1"/>
          <w:sz w:val="2"/>
        </w:rPr>
        <w:t>华福</w:t>
      </w:r>
      <w:r>
        <w:rPr>
          <w:rFonts w:ascii="仿宋" w:eastAsia="仿宋" w:hint="eastAsia"/>
          <w:color w:val="BFBFBF"/>
          <w:spacing w:val="-10"/>
          <w:position w:val="1"/>
          <w:sz w:val="2"/>
        </w:rPr>
        <w:t>证</w:t>
      </w:r>
      <w:r>
        <w:rPr>
          <w:rFonts w:ascii="宋体" w:eastAsia="宋体" w:hint="eastAsia"/>
          <w:color w:val="004097"/>
          <w:spacing w:val="-151"/>
          <w:sz w:val="17"/>
        </w:rPr>
        <w:t>主</w:t>
      </w:r>
      <w:r>
        <w:rPr>
          <w:rFonts w:ascii="仿宋" w:eastAsia="仿宋" w:hint="eastAsia"/>
          <w:color w:val="BFBFBF"/>
          <w:position w:val="1"/>
          <w:sz w:val="2"/>
        </w:rPr>
        <w:t xml:space="preserve">券    </w:t>
      </w:r>
      <w:r>
        <w:rPr>
          <w:rFonts w:ascii="仿宋" w:eastAsia="仿宋" w:hint="eastAsia"/>
          <w:color w:val="BFBFBF"/>
          <w:spacing w:val="3"/>
          <w:position w:val="1"/>
          <w:sz w:val="2"/>
        </w:rPr>
        <w:t xml:space="preserve"> </w:t>
      </w:r>
      <w:r>
        <w:rPr>
          <w:rFonts w:ascii="宋体" w:eastAsia="宋体" w:hint="eastAsia"/>
          <w:color w:val="004097"/>
          <w:sz w:val="17"/>
        </w:rPr>
        <w:t>体评</w:t>
      </w:r>
      <w:r>
        <w:rPr>
          <w:rFonts w:ascii="宋体" w:eastAsia="宋体" w:hint="eastAsia"/>
          <w:color w:val="004097"/>
          <w:spacing w:val="-3"/>
          <w:sz w:val="17"/>
        </w:rPr>
        <w:t>级</w:t>
      </w:r>
      <w:r>
        <w:rPr>
          <w:rFonts w:ascii="宋体" w:eastAsia="宋体" w:hint="eastAsia"/>
          <w:color w:val="004097"/>
          <w:sz w:val="17"/>
        </w:rPr>
        <w:t>分布</w:t>
      </w:r>
      <w:r>
        <w:rPr>
          <w:rFonts w:ascii="宋体" w:eastAsia="宋体" w:hint="eastAsia"/>
          <w:color w:val="004097"/>
          <w:spacing w:val="-3"/>
          <w:sz w:val="17"/>
        </w:rPr>
        <w:t>情况</w:t>
      </w:r>
      <w:r>
        <w:rPr>
          <w:rFonts w:ascii="宋体" w:eastAsia="宋体" w:hint="eastAsia"/>
          <w:color w:val="004097"/>
          <w:sz w:val="17"/>
        </w:rPr>
        <w:t>（亿元）</w:t>
        <w:tab/>
        <w:t>图表</w:t>
      </w:r>
      <w:r>
        <w:rPr>
          <w:rFonts w:ascii="宋体" w:eastAsia="宋体" w:hint="eastAsia"/>
          <w:color w:val="004097"/>
          <w:spacing w:val="-49"/>
          <w:sz w:val="17"/>
        </w:rPr>
        <w:t xml:space="preserve"> </w:t>
      </w:r>
      <w:r>
        <w:rPr>
          <w:rFonts w:ascii="Tahoma" w:eastAsia="Tahoma"/>
          <w:i/>
          <w:color w:val="004097"/>
          <w:sz w:val="17"/>
        </w:rPr>
        <w:t>7</w:t>
      </w:r>
      <w:r>
        <w:rPr>
          <w:rFonts w:ascii="宋体" w:eastAsia="宋体" w:hint="eastAsia"/>
          <w:color w:val="004097"/>
          <w:sz w:val="17"/>
        </w:rPr>
        <w:t>：</w:t>
      </w:r>
      <w:r>
        <w:rPr>
          <w:rFonts w:ascii="宋体" w:eastAsia="宋体" w:hint="eastAsia"/>
          <w:color w:val="004097"/>
          <w:spacing w:val="-3"/>
          <w:sz w:val="17"/>
        </w:rPr>
        <w:t>债</w:t>
      </w:r>
      <w:r>
        <w:rPr>
          <w:rFonts w:ascii="宋体" w:eastAsia="宋体" w:hint="eastAsia"/>
          <w:color w:val="004097"/>
          <w:sz w:val="17"/>
        </w:rPr>
        <w:t>项隐</w:t>
      </w:r>
      <w:r>
        <w:rPr>
          <w:rFonts w:ascii="宋体" w:eastAsia="宋体" w:hint="eastAsia"/>
          <w:color w:val="004097"/>
          <w:spacing w:val="-3"/>
          <w:sz w:val="17"/>
        </w:rPr>
        <w:t>含</w:t>
      </w:r>
      <w:r>
        <w:rPr>
          <w:rFonts w:ascii="宋体" w:eastAsia="宋体" w:hint="eastAsia"/>
          <w:color w:val="004097"/>
          <w:sz w:val="17"/>
        </w:rPr>
        <w:t>评级</w:t>
      </w:r>
      <w:r>
        <w:rPr>
          <w:rFonts w:ascii="宋体" w:eastAsia="宋体" w:hint="eastAsia"/>
          <w:color w:val="004097"/>
          <w:spacing w:val="-3"/>
          <w:sz w:val="17"/>
        </w:rPr>
        <w:t>情</w:t>
      </w:r>
      <w:r>
        <w:rPr>
          <w:rFonts w:ascii="宋体" w:eastAsia="宋体" w:hint="eastAsia"/>
          <w:color w:val="004097"/>
          <w:sz w:val="17"/>
        </w:rPr>
        <w:t>况（</w:t>
      </w:r>
      <w:r>
        <w:rPr>
          <w:rFonts w:ascii="宋体" w:eastAsia="宋体" w:hint="eastAsia"/>
          <w:color w:val="004097"/>
          <w:spacing w:val="-3"/>
          <w:sz w:val="17"/>
        </w:rPr>
        <w:t>亿元</w:t>
      </w:r>
      <w:r>
        <w:rPr>
          <w:rFonts w:ascii="宋体" w:eastAsia="宋体" w:hint="eastAsia"/>
          <w:color w:val="004097"/>
          <w:sz w:val="17"/>
        </w:rPr>
        <w:t>）</w:t>
      </w:r>
    </w:p>
    <w:p>
      <w:pPr>
        <w:pStyle w:val="BodyText"/>
        <w:rPr>
          <w:rFonts w:ascii="宋体"/>
          <w:sz w:val="16"/>
        </w:rPr>
      </w:pPr>
    </w:p>
    <w:p>
      <w:pPr>
        <w:spacing w:after="0"/>
        <w:rPr>
          <w:rFonts w:ascii="宋体"/>
          <w:sz w:val="16"/>
        </w:rPr>
        <w:sectPr>
          <w:headerReference w:type="default" r:id="rId48"/>
          <w:footerReference w:type="default" r:id="rId49"/>
          <w:type w:val="continuous"/>
          <w:pgSz w:w="11910" w:h="16840"/>
          <w:pgMar w:top="1320" w:right="0" w:bottom="660" w:left="180" w:header="708" w:footer="708"/>
          <w:pgNumType w:start="17"/>
          <w:cols w:space="708"/>
        </w:sectPr>
      </w:pPr>
    </w:p>
    <w:p>
      <w:pPr>
        <w:pStyle w:val="BodyText"/>
        <w:rPr>
          <w:rFonts w:ascii="宋体"/>
          <w:sz w:val="16"/>
        </w:rPr>
      </w:pPr>
    </w:p>
    <w:p>
      <w:pPr>
        <w:pStyle w:val="BodyText"/>
        <w:spacing w:before="1"/>
        <w:rPr>
          <w:rFonts w:ascii="宋体"/>
        </w:rPr>
      </w:pPr>
    </w:p>
    <w:p>
      <w:pPr>
        <w:spacing w:before="0"/>
        <w:ind w:left="0" w:right="0" w:firstLine="0"/>
        <w:jc w:val="right"/>
        <w:rPr>
          <w:rFonts w:ascii="宋体"/>
          <w:sz w:val="16"/>
        </w:rPr>
      </w:pPr>
      <w:r>
        <w:pict>
          <v:rect id="_x0000_s1158" style="width:3.6pt;height:3.6pt;margin-top:-10.37pt;margin-left:95.08pt;mso-position-horizontal-relative:page;position:absolute;z-index:251699200" filled="t" fillcolor="#375f92" stroked="f">
            <v:fill type="solid"/>
          </v:rect>
        </w:pict>
      </w:r>
      <w:r>
        <w:pict>
          <v:rect id="_x0000_s1159" style="width:3.6pt;height:3.6pt;margin-top:-10.37pt;margin-left:188.09pt;mso-position-horizontal-relative:page;position:absolute;z-index:-251622400" filled="t" fillcolor="#7e7e7e" stroked="f">
            <v:fill type="solid"/>
          </v:rect>
        </w:pict>
      </w:r>
      <w:r>
        <w:rPr>
          <w:rFonts w:ascii="宋体"/>
          <w:spacing w:val="-1"/>
          <w:sz w:val="16"/>
        </w:rPr>
        <w:t>5000</w:t>
      </w:r>
    </w:p>
    <w:p>
      <w:pPr>
        <w:pStyle w:val="BodyText"/>
        <w:spacing w:before="4"/>
        <w:rPr>
          <w:rFonts w:ascii="宋体"/>
          <w:sz w:val="11"/>
        </w:rPr>
      </w:pPr>
    </w:p>
    <w:p>
      <w:pPr>
        <w:spacing w:before="0"/>
        <w:ind w:left="0" w:right="0" w:firstLine="0"/>
        <w:jc w:val="right"/>
        <w:rPr>
          <w:rFonts w:ascii="宋体"/>
          <w:sz w:val="16"/>
        </w:rPr>
      </w:pPr>
      <w:r>
        <w:rPr>
          <w:rFonts w:ascii="宋体"/>
          <w:spacing w:val="-1"/>
          <w:sz w:val="16"/>
        </w:rPr>
        <w:t>4000</w:t>
      </w:r>
    </w:p>
    <w:p>
      <w:pPr>
        <w:pStyle w:val="BodyText"/>
        <w:spacing w:before="3"/>
        <w:rPr>
          <w:rFonts w:ascii="宋体"/>
          <w:sz w:val="11"/>
        </w:rPr>
      </w:pPr>
    </w:p>
    <w:p>
      <w:pPr>
        <w:spacing w:before="0"/>
        <w:ind w:left="0" w:right="0" w:firstLine="0"/>
        <w:jc w:val="right"/>
        <w:rPr>
          <w:rFonts w:ascii="宋体"/>
          <w:sz w:val="16"/>
        </w:rPr>
      </w:pPr>
      <w:r>
        <w:rPr>
          <w:rFonts w:ascii="宋体"/>
          <w:spacing w:val="-1"/>
          <w:sz w:val="16"/>
        </w:rPr>
        <w:t>3000</w:t>
      </w:r>
    </w:p>
    <w:p>
      <w:pPr>
        <w:pStyle w:val="BodyText"/>
        <w:spacing w:before="10"/>
        <w:rPr>
          <w:rFonts w:ascii="宋体"/>
          <w:sz w:val="16"/>
        </w:rPr>
      </w:pPr>
      <w:r>
        <w:br w:type="column"/>
      </w:r>
    </w:p>
    <w:p>
      <w:pPr>
        <w:tabs>
          <w:tab w:val="left" w:pos="2513"/>
        </w:tabs>
        <w:spacing w:before="0"/>
        <w:ind w:left="653" w:right="0" w:firstLine="0"/>
        <w:jc w:val="left"/>
        <w:rPr>
          <w:rFonts w:ascii="宋体" w:eastAsia="宋体" w:hint="eastAsia"/>
          <w:sz w:val="16"/>
        </w:rPr>
      </w:pPr>
      <w:r>
        <w:pict>
          <v:rect id="_x0000_s1160" style="width:3.6pt;height:3.6pt;margin-top:-3.58pt;margin-left:367.19pt;mso-position-horizontal-relative:page;position:absolute;z-index:251700224" filled="t" fillcolor="#1f4e79" stroked="f">
            <v:fill type="solid"/>
          </v:rect>
        </w:pict>
      </w:r>
      <w:r>
        <w:pict>
          <v:rect id="_x0000_s1161" style="width:3.6pt;height:3.6pt;margin-top:-3.58pt;margin-left:403.82pt;mso-position-horizontal-relative:page;position:absolute;z-index:-251621376" filled="t" fillcolor="#2d75b6" stroked="f">
            <v:fill type="solid"/>
          </v:rect>
        </w:pict>
      </w:r>
      <w:r>
        <w:pict>
          <v:rect id="_x0000_s1162" style="width:3.6pt;height:3.6pt;margin-top:-3.58pt;margin-left:436.44pt;mso-position-horizontal-relative:page;position:absolute;z-index:-251620352" filled="t" fillcolor="#7e7e7e" stroked="f">
            <v:fill type="solid"/>
          </v:rect>
        </w:pict>
      </w:r>
      <w:r>
        <w:pict>
          <v:rect id="_x0000_s1163" style="width:3.6pt;height:3.6pt;margin-top:-3.58pt;margin-left:473.06pt;mso-position-horizontal-relative:page;position:absolute;z-index:-251619328" filled="t" fillcolor="#bebebe" stroked="f">
            <v:fill type="solid"/>
          </v:rect>
        </w:pict>
      </w:r>
      <w:r>
        <w:rPr>
          <w:rFonts w:ascii="宋体" w:eastAsia="宋体" w:hint="eastAsia"/>
          <w:sz w:val="16"/>
        </w:rPr>
        <w:t>商业银</w:t>
      </w:r>
      <w:r>
        <w:rPr>
          <w:rFonts w:ascii="宋体" w:eastAsia="宋体" w:hint="eastAsia"/>
          <w:spacing w:val="-3"/>
          <w:sz w:val="16"/>
        </w:rPr>
        <w:t>行</w:t>
      </w:r>
      <w:r>
        <w:rPr>
          <w:rFonts w:ascii="宋体" w:eastAsia="宋体" w:hint="eastAsia"/>
          <w:sz w:val="16"/>
        </w:rPr>
        <w:t>二级</w:t>
      </w:r>
      <w:r>
        <w:rPr>
          <w:rFonts w:ascii="宋体" w:eastAsia="宋体" w:hint="eastAsia"/>
          <w:spacing w:val="-3"/>
          <w:sz w:val="16"/>
        </w:rPr>
        <w:t>资</w:t>
      </w:r>
      <w:r>
        <w:rPr>
          <w:rFonts w:ascii="宋体" w:eastAsia="宋体" w:hint="eastAsia"/>
          <w:sz w:val="16"/>
        </w:rPr>
        <w:t>本债</w:t>
        <w:tab/>
        <w:t>商业银</w:t>
      </w:r>
      <w:r>
        <w:rPr>
          <w:rFonts w:ascii="宋体" w:eastAsia="宋体" w:hint="eastAsia"/>
          <w:spacing w:val="-3"/>
          <w:sz w:val="16"/>
        </w:rPr>
        <w:t>行</w:t>
      </w:r>
      <w:r>
        <w:rPr>
          <w:rFonts w:ascii="宋体" w:eastAsia="宋体" w:hint="eastAsia"/>
          <w:sz w:val="16"/>
        </w:rPr>
        <w:t>永续债</w:t>
      </w:r>
    </w:p>
    <w:p>
      <w:pPr>
        <w:pStyle w:val="BodyText"/>
        <w:spacing w:before="3"/>
        <w:rPr>
          <w:rFonts w:ascii="宋体"/>
          <w:sz w:val="23"/>
        </w:rPr>
      </w:pPr>
      <w:r>
        <w:br w:type="column"/>
      </w:r>
    </w:p>
    <w:p>
      <w:pPr>
        <w:spacing w:before="0"/>
        <w:ind w:left="0" w:right="38" w:firstLine="0"/>
        <w:jc w:val="right"/>
        <w:rPr>
          <w:rFonts w:ascii="宋体"/>
          <w:sz w:val="16"/>
        </w:rPr>
      </w:pPr>
      <w:r>
        <w:pict>
          <v:group id="_x0000_s1164" style="width:211.1pt;height:88.1pt;margin-top:14.23pt;margin-left:69.45pt;mso-position-horizontal-relative:page;position:absolute;z-index:251698176" coordorigin="1389,285" coordsize="4222,1762">
            <v:rect id="_x0000_s1165" style="width:240;height:1404;left:1612;position:absolute;top:634" filled="t" fillcolor="#375f92" stroked="f">
              <v:fill type="solid"/>
            </v:rect>
            <v:rect id="_x0000_s1166" style="width:238;height:1157;left:1852;position:absolute;top:882" filled="t" fillcolor="#7e7e7e" stroked="f">
              <v:fill type="solid"/>
            </v:rect>
            <v:rect id="_x0000_s1167" style="width:238;height:365;left:2448;position:absolute;top:1674" filled="t" fillcolor="#375f92" stroked="f">
              <v:fill type="solid"/>
            </v:rect>
            <v:rect id="_x0000_s1168" style="width:238;height:303;left:2685;position:absolute;top:1736" filled="t" fillcolor="#7e7e7e" stroked="f">
              <v:fill type="solid"/>
            </v:rect>
            <v:line id="_x0000_s1169" style="position:absolute" from="3281,1981" to="3518,1981" stroked="t" strokecolor="#375f92" strokeweight="5.76pt">
              <v:stroke dashstyle="solid"/>
            </v:line>
            <v:line id="_x0000_s1170" style="position:absolute" from="3518,2010" to="3758,2010" stroked="t" strokecolor="#7e7e7e" strokeweight="2.88pt">
              <v:stroke dashstyle="solid"/>
            </v:line>
            <v:line id="_x0000_s1171" style="position:absolute" from="4114,1992" to="4354,1992" stroked="t" strokecolor="#375f92" strokeweight="4.68pt">
              <v:stroke dashstyle="solid"/>
            </v:line>
            <v:line id="_x0000_s1172" style="position:absolute" from="4949,2004" to="5186,2004" stroked="t" strokecolor="#375f92" strokeweight="3.48pt">
              <v:stroke dashstyle="solid"/>
            </v:line>
            <v:shape id="_x0000_s1173" style="width:4215;height:1747;left:1389;position:absolute;top:292" coordorigin="1389,292" coordsize="4215,1747" path="m1435,2039l1435,292m1389,2039l1435,2039m1389,1688l1435,1688m1389,1340l1435,1340m1389,990l1435,990m1389,642l1435,642m1389,292l1435,292m1435,2039l5603,2039m1435,1993l1435,2039m2268,1993l2268,2039m3103,1993l3103,2039m3936,1993l3936,2039m4769,1993l4769,2039m5603,1993l5603,2039e" filled="f" stroked="t" strokecolor="black" strokeweight="0.75pt">
              <v:stroke dashstyle="solid"/>
              <v:path arrowok="t"/>
            </v:shape>
          </v:group>
        </w:pict>
      </w:r>
      <w:r>
        <w:rPr>
          <w:rFonts w:ascii="宋体"/>
          <w:spacing w:val="-1"/>
          <w:sz w:val="16"/>
        </w:rPr>
        <w:t>2000</w:t>
      </w:r>
    </w:p>
    <w:p>
      <w:pPr>
        <w:pStyle w:val="BodyText"/>
        <w:spacing w:before="12"/>
        <w:rPr>
          <w:rFonts w:ascii="宋体"/>
          <w:sz w:val="16"/>
        </w:rPr>
      </w:pPr>
    </w:p>
    <w:p>
      <w:pPr>
        <w:spacing w:before="0"/>
        <w:ind w:left="0" w:right="38" w:firstLine="0"/>
        <w:jc w:val="right"/>
        <w:rPr>
          <w:rFonts w:ascii="宋体"/>
          <w:sz w:val="16"/>
        </w:rPr>
      </w:pPr>
      <w:r>
        <w:rPr>
          <w:rFonts w:ascii="宋体"/>
          <w:spacing w:val="-1"/>
          <w:sz w:val="16"/>
        </w:rPr>
        <w:t>1500</w:t>
      </w:r>
    </w:p>
    <w:p>
      <w:pPr>
        <w:pStyle w:val="BodyText"/>
        <w:spacing w:before="11"/>
        <w:rPr>
          <w:rFonts w:ascii="宋体"/>
          <w:sz w:val="16"/>
        </w:rPr>
      </w:pPr>
    </w:p>
    <w:p>
      <w:pPr>
        <w:spacing w:before="0"/>
        <w:ind w:left="0" w:right="38" w:firstLine="0"/>
        <w:jc w:val="right"/>
        <w:rPr>
          <w:rFonts w:ascii="宋体"/>
          <w:sz w:val="16"/>
        </w:rPr>
      </w:pPr>
      <w:r>
        <w:rPr>
          <w:rFonts w:ascii="宋体"/>
          <w:spacing w:val="-1"/>
          <w:sz w:val="16"/>
        </w:rPr>
        <w:t>1000</w:t>
      </w:r>
    </w:p>
    <w:p>
      <w:pPr>
        <w:tabs>
          <w:tab w:val="left" w:pos="1542"/>
          <w:tab w:val="left" w:pos="2194"/>
          <w:tab w:val="left" w:pos="2926"/>
        </w:tabs>
        <w:spacing w:before="78"/>
        <w:ind w:left="809" w:right="0" w:firstLine="0"/>
        <w:jc w:val="left"/>
        <w:rPr>
          <w:rFonts w:ascii="宋体" w:eastAsia="宋体" w:hint="eastAsia"/>
          <w:sz w:val="16"/>
        </w:rPr>
      </w:pPr>
      <w:r>
        <w:br w:type="column"/>
      </w:r>
      <w:r>
        <w:rPr>
          <w:rFonts w:ascii="宋体" w:eastAsia="宋体" w:hint="eastAsia"/>
          <w:sz w:val="16"/>
        </w:rPr>
        <w:t>AA+</w:t>
        <w:tab/>
        <w:t>AA</w:t>
        <w:tab/>
        <w:t>AA-</w:t>
        <w:tab/>
        <w:t>A+及以下</w:t>
      </w:r>
    </w:p>
    <w:p>
      <w:pPr>
        <w:spacing w:after="0"/>
        <w:jc w:val="left"/>
        <w:rPr>
          <w:rFonts w:ascii="宋体" w:eastAsia="宋体" w:hint="eastAsia"/>
          <w:sz w:val="16"/>
        </w:rPr>
        <w:sectPr>
          <w:headerReference w:type="default" r:id="rId50"/>
          <w:footerReference w:type="default" r:id="rId51"/>
          <w:type w:val="continuous"/>
          <w:pgSz w:w="11910" w:h="16840"/>
          <w:pgMar w:top="1320" w:right="0" w:bottom="660" w:left="180" w:header="708" w:footer="708"/>
          <w:pgNumType w:start="18"/>
          <w:cols w:num="4" w:space="708" w:equalWidth="0">
            <w:col w:w="1130" w:space="40"/>
            <w:col w:w="3677" w:space="399"/>
            <w:col w:w="1170" w:space="40"/>
            <w:col w:w="5274" w:space="0"/>
          </w:cols>
        </w:sectPr>
      </w:pPr>
    </w:p>
    <w:p>
      <w:pPr>
        <w:pStyle w:val="BodyText"/>
        <w:spacing w:before="4"/>
        <w:rPr>
          <w:rFonts w:ascii="宋体"/>
          <w:sz w:val="11"/>
        </w:rPr>
      </w:pPr>
    </w:p>
    <w:p>
      <w:pPr>
        <w:spacing w:before="0"/>
        <w:ind w:left="0" w:right="0" w:firstLine="0"/>
        <w:jc w:val="right"/>
        <w:rPr>
          <w:rFonts w:ascii="宋体"/>
          <w:sz w:val="16"/>
        </w:rPr>
      </w:pPr>
      <w:r>
        <w:rPr>
          <w:rFonts w:ascii="宋体"/>
          <w:spacing w:val="-1"/>
          <w:sz w:val="16"/>
        </w:rPr>
        <w:t>2000</w:t>
      </w:r>
    </w:p>
    <w:p>
      <w:pPr>
        <w:pStyle w:val="BodyText"/>
        <w:spacing w:before="3"/>
        <w:rPr>
          <w:rFonts w:ascii="宋体"/>
          <w:sz w:val="11"/>
        </w:rPr>
      </w:pPr>
    </w:p>
    <w:p>
      <w:pPr>
        <w:spacing w:before="0"/>
        <w:ind w:left="0" w:right="0" w:firstLine="0"/>
        <w:jc w:val="right"/>
        <w:rPr>
          <w:rFonts w:ascii="宋体"/>
          <w:sz w:val="16"/>
        </w:rPr>
      </w:pPr>
      <w:r>
        <w:rPr>
          <w:rFonts w:ascii="宋体"/>
          <w:spacing w:val="-1"/>
          <w:sz w:val="16"/>
        </w:rPr>
        <w:t>1000</w:t>
      </w:r>
    </w:p>
    <w:p>
      <w:pPr>
        <w:pStyle w:val="BodyText"/>
        <w:spacing w:before="4"/>
        <w:rPr>
          <w:rFonts w:ascii="宋体"/>
          <w:sz w:val="11"/>
        </w:rPr>
      </w:pPr>
    </w:p>
    <w:p>
      <w:pPr>
        <w:spacing w:before="0"/>
        <w:ind w:left="0" w:right="0" w:firstLine="0"/>
        <w:jc w:val="right"/>
        <w:rPr>
          <w:rFonts w:ascii="宋体"/>
          <w:sz w:val="16"/>
        </w:rPr>
      </w:pPr>
      <w:r>
        <w:rPr>
          <w:rFonts w:ascii="宋体"/>
          <w:w w:val="100"/>
          <w:sz w:val="16"/>
        </w:rPr>
        <w:t>0</w:t>
      </w:r>
    </w:p>
    <w:p>
      <w:pPr>
        <w:pStyle w:val="BodyText"/>
        <w:rPr>
          <w:rFonts w:ascii="宋体"/>
          <w:sz w:val="16"/>
        </w:rPr>
      </w:pPr>
      <w:r>
        <w:br w:type="column"/>
      </w:r>
    </w:p>
    <w:p>
      <w:pPr>
        <w:pStyle w:val="BodyText"/>
        <w:rPr>
          <w:rFonts w:ascii="宋体"/>
          <w:sz w:val="16"/>
        </w:rPr>
      </w:pPr>
    </w:p>
    <w:p>
      <w:pPr>
        <w:pStyle w:val="BodyText"/>
        <w:rPr>
          <w:rFonts w:ascii="宋体"/>
          <w:sz w:val="16"/>
        </w:rPr>
      </w:pPr>
    </w:p>
    <w:p>
      <w:pPr>
        <w:pStyle w:val="BodyText"/>
        <w:rPr>
          <w:rFonts w:ascii="宋体"/>
          <w:sz w:val="16"/>
        </w:rPr>
      </w:pPr>
    </w:p>
    <w:p>
      <w:pPr>
        <w:pStyle w:val="BodyText"/>
        <w:spacing w:before="3"/>
        <w:rPr>
          <w:rFonts w:ascii="宋体"/>
          <w:sz w:val="15"/>
        </w:rPr>
      </w:pPr>
    </w:p>
    <w:p>
      <w:pPr>
        <w:spacing w:before="0"/>
        <w:ind w:left="382" w:right="0" w:firstLine="0"/>
        <w:jc w:val="left"/>
        <w:rPr>
          <w:rFonts w:ascii="宋体"/>
          <w:sz w:val="16"/>
        </w:rPr>
      </w:pPr>
      <w:r>
        <w:rPr>
          <w:rFonts w:ascii="宋体"/>
          <w:sz w:val="16"/>
        </w:rPr>
        <w:t>AAA</w:t>
      </w:r>
    </w:p>
    <w:p>
      <w:pPr>
        <w:pStyle w:val="BodyText"/>
        <w:rPr>
          <w:rFonts w:ascii="宋体"/>
          <w:sz w:val="18"/>
        </w:rPr>
      </w:pPr>
      <w:r>
        <w:br w:type="column"/>
      </w:r>
    </w:p>
    <w:p>
      <w:pPr>
        <w:pStyle w:val="BodyText"/>
        <w:rPr>
          <w:rFonts w:ascii="宋体"/>
          <w:sz w:val="18"/>
        </w:rPr>
      </w:pPr>
    </w:p>
    <w:p>
      <w:pPr>
        <w:pStyle w:val="BodyText"/>
        <w:rPr>
          <w:rFonts w:ascii="宋体"/>
          <w:sz w:val="18"/>
        </w:rPr>
      </w:pPr>
    </w:p>
    <w:p>
      <w:pPr>
        <w:pStyle w:val="BodyText"/>
        <w:spacing w:before="3"/>
        <w:rPr>
          <w:rFonts w:ascii="宋体"/>
          <w:sz w:val="25"/>
        </w:rPr>
      </w:pPr>
    </w:p>
    <w:p>
      <w:pPr>
        <w:tabs>
          <w:tab w:val="left" w:pos="1426"/>
          <w:tab w:val="left" w:pos="2220"/>
          <w:tab w:val="left" w:pos="2853"/>
        </w:tabs>
        <w:spacing w:before="0"/>
        <w:ind w:left="553" w:right="0" w:firstLine="0"/>
        <w:jc w:val="left"/>
        <w:rPr>
          <w:rFonts w:ascii="宋体" w:eastAsia="宋体" w:hint="eastAsia"/>
          <w:sz w:val="16"/>
        </w:rPr>
      </w:pPr>
      <w:r>
        <w:rPr>
          <w:rFonts w:ascii="宋体" w:eastAsia="宋体" w:hint="eastAsia"/>
          <w:sz w:val="16"/>
        </w:rPr>
        <w:t>AA+</w:t>
        <w:tab/>
        <w:t>AA</w:t>
        <w:tab/>
        <w:t>AA-</w:t>
        <w:tab/>
      </w:r>
      <w:r>
        <w:rPr>
          <w:rFonts w:ascii="宋体" w:eastAsia="宋体" w:hint="eastAsia"/>
          <w:position w:val="-1"/>
          <w:sz w:val="16"/>
        </w:rPr>
        <w:t>A</w:t>
      </w:r>
      <w:r>
        <w:rPr>
          <w:rFonts w:ascii="宋体" w:eastAsia="宋体" w:hint="eastAsia"/>
          <w:spacing w:val="-5"/>
          <w:position w:val="-1"/>
          <w:sz w:val="16"/>
        </w:rPr>
        <w:t>+及以下</w:t>
      </w:r>
    </w:p>
    <w:p>
      <w:pPr>
        <w:pStyle w:val="BodyText"/>
        <w:spacing w:before="4"/>
        <w:rPr>
          <w:rFonts w:ascii="宋体"/>
          <w:sz w:val="13"/>
        </w:rPr>
      </w:pPr>
      <w:r>
        <w:br w:type="column"/>
      </w:r>
    </w:p>
    <w:p>
      <w:pPr>
        <w:spacing w:before="0"/>
        <w:ind w:left="0" w:right="5347" w:firstLine="0"/>
        <w:jc w:val="right"/>
        <w:rPr>
          <w:rFonts w:ascii="宋体"/>
          <w:sz w:val="16"/>
        </w:rPr>
      </w:pPr>
      <w:r>
        <w:rPr>
          <w:rFonts w:ascii="宋体"/>
          <w:sz w:val="16"/>
        </w:rPr>
        <w:t>500</w:t>
      </w:r>
    </w:p>
    <w:p>
      <w:pPr>
        <w:pStyle w:val="BodyText"/>
        <w:spacing w:before="11"/>
        <w:rPr>
          <w:rFonts w:ascii="宋体"/>
          <w:sz w:val="16"/>
        </w:rPr>
      </w:pPr>
    </w:p>
    <w:p>
      <w:pPr>
        <w:spacing w:before="0"/>
        <w:ind w:left="0" w:right="5348" w:firstLine="0"/>
        <w:jc w:val="right"/>
        <w:rPr>
          <w:rFonts w:ascii="宋体"/>
          <w:sz w:val="16"/>
        </w:rPr>
      </w:pPr>
      <w:r>
        <w:pict>
          <v:group id="_x0000_s1174" style="width:216.15pt;height:116.1pt;margin-top:-79.55pt;margin-left:331.7pt;mso-position-horizontal-relative:page;position:absolute;z-index:251701248" coordorigin="6634,-1591" coordsize="4323,2322">
            <v:rect id="_x0000_s1175" style="width:195;height:1368;left:6825;position:absolute;top:-1267" filled="t" fillcolor="#1f4e79" stroked="f">
              <v:fill type="solid"/>
            </v:rect>
            <v:rect id="_x0000_s1176" style="width:195;height:1157;left:7020;position:absolute;top:-1056" filled="t" fillcolor="#2d75b6" stroked="f">
              <v:fill type="solid"/>
            </v:rect>
            <v:rect id="_x0000_s1177" style="width:192;height:718;left:7214;position:absolute;top:-617" filled="t" fillcolor="#7e7e7e" stroked="f">
              <v:fill type="solid"/>
            </v:rect>
            <v:rect id="_x0000_s1178" style="width:195;height:339;left:7406;position:absolute;top:-237" filled="t" fillcolor="#bebebe" stroked="f">
              <v:fill type="solid"/>
            </v:rect>
            <v:rect id="_x0000_s1179" style="width:192;height:1155;left:7893;position:absolute;top:-1053" filled="t" fillcolor="#1f4e79" stroked="f">
              <v:fill type="solid"/>
            </v:rect>
            <v:rect id="_x0000_s1180" style="width:195;height:958;left:8085;position:absolute;top:-857" filled="t" fillcolor="#2d75b6" stroked="f">
              <v:fill type="solid"/>
            </v:rect>
            <v:rect id="_x0000_s1181" style="width:195;height:860;left:8280;position:absolute;top:-758" filled="t" fillcolor="#7e7e7e" stroked="f">
              <v:fill type="solid"/>
            </v:rect>
            <v:rect id="_x0000_s1182" style="width:195;height:308;left:8474;position:absolute;top:-206" filled="t" fillcolor="#bebebe" stroked="f">
              <v:fill type="solid"/>
            </v:rect>
            <v:line id="_x0000_s1183" style="position:absolute" from="8959,59" to="9154,59" stroked="t" strokecolor="#1f4e79" strokeweight="4.2pt">
              <v:stroke dashstyle="solid"/>
            </v:line>
            <v:rect id="_x0000_s1184" style="width:195;height:531;left:9153;position:absolute;top:-429" filled="t" fillcolor="#2d75b6" stroked="f">
              <v:fill type="solid"/>
            </v:rect>
            <v:rect id="_x0000_s1185" style="width:195;height:212;left:9348;position:absolute;top:-110" filled="t" fillcolor="#7e7e7e" stroked="f">
              <v:fill type="solid"/>
            </v:rect>
            <v:rect id="_x0000_s1186" style="width:195;height:531;left:9542;position:absolute;top:-429" filled="t" fillcolor="#bebebe" stroked="f">
              <v:fill type="solid"/>
            </v:rect>
            <v:rect id="_x0000_s1187" style="width:195;height:284;left:10221;position:absolute;top:-182" filled="t" fillcolor="#2d75b6" stroked="f">
              <v:fill type="solid"/>
            </v:rect>
            <v:line id="_x0000_s1188" style="position:absolute" from="10416,63" to="10610,63" stroked="t" strokecolor="#7e7e7e" strokeweight="3.84pt">
              <v:stroke dashstyle="solid"/>
            </v:line>
            <v:line id="_x0000_s1189" style="position:absolute" from="10610,92" to="10802,92" stroked="t" strokecolor="#bebebe" strokeweight="0.96pt">
              <v:stroke dashstyle="solid"/>
            </v:line>
            <v:shape id="_x0000_s1190" style="width:46;height:1685;left:6634;position:absolute;top:-1584" coordorigin="6634,-1584" coordsize="46,1685" path="m6680,101l6680,-1584m6634,101l6680,101m6634,-321l6680,-321m6634,-741l6680,-741m6634,-1163l6680,-1163m6634,-1584l6680,-1584e" filled="f" stroked="t" strokecolor="black" strokeweight="0.75pt">
              <v:stroke dashstyle="solid"/>
              <v:path arrowok="t"/>
            </v:shape>
            <v:shape id="_x0000_s1191" style="width:4270;height:676;left:6679;position:absolute;top:55" coordorigin="6680,56" coordsize="4270,676" path="m6680,101l10949,101m6680,56l6680,101m6680,101l6680,416m7747,56l7747,101m7747,101l7747,416m8815,56l8815,101m8815,101l8815,416m9881,56l9881,101m9881,101l9881,416m10949,56l10949,101m10949,101l10949,416m6680,416l6680,731m8815,416l8815,731m10949,416l10949,731e" filled="f" stroked="t" strokecolor="black" strokeweight="0.75pt">
              <v:stroke dashstyle="solid"/>
              <v:path arrowok="t"/>
            </v:shape>
            <v:shape id="_x0000_s1192" type="#_x0000_t202" style="width:822;height:161;left:6815;position:absolute;top:217" filled="f" stroked="f">
              <v:textbox inset="0,0,0,0">
                <w:txbxContent>
                  <w:p>
                    <w:pPr>
                      <w:spacing w:before="0" w:line="161" w:lineRule="exact"/>
                      <w:ind w:left="0" w:right="0" w:firstLine="0"/>
                      <w:jc w:val="left"/>
                      <w:rPr>
                        <w:rFonts w:ascii="宋体" w:eastAsia="宋体" w:hint="eastAsia"/>
                        <w:sz w:val="16"/>
                      </w:rPr>
                    </w:pPr>
                    <w:r>
                      <w:rPr>
                        <w:rFonts w:ascii="宋体" w:eastAsia="宋体" w:hint="eastAsia"/>
                        <w:sz w:val="16"/>
                      </w:rPr>
                      <w:t>二级资本债</w:t>
                    </w:r>
                  </w:p>
                </w:txbxContent>
              </v:textbox>
            </v:shape>
            <v:shape id="_x0000_s1193" type="#_x0000_t202" style="width:503;height:161;left:8041;position:absolute;top:217" filled="f" stroked="f">
              <v:textbox inset="0,0,0,0">
                <w:txbxContent>
                  <w:p>
                    <w:pPr>
                      <w:spacing w:before="0" w:line="161" w:lineRule="exact"/>
                      <w:ind w:left="0" w:right="0" w:firstLine="0"/>
                      <w:jc w:val="left"/>
                      <w:rPr>
                        <w:rFonts w:ascii="宋体" w:eastAsia="宋体" w:hint="eastAsia"/>
                        <w:sz w:val="16"/>
                      </w:rPr>
                    </w:pPr>
                    <w:r>
                      <w:rPr>
                        <w:rFonts w:ascii="宋体" w:eastAsia="宋体" w:hint="eastAsia"/>
                        <w:sz w:val="16"/>
                      </w:rPr>
                      <w:t>永续债</w:t>
                    </w:r>
                  </w:p>
                </w:txbxContent>
              </v:textbox>
            </v:shape>
            <v:shape id="_x0000_s1194" type="#_x0000_t202" style="width:822;height:161;left:8950;position:absolute;top:217" filled="f" stroked="f">
              <v:textbox inset="0,0,0,0">
                <w:txbxContent>
                  <w:p>
                    <w:pPr>
                      <w:spacing w:before="0" w:line="161" w:lineRule="exact"/>
                      <w:ind w:left="0" w:right="0" w:firstLine="0"/>
                      <w:jc w:val="left"/>
                      <w:rPr>
                        <w:rFonts w:ascii="宋体" w:eastAsia="宋体" w:hint="eastAsia"/>
                        <w:sz w:val="16"/>
                      </w:rPr>
                    </w:pPr>
                    <w:r>
                      <w:rPr>
                        <w:rFonts w:ascii="宋体" w:eastAsia="宋体" w:hint="eastAsia"/>
                        <w:sz w:val="16"/>
                      </w:rPr>
                      <w:t>二级资本债</w:t>
                    </w:r>
                  </w:p>
                </w:txbxContent>
              </v:textbox>
            </v:shape>
            <v:shape id="_x0000_s1195" type="#_x0000_t202" style="width:503;height:161;left:10176;position:absolute;top:217" filled="f" stroked="f">
              <v:textbox inset="0,0,0,0">
                <w:txbxContent>
                  <w:p>
                    <w:pPr>
                      <w:spacing w:before="0" w:line="161" w:lineRule="exact"/>
                      <w:ind w:left="0" w:right="0" w:firstLine="0"/>
                      <w:jc w:val="left"/>
                      <w:rPr>
                        <w:rFonts w:ascii="宋体" w:eastAsia="宋体" w:hint="eastAsia"/>
                        <w:sz w:val="16"/>
                      </w:rPr>
                    </w:pPr>
                    <w:r>
                      <w:rPr>
                        <w:rFonts w:ascii="宋体" w:eastAsia="宋体" w:hint="eastAsia"/>
                        <w:sz w:val="16"/>
                      </w:rPr>
                      <w:t>永续债</w:t>
                    </w:r>
                  </w:p>
                </w:txbxContent>
              </v:textbox>
            </v:shape>
            <v:shape id="_x0000_s1196" type="#_x0000_t202" style="width:3118;height:161;left:7266;position:absolute;top:532" filled="f" stroked="f">
              <v:textbox inset="0,0,0,0">
                <w:txbxContent>
                  <w:p>
                    <w:pPr>
                      <w:tabs>
                        <w:tab w:val="left" w:pos="2134"/>
                      </w:tabs>
                      <w:spacing w:before="0" w:line="161" w:lineRule="exact"/>
                      <w:ind w:left="0" w:right="0" w:firstLine="0"/>
                      <w:jc w:val="left"/>
                      <w:rPr>
                        <w:rFonts w:ascii="宋体" w:eastAsia="宋体" w:hint="eastAsia"/>
                        <w:sz w:val="16"/>
                      </w:rPr>
                    </w:pPr>
                    <w:r>
                      <w:rPr>
                        <w:rFonts w:ascii="宋体" w:eastAsia="宋体" w:hint="eastAsia"/>
                        <w:sz w:val="16"/>
                      </w:rPr>
                      <w:t>城市商</w:t>
                    </w:r>
                    <w:r>
                      <w:rPr>
                        <w:rFonts w:ascii="宋体" w:eastAsia="宋体" w:hint="eastAsia"/>
                        <w:spacing w:val="-3"/>
                        <w:sz w:val="16"/>
                      </w:rPr>
                      <w:t>业</w:t>
                    </w:r>
                    <w:r>
                      <w:rPr>
                        <w:rFonts w:ascii="宋体" w:eastAsia="宋体" w:hint="eastAsia"/>
                        <w:sz w:val="16"/>
                      </w:rPr>
                      <w:t>银行</w:t>
                      <w:tab/>
                      <w:t>农村商</w:t>
                    </w:r>
                    <w:r>
                      <w:rPr>
                        <w:rFonts w:ascii="宋体" w:eastAsia="宋体" w:hint="eastAsia"/>
                        <w:spacing w:val="-3"/>
                        <w:sz w:val="16"/>
                      </w:rPr>
                      <w:t>业</w:t>
                    </w:r>
                    <w:r>
                      <w:rPr>
                        <w:rFonts w:ascii="宋体" w:eastAsia="宋体" w:hint="eastAsia"/>
                        <w:sz w:val="16"/>
                      </w:rPr>
                      <w:t>银行</w:t>
                    </w:r>
                  </w:p>
                </w:txbxContent>
              </v:textbox>
            </v:shape>
          </v:group>
        </w:pict>
      </w:r>
      <w:r>
        <w:rPr>
          <w:rFonts w:ascii="宋体"/>
          <w:w w:val="100"/>
          <w:sz w:val="16"/>
        </w:rPr>
        <w:t>0</w:t>
      </w:r>
    </w:p>
    <w:p>
      <w:pPr>
        <w:spacing w:after="0"/>
        <w:jc w:val="right"/>
        <w:rPr>
          <w:rFonts w:ascii="宋体"/>
          <w:sz w:val="16"/>
        </w:rPr>
        <w:sectPr>
          <w:headerReference w:type="default" r:id="rId52"/>
          <w:footerReference w:type="default" r:id="rId53"/>
          <w:type w:val="continuous"/>
          <w:pgSz w:w="11910" w:h="16840"/>
          <w:pgMar w:top="1320" w:right="0" w:bottom="660" w:left="180" w:header="708" w:footer="708"/>
          <w:pgNumType w:start="19"/>
          <w:cols w:num="4" w:space="708" w:equalWidth="0">
            <w:col w:w="1130" w:space="40"/>
            <w:col w:w="624" w:space="39"/>
            <w:col w:w="3498" w:space="39"/>
            <w:col w:w="6360" w:space="0"/>
          </w:cols>
        </w:sectPr>
      </w:pPr>
    </w:p>
    <w:p>
      <w:pPr>
        <w:pStyle w:val="BodyText"/>
        <w:spacing w:before="12"/>
        <w:rPr>
          <w:rFonts w:ascii="宋体"/>
          <w:sz w:val="10"/>
        </w:rPr>
      </w:pPr>
    </w:p>
    <w:p>
      <w:pPr>
        <w:pStyle w:val="BodyText"/>
        <w:spacing w:before="1"/>
        <w:rPr>
          <w:rFonts w:ascii="宋体"/>
          <w:sz w:val="9"/>
        </w:rPr>
      </w:pPr>
    </w:p>
    <w:p>
      <w:pPr>
        <w:tabs>
          <w:tab w:val="left" w:pos="5912"/>
        </w:tabs>
        <w:spacing w:line="20" w:lineRule="exact"/>
        <w:ind w:left="667" w:right="0" w:firstLine="0"/>
        <w:rPr>
          <w:rFonts w:ascii="宋体"/>
          <w:sz w:val="2"/>
        </w:rPr>
      </w:pPr>
      <w:r>
        <w:rPr>
          <w:rFonts w:ascii="宋体"/>
          <w:sz w:val="2"/>
        </w:rPr>
        <w:pict>
          <v:group id="_x0000_i1197" style="width:248.1pt;height:0.5pt;mso-position-horizontal-relative:char;mso-position-vertical-relative:line" coordorigin="0,0" coordsize="4962,10">
            <v:line id="_x0000_s1198" style="position:absolute" from="0,5" to="4962,5" stroked="t" strokecolor="#013e96" strokeweight="0.48pt">
              <v:stroke dashstyle="solid"/>
            </v:line>
            <w10:wrap type="none"/>
          </v:group>
        </w:pict>
      </w:r>
      <w:r>
        <w:rPr>
          <w:rFonts w:ascii="宋体"/>
          <w:sz w:val="2"/>
        </w:rPr>
        <w:tab/>
      </w:r>
      <w:r>
        <w:rPr>
          <w:rFonts w:ascii="宋体"/>
          <w:sz w:val="2"/>
        </w:rPr>
        <w:pict>
          <v:group id="_x0000_i1199" style="width:248.25pt;height:0.5pt;mso-position-horizontal-relative:char;mso-position-vertical-relative:line" coordorigin="0,0" coordsize="4965,10">
            <v:line id="_x0000_s1200" style="position:absolute" from="0,5" to="4964,5" stroked="t" strokecolor="#013e96" strokeweight="0.48pt">
              <v:stroke dashstyle="solid"/>
            </v:line>
            <w10:wrap type="none"/>
          </v:group>
        </w:pict>
      </w:r>
    </w:p>
    <w:p>
      <w:pPr>
        <w:tabs>
          <w:tab w:val="left" w:pos="6025"/>
        </w:tabs>
        <w:spacing w:before="0"/>
        <w:ind w:left="780" w:right="0" w:firstLine="0"/>
        <w:jc w:val="left"/>
        <w:rPr>
          <w:rFonts w:ascii="宋体" w:eastAsia="宋体" w:hint="eastAsia"/>
          <w:sz w:val="17"/>
        </w:rPr>
      </w:pPr>
      <w:r>
        <w:t xml:space="preserve">来源： ， </w:t>
        <w:tab/>
        <w:t xml:space="preserve">来源： ， </w:t>
      </w:r>
    </w:p>
    <w:p>
      <w:pPr>
        <w:pStyle w:val="BodyText"/>
        <w:rPr>
          <w:rFonts w:ascii="宋体"/>
          <w:sz w:val="20"/>
        </w:rPr>
      </w:pPr>
    </w:p>
    <w:p>
      <w:pPr>
        <w:pStyle w:val="BodyText"/>
        <w:spacing w:before="7"/>
        <w:rPr>
          <w:rFonts w:ascii="宋体"/>
        </w:rPr>
      </w:pPr>
    </w:p>
    <w:p>
      <w:pPr>
        <w:pStyle w:val="BodyText"/>
        <w:spacing w:before="70" w:line="319" w:lineRule="auto"/>
        <w:ind w:left="3192" w:right="847" w:firstLine="439"/>
      </w:pPr>
      <w:r>
        <w:rPr>
          <w:spacing w:val="-5"/>
          <w:u w:val="single"/>
        </w:rPr>
        <w:t>由于浙江省存续城农商行次级债规模最大，因此作为本系列报告第一篇，将</w:t>
      </w:r>
      <w:r>
        <w:rPr>
          <w:spacing w:val="-216"/>
          <w:u w:val="single"/>
        </w:rPr>
        <w:t>首先</w:t>
      </w:r>
      <w:r>
        <w:rPr>
          <w:spacing w:val="-3"/>
          <w:u w:val="single"/>
        </w:rPr>
        <w:t>对浙江省内城农商行进行梳理并发掘其次级债投资机会。</w:t>
      </w:r>
    </w:p>
    <w:p>
      <w:pPr>
        <w:pStyle w:val="BodyText"/>
        <w:spacing w:before="10"/>
        <w:rPr>
          <w:sz w:val="14"/>
        </w:rPr>
      </w:pPr>
    </w:p>
    <w:p>
      <w:pPr>
        <w:pStyle w:val="Heading1"/>
        <w:numPr>
          <w:ilvl w:val="0"/>
          <w:numId w:val="1"/>
        </w:numPr>
        <w:tabs>
          <w:tab w:val="left" w:pos="3563"/>
        </w:tabs>
        <w:spacing w:before="70" w:after="0" w:line="240" w:lineRule="auto"/>
        <w:ind w:left="3562" w:right="0" w:hanging="340"/>
        <w:jc w:val="left"/>
        <w:rPr>
          <w:rFonts w:ascii="Arial" w:eastAsia="Arial"/>
          <w:color w:val="013E96"/>
        </w:rPr>
      </w:pPr>
      <w:r>
        <w:rPr>
          <w:color w:val="013E96"/>
        </w:rPr>
        <w:t>浙江省区域情况总览</w:t>
      </w:r>
    </w:p>
    <w:p>
      <w:pPr>
        <w:pStyle w:val="BodyText"/>
        <w:spacing w:before="4"/>
        <w:rPr>
          <w:b/>
          <w:sz w:val="36"/>
        </w:rPr>
      </w:pPr>
    </w:p>
    <w:p>
      <w:pPr>
        <w:spacing w:before="0" w:line="319" w:lineRule="auto"/>
        <w:ind w:left="3192" w:right="734" w:firstLine="442"/>
        <w:jc w:val="left"/>
        <w:rPr>
          <w:sz w:val="22"/>
        </w:rPr>
        <w:sectPr>
          <w:headerReference w:type="default" r:id="rId54"/>
          <w:footerReference w:type="default" r:id="rId55"/>
          <w:type w:val="continuous"/>
          <w:pgSz w:w="11910" w:h="16840"/>
          <w:pgMar w:top="1320" w:right="0" w:bottom="660" w:left="180" w:header="708" w:footer="708"/>
          <w:pgNumType w:start="20"/>
          <w:cols w:space="708"/>
        </w:sectPr>
      </w:pPr>
      <w:r>
        <w:rPr>
          <w:b/>
          <w:sz w:val="22"/>
        </w:rPr>
        <w:t>对城农商次级债投资必须分析其所在区域资源禀赋。</w:t>
      </w:r>
      <w:r>
        <w:rPr>
          <w:sz w:val="22"/>
        </w:rPr>
        <w:t>由于城商行的前身是城市信用社，农商行起源于农村信用社，这就使得城农商行业务地域集中度较高，</w:t>
      </w:r>
    </w:p>
    <w:p>
      <w:pPr>
        <w:spacing w:before="0" w:line="319" w:lineRule="auto"/>
        <w:ind w:left="3192" w:right="734" w:firstLine="442"/>
        <w:jc w:val="left"/>
        <w:rPr>
          <w:sz w:val="22"/>
        </w:rPr>
      </w:pPr>
      <w:r>
        <w:rPr>
          <w:sz w:val="22"/>
        </w:rPr>
        <w:t xml:space="preserve"> 经营发展与所在区域的经济情况、金融资源等高度挂钩。若所处区域经济活力较</w:t>
      </w:r>
    </w:p>
    <w:p>
      <w:pPr>
        <w:spacing w:after="0" w:line="319" w:lineRule="auto"/>
        <w:jc w:val="left"/>
        <w:rPr>
          <w:sz w:val="22"/>
        </w:rPr>
        <w:sectPr>
          <w:headerReference w:type="default" r:id="rId56"/>
          <w:footerReference w:type="default" r:id="rId57"/>
          <w:type w:val="nextPage"/>
          <w:pgSz w:w="11910" w:h="16840"/>
          <w:pgMar w:top="1320" w:right="0" w:bottom="660" w:left="180" w:header="708" w:footer="708"/>
          <w:pgNumType w:start="21"/>
          <w:cols w:space="708"/>
          <w:titlePg w:val="0"/>
        </w:sectPr>
      </w:pPr>
    </w:p>
    <w:p>
      <w:pPr>
        <w:pStyle w:val="BodyText"/>
        <w:spacing w:before="134" w:line="319" w:lineRule="auto"/>
        <w:ind w:left="3192" w:right="845"/>
        <w:jc w:val="both"/>
      </w:pPr>
      <w:r>
        <w:rPr>
          <w:spacing w:val="-5"/>
        </w:rPr>
        <w:t>高，居民收入和企业经营状况较好，则银行存贷款等业务会得到提升，城农商行</w:t>
      </w:r>
      <w:r>
        <w:rPr>
          <w:spacing w:val="-6"/>
        </w:rPr>
        <w:t>也更易获得质量高、收益佳、风险低的资产，因此必须要关注区域经济情况对城</w:t>
      </w:r>
      <w:r>
        <w:rPr>
          <w:spacing w:val="-5"/>
        </w:rPr>
        <w:t>农商行经营的影响。</w:t>
      </w:r>
    </w:p>
    <w:p>
      <w:pPr>
        <w:pStyle w:val="BodyText"/>
        <w:spacing w:before="154" w:line="319" w:lineRule="auto"/>
        <w:ind w:left="3192" w:right="845" w:firstLine="439"/>
        <w:jc w:val="both"/>
        <w:rPr>
          <w:rFonts w:ascii="Arial" w:eastAsia="Arial" w:hAnsi="Arial"/>
        </w:rPr>
      </w:pPr>
      <w:r>
        <w:rPr>
          <w:spacing w:val="-8"/>
        </w:rPr>
        <w:t xml:space="preserve">我们在 </w:t>
      </w:r>
      <w:r>
        <w:rPr>
          <w:rFonts w:ascii="Arial" w:eastAsia="Arial" w:hAnsi="Arial"/>
        </w:rPr>
        <w:t xml:space="preserve">2023 </w:t>
      </w:r>
      <w:r>
        <w:rPr>
          <w:spacing w:val="-16"/>
        </w:rPr>
        <w:t xml:space="preserve">年 </w:t>
      </w:r>
      <w:r>
        <w:rPr>
          <w:rFonts w:ascii="Arial" w:eastAsia="Arial" w:hAnsi="Arial"/>
        </w:rPr>
        <w:t xml:space="preserve">3 </w:t>
      </w:r>
      <w:r>
        <w:rPr>
          <w:spacing w:val="-16"/>
        </w:rPr>
        <w:t xml:space="preserve">月 </w:t>
      </w:r>
      <w:r>
        <w:rPr>
          <w:rFonts w:ascii="Arial" w:eastAsia="Arial" w:hAnsi="Arial"/>
        </w:rPr>
        <w:t xml:space="preserve">2 </w:t>
      </w:r>
      <w:r>
        <w:rPr>
          <w:spacing w:val="-3"/>
        </w:rPr>
        <w:t>日发布的《区域信用面面观</w:t>
      </w:r>
      <w:r>
        <w:t>·</w:t>
      </w:r>
      <w:r>
        <w:rPr>
          <w:spacing w:val="-2"/>
        </w:rPr>
        <w:t xml:space="preserve"> 浙江篇》报告中从经</w:t>
      </w:r>
      <w:r>
        <w:rPr>
          <w:spacing w:val="-5"/>
        </w:rPr>
        <w:t>济、财政、债务、资源禀赋与潜力这五维因素对浙江省及下辖各市进行了详细分析</w:t>
      </w:r>
      <w:r>
        <w:rPr>
          <w:rFonts w:ascii="Arial" w:eastAsia="Arial" w:hAnsi="Arial"/>
          <w:spacing w:val="-5"/>
        </w:rPr>
        <w:t>:</w:t>
      </w:r>
    </w:p>
    <w:p>
      <w:pPr>
        <w:pStyle w:val="BodyText"/>
        <w:spacing w:before="155" w:line="319" w:lineRule="auto"/>
        <w:ind w:left="3192" w:right="734" w:firstLine="442"/>
      </w:pPr>
      <w:r>
        <w:rPr>
          <w:b/>
        </w:rPr>
        <w:t>从区域规划看</w:t>
      </w:r>
      <w:r>
        <w:rPr>
          <w:spacing w:val="-18"/>
        </w:rPr>
        <w:t>，省内，深入实施大都市区建设行动，全面提升中心城市能级。</w:t>
      </w:r>
      <w:r>
        <w:rPr>
          <w:spacing w:val="-9"/>
        </w:rPr>
        <w:t>大力推进杭州、宁波、温州、金义四大都市区建设，推动都市区中心城市与周边</w:t>
      </w:r>
      <w:r>
        <w:rPr>
          <w:spacing w:val="-26"/>
          <w:w w:val="100"/>
        </w:rPr>
        <w:t>中小城市和小城镇协调发展。开展“十城赋能”行动，唱好杭州、宁波“双城记”；</w:t>
      </w:r>
      <w:r>
        <w:rPr>
          <w:spacing w:val="-26"/>
        </w:rPr>
        <w:t>推动宁波舟山共建海洋中心城市；打造温州、台州民营经济高质量发展示范区。</w:t>
      </w:r>
      <w:r>
        <w:rPr>
          <w:spacing w:val="-10"/>
        </w:rPr>
        <w:t>省外，扎实推进长三角一体化和长江经济带发展，推动海洋经济和山区经济协同</w:t>
      </w:r>
      <w:r>
        <w:rPr>
          <w:spacing w:val="-5"/>
        </w:rPr>
        <w:t>发展，加快形成“一湾引领、两翼提升、四极辐射、全域美丽”的省域空间发展</w:t>
      </w:r>
      <w:r>
        <w:rPr>
          <w:spacing w:val="-4"/>
        </w:rPr>
        <w:t>总体格局。</w:t>
      </w:r>
    </w:p>
    <w:p>
      <w:pPr>
        <w:pStyle w:val="BodyText"/>
        <w:spacing w:before="153" w:line="319" w:lineRule="auto"/>
        <w:ind w:left="3192" w:right="843" w:firstLine="442"/>
        <w:jc w:val="both"/>
      </w:pPr>
      <w:r>
        <w:rPr>
          <w:b/>
        </w:rPr>
        <w:t>从产业布局看</w:t>
      </w:r>
      <w:r>
        <w:rPr>
          <w:spacing w:val="-5"/>
        </w:rPr>
        <w:t>，浙江省将继续优化生产力布局，推进开发区</w:t>
      </w:r>
      <w:r>
        <w:t>（</w:t>
      </w:r>
      <w:r>
        <w:rPr>
          <w:spacing w:val="-2"/>
        </w:rPr>
        <w:t>园区</w:t>
      </w:r>
      <w:r>
        <w:rPr>
          <w:spacing w:val="-8"/>
        </w:rPr>
        <w:t>）</w:t>
      </w:r>
      <w:r>
        <w:rPr>
          <w:spacing w:val="-4"/>
        </w:rPr>
        <w:t>整合提</w:t>
      </w:r>
      <w:r>
        <w:rPr>
          <w:spacing w:val="-5"/>
        </w:rPr>
        <w:t>升，推动区域协同，构建“双核一带一廊”总体布局，联动海洋强省建设，大力</w:t>
      </w:r>
      <w:r>
        <w:rPr>
          <w:spacing w:val="-9"/>
        </w:rPr>
        <w:t xml:space="preserve">发展海洋经济，形成全省全域陆海统筹发展新格局，打造 </w:t>
      </w:r>
      <w:r>
        <w:rPr>
          <w:rFonts w:ascii="Arial" w:eastAsia="Arial" w:hAnsi="Arial"/>
        </w:rPr>
        <w:t xml:space="preserve">4 </w:t>
      </w:r>
      <w:r>
        <w:rPr>
          <w:spacing w:val="-3"/>
        </w:rPr>
        <w:t>个世界级先进制造业</w:t>
      </w:r>
    </w:p>
    <w:p>
      <w:pPr>
        <w:pStyle w:val="BodyText"/>
        <w:spacing w:line="280" w:lineRule="exact"/>
        <w:ind w:left="3192"/>
        <w:jc w:val="both"/>
      </w:pPr>
      <w:r>
        <w:t xml:space="preserve">集群和 </w:t>
      </w:r>
      <w:r>
        <w:rPr>
          <w:rFonts w:ascii="Arial" w:eastAsia="Arial"/>
        </w:rPr>
        <w:t xml:space="preserve">15 </w:t>
      </w:r>
      <w:r>
        <w:t>个优势制造业集群。</w:t>
      </w:r>
    </w:p>
    <w:p>
      <w:pPr>
        <w:pStyle w:val="BodyText"/>
        <w:spacing w:before="5"/>
        <w:rPr>
          <w:sz w:val="19"/>
        </w:rPr>
      </w:pPr>
    </w:p>
    <w:p>
      <w:pPr>
        <w:spacing w:before="1"/>
        <w:ind w:left="3634" w:right="0" w:firstLine="0"/>
        <w:jc w:val="left"/>
        <w:rPr>
          <w:sz w:val="22"/>
        </w:rPr>
      </w:pPr>
      <w:r>
        <w:rPr>
          <w:b/>
          <w:sz w:val="22"/>
        </w:rPr>
        <w:t>从资源禀赋看，</w:t>
      </w:r>
      <w:r>
        <w:rPr>
          <w:rFonts w:ascii="Arial" w:eastAsia="Arial"/>
          <w:sz w:val="22"/>
          <w:u w:val="single"/>
        </w:rPr>
        <w:t>1</w:t>
      </w:r>
      <w:r>
        <w:rPr>
          <w:sz w:val="22"/>
          <w:u w:val="single"/>
        </w:rPr>
        <w:t>）人口方面</w:t>
      </w:r>
      <w:r>
        <w:rPr>
          <w:sz w:val="22"/>
        </w:rPr>
        <w:t>，浙江省是中国的人口大省，人口基数效应大，</w:t>
      </w:r>
    </w:p>
    <w:p>
      <w:pPr>
        <w:spacing w:after="0"/>
        <w:jc w:val="left"/>
        <w:rPr>
          <w:sz w:val="22"/>
        </w:rPr>
        <w:sectPr>
          <w:headerReference w:type="default" r:id="rId58"/>
          <w:footerReference w:type="default" r:id="rId59"/>
          <w:pgSz w:w="11910" w:h="16840"/>
          <w:pgMar w:top="1320" w:right="0" w:bottom="660" w:left="180" w:header="708" w:footer="708"/>
          <w:pgNumType w:start="22"/>
          <w:cols w:space="708"/>
        </w:sectPr>
      </w:pPr>
    </w:p>
    <w:p>
      <w:pPr>
        <w:pStyle w:val="BodyText"/>
        <w:rPr>
          <w:sz w:val="2"/>
        </w:rPr>
      </w:pPr>
    </w:p>
    <w:p>
      <w:pPr>
        <w:pStyle w:val="BodyText"/>
        <w:rPr>
          <w:sz w:val="2"/>
        </w:rPr>
      </w:pPr>
    </w:p>
    <w:p>
      <w:pPr>
        <w:pStyle w:val="BodyText"/>
        <w:rPr>
          <w:sz w:val="2"/>
        </w:rPr>
      </w:pPr>
    </w:p>
    <w:p>
      <w:pPr>
        <w:spacing w:before="13"/>
        <w:ind w:left="0" w:right="0" w:firstLine="0"/>
        <w:jc w:val="right"/>
        <w:rPr>
          <w:rFonts w:ascii="仿宋" w:eastAsia="仿宋" w:hint="eastAsia"/>
          <w:sz w:val="2"/>
        </w:rPr>
      </w:pPr>
      <w:r>
        <w:rPr>
          <w:rFonts w:ascii="仿宋" w:eastAsia="仿宋" w:hint="eastAsia"/>
          <w:color w:val="BFBFBF"/>
          <w:sz w:val="2"/>
        </w:rPr>
        <w:t>华福证券</w:t>
      </w:r>
    </w:p>
    <w:p>
      <w:pPr>
        <w:pStyle w:val="BodyText"/>
        <w:spacing w:before="92"/>
        <w:ind w:left="1252"/>
      </w:pPr>
      <w:r>
        <w:br w:type="column"/>
      </w:r>
      <w:r>
        <w:t xml:space="preserve">浙江省常住人口为 </w:t>
      </w:r>
      <w:r>
        <w:rPr>
          <w:rFonts w:ascii="Arial" w:eastAsia="Arial"/>
        </w:rPr>
        <w:t xml:space="preserve">6577 </w:t>
      </w:r>
      <w:r>
        <w:t xml:space="preserve">万人，相较于 </w:t>
      </w:r>
      <w:r>
        <w:rPr>
          <w:rFonts w:ascii="Arial" w:eastAsia="Arial"/>
        </w:rPr>
        <w:t xml:space="preserve">2010 </w:t>
      </w:r>
      <w:r>
        <w:t>年的第六次人口普查数据增加了</w:t>
      </w:r>
    </w:p>
    <w:p>
      <w:pPr>
        <w:pStyle w:val="BodyText"/>
        <w:spacing w:before="93"/>
        <w:ind w:left="1252"/>
      </w:pPr>
      <w:r>
        <w:rPr>
          <w:rFonts w:ascii="Arial" w:eastAsia="Arial"/>
        </w:rPr>
        <w:t xml:space="preserve">1133.7 </w:t>
      </w:r>
      <w:r>
        <w:t xml:space="preserve">万人，增幅为 </w:t>
      </w:r>
      <w:r>
        <w:rPr>
          <w:rFonts w:ascii="Arial" w:eastAsia="Arial"/>
        </w:rPr>
        <w:t>20.83%</w:t>
      </w:r>
      <w:r>
        <w:t xml:space="preserve">。杭州市常住人口数量最多，达到 </w:t>
      </w:r>
      <w:r>
        <w:rPr>
          <w:rFonts w:ascii="Arial" w:eastAsia="Arial"/>
        </w:rPr>
        <w:t xml:space="preserve">1237.6 </w:t>
      </w:r>
      <w:r>
        <w:t>万人，存</w:t>
      </w:r>
    </w:p>
    <w:p>
      <w:pPr>
        <w:pStyle w:val="BodyText"/>
        <w:spacing w:before="92" w:line="319" w:lineRule="auto"/>
        <w:ind w:left="1252" w:right="734"/>
      </w:pPr>
      <w:r>
        <w:rPr>
          <w:spacing w:val="-5"/>
        </w:rPr>
        <w:t>在明显的人口虹吸现象；</w:t>
      </w:r>
      <w:r>
        <w:rPr>
          <w:rFonts w:ascii="Arial" w:eastAsia="Arial"/>
          <w:spacing w:val="-10"/>
          <w:u w:val="single"/>
        </w:rPr>
        <w:t>2</w:t>
      </w:r>
      <w:r>
        <w:rPr>
          <w:spacing w:val="-10"/>
          <w:u w:val="single"/>
        </w:rPr>
        <w:t>）</w:t>
      </w:r>
      <w:r>
        <w:rPr>
          <w:spacing w:val="-1"/>
          <w:u w:val="single"/>
        </w:rPr>
        <w:t>土地方面</w:t>
      </w:r>
      <w:r>
        <w:rPr>
          <w:spacing w:val="-24"/>
        </w:rPr>
        <w:t xml:space="preserve">，自 </w:t>
      </w:r>
      <w:r>
        <w:rPr>
          <w:rFonts w:ascii="Arial" w:eastAsia="Arial"/>
        </w:rPr>
        <w:t xml:space="preserve">2019 </w:t>
      </w:r>
      <w:r>
        <w:rPr>
          <w:spacing w:val="-5"/>
        </w:rPr>
        <w:t>年起，浙江省土地成交面积窄幅</w:t>
      </w:r>
      <w:r>
        <w:rPr>
          <w:spacing w:val="-11"/>
        </w:rPr>
        <w:t xml:space="preserve">波动。土地成交价格方面，浙江省土地成交价格自 </w:t>
      </w:r>
      <w:r>
        <w:rPr>
          <w:rFonts w:ascii="Arial" w:eastAsia="Arial"/>
        </w:rPr>
        <w:t xml:space="preserve">2018 </w:t>
      </w:r>
      <w:r>
        <w:rPr>
          <w:spacing w:val="-3"/>
        </w:rPr>
        <w:t>年起缓慢上升，</w:t>
      </w:r>
      <w:r>
        <w:rPr>
          <w:rFonts w:ascii="Arial" w:eastAsia="Arial"/>
          <w:spacing w:val="-5"/>
        </w:rPr>
        <w:t xml:space="preserve">2022 </w:t>
      </w:r>
      <w:r>
        <w:t>年</w:t>
      </w:r>
      <w:r>
        <w:rPr>
          <w:spacing w:val="-8"/>
        </w:rPr>
        <w:t>有所回落；</w:t>
      </w:r>
      <w:r>
        <w:rPr>
          <w:rFonts w:ascii="Arial" w:eastAsia="Arial"/>
          <w:spacing w:val="-19"/>
          <w:u w:val="single"/>
        </w:rPr>
        <w:t>3</w:t>
      </w:r>
      <w:r>
        <w:rPr>
          <w:spacing w:val="-19"/>
          <w:u w:val="single"/>
        </w:rPr>
        <w:t>）</w:t>
      </w:r>
      <w:r>
        <w:rPr>
          <w:spacing w:val="-3"/>
          <w:u w:val="single"/>
        </w:rPr>
        <w:t>房地产方面</w:t>
      </w:r>
      <w:r>
        <w:rPr>
          <w:spacing w:val="-10"/>
        </w:rPr>
        <w:t>，我们结合城市人口与增速、可支配收入与房价比来分</w:t>
      </w:r>
      <w:r>
        <w:rPr>
          <w:spacing w:val="-14"/>
        </w:rPr>
        <w:t>析各市未来房价增长潜力。可以看到未来房价增长潜力得分较高的有嘉兴、杭州、</w:t>
      </w:r>
      <w:r>
        <w:rPr>
          <w:spacing w:val="-22"/>
        </w:rPr>
        <w:t>宁波和温州；</w:t>
      </w:r>
      <w:r>
        <w:rPr>
          <w:rFonts w:ascii="Arial" w:eastAsia="Arial"/>
          <w:spacing w:val="-44"/>
          <w:u w:val="single"/>
        </w:rPr>
        <w:t>4</w:t>
      </w:r>
      <w:r>
        <w:rPr>
          <w:spacing w:val="-44"/>
          <w:u w:val="single"/>
        </w:rPr>
        <w:t>）</w:t>
      </w:r>
      <w:r>
        <w:rPr>
          <w:spacing w:val="-2"/>
          <w:u w:val="single"/>
        </w:rPr>
        <w:t>金融资源方面</w:t>
      </w:r>
      <w:r>
        <w:rPr>
          <w:spacing w:val="-10"/>
        </w:rPr>
        <w:t xml:space="preserve">，浙江省金融资源相比区域城投债务来说较为充足， </w:t>
      </w:r>
      <w:r>
        <w:rPr>
          <w:spacing w:val="-8"/>
        </w:rPr>
        <w:t>后续在承接城投隐性债务置换时更有优势，有一定腾挪空间，金融资源主要集中</w:t>
      </w:r>
      <w:r>
        <w:rPr>
          <w:spacing w:val="-9"/>
        </w:rPr>
        <w:t xml:space="preserve">在省会城市杭州，占比达到了 </w:t>
      </w:r>
      <w:r>
        <w:rPr>
          <w:rFonts w:ascii="Arial" w:eastAsia="Arial"/>
          <w:spacing w:val="-7"/>
        </w:rPr>
        <w:t>32.8%</w:t>
      </w:r>
      <w:r>
        <w:rPr>
          <w:spacing w:val="-9"/>
        </w:rPr>
        <w:t>，其次是宁波、温州等地。</w:t>
      </w:r>
      <w:r>
        <w:rPr>
          <w:rFonts w:ascii="Arial" w:eastAsia="Arial"/>
          <w:spacing w:val="-18"/>
          <w:u w:val="single"/>
        </w:rPr>
        <w:t>5</w:t>
      </w:r>
      <w:r>
        <w:rPr>
          <w:spacing w:val="-18"/>
          <w:u w:val="single"/>
        </w:rPr>
        <w:t>）</w:t>
      </w:r>
      <w:r>
        <w:rPr>
          <w:spacing w:val="-19"/>
          <w:u w:val="single"/>
        </w:rPr>
        <w:t>从国有资产资源</w:t>
      </w:r>
      <w:r>
        <w:rPr>
          <w:spacing w:val="-201"/>
          <w:u w:val="single"/>
        </w:rPr>
        <w:t>来</w:t>
      </w:r>
      <w:r>
        <w:rPr>
          <w:u w:val="single"/>
        </w:rPr>
        <w:t>看</w:t>
      </w:r>
      <w:r>
        <w:rPr>
          <w:spacing w:val="-4"/>
        </w:rPr>
        <w:t>，浙江省上市国企市值规模排序处于全国中上游，估算持股对应市场价值亦如此，较为领先；具体到各地市，上市国企资源主要集中在杭州、宁波等地，宁波</w:t>
      </w:r>
      <w:r>
        <w:rPr>
          <w:spacing w:val="-3"/>
        </w:rPr>
        <w:t>主要是港口货运公司宁波港，杭州上市国企类型较为丰富。</w:t>
      </w:r>
    </w:p>
    <w:p>
      <w:pPr>
        <w:pStyle w:val="BodyText"/>
        <w:spacing w:before="152" w:line="319" w:lineRule="auto"/>
        <w:ind w:left="1252" w:right="734" w:firstLine="442"/>
        <w:jc w:val="both"/>
      </w:pPr>
      <w:r>
        <w:rPr>
          <w:b/>
          <w:spacing w:val="-4"/>
        </w:rPr>
        <w:t>从经济财政债务来看，</w:t>
      </w:r>
      <w:r>
        <w:rPr>
          <w:rFonts w:ascii="Arial" w:eastAsia="Arial"/>
          <w:spacing w:val="-21"/>
          <w:u w:val="single"/>
        </w:rPr>
        <w:t>1</w:t>
      </w:r>
      <w:r>
        <w:rPr>
          <w:spacing w:val="-21"/>
          <w:u w:val="single"/>
        </w:rPr>
        <w:t>）</w:t>
      </w:r>
      <w:r>
        <w:rPr>
          <w:u w:val="single"/>
        </w:rPr>
        <w:t>总体来看</w:t>
      </w:r>
      <w:r>
        <w:rPr>
          <w:spacing w:val="-10"/>
        </w:rPr>
        <w:t>，浙江省经济总量处于较高水平，且经济</w:t>
      </w:r>
      <w:r>
        <w:rPr>
          <w:spacing w:val="-8"/>
        </w:rPr>
        <w:t>增速高于全国平均水平。浙江省综合财政实力较强，财政自给率较高。整体举债</w:t>
      </w:r>
      <w:r>
        <w:rPr>
          <w:spacing w:val="-11"/>
        </w:rPr>
        <w:t>规模高于其他多数省份，但债务率较低，债务风险可控；</w:t>
      </w:r>
      <w:r>
        <w:rPr>
          <w:rFonts w:ascii="Arial" w:eastAsia="Arial"/>
          <w:spacing w:val="-15"/>
          <w:u w:val="single"/>
        </w:rPr>
        <w:t>2</w:t>
      </w:r>
      <w:r>
        <w:rPr>
          <w:spacing w:val="-15"/>
          <w:u w:val="single"/>
        </w:rPr>
        <w:t>）</w:t>
      </w:r>
      <w:r>
        <w:rPr>
          <w:spacing w:val="-2"/>
          <w:u w:val="single"/>
        </w:rPr>
        <w:t>具体到下辖地市</w:t>
      </w:r>
      <w:r>
        <w:rPr>
          <w:spacing w:val="-29"/>
        </w:rPr>
        <w:t>，浙</w:t>
      </w:r>
      <w:r>
        <w:rPr>
          <w:spacing w:val="-5"/>
        </w:rPr>
        <w:t xml:space="preserve">江省各地级市实力分层现象较为明显，第一层次为杭州市和宁波市，温州市、绍兴市、嘉兴市、台州市和金华市为第二层次，舟山市、丽水市和衢州市 </w:t>
      </w:r>
      <w:r>
        <w:rPr>
          <w:rFonts w:ascii="Arial" w:eastAsia="Arial"/>
        </w:rPr>
        <w:t xml:space="preserve">GDP </w:t>
      </w:r>
      <w:r>
        <w:t>排行末尾；财政排名与经济排名相对匹配，收入结构稳定，分层现象明显，杭州、</w:t>
      </w:r>
    </w:p>
    <w:p>
      <w:pPr>
        <w:pStyle w:val="BodyText"/>
        <w:spacing w:line="279" w:lineRule="exact"/>
        <w:ind w:left="1252"/>
      </w:pPr>
      <w:r>
        <w:t>宁波、嘉兴三城财政自给率较高；债务方面，浙江整体债务率可控，各地级市债</w:t>
      </w:r>
    </w:p>
    <w:p>
      <w:pPr>
        <w:spacing w:after="0" w:line="279" w:lineRule="exact"/>
        <w:sectPr>
          <w:headerReference w:type="default" r:id="rId60"/>
          <w:footerReference w:type="default" r:id="rId61"/>
          <w:type w:val="continuous"/>
          <w:pgSz w:w="11910" w:h="16840"/>
          <w:pgMar w:top="1320" w:right="0" w:bottom="660" w:left="180" w:header="708" w:footer="708"/>
          <w:pgNumType w:start="23"/>
          <w:cols w:num="2" w:space="708" w:equalWidth="0">
            <w:col w:w="1901" w:space="40"/>
            <w:col w:w="9789" w:space="0"/>
          </w:cols>
        </w:sectPr>
      </w:pPr>
    </w:p>
    <w:p>
      <w:pPr>
        <w:pStyle w:val="BodyText"/>
        <w:spacing w:before="134"/>
        <w:ind w:left="3192"/>
      </w:pPr>
      <w:r>
        <w:t xml:space="preserve">务率平均水平为 </w:t>
      </w:r>
      <w:r>
        <w:rPr>
          <w:rFonts w:ascii="Arial" w:eastAsia="Arial"/>
        </w:rPr>
        <w:t>354.79%</w:t>
      </w:r>
      <w:r>
        <w:t>，债务率最高的为湖州市，最低的为衢州市。</w:t>
      </w:r>
    </w:p>
    <w:p>
      <w:pPr>
        <w:pStyle w:val="BodyText"/>
        <w:spacing w:before="5"/>
        <w:rPr>
          <w:sz w:val="19"/>
        </w:rPr>
      </w:pPr>
    </w:p>
    <w:p>
      <w:pPr>
        <w:pStyle w:val="BodyText"/>
        <w:ind w:left="3632"/>
      </w:pPr>
      <w:r>
        <w:t>基于上述分析和我们的区域研究分析框架，从经济、财政、债务、资源</w:t>
      </w:r>
    </w:p>
    <w:p>
      <w:pPr>
        <w:pStyle w:val="BodyText"/>
        <w:spacing w:before="92" w:line="319" w:lineRule="auto"/>
        <w:ind w:left="3192" w:right="801"/>
      </w:pPr>
      <w:r>
        <w:t>禀赋与潜力五维因素构建了衡量区域经济能力的打分模型，并对浙江省下辖地市打分。</w:t>
      </w:r>
    </w:p>
    <w:p>
      <w:pPr>
        <w:spacing w:before="155"/>
        <w:ind w:left="3332" w:right="0" w:firstLine="0"/>
        <w:jc w:val="left"/>
        <w:rPr>
          <w:i/>
          <w:sz w:val="18"/>
        </w:rPr>
      </w:pPr>
      <w:r>
        <w:pict>
          <v:group id="_x0000_s1201" style="width:407.5pt;height:0.5pt;margin-top:21.55pt;margin-left:170.18pt;mso-position-horizontal-relative:page;mso-wrap-distance-left:0;mso-wrap-distance-right:0;position:absolute;z-index:-251614208" coordorigin="3404,431" coordsize="8150,10">
            <v:line id="_x0000_s1202" style="position:absolute" from="3404,436" to="4539,436" stroked="t" strokecolor="#004097" strokeweight="0.48pt">
              <v:stroke dashstyle="solid"/>
            </v:line>
            <v:rect id="_x0000_s1203" style="width:10;height:10;left:4539;position:absolute;top:431" filled="t" fillcolor="#004097" stroked="f">
              <v:fill type="solid"/>
            </v:rect>
            <v:line id="_x0000_s1204" style="position:absolute" from="4549,436" to="5816,436" stroked="t" strokecolor="#004097" strokeweight="0.48pt">
              <v:stroke dashstyle="solid"/>
            </v:line>
            <v:rect id="_x0000_s1205" style="width:10;height:10;left:5816;position:absolute;top:431" filled="t" fillcolor="#004097" stroked="f">
              <v:fill type="solid"/>
            </v:rect>
            <v:line id="_x0000_s1206" style="position:absolute" from="5826,436" to="9516,436" stroked="t" strokecolor="#004097" strokeweight="0.48pt">
              <v:stroke dashstyle="solid"/>
            </v:line>
            <v:rect id="_x0000_s1207" style="width:10;height:10;left:9515;position:absolute;top:431" filled="t" fillcolor="#004097" stroked="f">
              <v:fill type="solid"/>
            </v:rect>
            <v:line id="_x0000_s1208" style="position:absolute" from="9525,436" to="11554,436" stroked="t" strokecolor="#004097" strokeweight="0.48pt">
              <v:stroke dashstyle="solid"/>
            </v:line>
            <w10:wrap type="topAndBottom"/>
          </v:group>
        </w:pict>
      </w:r>
      <w:r>
        <w:rPr>
          <w:rFonts w:ascii="宋体" w:eastAsia="宋体" w:hAnsi="宋体" w:hint="eastAsia"/>
          <w:color w:val="004097"/>
          <w:w w:val="95"/>
          <w:sz w:val="17"/>
        </w:rPr>
        <w:t xml:space="preserve">图表 </w:t>
      </w:r>
      <w:r>
        <w:rPr>
          <w:rFonts w:ascii="Tahoma" w:eastAsia="Tahoma" w:hAnsi="Tahoma"/>
          <w:i/>
          <w:color w:val="004097"/>
          <w:w w:val="95"/>
          <w:sz w:val="17"/>
        </w:rPr>
        <w:t>8</w:t>
      </w:r>
      <w:r>
        <w:rPr>
          <w:rFonts w:ascii="宋体" w:eastAsia="宋体" w:hAnsi="宋体" w:hint="eastAsia"/>
          <w:color w:val="004097"/>
          <w:w w:val="95"/>
          <w:sz w:val="17"/>
        </w:rPr>
        <w:t>：</w:t>
      </w:r>
      <w:r>
        <w:rPr>
          <w:rFonts w:ascii="Arial" w:eastAsia="Arial" w:hAnsi="Arial"/>
          <w:i/>
          <w:color w:val="004096"/>
          <w:w w:val="95"/>
          <w:sz w:val="17"/>
        </w:rPr>
        <w:t>“</w:t>
      </w:r>
      <w:r>
        <w:rPr>
          <w:i/>
          <w:color w:val="004096"/>
          <w:w w:val="95"/>
          <w:sz w:val="18"/>
        </w:rPr>
        <w:t>经济、财政、债务、资源禀赋、潜力</w:t>
      </w:r>
      <w:r>
        <w:rPr>
          <w:rFonts w:ascii="Arial" w:eastAsia="Arial" w:hAnsi="Arial"/>
          <w:i/>
          <w:color w:val="004096"/>
          <w:w w:val="95"/>
          <w:sz w:val="17"/>
        </w:rPr>
        <w:t>”</w:t>
      </w:r>
      <w:r>
        <w:rPr>
          <w:i/>
          <w:color w:val="004096"/>
          <w:w w:val="95"/>
          <w:sz w:val="18"/>
        </w:rPr>
        <w:t>五维信用打分模型</w:t>
      </w:r>
    </w:p>
    <w:p>
      <w:pPr>
        <w:tabs>
          <w:tab w:val="left" w:pos="7081"/>
          <w:tab w:val="left" w:pos="10153"/>
        </w:tabs>
        <w:spacing w:before="15" w:after="19"/>
        <w:ind w:left="4592" w:right="0" w:firstLine="0"/>
        <w:jc w:val="left"/>
        <w:rPr>
          <w:b/>
          <w:sz w:val="20"/>
        </w:rPr>
      </w:pPr>
      <w:r>
        <w:rPr>
          <w:b/>
          <w:sz w:val="20"/>
        </w:rPr>
        <w:t>指标类别</w:t>
        <w:tab/>
        <w:t>具体指标</w:t>
        <w:tab/>
        <w:t>权重</w:t>
      </w:r>
    </w:p>
    <w:p>
      <w:pPr>
        <w:pStyle w:val="BodyText"/>
        <w:ind w:left="3218"/>
        <w:rPr>
          <w:sz w:val="20"/>
        </w:rPr>
      </w:pPr>
      <w:r>
        <w:rPr>
          <w:sz w:val="20"/>
        </w:rPr>
        <w:pict>
          <v:group id="_x0000_i1209" style="width:407.5pt;height:241.85pt;mso-position-horizontal-relative:char;mso-position-vertical-relative:line" coordorigin="0,0" coordsize="8150,4837">
            <v:rect id="_x0000_s1210" style="width:425;height:4816;left:708;position:absolute;top:12" filled="t" fillcolor="#f1f1f1" stroked="f">
              <v:fill type="solid"/>
            </v:rect>
            <v:rect id="_x0000_s1211" style="width:428;height:4816;position:absolute;top:12" filled="t" fillcolor="#f1f1f1" stroked="f">
              <v:fill type="solid"/>
            </v:rect>
            <v:rect id="_x0000_s1212" style="width:281;height:4816;left:427;position:absolute;top:12" filled="t" fillcolor="#f1f1f1" stroked="f">
              <v:fill type="solid"/>
            </v:rect>
            <v:rect id="_x0000_s1213" style="width:1277;height:963;left:1133;position:absolute;top:12" filled="t" fillcolor="#f1f1f1" stroked="f">
              <v:fill type="solid"/>
            </v:rect>
            <v:rect id="_x0000_s1214" style="width:1061;height:279;left:1241;position:absolute;top:213" filled="t" fillcolor="#f1f1f1" stroked="f">
              <v:fill type="solid"/>
            </v:rect>
            <v:rect id="_x0000_s1215" style="width:1061;height:281;left:1241;position:absolute;top:492" filled="t" fillcolor="#f1f1f1" stroked="f">
              <v:fill type="solid"/>
            </v:rect>
            <v:shape id="_x0000_s1216" type="#_x0000_t75" style="width:95;height:140;left:1822;position:absolute;top:577" stroked="f">
              <v:imagedata r:id="rId62" o:title=""/>
            </v:shape>
            <v:rect id="_x0000_s1217" style="width:3702;height:320;left:2410;position:absolute;top:12" filled="t" fillcolor="#f1f1f1" stroked="f">
              <v:fill type="solid"/>
            </v:rect>
            <v:rect id="_x0000_s1218" style="width:3486;height:281;left:2518;position:absolute;top:31" filled="t" fillcolor="#f1f1f1" stroked="f">
              <v:fill type="solid"/>
            </v:rect>
            <v:rect id="_x0000_s1219" style="width:2038;height:320;left:6112;position:absolute;top:12" filled="t" fillcolor="#f1f1f1" stroked="f">
              <v:fill type="solid"/>
            </v:rect>
            <v:rect id="_x0000_s1220" style="width:1823;height:281;left:6220;position:absolute;top:31" filled="t" fillcolor="#f1f1f1" stroked="f">
              <v:fill type="solid"/>
            </v:rect>
            <v:shape id="_x0000_s1221" type="#_x0000_t75" style="width:95;height:140;left:7182;position:absolute;top:116" stroked="f">
              <v:imagedata r:id="rId62" o:title=""/>
            </v:shape>
            <v:line id="_x0000_s1222" style="position:absolute" from="0,5" to="1136,5" stroked="t" strokecolor="#004097" strokeweight="0.48pt">
              <v:stroke dashstyle="solid"/>
            </v:line>
            <v:rect id="_x0000_s1223" style="width:10;height:10;left:1135;position:absolute" filled="t" fillcolor="#004097" stroked="f">
              <v:fill type="solid"/>
            </v:rect>
            <v:line id="_x0000_s1224" style="position:absolute" from="1145,5" to="2413,5" stroked="t" strokecolor="#004097" strokeweight="0.48pt">
              <v:stroke dashstyle="solid"/>
            </v:line>
            <v:rect id="_x0000_s1225" style="width:10;height:10;left:2412;position:absolute" filled="t" fillcolor="#004097" stroked="f">
              <v:fill type="solid"/>
            </v:rect>
            <v:line id="_x0000_s1226" style="position:absolute" from="2422,5" to="6112,5" stroked="t" strokecolor="#004097" strokeweight="0.48pt">
              <v:stroke dashstyle="solid"/>
            </v:line>
            <v:rect id="_x0000_s1227" style="width:10;height:10;left:6112;position:absolute" filled="t" fillcolor="#004097" stroked="f">
              <v:fill type="solid"/>
            </v:rect>
            <v:line id="_x0000_s1228" style="position:absolute" from="6122,5" to="8150,5" stroked="t" strokecolor="#004097" strokeweight="0.48pt">
              <v:stroke dashstyle="solid"/>
            </v:line>
            <v:shape id="_x0000_s1229" type="#_x0000_t75" style="width:95;height:140;left:3917;position:absolute;top:438" stroked="f">
              <v:imagedata r:id="rId62" o:title=""/>
            </v:shape>
            <v:shape id="_x0000_s1230" type="#_x0000_t75" style="width:95;height:140;left:7132;position:absolute;top:438" stroked="f">
              <v:imagedata r:id="rId62" o:title=""/>
            </v:shape>
            <v:rect id="_x0000_s1231" style="width:3702;height:322;left:2410;position:absolute;top:652" filled="t" fillcolor="#f1f1f1" stroked="f">
              <v:fill type="solid"/>
            </v:rect>
            <v:rect id="_x0000_s1232" style="width:3486;height:279;left:2518;position:absolute;top:674" filled="t" fillcolor="#f1f1f1" stroked="f">
              <v:fill type="solid"/>
            </v:rect>
            <v:shape id="_x0000_s1233" type="#_x0000_t75" style="width:95;height:140;left:5317;position:absolute;top:757" stroked="f">
              <v:imagedata r:id="rId62" o:title=""/>
            </v:shape>
            <v:rect id="_x0000_s1234" style="width:2038;height:322;left:6112;position:absolute;top:652" filled="t" fillcolor="#f1f1f1" stroked="f">
              <v:fill type="solid"/>
            </v:rect>
            <v:rect id="_x0000_s1235" style="width:1823;height:279;left:6220;position:absolute;top:674" filled="t" fillcolor="#f1f1f1" stroked="f">
              <v:fill type="solid"/>
            </v:rect>
            <v:shape id="_x0000_s1236" type="#_x0000_t75" style="width:95;height:140;left:7132;position:absolute;top:757" stroked="f">
              <v:imagedata r:id="rId62" o:title=""/>
            </v:shape>
            <v:shape id="_x0000_s1237" type="#_x0000_t75" style="width:95;height:140;left:1822;position:absolute;top:1540" stroked="f">
              <v:imagedata r:id="rId62" o:title=""/>
            </v:shape>
            <v:shape id="_x0000_s1238" type="#_x0000_t75" style="width:95;height:140;left:7182;position:absolute;top:1079" stroked="f">
              <v:imagedata r:id="rId62" o:title=""/>
            </v:shape>
            <v:rect id="_x0000_s1239" style="width:3702;height:320;left:2410;position:absolute;top:1296" filled="t" fillcolor="#f1f1f1" stroked="f">
              <v:fill type="solid"/>
            </v:rect>
            <v:rect id="_x0000_s1240" style="width:3486;height:281;left:2518;position:absolute;top:1315" filled="t" fillcolor="#f1f1f1" stroked="f">
              <v:fill type="solid"/>
            </v:rect>
            <v:rect id="_x0000_s1241" style="width:2038;height:320;left:6112;position:absolute;top:1296" filled="t" fillcolor="#f1f1f1" stroked="f">
              <v:fill type="solid"/>
            </v:rect>
            <v:rect id="_x0000_s1242" style="width:1823;height:281;left:6220;position:absolute;top:1315" filled="t" fillcolor="#f1f1f1" stroked="f">
              <v:fill type="solid"/>
            </v:rect>
            <v:shape id="_x0000_s1243" type="#_x0000_t75" style="width:95;height:140;left:7182;position:absolute;top:1401" stroked="f">
              <v:imagedata r:id="rId62" o:title=""/>
            </v:shape>
            <v:shape id="_x0000_s1244" type="#_x0000_t75" style="width:95;height:140;left:7132;position:absolute;top:1723" stroked="f">
              <v:imagedata r:id="rId62" o:title=""/>
            </v:shape>
            <v:rect id="_x0000_s1245" style="width:1277;height:644;left:1133;position:absolute;top:1937" filled="t" fillcolor="#f1f1f1" stroked="f">
              <v:fill type="solid"/>
            </v:rect>
            <v:rect id="_x0000_s1246" style="width:1061;height:281;left:1241;position:absolute;top:1978" filled="t" fillcolor="#f1f1f1" stroked="f">
              <v:fill type="solid"/>
            </v:rect>
            <v:rect id="_x0000_s1247" style="width:1061;height:281;left:1241;position:absolute;top:2259" filled="t" fillcolor="#f1f1f1" stroked="f">
              <v:fill type="solid"/>
            </v:rect>
            <v:shape id="_x0000_s1248" type="#_x0000_t75" style="width:95;height:140;left:1822;position:absolute;top:2344" stroked="f">
              <v:imagedata r:id="rId62" o:title=""/>
            </v:shape>
            <v:rect id="_x0000_s1249" style="width:3702;height:322;left:2410;position:absolute;top:1937" filled="t" fillcolor="#f1f1f1" stroked="f">
              <v:fill type="solid"/>
            </v:rect>
            <v:rect id="_x0000_s1250" style="width:3486;height:279;left:2518;position:absolute;top:1959" filled="t" fillcolor="#f1f1f1" stroked="f">
              <v:fill type="solid"/>
            </v:rect>
            <v:shape id="_x0000_s1251" type="#_x0000_t75" style="width:95;height:140;left:3315;position:absolute;top:2042" stroked="f">
              <v:imagedata r:id="rId62" o:title=""/>
            </v:shape>
            <v:rect id="_x0000_s1252" style="width:2038;height:322;left:6112;position:absolute;top:1937" filled="t" fillcolor="#f1f1f1" stroked="f">
              <v:fill type="solid"/>
            </v:rect>
            <v:rect id="_x0000_s1253" style="width:1823;height:279;left:6220;position:absolute;top:1959" filled="t" fillcolor="#f1f1f1" stroked="f">
              <v:fill type="solid"/>
            </v:rect>
            <v:shape id="_x0000_s1254" type="#_x0000_t75" style="width:95;height:140;left:7182;position:absolute;top:2042" stroked="f">
              <v:imagedata r:id="rId62" o:title=""/>
            </v:shape>
            <v:shape id="_x0000_s1255" type="#_x0000_t75" style="width:95;height:140;left:4467;position:absolute;top:2363" stroked="f">
              <v:imagedata r:id="rId62" o:title=""/>
            </v:shape>
            <v:shape id="_x0000_s1256" type="#_x0000_t75" style="width:95;height:140;left:7132;position:absolute;top:2363" stroked="f">
              <v:imagedata r:id="rId62" o:title=""/>
            </v:shape>
            <v:shape id="_x0000_s1257" type="#_x0000_t75" style="width:95;height:140;left:1822;position:absolute;top:3307" stroked="f">
              <v:imagedata r:id="rId62" o:title=""/>
            </v:shape>
            <v:rect id="_x0000_s1258" style="width:3702;height:320;left:2410;position:absolute;top:2580" filled="t" fillcolor="#f1f1f1" stroked="f">
              <v:fill type="solid"/>
            </v:rect>
            <v:rect id="_x0000_s1259" style="width:3486;height:281;left:2518;position:absolute;top:2599" filled="t" fillcolor="#f1f1f1" stroked="f">
              <v:fill type="solid"/>
            </v:rect>
            <v:rect id="_x0000_s1260" style="width:2038;height:320;left:6112;position:absolute;top:2580" filled="t" fillcolor="#f1f1f1" stroked="f">
              <v:fill type="solid"/>
            </v:rect>
            <v:rect id="_x0000_s1261" style="width:1823;height:281;left:6220;position:absolute;top:2599" filled="t" fillcolor="#f1f1f1" stroked="f">
              <v:fill type="solid"/>
            </v:rect>
            <v:shape id="_x0000_s1262" type="#_x0000_t75" style="width:95;height:140;left:7132;position:absolute;top:2685" stroked="f">
              <v:imagedata r:id="rId62" o:title=""/>
            </v:shape>
            <v:shape id="_x0000_s1263" type="#_x0000_t75" style="width:95;height:140;left:7132;position:absolute;top:3007" stroked="f">
              <v:imagedata r:id="rId62" o:title=""/>
            </v:shape>
            <v:rect id="_x0000_s1264" style="width:3702;height:322;left:2410;position:absolute;top:3221" filled="t" fillcolor="#f1f1f1" stroked="f">
              <v:fill type="solid"/>
            </v:rect>
            <v:rect id="_x0000_s1265" style="width:3486;height:279;left:2518;position:absolute;top:3243" filled="t" fillcolor="#f1f1f1" stroked="f">
              <v:fill type="solid"/>
            </v:rect>
            <v:shape id="_x0000_s1266" type="#_x0000_t75" style="width:95;height:140;left:4217;position:absolute;top:3326" stroked="f">
              <v:imagedata r:id="rId62" o:title=""/>
            </v:shape>
            <v:rect id="_x0000_s1267" style="width:2038;height:322;left:6112;position:absolute;top:3221" filled="t" fillcolor="#f1f1f1" stroked="f">
              <v:fill type="solid"/>
            </v:rect>
            <v:rect id="_x0000_s1268" style="width:1823;height:279;left:6220;position:absolute;top:3243" filled="t" fillcolor="#f1f1f1" stroked="f">
              <v:fill type="solid"/>
            </v:rect>
            <v:shape id="_x0000_s1269" type="#_x0000_t75" style="width:95;height:140;left:7132;position:absolute;top:3326" stroked="f">
              <v:imagedata r:id="rId62" o:title=""/>
            </v:shape>
            <v:shape id="_x0000_s1270" type="#_x0000_t75" style="width:95;height:140;left:4717;position:absolute;top:3647" stroked="f">
              <v:imagedata r:id="rId62" o:title=""/>
            </v:shape>
            <v:shape id="_x0000_s1271" type="#_x0000_t75" style="width:95;height:140;left:7132;position:absolute;top:3647" stroked="f">
              <v:imagedata r:id="rId62" o:title=""/>
            </v:shape>
            <v:rect id="_x0000_s1272" style="width:1277;height:963;left:1133;position:absolute;top:3864" filled="t" fillcolor="#f1f1f1" stroked="f">
              <v:fill type="solid"/>
            </v:rect>
            <v:rect id="_x0000_s1273" style="width:1061;height:279;left:1241;position:absolute;top:4066" filled="t" fillcolor="#f1f1f1" stroked="f">
              <v:fill type="solid"/>
            </v:rect>
            <v:rect id="_x0000_s1274" style="width:1061;height:282;left:1241;position:absolute;top:4344" filled="t" fillcolor="#f1f1f1" stroked="f">
              <v:fill type="solid"/>
            </v:rect>
            <v:shape id="_x0000_s1275" type="#_x0000_t75" style="width:95;height:140;left:1822;position:absolute;top:4430" stroked="f">
              <v:imagedata r:id="rId62" o:title=""/>
            </v:shape>
            <v:rect id="_x0000_s1276" style="width:3702;height:320;left:2410;position:absolute;top:3864" filled="t" fillcolor="#f1f1f1" stroked="f">
              <v:fill type="solid"/>
            </v:rect>
            <v:rect id="_x0000_s1277" style="width:3486;height:281;left:2518;position:absolute;top:3883" filled="t" fillcolor="#f1f1f1" stroked="f">
              <v:fill type="solid"/>
            </v:rect>
            <v:rect id="_x0000_s1278" style="width:2038;height:320;left:6112;position:absolute;top:3864" filled="t" fillcolor="#f1f1f1" stroked="f">
              <v:fill type="solid"/>
            </v:rect>
            <v:rect id="_x0000_s1279" style="width:1823;height:281;left:6220;position:absolute;top:3883" filled="t" fillcolor="#f1f1f1" stroked="f">
              <v:fill type="solid"/>
            </v:rect>
            <v:shape id="_x0000_s1280" type="#_x0000_t75" style="width:95;height:140;left:7132;position:absolute;top:3969" stroked="f">
              <v:imagedata r:id="rId62" o:title=""/>
            </v:shape>
            <v:shape id="_x0000_s1281" type="#_x0000_t75" style="width:95;height:140;left:4369;position:absolute;top:4291" stroked="f">
              <v:imagedata r:id="rId62" o:title=""/>
            </v:shape>
            <v:shape id="_x0000_s1282" type="#_x0000_t75" style="width:95;height:140;left:7132;position:absolute;top:4291" stroked="f">
              <v:imagedata r:id="rId62" o:title=""/>
            </v:shape>
            <v:rect id="_x0000_s1283" style="width:3702;height:322;left:2410;position:absolute;top:4505" filled="t" fillcolor="#f1f1f1" stroked="f">
              <v:fill type="solid"/>
            </v:rect>
            <v:rect id="_x0000_s1284" style="width:3486;height:279;left:2518;position:absolute;top:4527" filled="t" fillcolor="#f1f1f1" stroked="f">
              <v:fill type="solid"/>
            </v:rect>
            <v:shape id="_x0000_s1285" type="#_x0000_t75" style="width:95;height:140;left:4717;position:absolute;top:4610" stroked="f">
              <v:imagedata r:id="rId62" o:title=""/>
            </v:shape>
            <v:rect id="_x0000_s1286" style="width:2038;height:322;left:6112;position:absolute;top:4505" filled="t" fillcolor="#f1f1f1" stroked="f">
              <v:fill type="solid"/>
            </v:rect>
            <v:rect id="_x0000_s1287" style="width:1823;height:279;left:6220;position:absolute;top:4527" filled="t" fillcolor="#f1f1f1" stroked="f">
              <v:fill type="solid"/>
            </v:rect>
            <v:shape id="_x0000_s1288" type="#_x0000_t75" style="width:95;height:140;left:7132;position:absolute;top:4610" stroked="f">
              <v:imagedata r:id="rId62" o:title=""/>
            </v:shape>
            <v:line id="_x0000_s1289" style="position:absolute" from="0,4832" to="1136,4832" stroked="t" strokecolor="#004097" strokeweight="0.48pt">
              <v:stroke dashstyle="solid"/>
            </v:line>
            <v:rect id="_x0000_s1290" style="width:10;height:10;left:1135;position:absolute;top:4827" filled="t" fillcolor="#004097" stroked="f">
              <v:fill type="solid"/>
            </v:rect>
            <v:line id="_x0000_s1291" style="position:absolute" from="1145,4832" to="2413,4832" stroked="t" strokecolor="#004097" strokeweight="0.48pt">
              <v:stroke dashstyle="solid"/>
            </v:line>
            <v:rect id="_x0000_s1292" style="width:10;height:10;left:2412;position:absolute;top:4827" filled="t" fillcolor="#004097" stroked="f">
              <v:fill type="solid"/>
            </v:rect>
            <v:line id="_x0000_s1293" style="position:absolute" from="2422,4832" to="6112,4832" stroked="t" strokecolor="#004097" strokeweight="0.48pt">
              <v:stroke dashstyle="solid"/>
            </v:line>
            <v:rect id="_x0000_s1294" style="width:10;height:10;left:6112;position:absolute;top:4827" filled="t" fillcolor="#004097" stroked="f">
              <v:fill type="solid"/>
            </v:rect>
            <v:line id="_x0000_s1295" style="position:absolute" from="6122,4832" to="8150,4832" stroked="t" strokecolor="#004097" strokeweight="0.48pt">
              <v:stroke dashstyle="solid"/>
            </v:line>
            <v:shape id="_x0000_s1296" type="#_x0000_t202" style="width:323;height:4693;left:6980;position:absolute;top:85" filled="f" stroked="f">
              <v:textbox inset="0,0,0,0">
                <w:txbxContent>
                  <w:p>
                    <w:pPr>
                      <w:spacing w:before="0" w:line="227" w:lineRule="exact"/>
                      <w:ind w:left="0" w:right="0" w:firstLine="0"/>
                      <w:jc w:val="left"/>
                      <w:rPr>
                        <w:sz w:val="20"/>
                      </w:rPr>
                    </w:pPr>
                    <w:r>
                      <w:rPr>
                        <w:spacing w:val="1"/>
                        <w:w w:val="99"/>
                        <w:sz w:val="20"/>
                      </w:rPr>
                      <w:t>13</w:t>
                    </w:r>
                  </w:p>
                  <w:p>
                    <w:pPr>
                      <w:spacing w:before="65"/>
                      <w:ind w:left="50" w:right="0" w:firstLine="0"/>
                      <w:jc w:val="left"/>
                      <w:rPr>
                        <w:sz w:val="20"/>
                      </w:rPr>
                    </w:pPr>
                    <w:r>
                      <w:rPr>
                        <w:spacing w:val="1"/>
                        <w:w w:val="99"/>
                        <w:sz w:val="20"/>
                      </w:rPr>
                      <w:t>5</w:t>
                    </w:r>
                  </w:p>
                  <w:p>
                    <w:pPr>
                      <w:spacing w:before="63"/>
                      <w:ind w:left="50" w:right="0" w:firstLine="0"/>
                      <w:jc w:val="left"/>
                      <w:rPr>
                        <w:sz w:val="20"/>
                      </w:rPr>
                    </w:pPr>
                    <w:r>
                      <w:rPr>
                        <w:spacing w:val="1"/>
                        <w:w w:val="99"/>
                        <w:sz w:val="20"/>
                      </w:rPr>
                      <w:t>3</w:t>
                    </w:r>
                  </w:p>
                  <w:p>
                    <w:pPr>
                      <w:spacing w:before="66"/>
                      <w:ind w:left="0" w:right="0" w:firstLine="0"/>
                      <w:jc w:val="left"/>
                      <w:rPr>
                        <w:sz w:val="20"/>
                      </w:rPr>
                    </w:pPr>
                    <w:r>
                      <w:rPr>
                        <w:spacing w:val="1"/>
                        <w:w w:val="99"/>
                        <w:sz w:val="20"/>
                      </w:rPr>
                      <w:t>10</w:t>
                    </w:r>
                  </w:p>
                  <w:p>
                    <w:pPr>
                      <w:spacing w:before="65"/>
                      <w:ind w:left="0" w:right="0" w:firstLine="0"/>
                      <w:jc w:val="left"/>
                      <w:rPr>
                        <w:sz w:val="20"/>
                      </w:rPr>
                    </w:pPr>
                    <w:r>
                      <w:rPr>
                        <w:spacing w:val="1"/>
                        <w:w w:val="99"/>
                        <w:sz w:val="20"/>
                      </w:rPr>
                      <w:t>10</w:t>
                    </w:r>
                  </w:p>
                  <w:p>
                    <w:pPr>
                      <w:spacing w:before="66"/>
                      <w:ind w:left="50" w:right="0" w:firstLine="0"/>
                      <w:jc w:val="left"/>
                      <w:rPr>
                        <w:sz w:val="20"/>
                      </w:rPr>
                    </w:pPr>
                    <w:r>
                      <w:rPr>
                        <w:spacing w:val="1"/>
                        <w:w w:val="99"/>
                        <w:sz w:val="20"/>
                      </w:rPr>
                      <w:t>4</w:t>
                    </w:r>
                  </w:p>
                  <w:p>
                    <w:pPr>
                      <w:spacing w:before="63"/>
                      <w:ind w:left="0" w:right="0" w:firstLine="0"/>
                      <w:jc w:val="left"/>
                      <w:rPr>
                        <w:sz w:val="20"/>
                      </w:rPr>
                    </w:pPr>
                    <w:r>
                      <w:rPr>
                        <w:spacing w:val="1"/>
                        <w:w w:val="99"/>
                        <w:sz w:val="20"/>
                      </w:rPr>
                      <w:t>17</w:t>
                    </w:r>
                  </w:p>
                  <w:p>
                    <w:pPr>
                      <w:spacing w:before="65"/>
                      <w:ind w:left="50" w:right="0" w:firstLine="0"/>
                      <w:jc w:val="left"/>
                      <w:rPr>
                        <w:sz w:val="20"/>
                      </w:rPr>
                    </w:pPr>
                    <w:r>
                      <w:rPr>
                        <w:spacing w:val="1"/>
                        <w:w w:val="99"/>
                        <w:sz w:val="20"/>
                      </w:rPr>
                      <w:t>8</w:t>
                    </w:r>
                  </w:p>
                  <w:p>
                    <w:pPr>
                      <w:spacing w:before="65"/>
                      <w:ind w:left="50" w:right="0" w:firstLine="0"/>
                      <w:jc w:val="left"/>
                      <w:rPr>
                        <w:sz w:val="20"/>
                      </w:rPr>
                    </w:pPr>
                    <w:r>
                      <w:rPr>
                        <w:spacing w:val="1"/>
                        <w:w w:val="99"/>
                        <w:sz w:val="20"/>
                      </w:rPr>
                      <w:t>2</w:t>
                    </w:r>
                  </w:p>
                  <w:p>
                    <w:pPr>
                      <w:spacing w:before="66"/>
                      <w:ind w:left="50" w:right="0" w:firstLine="0"/>
                      <w:jc w:val="left"/>
                      <w:rPr>
                        <w:sz w:val="20"/>
                      </w:rPr>
                    </w:pPr>
                    <w:r>
                      <w:rPr>
                        <w:spacing w:val="1"/>
                        <w:w w:val="99"/>
                        <w:sz w:val="20"/>
                      </w:rPr>
                      <w:t>2</w:t>
                    </w:r>
                  </w:p>
                  <w:p>
                    <w:pPr>
                      <w:spacing w:before="63"/>
                      <w:ind w:left="50" w:right="0" w:firstLine="0"/>
                      <w:jc w:val="left"/>
                      <w:rPr>
                        <w:sz w:val="20"/>
                      </w:rPr>
                    </w:pPr>
                    <w:r>
                      <w:rPr>
                        <w:spacing w:val="1"/>
                        <w:w w:val="99"/>
                        <w:sz w:val="20"/>
                      </w:rPr>
                      <w:t>6</w:t>
                    </w:r>
                  </w:p>
                  <w:p>
                    <w:pPr>
                      <w:spacing w:before="65"/>
                      <w:ind w:left="50" w:right="0" w:firstLine="0"/>
                      <w:jc w:val="left"/>
                      <w:rPr>
                        <w:sz w:val="20"/>
                      </w:rPr>
                    </w:pPr>
                    <w:r>
                      <w:rPr>
                        <w:spacing w:val="1"/>
                        <w:w w:val="99"/>
                        <w:sz w:val="20"/>
                      </w:rPr>
                      <w:t>3</w:t>
                    </w:r>
                  </w:p>
                  <w:p>
                    <w:pPr>
                      <w:spacing w:before="65"/>
                      <w:ind w:left="50" w:right="0" w:firstLine="0"/>
                      <w:jc w:val="left"/>
                      <w:rPr>
                        <w:sz w:val="20"/>
                      </w:rPr>
                    </w:pPr>
                    <w:r>
                      <w:rPr>
                        <w:spacing w:val="1"/>
                        <w:w w:val="99"/>
                        <w:sz w:val="20"/>
                      </w:rPr>
                      <w:t>6</w:t>
                    </w:r>
                  </w:p>
                  <w:p>
                    <w:pPr>
                      <w:spacing w:before="66"/>
                      <w:ind w:left="50" w:right="0" w:firstLine="0"/>
                      <w:jc w:val="left"/>
                      <w:rPr>
                        <w:sz w:val="20"/>
                      </w:rPr>
                    </w:pPr>
                    <w:r>
                      <w:rPr>
                        <w:spacing w:val="1"/>
                        <w:w w:val="99"/>
                        <w:sz w:val="20"/>
                      </w:rPr>
                      <w:t>4</w:t>
                    </w:r>
                  </w:p>
                  <w:p>
                    <w:pPr>
                      <w:spacing w:before="63" w:line="228" w:lineRule="exact"/>
                      <w:ind w:left="50" w:right="0" w:firstLine="0"/>
                      <w:jc w:val="left"/>
                      <w:rPr>
                        <w:sz w:val="20"/>
                      </w:rPr>
                    </w:pPr>
                    <w:r>
                      <w:rPr>
                        <w:spacing w:val="1"/>
                        <w:w w:val="99"/>
                        <w:sz w:val="20"/>
                      </w:rPr>
                      <w:t>7</w:t>
                    </w:r>
                  </w:p>
                </w:txbxContent>
              </v:textbox>
            </v:shape>
            <v:shape id="_x0000_s1297" type="#_x0000_t202" style="width:3119;height:4693;left:2518;position:absolute;top:85" filled="f" stroked="f">
              <v:textbox inset="0,0,0,0">
                <w:txbxContent>
                  <w:p>
                    <w:pPr>
                      <w:spacing w:before="0" w:line="227" w:lineRule="exact"/>
                      <w:ind w:left="0" w:right="0" w:firstLine="0"/>
                      <w:jc w:val="left"/>
                      <w:rPr>
                        <w:sz w:val="20"/>
                      </w:rPr>
                    </w:pPr>
                    <w:r>
                      <w:rPr>
                        <w:sz w:val="20"/>
                      </w:rPr>
                      <w:t>GDP（亿元）</w:t>
                    </w:r>
                  </w:p>
                  <w:p>
                    <w:pPr>
                      <w:spacing w:before="65"/>
                      <w:ind w:left="0" w:right="0" w:firstLine="0"/>
                      <w:jc w:val="left"/>
                      <w:rPr>
                        <w:sz w:val="20"/>
                      </w:rPr>
                    </w:pPr>
                    <w:r>
                      <w:rPr>
                        <w:sz w:val="20"/>
                      </w:rPr>
                      <w:t>GDP 同比增速（ ）</w:t>
                    </w:r>
                  </w:p>
                  <w:p>
                    <w:pPr>
                      <w:spacing w:before="63" w:line="302" w:lineRule="auto"/>
                      <w:ind w:left="0" w:right="18" w:firstLine="0"/>
                      <w:jc w:val="left"/>
                      <w:rPr>
                        <w:sz w:val="20"/>
                      </w:rPr>
                    </w:pPr>
                    <w:r>
                      <w:rPr>
                        <w:sz w:val="20"/>
                      </w:rPr>
                      <w:t>规模以上工业增加值同比增速（ ） 地方公共财政收入（亿元）</w:t>
                    </w:r>
                  </w:p>
                  <w:p>
                    <w:pPr>
                      <w:spacing w:before="0" w:line="302" w:lineRule="auto"/>
                      <w:ind w:left="0" w:right="919" w:firstLine="0"/>
                      <w:jc w:val="left"/>
                      <w:rPr>
                        <w:sz w:val="20"/>
                      </w:rPr>
                    </w:pPr>
                    <w:r>
                      <w:rPr>
                        <w:sz w:val="20"/>
                      </w:rPr>
                      <w:t>政府性基金收入（亿元） 财政自给率</w:t>
                    </w:r>
                  </w:p>
                  <w:p>
                    <w:pPr>
                      <w:spacing w:before="0" w:line="251" w:lineRule="exact"/>
                      <w:ind w:left="0" w:right="0" w:firstLine="0"/>
                      <w:jc w:val="left"/>
                      <w:rPr>
                        <w:sz w:val="20"/>
                      </w:rPr>
                    </w:pPr>
                    <w:r>
                      <w:rPr>
                        <w:sz w:val="20"/>
                      </w:rPr>
                      <w:t>债务率（ ）</w:t>
                    </w:r>
                  </w:p>
                  <w:p>
                    <w:pPr>
                      <w:spacing w:before="63" w:line="302" w:lineRule="auto"/>
                      <w:ind w:left="0" w:right="868" w:firstLine="0"/>
                      <w:jc w:val="left"/>
                      <w:rPr>
                        <w:sz w:val="20"/>
                      </w:rPr>
                    </w:pPr>
                    <w:r>
                      <w:rPr>
                        <w:sz w:val="20"/>
                      </w:rPr>
                      <w:t>GDP</w:t>
                    </w:r>
                    <w:r>
                      <w:rPr>
                        <w:spacing w:val="-8"/>
                        <w:sz w:val="20"/>
                      </w:rPr>
                      <w:t xml:space="preserve"> 对债务的覆盖率</w:t>
                    </w:r>
                    <w:r>
                      <w:rPr>
                        <w:sz w:val="20"/>
                      </w:rPr>
                      <w:t>（</w:t>
                    </w:r>
                    <w:r>
                      <w:rPr>
                        <w:spacing w:val="-1"/>
                        <w:sz w:val="20"/>
                      </w:rPr>
                      <w:t xml:space="preserve"> </w:t>
                    </w:r>
                    <w:r>
                      <w:rPr>
                        <w:spacing w:val="-17"/>
                        <w:sz w:val="20"/>
                      </w:rPr>
                      <w:t xml:space="preserve">） </w:t>
                    </w:r>
                    <w:r>
                      <w:rPr>
                        <w:sz w:val="20"/>
                      </w:rPr>
                      <w:t>人口（万人）</w:t>
                    </w:r>
                  </w:p>
                  <w:p>
                    <w:pPr>
                      <w:spacing w:before="0" w:line="254" w:lineRule="exact"/>
                      <w:ind w:left="0" w:right="0" w:firstLine="0"/>
                      <w:jc w:val="left"/>
                      <w:rPr>
                        <w:sz w:val="20"/>
                      </w:rPr>
                    </w:pPr>
                    <w:r>
                      <w:rPr>
                        <w:w w:val="95"/>
                        <w:sz w:val="20"/>
                      </w:rPr>
                      <w:t>未来房价潜力</w:t>
                    </w:r>
                  </w:p>
                  <w:p>
                    <w:pPr>
                      <w:spacing w:before="63"/>
                      <w:ind w:left="0" w:right="0" w:firstLine="0"/>
                      <w:jc w:val="left"/>
                      <w:rPr>
                        <w:sz w:val="20"/>
                      </w:rPr>
                    </w:pPr>
                    <w:r>
                      <w:rPr>
                        <w:sz w:val="20"/>
                      </w:rPr>
                      <w:t>区域金融贷款占比( )</w:t>
                    </w:r>
                  </w:p>
                  <w:p>
                    <w:pPr>
                      <w:spacing w:before="66" w:line="302" w:lineRule="auto"/>
                      <w:ind w:left="0" w:right="618" w:firstLine="0"/>
                      <w:jc w:val="left"/>
                      <w:rPr>
                        <w:sz w:val="20"/>
                      </w:rPr>
                    </w:pPr>
                    <w:r>
                      <w:rPr>
                        <w:sz w:val="20"/>
                      </w:rPr>
                      <w:t>城投的金融资源利用率（ ） 区域国有资产估算</w:t>
                    </w:r>
                  </w:p>
                  <w:p>
                    <w:pPr>
                      <w:spacing w:before="0" w:line="254" w:lineRule="exact"/>
                      <w:ind w:left="0" w:right="0" w:firstLine="0"/>
                      <w:jc w:val="left"/>
                      <w:rPr>
                        <w:sz w:val="20"/>
                      </w:rPr>
                    </w:pPr>
                    <w:r>
                      <w:rPr>
                        <w:sz w:val="20"/>
                      </w:rPr>
                      <w:t>2022 规划 GDP 增速（ ）</w:t>
                    </w:r>
                  </w:p>
                  <w:p>
                    <w:pPr>
                      <w:spacing w:before="63" w:line="228" w:lineRule="exact"/>
                      <w:ind w:left="0" w:right="0" w:firstLine="0"/>
                      <w:jc w:val="left"/>
                      <w:rPr>
                        <w:sz w:val="20"/>
                      </w:rPr>
                    </w:pPr>
                    <w:r>
                      <w:rPr>
                        <w:sz w:val="20"/>
                      </w:rPr>
                      <w:t>研发经费投入年均增长（ ）</w:t>
                    </w:r>
                  </w:p>
                </w:txbxContent>
              </v:textbox>
            </v:shape>
            <v:shape id="_x0000_s1298" type="#_x0000_t202" style="width:817;height:2566;left:1371;position:absolute;top:2032" filled="f" stroked="f">
              <v:textbox inset="0,0,0,0">
                <w:txbxContent>
                  <w:p>
                    <w:pPr>
                      <w:spacing w:before="0" w:line="227" w:lineRule="exact"/>
                      <w:ind w:left="0" w:right="18" w:firstLine="0"/>
                      <w:jc w:val="center"/>
                      <w:rPr>
                        <w:sz w:val="20"/>
                      </w:rPr>
                    </w:pPr>
                    <w:r>
                      <w:rPr>
                        <w:sz w:val="20"/>
                      </w:rPr>
                      <w:t>债务</w:t>
                    </w:r>
                  </w:p>
                  <w:p>
                    <w:pPr>
                      <w:spacing w:before="24"/>
                      <w:ind w:left="0" w:right="13" w:firstLine="0"/>
                      <w:jc w:val="center"/>
                      <w:rPr>
                        <w:sz w:val="20"/>
                      </w:rPr>
                    </w:pPr>
                    <w:r>
                      <w:rPr>
                        <w:sz w:val="20"/>
                      </w:rPr>
                      <w:t>（25）</w:t>
                    </w:r>
                  </w:p>
                  <w:p>
                    <w:pPr>
                      <w:spacing w:before="0" w:line="240" w:lineRule="auto"/>
                      <w:rPr>
                        <w:sz w:val="20"/>
                      </w:rPr>
                    </w:pPr>
                  </w:p>
                  <w:p>
                    <w:pPr>
                      <w:spacing w:before="169"/>
                      <w:ind w:left="0" w:right="18" w:firstLine="0"/>
                      <w:jc w:val="center"/>
                      <w:rPr>
                        <w:sz w:val="20"/>
                      </w:rPr>
                    </w:pPr>
                    <w:r>
                      <w:rPr>
                        <w:spacing w:val="-5"/>
                        <w:w w:val="95"/>
                        <w:sz w:val="20"/>
                      </w:rPr>
                      <w:t>资源禀赋</w:t>
                    </w:r>
                  </w:p>
                  <w:p>
                    <w:pPr>
                      <w:spacing w:before="25"/>
                      <w:ind w:left="0" w:right="13" w:firstLine="0"/>
                      <w:jc w:val="center"/>
                      <w:rPr>
                        <w:sz w:val="20"/>
                      </w:rPr>
                    </w:pPr>
                    <w:r>
                      <w:rPr>
                        <w:sz w:val="20"/>
                      </w:rPr>
                      <w:t>（19）</w:t>
                    </w:r>
                  </w:p>
                  <w:p>
                    <w:pPr>
                      <w:spacing w:before="0" w:line="240" w:lineRule="auto"/>
                      <w:rPr>
                        <w:sz w:val="20"/>
                      </w:rPr>
                    </w:pPr>
                  </w:p>
                  <w:p>
                    <w:pPr>
                      <w:spacing w:before="9" w:line="240" w:lineRule="auto"/>
                      <w:rPr>
                        <w:sz w:val="25"/>
                      </w:rPr>
                    </w:pPr>
                  </w:p>
                  <w:p>
                    <w:pPr>
                      <w:spacing w:before="0"/>
                      <w:ind w:left="0" w:right="18" w:firstLine="0"/>
                      <w:jc w:val="center"/>
                      <w:rPr>
                        <w:sz w:val="20"/>
                      </w:rPr>
                    </w:pPr>
                    <w:r>
                      <w:rPr>
                        <w:sz w:val="20"/>
                      </w:rPr>
                      <w:t>潜力</w:t>
                    </w:r>
                  </w:p>
                  <w:p>
                    <w:pPr>
                      <w:spacing w:before="25" w:line="228" w:lineRule="exact"/>
                      <w:ind w:left="0" w:right="13" w:firstLine="0"/>
                      <w:jc w:val="center"/>
                      <w:rPr>
                        <w:sz w:val="20"/>
                      </w:rPr>
                    </w:pPr>
                    <w:r>
                      <w:rPr>
                        <w:sz w:val="20"/>
                      </w:rPr>
                      <w:t>（11）</w:t>
                    </w:r>
                  </w:p>
                </w:txbxContent>
              </v:textbox>
            </v:shape>
            <v:shape id="_x0000_s1299" type="#_x0000_t202" style="width:721;height:478;left:1421;position:absolute;top:1231" filled="f" stroked="f">
              <v:textbox inset="0,0,0,0">
                <w:txbxContent>
                  <w:p>
                    <w:pPr>
                      <w:spacing w:before="0" w:line="227" w:lineRule="exact"/>
                      <w:ind w:left="129" w:right="151" w:firstLine="0"/>
                      <w:jc w:val="center"/>
                      <w:rPr>
                        <w:sz w:val="20"/>
                      </w:rPr>
                    </w:pPr>
                    <w:r>
                      <w:rPr>
                        <w:sz w:val="20"/>
                      </w:rPr>
                      <w:t>财政</w:t>
                    </w:r>
                  </w:p>
                  <w:p>
                    <w:pPr>
                      <w:spacing w:before="22" w:line="228" w:lineRule="exact"/>
                      <w:ind w:left="-1" w:right="18" w:firstLine="0"/>
                      <w:jc w:val="center"/>
                      <w:rPr>
                        <w:sz w:val="20"/>
                      </w:rPr>
                    </w:pPr>
                    <w:r>
                      <w:rPr>
                        <w:w w:val="99"/>
                        <w:sz w:val="20"/>
                      </w:rPr>
                      <w:t>（</w:t>
                    </w:r>
                    <w:r>
                      <w:rPr>
                        <w:spacing w:val="1"/>
                        <w:w w:val="99"/>
                        <w:sz w:val="20"/>
                      </w:rPr>
                      <w:t>24</w:t>
                    </w:r>
                    <w:r>
                      <w:rPr>
                        <w:w w:val="99"/>
                        <w:sz w:val="20"/>
                      </w:rPr>
                      <w:t>）</w:t>
                    </w:r>
                  </w:p>
                </w:txbxContent>
              </v:textbox>
            </v:shape>
            <v:shape id="_x0000_s1300" type="#_x0000_t202" style="width:220;height:1997;left:466;position:absolute;top:1418" filled="f" stroked="f">
              <v:textbox inset="0,0,0,0">
                <w:txbxContent>
                  <w:p>
                    <w:pPr>
                      <w:spacing w:before="15" w:line="187" w:lineRule="auto"/>
                      <w:ind w:left="0" w:right="18" w:firstLine="0"/>
                      <w:jc w:val="both"/>
                      <w:rPr>
                        <w:sz w:val="20"/>
                      </w:rPr>
                    </w:pPr>
                    <w:r>
                      <w:rPr>
                        <w:sz w:val="20"/>
                      </w:rPr>
                      <w:t>区域经济五维评分模型</w:t>
                    </w:r>
                  </w:p>
                </w:txbxContent>
              </v:textbox>
            </v:shape>
            <v:shape id="_x0000_s1301" type="#_x0000_t202" style="width:721;height:480;left:1421;position:absolute;top:265" filled="f" stroked="f">
              <v:textbox inset="0,0,0,0">
                <w:txbxContent>
                  <w:p>
                    <w:pPr>
                      <w:spacing w:before="0" w:line="227" w:lineRule="exact"/>
                      <w:ind w:left="129" w:right="151" w:firstLine="0"/>
                      <w:jc w:val="center"/>
                      <w:rPr>
                        <w:sz w:val="20"/>
                      </w:rPr>
                    </w:pPr>
                    <w:r>
                      <w:rPr>
                        <w:sz w:val="20"/>
                      </w:rPr>
                      <w:t>经济</w:t>
                    </w:r>
                  </w:p>
                  <w:p>
                    <w:pPr>
                      <w:spacing w:before="24" w:line="228" w:lineRule="exact"/>
                      <w:ind w:left="-1" w:right="18" w:firstLine="0"/>
                      <w:jc w:val="center"/>
                      <w:rPr>
                        <w:sz w:val="20"/>
                      </w:rPr>
                    </w:pPr>
                    <w:r>
                      <w:rPr>
                        <w:w w:val="99"/>
                        <w:sz w:val="20"/>
                      </w:rPr>
                      <w:t>（</w:t>
                    </w:r>
                    <w:r>
                      <w:rPr>
                        <w:spacing w:val="1"/>
                        <w:w w:val="99"/>
                        <w:sz w:val="20"/>
                      </w:rPr>
                      <w:t>21</w:t>
                    </w:r>
                    <w:r>
                      <w:rPr>
                        <w:w w:val="99"/>
                        <w:sz w:val="20"/>
                      </w:rPr>
                      <w:t>）</w:t>
                    </w:r>
                  </w:p>
                </w:txbxContent>
              </v:textbox>
            </v:shape>
            <w10:wrap type="none"/>
          </v:group>
        </w:pict>
      </w:r>
    </w:p>
    <w:p>
      <w:pPr>
        <w:spacing w:after="0"/>
        <w:rPr>
          <w:sz w:val="20"/>
        </w:rPr>
        <w:sectPr>
          <w:headerReference w:type="default" r:id="rId63"/>
          <w:footerReference w:type="default" r:id="rId64"/>
          <w:pgSz w:w="11910" w:h="16840"/>
          <w:pgMar w:top="1320" w:right="0" w:bottom="660" w:left="180" w:header="708" w:footer="708"/>
          <w:pgNumType w:start="24"/>
          <w:cols w:space="708"/>
        </w:sectPr>
      </w:pPr>
    </w:p>
    <w:p>
      <w:pPr>
        <w:pStyle w:val="BodyText"/>
        <w:rPr>
          <w:b/>
          <w:sz w:val="2"/>
        </w:rPr>
      </w:pPr>
    </w:p>
    <w:p>
      <w:pPr>
        <w:pStyle w:val="BodyText"/>
        <w:rPr>
          <w:b/>
          <w:sz w:val="2"/>
        </w:rPr>
      </w:pPr>
    </w:p>
    <w:p>
      <w:pPr>
        <w:pStyle w:val="BodyText"/>
        <w:spacing w:before="1"/>
        <w:rPr>
          <w:b/>
          <w:sz w:val="2"/>
        </w:rPr>
      </w:pPr>
    </w:p>
    <w:p>
      <w:pPr>
        <w:spacing w:before="0"/>
        <w:ind w:left="0" w:right="0" w:firstLine="0"/>
        <w:jc w:val="right"/>
        <w:rPr>
          <w:rFonts w:ascii="仿宋" w:eastAsia="仿宋" w:hint="eastAsia"/>
          <w:sz w:val="2"/>
        </w:rPr>
      </w:pPr>
      <w:r>
        <w:rPr>
          <w:rFonts w:ascii="仿宋" w:eastAsia="仿宋" w:hint="eastAsia"/>
          <w:color w:val="BFBFBF"/>
          <w:sz w:val="2"/>
        </w:rPr>
        <w:t>华福证券</w:t>
      </w:r>
    </w:p>
    <w:p>
      <w:pPr>
        <w:spacing w:before="0" w:line="159" w:lineRule="exact"/>
        <w:ind w:left="1392" w:right="0" w:firstLine="0"/>
        <w:jc w:val="left"/>
        <w:rPr>
          <w:rFonts w:ascii="宋体" w:eastAsia="宋体" w:hint="eastAsia"/>
          <w:sz w:val="17"/>
        </w:rPr>
      </w:pPr>
      <w:r>
        <w:br/>
        <w:t xml:space="preserve">资料来源： </w:t>
      </w:r>
    </w:p>
    <w:p>
      <w:pPr>
        <w:spacing w:after="0" w:line="159" w:lineRule="exact"/>
        <w:jc w:val="left"/>
        <w:rPr>
          <w:rFonts w:ascii="宋体" w:eastAsia="宋体" w:hint="eastAsia"/>
          <w:sz w:val="17"/>
        </w:rPr>
        <w:sectPr>
          <w:headerReference w:type="default" r:id="rId65"/>
          <w:footerReference w:type="default" r:id="rId66"/>
          <w:type w:val="continuous"/>
          <w:pgSz w:w="11910" w:h="16840"/>
          <w:pgMar w:top="1320" w:right="0" w:bottom="660" w:left="180" w:header="708" w:footer="708"/>
          <w:pgNumType w:start="25"/>
          <w:cols w:num="2" w:space="708" w:equalWidth="0">
            <w:col w:w="1901" w:space="40"/>
            <w:col w:w="9789" w:space="0"/>
          </w:cols>
        </w:sectPr>
      </w:pPr>
    </w:p>
    <w:p>
      <w:pPr>
        <w:pStyle w:val="BodyText"/>
        <w:rPr>
          <w:rFonts w:ascii="宋体"/>
          <w:sz w:val="20"/>
        </w:rPr>
      </w:pPr>
    </w:p>
    <w:p>
      <w:pPr>
        <w:pStyle w:val="BodyText"/>
        <w:rPr>
          <w:rFonts w:ascii="宋体"/>
          <w:sz w:val="20"/>
        </w:rPr>
      </w:pPr>
    </w:p>
    <w:p>
      <w:pPr>
        <w:pStyle w:val="BodyText"/>
        <w:spacing w:before="6"/>
        <w:rPr>
          <w:rFonts w:ascii="宋体"/>
          <w:sz w:val="18"/>
        </w:rPr>
      </w:pPr>
    </w:p>
    <w:p>
      <w:pPr>
        <w:spacing w:before="0"/>
        <w:ind w:left="3312" w:right="0" w:firstLine="0"/>
        <w:jc w:val="left"/>
        <w:rPr>
          <w:rFonts w:ascii="宋体" w:eastAsia="宋体" w:hint="eastAsia"/>
          <w:sz w:val="17"/>
        </w:rPr>
      </w:pPr>
      <w:r>
        <w:pict>
          <v:group id="_x0000_s1302" style="width:408.5pt;height:0.5pt;margin-top:13.42pt;margin-left:169.22pt;mso-position-horizontal-relative:page;mso-wrap-distance-left:0;mso-wrap-distance-right:0;position:absolute;z-index:-251613184" coordorigin="3384,268" coordsize="8170,10">
            <v:line id="_x0000_s1303" style="position:absolute" from="3384,273" to="4405,273" stroked="t" strokecolor="#004097" strokeweight="0.48pt">
              <v:stroke dashstyle="solid"/>
            </v:line>
            <v:rect id="_x0000_s1304" style="width:10;height:10;left:4405;position:absolute;top:268" filled="t" fillcolor="#004097" stroked="f">
              <v:fill type="solid"/>
            </v:rect>
            <v:line id="_x0000_s1305" style="position:absolute" from="4415,273" to="5425,273" stroked="t" strokecolor="#004097" strokeweight="0.48pt">
              <v:stroke dashstyle="solid"/>
            </v:line>
            <v:rect id="_x0000_s1306" style="width:10;height:10;left:5425;position:absolute;top:268" filled="t" fillcolor="#004097" stroked="f">
              <v:fill type="solid"/>
            </v:rect>
            <v:line id="_x0000_s1307" style="position:absolute" from="5435,273" to="6448,273" stroked="t" strokecolor="#004097" strokeweight="0.48pt">
              <v:stroke dashstyle="solid"/>
            </v:line>
            <v:rect id="_x0000_s1308" style="width:10;height:10;left:6447;position:absolute;top:268" filled="t" fillcolor="#004097" stroked="f">
              <v:fill type="solid"/>
            </v:rect>
            <v:line id="_x0000_s1309" style="position:absolute" from="6457,273" to="7468,273" stroked="t" strokecolor="#004097" strokeweight="0.48pt">
              <v:stroke dashstyle="solid"/>
            </v:line>
            <v:rect id="_x0000_s1310" style="width:10;height:10;left:7467;position:absolute;top:268" filled="t" fillcolor="#004097" stroked="f">
              <v:fill type="solid"/>
            </v:rect>
            <v:line id="_x0000_s1311" style="position:absolute" from="7477,273" to="8488,273" stroked="t" strokecolor="#004097" strokeweight="0.48pt">
              <v:stroke dashstyle="solid"/>
            </v:line>
            <v:rect id="_x0000_s1312" style="width:10;height:10;left:8488;position:absolute;top:268" filled="t" fillcolor="#004097" stroked="f">
              <v:fill type="solid"/>
            </v:rect>
            <v:line id="_x0000_s1313" style="position:absolute" from="8498,273" to="9511,273" stroked="t" strokecolor="#004097" strokeweight="0.48pt">
              <v:stroke dashstyle="solid"/>
            </v:line>
            <v:rect id="_x0000_s1314" style="width:10;height:10;left:9510;position:absolute;top:268" filled="t" fillcolor="#004097" stroked="f">
              <v:fill type="solid"/>
            </v:rect>
            <v:line id="_x0000_s1315" style="position:absolute" from="9520,273" to="10531,273" stroked="t" strokecolor="#004097" strokeweight="0.48pt">
              <v:stroke dashstyle="solid"/>
            </v:line>
            <v:rect id="_x0000_s1316" style="width:10;height:10;left:10530;position:absolute;top:268" filled="t" fillcolor="#004097" stroked="f">
              <v:fill type="solid"/>
            </v:rect>
            <v:line id="_x0000_s1317" style="position:absolute" from="10540,273" to="11554,273" stroked="t" strokecolor="#004097" strokeweight="0.48pt">
              <v:stroke dashstyle="solid"/>
            </v:line>
            <w10:wrap type="topAndBottom"/>
          </v:group>
        </w:pict>
      </w:r>
      <w:r>
        <w:rPr>
          <w:rFonts w:ascii="宋体" w:eastAsia="宋体" w:hint="eastAsia"/>
          <w:color w:val="004097"/>
          <w:sz w:val="17"/>
        </w:rPr>
        <w:t xml:space="preserve">图表 </w:t>
      </w:r>
      <w:r>
        <w:rPr>
          <w:rFonts w:ascii="Tahoma" w:eastAsia="Tahoma"/>
          <w:i/>
          <w:color w:val="004097"/>
          <w:sz w:val="17"/>
        </w:rPr>
        <w:t>9</w:t>
      </w:r>
      <w:r>
        <w:rPr>
          <w:rFonts w:ascii="宋体" w:eastAsia="宋体" w:hint="eastAsia"/>
          <w:color w:val="004097"/>
          <w:sz w:val="17"/>
        </w:rPr>
        <w:t>：浙江省各地市得分情况</w:t>
      </w:r>
    </w:p>
    <w:p>
      <w:pPr>
        <w:tabs>
          <w:tab w:val="left" w:pos="4332"/>
          <w:tab w:val="left" w:pos="5453"/>
          <w:tab w:val="left" w:pos="6577"/>
          <w:tab w:val="left" w:pos="7597"/>
          <w:tab w:val="left" w:pos="8617"/>
          <w:tab w:val="left" w:pos="9438"/>
          <w:tab w:val="left" w:pos="10660"/>
        </w:tabs>
        <w:spacing w:before="18" w:after="14"/>
        <w:ind w:left="3514" w:right="0" w:firstLine="0"/>
        <w:jc w:val="left"/>
        <w:rPr>
          <w:b/>
          <w:sz w:val="20"/>
        </w:rPr>
      </w:pPr>
      <w:r>
        <w:rPr>
          <w:b/>
          <w:sz w:val="20"/>
        </w:rPr>
        <w:t>地市</w:t>
        <w:tab/>
        <w:t>打分排序</w:t>
        <w:tab/>
        <w:t>总得分</w:t>
        <w:tab/>
        <w:t>经济</w:t>
        <w:tab/>
        <w:t>财政</w:t>
        <w:tab/>
        <w:t>债务</w:t>
        <w:tab/>
        <w:t>资源禀赋</w:t>
        <w:tab/>
        <w:t>潜力</w:t>
      </w:r>
    </w:p>
    <w:tbl>
      <w:tblPr>
        <w:tblStyle w:val="TableNormal0"/>
        <w:tblW w:w="0" w:type="auto"/>
        <w:jc w:val="left"/>
        <w:tblInd w:w="3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9"/>
        <w:gridCol w:w="972"/>
        <w:gridCol w:w="1023"/>
        <w:gridCol w:w="1020"/>
        <w:gridCol w:w="1021"/>
        <w:gridCol w:w="1023"/>
        <w:gridCol w:w="1021"/>
        <w:gridCol w:w="1024"/>
      </w:tblGrid>
      <w:tr>
        <w:tblPrEx>
          <w:tblW w:w="0" w:type="auto"/>
          <w:jc w:val="left"/>
          <w:tblInd w:w="3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21"/>
          <w:jc w:val="left"/>
        </w:trPr>
        <w:tc>
          <w:tcPr>
            <w:tcW w:w="1069" w:type="dxa"/>
            <w:tcBorders>
              <w:top w:val="single" w:sz="4" w:space="0" w:color="004097"/>
            </w:tcBorders>
            <w:shd w:val="clear" w:color="auto" w:fill="F1F1F1"/>
          </w:tcPr>
          <w:p>
            <w:pPr>
              <w:pStyle w:val="TableParagraph"/>
              <w:spacing w:before="40" w:line="261" w:lineRule="exact"/>
              <w:ind w:left="300"/>
              <w:jc w:val="left"/>
              <w:rPr>
                <w:rFonts w:ascii="楷体" w:eastAsia="楷体" w:hint="eastAsia"/>
                <w:sz w:val="21"/>
              </w:rPr>
            </w:pPr>
            <w:r>
              <w:rPr>
                <w:rFonts w:ascii="楷体" w:eastAsia="楷体" w:hint="eastAsia"/>
                <w:sz w:val="21"/>
              </w:rPr>
              <w:t>宁波</w:t>
            </w:r>
          </w:p>
        </w:tc>
        <w:tc>
          <w:tcPr>
            <w:tcW w:w="972" w:type="dxa"/>
            <w:tcBorders>
              <w:top w:val="single" w:sz="4" w:space="0" w:color="004097"/>
            </w:tcBorders>
            <w:shd w:val="clear" w:color="auto" w:fill="F1F1F1"/>
          </w:tcPr>
          <w:p>
            <w:pPr>
              <w:pStyle w:val="TableParagraph"/>
              <w:spacing w:before="53"/>
              <w:ind w:left="402"/>
              <w:jc w:val="left"/>
              <w:rPr>
                <w:sz w:val="21"/>
              </w:rPr>
            </w:pPr>
            <w:r>
              <w:rPr>
                <w:w w:val="100"/>
                <w:sz w:val="21"/>
              </w:rPr>
              <w:t>1</w:t>
            </w:r>
          </w:p>
        </w:tc>
        <w:tc>
          <w:tcPr>
            <w:tcW w:w="2043" w:type="dxa"/>
            <w:gridSpan w:val="2"/>
            <w:tcBorders>
              <w:top w:val="single" w:sz="4" w:space="0" w:color="000000"/>
            </w:tcBorders>
            <w:shd w:val="clear" w:color="auto" w:fill="F8696B"/>
          </w:tcPr>
          <w:p>
            <w:pPr>
              <w:pStyle w:val="TableParagraph"/>
              <w:tabs>
                <w:tab w:val="left" w:pos="1478"/>
              </w:tabs>
              <w:spacing w:before="40" w:line="261" w:lineRule="exact"/>
              <w:ind w:left="299"/>
              <w:jc w:val="left"/>
              <w:rPr>
                <w:rFonts w:ascii="楷体"/>
                <w:sz w:val="21"/>
              </w:rPr>
            </w:pPr>
            <w:r>
              <w:rPr>
                <w:rFonts w:ascii="楷体"/>
                <w:sz w:val="21"/>
              </w:rPr>
              <w:t>4.24</w:t>
              <w:tab/>
              <w:t>4</w:t>
            </w:r>
          </w:p>
        </w:tc>
        <w:tc>
          <w:tcPr>
            <w:tcW w:w="1021" w:type="dxa"/>
            <w:tcBorders>
              <w:top w:val="single" w:sz="4" w:space="0" w:color="000000"/>
            </w:tcBorders>
            <w:shd w:val="clear" w:color="auto" w:fill="F8696B"/>
          </w:tcPr>
          <w:p>
            <w:pPr>
              <w:pStyle w:val="TableParagraph"/>
              <w:spacing w:before="40" w:line="261" w:lineRule="exact"/>
              <w:ind w:right="2"/>
              <w:rPr>
                <w:rFonts w:ascii="楷体"/>
                <w:sz w:val="21"/>
              </w:rPr>
            </w:pPr>
            <w:r>
              <w:rPr>
                <w:rFonts w:ascii="楷体"/>
                <w:w w:val="100"/>
                <w:sz w:val="21"/>
              </w:rPr>
              <w:t>5</w:t>
            </w:r>
          </w:p>
        </w:tc>
        <w:tc>
          <w:tcPr>
            <w:tcW w:w="1023" w:type="dxa"/>
            <w:tcBorders>
              <w:top w:val="single" w:sz="4" w:space="0" w:color="000000"/>
            </w:tcBorders>
            <w:shd w:val="clear" w:color="auto" w:fill="F8888A"/>
          </w:tcPr>
          <w:p>
            <w:pPr>
              <w:pStyle w:val="TableParagraph"/>
              <w:spacing w:before="40" w:line="261" w:lineRule="exact"/>
              <w:ind w:right="5"/>
              <w:rPr>
                <w:rFonts w:ascii="楷体"/>
                <w:sz w:val="21"/>
              </w:rPr>
            </w:pPr>
            <w:r>
              <w:rPr>
                <w:rFonts w:ascii="楷体"/>
                <w:w w:val="100"/>
                <w:sz w:val="21"/>
              </w:rPr>
              <w:t>4</w:t>
            </w:r>
          </w:p>
        </w:tc>
        <w:tc>
          <w:tcPr>
            <w:tcW w:w="1021" w:type="dxa"/>
            <w:tcBorders>
              <w:top w:val="single" w:sz="4" w:space="0" w:color="000000"/>
            </w:tcBorders>
            <w:shd w:val="clear" w:color="auto" w:fill="F99396"/>
          </w:tcPr>
          <w:p>
            <w:pPr>
              <w:pStyle w:val="TableParagraph"/>
              <w:spacing w:before="40" w:line="261" w:lineRule="exact"/>
              <w:ind w:right="4"/>
              <w:rPr>
                <w:rFonts w:ascii="楷体"/>
                <w:sz w:val="21"/>
              </w:rPr>
            </w:pPr>
            <w:r>
              <w:rPr>
                <w:rFonts w:ascii="楷体"/>
                <w:w w:val="100"/>
                <w:sz w:val="21"/>
              </w:rPr>
              <w:t>4</w:t>
            </w:r>
          </w:p>
        </w:tc>
        <w:tc>
          <w:tcPr>
            <w:tcW w:w="1024" w:type="dxa"/>
            <w:tcBorders>
              <w:top w:val="single" w:sz="4" w:space="0" w:color="000000"/>
            </w:tcBorders>
            <w:shd w:val="clear" w:color="auto" w:fill="FBFBFF"/>
          </w:tcPr>
          <w:p>
            <w:pPr>
              <w:pStyle w:val="TableParagraph"/>
              <w:spacing w:before="40" w:line="261" w:lineRule="exact"/>
              <w:ind w:right="8"/>
              <w:rPr>
                <w:rFonts w:ascii="楷体"/>
                <w:sz w:val="21"/>
              </w:rPr>
            </w:pPr>
            <w:r>
              <w:rPr>
                <w:rFonts w:ascii="楷体"/>
                <w:w w:val="100"/>
                <w:sz w:val="21"/>
              </w:rPr>
              <w:t>2</w:t>
            </w:r>
          </w:p>
        </w:tc>
      </w:tr>
      <w:tr>
        <w:tblPrEx>
          <w:tblW w:w="0" w:type="auto"/>
          <w:jc w:val="left"/>
          <w:tblInd w:w="3211" w:type="dxa"/>
          <w:tblLayout w:type="fixed"/>
          <w:tblCellMar>
            <w:top w:w="0" w:type="dxa"/>
            <w:left w:w="0" w:type="dxa"/>
            <w:bottom w:w="0" w:type="dxa"/>
            <w:right w:w="0" w:type="dxa"/>
          </w:tblCellMar>
          <w:tblLook w:val="01E0"/>
        </w:tblPrEx>
        <w:trPr>
          <w:trHeight w:val="324"/>
          <w:jc w:val="left"/>
        </w:trPr>
        <w:tc>
          <w:tcPr>
            <w:tcW w:w="1069" w:type="dxa"/>
          </w:tcPr>
          <w:p>
            <w:pPr>
              <w:pStyle w:val="TableParagraph"/>
              <w:spacing w:before="43" w:line="261" w:lineRule="exact"/>
              <w:ind w:left="300"/>
              <w:jc w:val="left"/>
              <w:rPr>
                <w:rFonts w:ascii="楷体" w:eastAsia="楷体" w:hint="eastAsia"/>
                <w:sz w:val="21"/>
              </w:rPr>
            </w:pPr>
            <w:r>
              <w:rPr>
                <w:rFonts w:ascii="楷体" w:eastAsia="楷体" w:hint="eastAsia"/>
                <w:sz w:val="21"/>
              </w:rPr>
              <w:t>杭州</w:t>
            </w:r>
          </w:p>
        </w:tc>
        <w:tc>
          <w:tcPr>
            <w:tcW w:w="972" w:type="dxa"/>
          </w:tcPr>
          <w:p>
            <w:pPr>
              <w:pStyle w:val="TableParagraph"/>
              <w:spacing w:before="56"/>
              <w:ind w:left="402"/>
              <w:jc w:val="left"/>
              <w:rPr>
                <w:sz w:val="21"/>
              </w:rPr>
            </w:pPr>
            <w:r>
              <w:rPr>
                <w:w w:val="100"/>
                <w:sz w:val="21"/>
              </w:rPr>
              <w:t>2</w:t>
            </w:r>
          </w:p>
        </w:tc>
        <w:tc>
          <w:tcPr>
            <w:tcW w:w="2043" w:type="dxa"/>
            <w:gridSpan w:val="2"/>
            <w:shd w:val="clear" w:color="auto" w:fill="F9B0B3"/>
          </w:tcPr>
          <w:p>
            <w:pPr>
              <w:pStyle w:val="TableParagraph"/>
              <w:tabs>
                <w:tab w:val="left" w:pos="1478"/>
              </w:tabs>
              <w:spacing w:before="43" w:line="261" w:lineRule="exact"/>
              <w:ind w:left="299"/>
              <w:jc w:val="left"/>
              <w:rPr>
                <w:rFonts w:ascii="楷体"/>
                <w:sz w:val="21"/>
              </w:rPr>
            </w:pPr>
            <w:r>
              <w:rPr>
                <w:rFonts w:ascii="楷体"/>
                <w:sz w:val="21"/>
              </w:rPr>
              <w:t>3.68</w:t>
              <w:tab/>
              <w:t>3</w:t>
            </w:r>
          </w:p>
        </w:tc>
        <w:tc>
          <w:tcPr>
            <w:tcW w:w="1021" w:type="dxa"/>
            <w:shd w:val="clear" w:color="auto" w:fill="F8696B"/>
          </w:tcPr>
          <w:p>
            <w:pPr>
              <w:pStyle w:val="TableParagraph"/>
              <w:spacing w:before="43" w:line="261" w:lineRule="exact"/>
              <w:ind w:right="2"/>
              <w:rPr>
                <w:rFonts w:ascii="楷体"/>
                <w:sz w:val="21"/>
              </w:rPr>
            </w:pPr>
            <w:r>
              <w:rPr>
                <w:rFonts w:ascii="楷体"/>
                <w:w w:val="100"/>
                <w:sz w:val="21"/>
              </w:rPr>
              <w:t>5</w:t>
            </w:r>
          </w:p>
        </w:tc>
        <w:tc>
          <w:tcPr>
            <w:tcW w:w="1023" w:type="dxa"/>
            <w:shd w:val="clear" w:color="auto" w:fill="FBFBFF"/>
          </w:tcPr>
          <w:p>
            <w:pPr>
              <w:pStyle w:val="TableParagraph"/>
              <w:spacing w:before="43" w:line="261" w:lineRule="exact"/>
              <w:ind w:right="5"/>
              <w:rPr>
                <w:rFonts w:ascii="楷体"/>
                <w:sz w:val="21"/>
              </w:rPr>
            </w:pPr>
            <w:r>
              <w:rPr>
                <w:rFonts w:ascii="楷体"/>
                <w:w w:val="100"/>
                <w:sz w:val="21"/>
              </w:rPr>
              <w:t>3</w:t>
            </w:r>
          </w:p>
        </w:tc>
        <w:tc>
          <w:tcPr>
            <w:tcW w:w="1021" w:type="dxa"/>
            <w:shd w:val="clear" w:color="auto" w:fill="F8696B"/>
          </w:tcPr>
          <w:p>
            <w:pPr>
              <w:pStyle w:val="TableParagraph"/>
              <w:spacing w:before="43" w:line="261" w:lineRule="exact"/>
              <w:ind w:right="4"/>
              <w:rPr>
                <w:rFonts w:ascii="楷体"/>
                <w:sz w:val="21"/>
              </w:rPr>
            </w:pPr>
            <w:r>
              <w:rPr>
                <w:rFonts w:ascii="楷体"/>
                <w:w w:val="100"/>
                <w:sz w:val="21"/>
              </w:rPr>
              <w:t>5</w:t>
            </w:r>
          </w:p>
        </w:tc>
        <w:tc>
          <w:tcPr>
            <w:tcW w:w="1024" w:type="dxa"/>
            <w:shd w:val="clear" w:color="auto" w:fill="5A89C5"/>
          </w:tcPr>
          <w:p>
            <w:pPr>
              <w:pStyle w:val="TableParagraph"/>
              <w:spacing w:before="43" w:line="261" w:lineRule="exact"/>
              <w:ind w:right="8"/>
              <w:rPr>
                <w:rFonts w:ascii="楷体"/>
                <w:sz w:val="21"/>
              </w:rPr>
            </w:pPr>
            <w:r>
              <w:rPr>
                <w:rFonts w:ascii="楷体"/>
                <w:w w:val="100"/>
                <w:sz w:val="21"/>
              </w:rPr>
              <w:t>1</w:t>
            </w:r>
          </w:p>
        </w:tc>
      </w:tr>
      <w:tr>
        <w:tblPrEx>
          <w:tblW w:w="0" w:type="auto"/>
          <w:jc w:val="left"/>
          <w:tblInd w:w="3211" w:type="dxa"/>
          <w:tblLayout w:type="fixed"/>
          <w:tblCellMar>
            <w:top w:w="0" w:type="dxa"/>
            <w:left w:w="0" w:type="dxa"/>
            <w:bottom w:w="0" w:type="dxa"/>
            <w:right w:w="0" w:type="dxa"/>
          </w:tblCellMar>
          <w:tblLook w:val="01E0"/>
        </w:tblPrEx>
        <w:trPr>
          <w:trHeight w:val="321"/>
          <w:jc w:val="left"/>
        </w:trPr>
        <w:tc>
          <w:tcPr>
            <w:tcW w:w="1069" w:type="dxa"/>
            <w:shd w:val="clear" w:color="auto" w:fill="F1F1F1"/>
          </w:tcPr>
          <w:p>
            <w:pPr>
              <w:pStyle w:val="TableParagraph"/>
              <w:spacing w:before="43" w:line="258" w:lineRule="exact"/>
              <w:ind w:left="300"/>
              <w:jc w:val="left"/>
              <w:rPr>
                <w:rFonts w:ascii="楷体" w:eastAsia="楷体" w:hint="eastAsia"/>
                <w:sz w:val="21"/>
              </w:rPr>
            </w:pPr>
            <w:r>
              <w:rPr>
                <w:rFonts w:ascii="楷体" w:eastAsia="楷体" w:hint="eastAsia"/>
                <w:sz w:val="21"/>
              </w:rPr>
              <w:t>温州</w:t>
            </w:r>
          </w:p>
        </w:tc>
        <w:tc>
          <w:tcPr>
            <w:tcW w:w="972" w:type="dxa"/>
            <w:shd w:val="clear" w:color="auto" w:fill="F1F1F1"/>
          </w:tcPr>
          <w:p>
            <w:pPr>
              <w:pStyle w:val="TableParagraph"/>
              <w:spacing w:before="56"/>
              <w:ind w:left="402"/>
              <w:jc w:val="left"/>
              <w:rPr>
                <w:sz w:val="21"/>
              </w:rPr>
            </w:pPr>
            <w:r>
              <w:rPr>
                <w:w w:val="100"/>
                <w:sz w:val="21"/>
              </w:rPr>
              <w:t>3</w:t>
            </w:r>
          </w:p>
        </w:tc>
        <w:tc>
          <w:tcPr>
            <w:tcW w:w="1023" w:type="dxa"/>
            <w:shd w:val="clear" w:color="auto" w:fill="FABBBE"/>
          </w:tcPr>
          <w:p>
            <w:pPr>
              <w:pStyle w:val="TableParagraph"/>
              <w:spacing w:before="43" w:line="258" w:lineRule="exact"/>
              <w:ind w:left="128" w:right="129"/>
              <w:rPr>
                <w:rFonts w:ascii="楷体"/>
                <w:sz w:val="21"/>
              </w:rPr>
            </w:pPr>
            <w:r>
              <w:rPr>
                <w:rFonts w:ascii="楷体"/>
                <w:sz w:val="21"/>
              </w:rPr>
              <w:t>3.55</w:t>
            </w:r>
          </w:p>
        </w:tc>
        <w:tc>
          <w:tcPr>
            <w:tcW w:w="1020" w:type="dxa"/>
            <w:shd w:val="clear" w:color="auto" w:fill="F9A2A6"/>
          </w:tcPr>
          <w:p>
            <w:pPr>
              <w:pStyle w:val="TableParagraph"/>
              <w:spacing w:before="43" w:line="258" w:lineRule="exact"/>
              <w:ind w:right="1"/>
              <w:rPr>
                <w:rFonts w:ascii="楷体"/>
                <w:sz w:val="21"/>
              </w:rPr>
            </w:pPr>
            <w:r>
              <w:rPr>
                <w:rFonts w:ascii="楷体"/>
                <w:w w:val="100"/>
                <w:sz w:val="21"/>
              </w:rPr>
              <w:t>4</w:t>
            </w:r>
          </w:p>
        </w:tc>
        <w:tc>
          <w:tcPr>
            <w:tcW w:w="1021" w:type="dxa"/>
            <w:shd w:val="clear" w:color="auto" w:fill="FAD3D6"/>
          </w:tcPr>
          <w:p>
            <w:pPr>
              <w:pStyle w:val="TableParagraph"/>
              <w:spacing w:before="43" w:line="258" w:lineRule="exact"/>
              <w:ind w:right="2"/>
              <w:rPr>
                <w:rFonts w:ascii="楷体"/>
                <w:sz w:val="21"/>
              </w:rPr>
            </w:pPr>
            <w:r>
              <w:rPr>
                <w:rFonts w:ascii="楷体"/>
                <w:w w:val="100"/>
                <w:sz w:val="21"/>
              </w:rPr>
              <w:t>4</w:t>
            </w:r>
          </w:p>
        </w:tc>
        <w:tc>
          <w:tcPr>
            <w:tcW w:w="1023" w:type="dxa"/>
            <w:vMerge w:val="restart"/>
            <w:shd w:val="clear" w:color="auto" w:fill="F9A1A3"/>
          </w:tcPr>
          <w:p>
            <w:pPr>
              <w:pStyle w:val="TableParagraph"/>
              <w:spacing w:before="43"/>
              <w:ind w:right="5"/>
              <w:rPr>
                <w:rFonts w:ascii="楷体"/>
                <w:sz w:val="21"/>
              </w:rPr>
            </w:pPr>
            <w:r>
              <w:rPr>
                <w:rFonts w:ascii="楷体"/>
                <w:w w:val="100"/>
                <w:sz w:val="21"/>
              </w:rPr>
              <w:t>4</w:t>
            </w:r>
          </w:p>
          <w:p>
            <w:pPr>
              <w:pStyle w:val="TableParagraph"/>
              <w:spacing w:before="53" w:line="261" w:lineRule="exact"/>
              <w:ind w:right="5"/>
              <w:rPr>
                <w:rFonts w:ascii="楷体"/>
                <w:sz w:val="21"/>
              </w:rPr>
            </w:pPr>
            <w:r>
              <w:rPr>
                <w:rFonts w:ascii="楷体"/>
                <w:w w:val="100"/>
                <w:sz w:val="21"/>
              </w:rPr>
              <w:t>4</w:t>
            </w:r>
          </w:p>
        </w:tc>
        <w:tc>
          <w:tcPr>
            <w:tcW w:w="1021" w:type="dxa"/>
            <w:shd w:val="clear" w:color="auto" w:fill="FBFBFF"/>
          </w:tcPr>
          <w:p>
            <w:pPr>
              <w:pStyle w:val="TableParagraph"/>
              <w:spacing w:before="43" w:line="258" w:lineRule="exact"/>
              <w:ind w:right="4"/>
              <w:rPr>
                <w:rFonts w:ascii="楷体"/>
                <w:sz w:val="21"/>
              </w:rPr>
            </w:pPr>
            <w:r>
              <w:rPr>
                <w:rFonts w:ascii="楷体"/>
                <w:w w:val="100"/>
                <w:sz w:val="21"/>
              </w:rPr>
              <w:t>3</w:t>
            </w:r>
          </w:p>
        </w:tc>
        <w:tc>
          <w:tcPr>
            <w:tcW w:w="1024" w:type="dxa"/>
            <w:shd w:val="clear" w:color="auto" w:fill="FBFBFF"/>
          </w:tcPr>
          <w:p>
            <w:pPr>
              <w:pStyle w:val="TableParagraph"/>
              <w:spacing w:before="43" w:line="258" w:lineRule="exact"/>
              <w:ind w:right="8"/>
              <w:rPr>
                <w:rFonts w:ascii="楷体"/>
                <w:sz w:val="21"/>
              </w:rPr>
            </w:pPr>
            <w:r>
              <w:rPr>
                <w:rFonts w:ascii="楷体"/>
                <w:w w:val="100"/>
                <w:sz w:val="21"/>
              </w:rPr>
              <w:t>2</w:t>
            </w:r>
          </w:p>
        </w:tc>
      </w:tr>
      <w:tr>
        <w:tblPrEx>
          <w:tblW w:w="0" w:type="auto"/>
          <w:jc w:val="left"/>
          <w:tblInd w:w="3211" w:type="dxa"/>
          <w:tblLayout w:type="fixed"/>
          <w:tblCellMar>
            <w:top w:w="0" w:type="dxa"/>
            <w:left w:w="0" w:type="dxa"/>
            <w:bottom w:w="0" w:type="dxa"/>
            <w:right w:w="0" w:type="dxa"/>
          </w:tblCellMar>
          <w:tblLook w:val="01E0"/>
        </w:tblPrEx>
        <w:trPr>
          <w:trHeight w:val="324"/>
          <w:jc w:val="left"/>
        </w:trPr>
        <w:tc>
          <w:tcPr>
            <w:tcW w:w="1069" w:type="dxa"/>
          </w:tcPr>
          <w:p>
            <w:pPr>
              <w:pStyle w:val="TableParagraph"/>
              <w:spacing w:before="43" w:line="261" w:lineRule="exact"/>
              <w:ind w:left="300"/>
              <w:jc w:val="left"/>
              <w:rPr>
                <w:rFonts w:ascii="楷体" w:eastAsia="楷体" w:hint="eastAsia"/>
                <w:sz w:val="21"/>
              </w:rPr>
            </w:pPr>
            <w:r>
              <w:rPr>
                <w:rFonts w:ascii="楷体" w:eastAsia="楷体" w:hint="eastAsia"/>
                <w:sz w:val="21"/>
              </w:rPr>
              <w:t>金华</w:t>
            </w:r>
          </w:p>
        </w:tc>
        <w:tc>
          <w:tcPr>
            <w:tcW w:w="972" w:type="dxa"/>
          </w:tcPr>
          <w:p>
            <w:pPr>
              <w:pStyle w:val="TableParagraph"/>
              <w:spacing w:before="56"/>
              <w:ind w:left="402"/>
              <w:jc w:val="left"/>
              <w:rPr>
                <w:sz w:val="21"/>
              </w:rPr>
            </w:pPr>
            <w:r>
              <w:rPr>
                <w:w w:val="100"/>
                <w:sz w:val="21"/>
              </w:rPr>
              <w:t>4</w:t>
            </w:r>
          </w:p>
        </w:tc>
        <w:tc>
          <w:tcPr>
            <w:tcW w:w="1023" w:type="dxa"/>
            <w:shd w:val="clear" w:color="auto" w:fill="FBE7EA"/>
          </w:tcPr>
          <w:p>
            <w:pPr>
              <w:pStyle w:val="TableParagraph"/>
              <w:spacing w:before="43" w:line="261" w:lineRule="exact"/>
              <w:ind w:left="128" w:right="129"/>
              <w:rPr>
                <w:rFonts w:ascii="楷体"/>
                <w:sz w:val="21"/>
              </w:rPr>
            </w:pPr>
            <w:r>
              <w:rPr>
                <w:rFonts w:ascii="楷体"/>
                <w:sz w:val="21"/>
              </w:rPr>
              <w:t>3.19</w:t>
            </w:r>
          </w:p>
        </w:tc>
        <w:tc>
          <w:tcPr>
            <w:tcW w:w="1020" w:type="dxa"/>
            <w:shd w:val="clear" w:color="auto" w:fill="A2BCDF"/>
          </w:tcPr>
          <w:p>
            <w:pPr>
              <w:pStyle w:val="TableParagraph"/>
              <w:spacing w:before="43" w:line="261" w:lineRule="exact"/>
              <w:ind w:right="1"/>
              <w:rPr>
                <w:rFonts w:ascii="楷体"/>
                <w:sz w:val="21"/>
              </w:rPr>
            </w:pPr>
            <w:r>
              <w:rPr>
                <w:rFonts w:ascii="楷体"/>
                <w:w w:val="100"/>
                <w:sz w:val="21"/>
              </w:rPr>
              <w:t>2</w:t>
            </w:r>
          </w:p>
        </w:tc>
        <w:tc>
          <w:tcPr>
            <w:tcW w:w="1021" w:type="dxa"/>
            <w:shd w:val="clear" w:color="auto" w:fill="FBE8EB"/>
          </w:tcPr>
          <w:p>
            <w:pPr>
              <w:pStyle w:val="TableParagraph"/>
              <w:spacing w:before="43" w:line="261" w:lineRule="exact"/>
              <w:ind w:right="2"/>
              <w:rPr>
                <w:rFonts w:ascii="楷体"/>
                <w:sz w:val="21"/>
              </w:rPr>
            </w:pPr>
            <w:r>
              <w:rPr>
                <w:rFonts w:ascii="楷体"/>
                <w:w w:val="100"/>
                <w:sz w:val="21"/>
              </w:rPr>
              <w:t>3</w:t>
            </w:r>
          </w:p>
        </w:tc>
        <w:tc>
          <w:tcPr>
            <w:tcW w:w="1023" w:type="dxa"/>
            <w:vMerge/>
            <w:tcBorders>
              <w:top w:val="nil"/>
            </w:tcBorders>
            <w:shd w:val="clear" w:color="auto" w:fill="F9A1A3"/>
          </w:tcPr>
          <w:p>
            <w:pPr>
              <w:rPr>
                <w:sz w:val="2"/>
                <w:szCs w:val="2"/>
              </w:rPr>
            </w:pPr>
          </w:p>
        </w:tc>
        <w:tc>
          <w:tcPr>
            <w:tcW w:w="1021" w:type="dxa"/>
            <w:shd w:val="clear" w:color="auto" w:fill="FBEAEC"/>
          </w:tcPr>
          <w:p>
            <w:pPr>
              <w:pStyle w:val="TableParagraph"/>
              <w:spacing w:before="43" w:line="261" w:lineRule="exact"/>
              <w:ind w:right="4"/>
              <w:rPr>
                <w:rFonts w:ascii="楷体"/>
                <w:sz w:val="21"/>
              </w:rPr>
            </w:pPr>
            <w:r>
              <w:rPr>
                <w:rFonts w:ascii="楷体"/>
                <w:w w:val="100"/>
                <w:sz w:val="21"/>
              </w:rPr>
              <w:t>4</w:t>
            </w:r>
          </w:p>
        </w:tc>
        <w:tc>
          <w:tcPr>
            <w:tcW w:w="1024" w:type="dxa"/>
            <w:shd w:val="clear" w:color="auto" w:fill="AAC2E1"/>
          </w:tcPr>
          <w:p>
            <w:pPr>
              <w:pStyle w:val="TableParagraph"/>
              <w:spacing w:before="43" w:line="261" w:lineRule="exact"/>
              <w:ind w:right="8"/>
              <w:rPr>
                <w:rFonts w:ascii="楷体"/>
                <w:sz w:val="21"/>
              </w:rPr>
            </w:pPr>
            <w:r>
              <w:rPr>
                <w:rFonts w:ascii="楷体"/>
                <w:w w:val="100"/>
                <w:sz w:val="21"/>
              </w:rPr>
              <w:t>2</w:t>
            </w:r>
          </w:p>
        </w:tc>
      </w:tr>
      <w:tr>
        <w:tblPrEx>
          <w:tblW w:w="0" w:type="auto"/>
          <w:jc w:val="left"/>
          <w:tblInd w:w="3211" w:type="dxa"/>
          <w:tblLayout w:type="fixed"/>
          <w:tblCellMar>
            <w:top w:w="0" w:type="dxa"/>
            <w:left w:w="0" w:type="dxa"/>
            <w:bottom w:w="0" w:type="dxa"/>
            <w:right w:w="0" w:type="dxa"/>
          </w:tblCellMar>
          <w:tblLook w:val="01E0"/>
        </w:tblPrEx>
        <w:trPr>
          <w:trHeight w:val="324"/>
          <w:jc w:val="left"/>
        </w:trPr>
        <w:tc>
          <w:tcPr>
            <w:tcW w:w="1069" w:type="dxa"/>
            <w:shd w:val="clear" w:color="auto" w:fill="F1F1F1"/>
          </w:tcPr>
          <w:p>
            <w:pPr>
              <w:pStyle w:val="TableParagraph"/>
              <w:spacing w:before="43" w:line="261" w:lineRule="exact"/>
              <w:ind w:left="300"/>
              <w:jc w:val="left"/>
              <w:rPr>
                <w:rFonts w:ascii="楷体" w:eastAsia="楷体" w:hint="eastAsia"/>
                <w:sz w:val="21"/>
              </w:rPr>
            </w:pPr>
            <w:r>
              <w:rPr>
                <w:rFonts w:ascii="楷体" w:eastAsia="楷体" w:hint="eastAsia"/>
                <w:sz w:val="21"/>
              </w:rPr>
              <w:t>绍兴</w:t>
            </w:r>
          </w:p>
        </w:tc>
        <w:tc>
          <w:tcPr>
            <w:tcW w:w="972" w:type="dxa"/>
            <w:shd w:val="clear" w:color="auto" w:fill="F1F1F1"/>
          </w:tcPr>
          <w:p>
            <w:pPr>
              <w:pStyle w:val="TableParagraph"/>
              <w:spacing w:before="56"/>
              <w:ind w:left="402"/>
              <w:jc w:val="left"/>
              <w:rPr>
                <w:sz w:val="21"/>
              </w:rPr>
            </w:pPr>
            <w:r>
              <w:rPr>
                <w:w w:val="100"/>
                <w:sz w:val="21"/>
              </w:rPr>
              <w:t>5</w:t>
            </w:r>
          </w:p>
        </w:tc>
        <w:tc>
          <w:tcPr>
            <w:tcW w:w="1023" w:type="dxa"/>
            <w:shd w:val="clear" w:color="auto" w:fill="FBEBEE"/>
          </w:tcPr>
          <w:p>
            <w:pPr>
              <w:pStyle w:val="TableParagraph"/>
              <w:spacing w:before="43" w:line="261" w:lineRule="exact"/>
              <w:ind w:left="128" w:right="129"/>
              <w:rPr>
                <w:rFonts w:ascii="楷体"/>
                <w:sz w:val="21"/>
              </w:rPr>
            </w:pPr>
            <w:r>
              <w:rPr>
                <w:rFonts w:ascii="楷体"/>
                <w:sz w:val="21"/>
              </w:rPr>
              <w:t>3.15</w:t>
            </w:r>
          </w:p>
        </w:tc>
        <w:tc>
          <w:tcPr>
            <w:tcW w:w="1020" w:type="dxa"/>
            <w:shd w:val="clear" w:color="auto" w:fill="F87174"/>
          </w:tcPr>
          <w:p>
            <w:pPr>
              <w:pStyle w:val="TableParagraph"/>
              <w:spacing w:before="43" w:line="261" w:lineRule="exact"/>
              <w:ind w:right="1"/>
              <w:rPr>
                <w:rFonts w:ascii="楷体"/>
                <w:sz w:val="21"/>
              </w:rPr>
            </w:pPr>
            <w:r>
              <w:rPr>
                <w:rFonts w:ascii="楷体"/>
                <w:w w:val="100"/>
                <w:sz w:val="21"/>
              </w:rPr>
              <w:t>4</w:t>
            </w:r>
          </w:p>
        </w:tc>
        <w:tc>
          <w:tcPr>
            <w:tcW w:w="1021" w:type="dxa"/>
            <w:shd w:val="clear" w:color="auto" w:fill="FBFBFF"/>
          </w:tcPr>
          <w:p>
            <w:pPr>
              <w:pStyle w:val="TableParagraph"/>
              <w:spacing w:before="43" w:line="261" w:lineRule="exact"/>
              <w:ind w:right="2"/>
              <w:rPr>
                <w:rFonts w:ascii="楷体"/>
                <w:sz w:val="21"/>
              </w:rPr>
            </w:pPr>
            <w:r>
              <w:rPr>
                <w:rFonts w:ascii="楷体"/>
                <w:w w:val="100"/>
                <w:sz w:val="21"/>
              </w:rPr>
              <w:t>3</w:t>
            </w:r>
          </w:p>
        </w:tc>
        <w:tc>
          <w:tcPr>
            <w:tcW w:w="1023" w:type="dxa"/>
            <w:shd w:val="clear" w:color="auto" w:fill="ABC3E1"/>
          </w:tcPr>
          <w:p>
            <w:pPr>
              <w:pStyle w:val="TableParagraph"/>
              <w:spacing w:before="43" w:line="261" w:lineRule="exact"/>
              <w:ind w:right="5"/>
              <w:rPr>
                <w:rFonts w:ascii="楷体"/>
                <w:sz w:val="21"/>
              </w:rPr>
            </w:pPr>
            <w:r>
              <w:rPr>
                <w:rFonts w:ascii="楷体"/>
                <w:w w:val="100"/>
                <w:sz w:val="21"/>
              </w:rPr>
              <w:t>2</w:t>
            </w:r>
          </w:p>
        </w:tc>
        <w:tc>
          <w:tcPr>
            <w:tcW w:w="1021" w:type="dxa"/>
            <w:shd w:val="clear" w:color="auto" w:fill="FBE3E7"/>
          </w:tcPr>
          <w:p>
            <w:pPr>
              <w:pStyle w:val="TableParagraph"/>
              <w:spacing w:before="43" w:line="261" w:lineRule="exact"/>
              <w:ind w:right="4"/>
              <w:rPr>
                <w:rFonts w:ascii="楷体"/>
                <w:sz w:val="21"/>
              </w:rPr>
            </w:pPr>
            <w:r>
              <w:rPr>
                <w:rFonts w:ascii="楷体"/>
                <w:w w:val="100"/>
                <w:sz w:val="21"/>
              </w:rPr>
              <w:t>4</w:t>
            </w:r>
          </w:p>
        </w:tc>
        <w:tc>
          <w:tcPr>
            <w:tcW w:w="1024" w:type="dxa"/>
            <w:shd w:val="clear" w:color="auto" w:fill="FAB3B6"/>
          </w:tcPr>
          <w:p>
            <w:pPr>
              <w:pStyle w:val="TableParagraph"/>
              <w:spacing w:before="43" w:line="261" w:lineRule="exact"/>
              <w:ind w:right="8"/>
              <w:rPr>
                <w:rFonts w:ascii="楷体"/>
                <w:sz w:val="21"/>
              </w:rPr>
            </w:pPr>
            <w:r>
              <w:rPr>
                <w:rFonts w:ascii="楷体"/>
                <w:w w:val="100"/>
                <w:sz w:val="21"/>
              </w:rPr>
              <w:t>3</w:t>
            </w:r>
          </w:p>
        </w:tc>
      </w:tr>
      <w:tr>
        <w:tblPrEx>
          <w:tblW w:w="0" w:type="auto"/>
          <w:jc w:val="left"/>
          <w:tblInd w:w="3211" w:type="dxa"/>
          <w:tblLayout w:type="fixed"/>
          <w:tblCellMar>
            <w:top w:w="0" w:type="dxa"/>
            <w:left w:w="0" w:type="dxa"/>
            <w:bottom w:w="0" w:type="dxa"/>
            <w:right w:w="0" w:type="dxa"/>
          </w:tblCellMar>
          <w:tblLook w:val="01E0"/>
        </w:tblPrEx>
        <w:trPr>
          <w:trHeight w:val="321"/>
          <w:jc w:val="left"/>
        </w:trPr>
        <w:tc>
          <w:tcPr>
            <w:tcW w:w="1069" w:type="dxa"/>
          </w:tcPr>
          <w:p>
            <w:pPr>
              <w:pStyle w:val="TableParagraph"/>
              <w:spacing w:before="41" w:line="261" w:lineRule="exact"/>
              <w:ind w:left="300"/>
              <w:jc w:val="left"/>
              <w:rPr>
                <w:rFonts w:ascii="楷体" w:eastAsia="楷体" w:hint="eastAsia"/>
                <w:sz w:val="21"/>
              </w:rPr>
            </w:pPr>
            <w:r>
              <w:rPr>
                <w:rFonts w:ascii="楷体" w:eastAsia="楷体" w:hint="eastAsia"/>
                <w:sz w:val="21"/>
              </w:rPr>
              <w:t>嘉兴</w:t>
            </w:r>
          </w:p>
        </w:tc>
        <w:tc>
          <w:tcPr>
            <w:tcW w:w="972" w:type="dxa"/>
          </w:tcPr>
          <w:p>
            <w:pPr>
              <w:pStyle w:val="TableParagraph"/>
              <w:spacing w:before="54"/>
              <w:ind w:left="402"/>
              <w:jc w:val="left"/>
              <w:rPr>
                <w:sz w:val="21"/>
              </w:rPr>
            </w:pPr>
            <w:r>
              <w:rPr>
                <w:w w:val="100"/>
                <w:sz w:val="21"/>
              </w:rPr>
              <w:t>6</w:t>
            </w:r>
          </w:p>
        </w:tc>
        <w:tc>
          <w:tcPr>
            <w:tcW w:w="2043" w:type="dxa"/>
            <w:gridSpan w:val="2"/>
            <w:shd w:val="clear" w:color="auto" w:fill="FBFBFF"/>
          </w:tcPr>
          <w:p>
            <w:pPr>
              <w:pStyle w:val="TableParagraph"/>
              <w:tabs>
                <w:tab w:val="left" w:pos="1478"/>
              </w:tabs>
              <w:spacing w:before="41" w:line="261" w:lineRule="exact"/>
              <w:ind w:left="299"/>
              <w:jc w:val="left"/>
              <w:rPr>
                <w:rFonts w:ascii="楷体"/>
                <w:sz w:val="21"/>
              </w:rPr>
            </w:pPr>
            <w:r>
              <w:rPr>
                <w:rFonts w:ascii="楷体"/>
                <w:sz w:val="21"/>
              </w:rPr>
              <w:t>3.01</w:t>
              <w:tab/>
              <w:t>3</w:t>
            </w:r>
          </w:p>
        </w:tc>
        <w:tc>
          <w:tcPr>
            <w:tcW w:w="1021" w:type="dxa"/>
            <w:shd w:val="clear" w:color="auto" w:fill="FBDBDE"/>
          </w:tcPr>
          <w:p>
            <w:pPr>
              <w:pStyle w:val="TableParagraph"/>
              <w:spacing w:before="41" w:line="261" w:lineRule="exact"/>
              <w:ind w:right="2"/>
              <w:rPr>
                <w:rFonts w:ascii="楷体"/>
                <w:sz w:val="21"/>
              </w:rPr>
            </w:pPr>
            <w:r>
              <w:rPr>
                <w:rFonts w:ascii="楷体"/>
                <w:w w:val="100"/>
                <w:sz w:val="21"/>
              </w:rPr>
              <w:t>4</w:t>
            </w:r>
          </w:p>
        </w:tc>
        <w:tc>
          <w:tcPr>
            <w:tcW w:w="1023" w:type="dxa"/>
            <w:shd w:val="clear" w:color="auto" w:fill="FBFBFF"/>
          </w:tcPr>
          <w:p>
            <w:pPr>
              <w:pStyle w:val="TableParagraph"/>
              <w:spacing w:before="41" w:line="261" w:lineRule="exact"/>
              <w:ind w:right="5"/>
              <w:rPr>
                <w:rFonts w:ascii="楷体"/>
                <w:sz w:val="21"/>
              </w:rPr>
            </w:pPr>
            <w:r>
              <w:rPr>
                <w:rFonts w:ascii="楷体"/>
                <w:w w:val="100"/>
                <w:sz w:val="21"/>
              </w:rPr>
              <w:t>3</w:t>
            </w:r>
          </w:p>
        </w:tc>
        <w:tc>
          <w:tcPr>
            <w:tcW w:w="1021" w:type="dxa"/>
            <w:shd w:val="clear" w:color="auto" w:fill="FBFBFF"/>
          </w:tcPr>
          <w:p>
            <w:pPr>
              <w:pStyle w:val="TableParagraph"/>
              <w:spacing w:before="41" w:line="261" w:lineRule="exact"/>
              <w:ind w:right="4"/>
              <w:rPr>
                <w:rFonts w:ascii="楷体"/>
                <w:sz w:val="21"/>
              </w:rPr>
            </w:pPr>
            <w:r>
              <w:rPr>
                <w:rFonts w:ascii="楷体"/>
                <w:w w:val="100"/>
                <w:sz w:val="21"/>
              </w:rPr>
              <w:t>3</w:t>
            </w:r>
          </w:p>
        </w:tc>
        <w:tc>
          <w:tcPr>
            <w:tcW w:w="1024" w:type="dxa"/>
            <w:shd w:val="clear" w:color="auto" w:fill="B6CAE6"/>
          </w:tcPr>
          <w:p>
            <w:pPr>
              <w:pStyle w:val="TableParagraph"/>
              <w:spacing w:before="41" w:line="261" w:lineRule="exact"/>
              <w:ind w:right="8"/>
              <w:rPr>
                <w:rFonts w:ascii="楷体"/>
                <w:sz w:val="21"/>
              </w:rPr>
            </w:pPr>
            <w:r>
              <w:rPr>
                <w:rFonts w:ascii="楷体"/>
                <w:w w:val="100"/>
                <w:sz w:val="21"/>
              </w:rPr>
              <w:t>2</w:t>
            </w:r>
          </w:p>
        </w:tc>
      </w:tr>
      <w:tr>
        <w:tblPrEx>
          <w:tblW w:w="0" w:type="auto"/>
          <w:jc w:val="left"/>
          <w:tblInd w:w="3211" w:type="dxa"/>
          <w:tblLayout w:type="fixed"/>
          <w:tblCellMar>
            <w:top w:w="0" w:type="dxa"/>
            <w:left w:w="0" w:type="dxa"/>
            <w:bottom w:w="0" w:type="dxa"/>
            <w:right w:w="0" w:type="dxa"/>
          </w:tblCellMar>
          <w:tblLook w:val="01E0"/>
        </w:tblPrEx>
        <w:trPr>
          <w:trHeight w:val="323"/>
          <w:jc w:val="left"/>
        </w:trPr>
        <w:tc>
          <w:tcPr>
            <w:tcW w:w="1069" w:type="dxa"/>
            <w:shd w:val="clear" w:color="auto" w:fill="F1F1F1"/>
          </w:tcPr>
          <w:p>
            <w:pPr>
              <w:pStyle w:val="TableParagraph"/>
              <w:spacing w:before="43" w:line="261" w:lineRule="exact"/>
              <w:ind w:left="300"/>
              <w:jc w:val="left"/>
              <w:rPr>
                <w:rFonts w:ascii="楷体" w:eastAsia="楷体" w:hint="eastAsia"/>
                <w:sz w:val="21"/>
              </w:rPr>
            </w:pPr>
            <w:r>
              <w:rPr>
                <w:rFonts w:ascii="楷体" w:eastAsia="楷体" w:hint="eastAsia"/>
                <w:sz w:val="21"/>
              </w:rPr>
              <w:t>台州</w:t>
            </w:r>
          </w:p>
        </w:tc>
        <w:tc>
          <w:tcPr>
            <w:tcW w:w="972" w:type="dxa"/>
            <w:shd w:val="clear" w:color="auto" w:fill="F1F1F1"/>
          </w:tcPr>
          <w:p>
            <w:pPr>
              <w:pStyle w:val="TableParagraph"/>
              <w:spacing w:before="56"/>
              <w:ind w:left="402"/>
              <w:jc w:val="left"/>
              <w:rPr>
                <w:sz w:val="21"/>
              </w:rPr>
            </w:pPr>
            <w:r>
              <w:rPr>
                <w:w w:val="100"/>
                <w:sz w:val="21"/>
              </w:rPr>
              <w:t>7</w:t>
            </w:r>
          </w:p>
        </w:tc>
        <w:tc>
          <w:tcPr>
            <w:tcW w:w="1023" w:type="dxa"/>
            <w:shd w:val="clear" w:color="auto" w:fill="EEF1F9"/>
          </w:tcPr>
          <w:p>
            <w:pPr>
              <w:pStyle w:val="TableParagraph"/>
              <w:spacing w:before="43" w:line="261" w:lineRule="exact"/>
              <w:ind w:left="128" w:right="129"/>
              <w:rPr>
                <w:rFonts w:ascii="楷体"/>
                <w:sz w:val="21"/>
              </w:rPr>
            </w:pPr>
            <w:r>
              <w:rPr>
                <w:rFonts w:ascii="楷体"/>
                <w:sz w:val="21"/>
              </w:rPr>
              <w:t>2.91</w:t>
            </w:r>
          </w:p>
        </w:tc>
        <w:tc>
          <w:tcPr>
            <w:tcW w:w="1020" w:type="dxa"/>
            <w:shd w:val="clear" w:color="auto" w:fill="C1D2EA"/>
          </w:tcPr>
          <w:p>
            <w:pPr>
              <w:pStyle w:val="TableParagraph"/>
              <w:spacing w:before="43" w:line="261" w:lineRule="exact"/>
              <w:ind w:right="1"/>
              <w:rPr>
                <w:rFonts w:ascii="楷体"/>
                <w:sz w:val="21"/>
              </w:rPr>
            </w:pPr>
            <w:r>
              <w:rPr>
                <w:rFonts w:ascii="楷体"/>
                <w:w w:val="100"/>
                <w:sz w:val="21"/>
              </w:rPr>
              <w:t>2</w:t>
            </w:r>
          </w:p>
        </w:tc>
        <w:tc>
          <w:tcPr>
            <w:tcW w:w="1021" w:type="dxa"/>
            <w:shd w:val="clear" w:color="auto" w:fill="EEF3F9"/>
          </w:tcPr>
          <w:p>
            <w:pPr>
              <w:pStyle w:val="TableParagraph"/>
              <w:spacing w:before="43" w:line="261" w:lineRule="exact"/>
              <w:ind w:right="2"/>
              <w:rPr>
                <w:rFonts w:ascii="楷体"/>
                <w:sz w:val="21"/>
              </w:rPr>
            </w:pPr>
            <w:r>
              <w:rPr>
                <w:rFonts w:ascii="楷体"/>
                <w:w w:val="100"/>
                <w:sz w:val="21"/>
              </w:rPr>
              <w:t>3</w:t>
            </w:r>
          </w:p>
        </w:tc>
        <w:tc>
          <w:tcPr>
            <w:tcW w:w="1023" w:type="dxa"/>
            <w:shd w:val="clear" w:color="auto" w:fill="FAC4C6"/>
          </w:tcPr>
          <w:p>
            <w:pPr>
              <w:pStyle w:val="TableParagraph"/>
              <w:spacing w:before="43" w:line="261" w:lineRule="exact"/>
              <w:ind w:right="5"/>
              <w:rPr>
                <w:rFonts w:ascii="楷体"/>
                <w:sz w:val="21"/>
              </w:rPr>
            </w:pPr>
            <w:r>
              <w:rPr>
                <w:rFonts w:ascii="楷体"/>
                <w:w w:val="100"/>
                <w:sz w:val="21"/>
              </w:rPr>
              <w:t>4</w:t>
            </w:r>
          </w:p>
        </w:tc>
        <w:tc>
          <w:tcPr>
            <w:tcW w:w="1021" w:type="dxa"/>
            <w:shd w:val="clear" w:color="auto" w:fill="C3D3EB"/>
          </w:tcPr>
          <w:p>
            <w:pPr>
              <w:pStyle w:val="TableParagraph"/>
              <w:spacing w:before="43" w:line="261" w:lineRule="exact"/>
              <w:ind w:right="4"/>
              <w:rPr>
                <w:rFonts w:ascii="楷体"/>
                <w:sz w:val="21"/>
              </w:rPr>
            </w:pPr>
            <w:r>
              <w:rPr>
                <w:rFonts w:ascii="楷体"/>
                <w:w w:val="100"/>
                <w:sz w:val="21"/>
              </w:rPr>
              <w:t>3</w:t>
            </w:r>
          </w:p>
        </w:tc>
        <w:tc>
          <w:tcPr>
            <w:tcW w:w="1024" w:type="dxa"/>
            <w:shd w:val="clear" w:color="auto" w:fill="FBFBFF"/>
          </w:tcPr>
          <w:p>
            <w:pPr>
              <w:pStyle w:val="TableParagraph"/>
              <w:spacing w:before="43" w:line="261" w:lineRule="exact"/>
              <w:ind w:right="8"/>
              <w:rPr>
                <w:rFonts w:ascii="楷体"/>
                <w:sz w:val="21"/>
              </w:rPr>
            </w:pPr>
            <w:r>
              <w:rPr>
                <w:rFonts w:ascii="楷体"/>
                <w:w w:val="100"/>
                <w:sz w:val="21"/>
              </w:rPr>
              <w:t>2</w:t>
            </w:r>
          </w:p>
        </w:tc>
      </w:tr>
      <w:tr>
        <w:tblPrEx>
          <w:tblW w:w="0" w:type="auto"/>
          <w:jc w:val="left"/>
          <w:tblInd w:w="3211" w:type="dxa"/>
          <w:tblLayout w:type="fixed"/>
          <w:tblCellMar>
            <w:top w:w="0" w:type="dxa"/>
            <w:left w:w="0" w:type="dxa"/>
            <w:bottom w:w="0" w:type="dxa"/>
            <w:right w:w="0" w:type="dxa"/>
          </w:tblCellMar>
          <w:tblLook w:val="01E0"/>
        </w:tblPrEx>
        <w:trPr>
          <w:trHeight w:val="321"/>
          <w:jc w:val="left"/>
        </w:trPr>
        <w:tc>
          <w:tcPr>
            <w:tcW w:w="1069" w:type="dxa"/>
          </w:tcPr>
          <w:p>
            <w:pPr>
              <w:pStyle w:val="TableParagraph"/>
              <w:spacing w:before="41" w:line="261" w:lineRule="exact"/>
              <w:ind w:left="300"/>
              <w:jc w:val="left"/>
              <w:rPr>
                <w:rFonts w:ascii="楷体" w:eastAsia="楷体" w:hint="eastAsia"/>
                <w:sz w:val="21"/>
              </w:rPr>
            </w:pPr>
            <w:r>
              <w:rPr>
                <w:rFonts w:ascii="楷体" w:eastAsia="楷体" w:hint="eastAsia"/>
                <w:sz w:val="21"/>
              </w:rPr>
              <w:t>衢州</w:t>
            </w:r>
          </w:p>
        </w:tc>
        <w:tc>
          <w:tcPr>
            <w:tcW w:w="972" w:type="dxa"/>
          </w:tcPr>
          <w:p>
            <w:pPr>
              <w:pStyle w:val="TableParagraph"/>
              <w:spacing w:before="54"/>
              <w:ind w:left="402"/>
              <w:jc w:val="left"/>
              <w:rPr>
                <w:sz w:val="21"/>
              </w:rPr>
            </w:pPr>
            <w:r>
              <w:rPr>
                <w:w w:val="100"/>
                <w:sz w:val="21"/>
              </w:rPr>
              <w:t>8</w:t>
            </w:r>
          </w:p>
        </w:tc>
        <w:tc>
          <w:tcPr>
            <w:tcW w:w="1023" w:type="dxa"/>
            <w:shd w:val="clear" w:color="auto" w:fill="DFE8F5"/>
          </w:tcPr>
          <w:p>
            <w:pPr>
              <w:pStyle w:val="TableParagraph"/>
              <w:spacing w:before="41" w:line="261" w:lineRule="exact"/>
              <w:ind w:left="128" w:right="129"/>
              <w:rPr>
                <w:rFonts w:ascii="楷体"/>
                <w:sz w:val="21"/>
              </w:rPr>
            </w:pPr>
            <w:r>
              <w:rPr>
                <w:rFonts w:ascii="楷体"/>
                <w:sz w:val="21"/>
              </w:rPr>
              <w:t>2.79</w:t>
            </w:r>
          </w:p>
        </w:tc>
        <w:tc>
          <w:tcPr>
            <w:tcW w:w="1020" w:type="dxa"/>
            <w:shd w:val="clear" w:color="auto" w:fill="FBEBED"/>
          </w:tcPr>
          <w:p>
            <w:pPr>
              <w:pStyle w:val="TableParagraph"/>
              <w:spacing w:before="41" w:line="261" w:lineRule="exact"/>
              <w:ind w:right="1"/>
              <w:rPr>
                <w:rFonts w:ascii="楷体"/>
                <w:sz w:val="21"/>
              </w:rPr>
            </w:pPr>
            <w:r>
              <w:rPr>
                <w:rFonts w:ascii="楷体"/>
                <w:w w:val="100"/>
                <w:sz w:val="21"/>
              </w:rPr>
              <w:t>3</w:t>
            </w:r>
          </w:p>
        </w:tc>
        <w:tc>
          <w:tcPr>
            <w:tcW w:w="1021" w:type="dxa"/>
            <w:shd w:val="clear" w:color="auto" w:fill="97B5DB"/>
          </w:tcPr>
          <w:p>
            <w:pPr>
              <w:pStyle w:val="TableParagraph"/>
              <w:spacing w:before="41" w:line="261" w:lineRule="exact"/>
              <w:ind w:right="2"/>
              <w:rPr>
                <w:rFonts w:ascii="楷体"/>
                <w:sz w:val="21"/>
              </w:rPr>
            </w:pPr>
            <w:r>
              <w:rPr>
                <w:rFonts w:ascii="楷体"/>
                <w:w w:val="100"/>
                <w:sz w:val="21"/>
              </w:rPr>
              <w:t>2</w:t>
            </w:r>
          </w:p>
        </w:tc>
        <w:tc>
          <w:tcPr>
            <w:tcW w:w="1023" w:type="dxa"/>
            <w:shd w:val="clear" w:color="auto" w:fill="F8696B"/>
          </w:tcPr>
          <w:p>
            <w:pPr>
              <w:pStyle w:val="TableParagraph"/>
              <w:spacing w:before="41" w:line="261" w:lineRule="exact"/>
              <w:ind w:right="5"/>
              <w:rPr>
                <w:rFonts w:ascii="楷体"/>
                <w:sz w:val="21"/>
              </w:rPr>
            </w:pPr>
            <w:r>
              <w:rPr>
                <w:rFonts w:ascii="楷体"/>
                <w:w w:val="100"/>
                <w:sz w:val="21"/>
              </w:rPr>
              <w:t>5</w:t>
            </w:r>
          </w:p>
        </w:tc>
        <w:tc>
          <w:tcPr>
            <w:tcW w:w="1021" w:type="dxa"/>
            <w:shd w:val="clear" w:color="auto" w:fill="5A89C5"/>
          </w:tcPr>
          <w:p>
            <w:pPr>
              <w:pStyle w:val="TableParagraph"/>
              <w:spacing w:before="41" w:line="261" w:lineRule="exact"/>
              <w:ind w:right="4"/>
              <w:rPr>
                <w:rFonts w:ascii="楷体"/>
                <w:sz w:val="21"/>
              </w:rPr>
            </w:pPr>
            <w:r>
              <w:rPr>
                <w:rFonts w:ascii="楷体"/>
                <w:w w:val="100"/>
                <w:sz w:val="21"/>
              </w:rPr>
              <w:t>1</w:t>
            </w:r>
          </w:p>
        </w:tc>
        <w:tc>
          <w:tcPr>
            <w:tcW w:w="1024" w:type="dxa"/>
            <w:shd w:val="clear" w:color="auto" w:fill="FAB3B6"/>
          </w:tcPr>
          <w:p>
            <w:pPr>
              <w:pStyle w:val="TableParagraph"/>
              <w:spacing w:before="41" w:line="261" w:lineRule="exact"/>
              <w:ind w:right="8"/>
              <w:rPr>
                <w:rFonts w:ascii="楷体"/>
                <w:sz w:val="21"/>
              </w:rPr>
            </w:pPr>
            <w:r>
              <w:rPr>
                <w:rFonts w:ascii="楷体"/>
                <w:w w:val="100"/>
                <w:sz w:val="21"/>
              </w:rPr>
              <w:t>3</w:t>
            </w:r>
          </w:p>
        </w:tc>
      </w:tr>
      <w:tr>
        <w:tblPrEx>
          <w:tblW w:w="0" w:type="auto"/>
          <w:jc w:val="left"/>
          <w:tblInd w:w="3211" w:type="dxa"/>
          <w:tblLayout w:type="fixed"/>
          <w:tblCellMar>
            <w:top w:w="0" w:type="dxa"/>
            <w:left w:w="0" w:type="dxa"/>
            <w:bottom w:w="0" w:type="dxa"/>
            <w:right w:w="0" w:type="dxa"/>
          </w:tblCellMar>
          <w:tblLook w:val="01E0"/>
        </w:tblPrEx>
        <w:trPr>
          <w:trHeight w:val="323"/>
          <w:jc w:val="left"/>
        </w:trPr>
        <w:tc>
          <w:tcPr>
            <w:tcW w:w="1069" w:type="dxa"/>
            <w:shd w:val="clear" w:color="auto" w:fill="F1F1F1"/>
          </w:tcPr>
          <w:p>
            <w:pPr>
              <w:pStyle w:val="TableParagraph"/>
              <w:spacing w:before="43" w:line="261" w:lineRule="exact"/>
              <w:ind w:left="300"/>
              <w:jc w:val="left"/>
              <w:rPr>
                <w:rFonts w:ascii="楷体" w:eastAsia="楷体" w:hint="eastAsia"/>
                <w:sz w:val="21"/>
              </w:rPr>
            </w:pPr>
            <w:r>
              <w:rPr>
                <w:rFonts w:ascii="楷体" w:eastAsia="楷体" w:hint="eastAsia"/>
                <w:sz w:val="21"/>
              </w:rPr>
              <w:t>舟山</w:t>
            </w:r>
          </w:p>
        </w:tc>
        <w:tc>
          <w:tcPr>
            <w:tcW w:w="972" w:type="dxa"/>
            <w:shd w:val="clear" w:color="auto" w:fill="F1F1F1"/>
          </w:tcPr>
          <w:p>
            <w:pPr>
              <w:pStyle w:val="TableParagraph"/>
              <w:spacing w:before="56"/>
              <w:ind w:left="402"/>
              <w:jc w:val="left"/>
              <w:rPr>
                <w:sz w:val="21"/>
              </w:rPr>
            </w:pPr>
            <w:r>
              <w:rPr>
                <w:w w:val="100"/>
                <w:sz w:val="21"/>
              </w:rPr>
              <w:t>9</w:t>
            </w:r>
          </w:p>
        </w:tc>
        <w:tc>
          <w:tcPr>
            <w:tcW w:w="1023" w:type="dxa"/>
            <w:shd w:val="clear" w:color="auto" w:fill="709ACE"/>
          </w:tcPr>
          <w:p>
            <w:pPr>
              <w:pStyle w:val="TableParagraph"/>
              <w:spacing w:before="43" w:line="261" w:lineRule="exact"/>
              <w:ind w:left="128" w:right="129"/>
              <w:rPr>
                <w:rFonts w:ascii="楷体"/>
                <w:sz w:val="21"/>
              </w:rPr>
            </w:pPr>
            <w:r>
              <w:rPr>
                <w:rFonts w:ascii="楷体"/>
                <w:sz w:val="21"/>
              </w:rPr>
              <w:t>1.93</w:t>
            </w:r>
          </w:p>
        </w:tc>
        <w:tc>
          <w:tcPr>
            <w:tcW w:w="1020" w:type="dxa"/>
            <w:shd w:val="clear" w:color="auto" w:fill="CFDCEE"/>
          </w:tcPr>
          <w:p>
            <w:pPr>
              <w:pStyle w:val="TableParagraph"/>
              <w:spacing w:before="43" w:line="261" w:lineRule="exact"/>
              <w:ind w:right="1"/>
              <w:rPr>
                <w:rFonts w:ascii="楷体"/>
                <w:sz w:val="21"/>
              </w:rPr>
            </w:pPr>
            <w:r>
              <w:rPr>
                <w:rFonts w:ascii="楷体"/>
                <w:w w:val="100"/>
                <w:sz w:val="21"/>
              </w:rPr>
              <w:t>3</w:t>
            </w:r>
          </w:p>
        </w:tc>
        <w:tc>
          <w:tcPr>
            <w:tcW w:w="1021" w:type="dxa"/>
            <w:shd w:val="clear" w:color="auto" w:fill="6692C9"/>
          </w:tcPr>
          <w:p>
            <w:pPr>
              <w:pStyle w:val="TableParagraph"/>
              <w:spacing w:before="43" w:line="261" w:lineRule="exact"/>
              <w:ind w:right="2"/>
              <w:rPr>
                <w:rFonts w:ascii="楷体"/>
                <w:sz w:val="21"/>
              </w:rPr>
            </w:pPr>
            <w:r>
              <w:rPr>
                <w:rFonts w:ascii="楷体"/>
                <w:w w:val="100"/>
                <w:sz w:val="21"/>
              </w:rPr>
              <w:t>1</w:t>
            </w:r>
          </w:p>
        </w:tc>
        <w:tc>
          <w:tcPr>
            <w:tcW w:w="1023" w:type="dxa"/>
            <w:shd w:val="clear" w:color="auto" w:fill="8DADD7"/>
          </w:tcPr>
          <w:p>
            <w:pPr>
              <w:pStyle w:val="TableParagraph"/>
              <w:spacing w:before="43" w:line="261" w:lineRule="exact"/>
              <w:ind w:right="5"/>
              <w:rPr>
                <w:rFonts w:ascii="楷体"/>
                <w:sz w:val="21"/>
              </w:rPr>
            </w:pPr>
            <w:r>
              <w:rPr>
                <w:rFonts w:ascii="楷体"/>
                <w:w w:val="100"/>
                <w:sz w:val="21"/>
              </w:rPr>
              <w:t>2</w:t>
            </w:r>
          </w:p>
        </w:tc>
        <w:tc>
          <w:tcPr>
            <w:tcW w:w="1021" w:type="dxa"/>
            <w:shd w:val="clear" w:color="auto" w:fill="6D97CD"/>
          </w:tcPr>
          <w:p>
            <w:pPr>
              <w:pStyle w:val="TableParagraph"/>
              <w:spacing w:before="43" w:line="261" w:lineRule="exact"/>
              <w:ind w:right="4"/>
              <w:rPr>
                <w:rFonts w:ascii="楷体"/>
                <w:sz w:val="21"/>
              </w:rPr>
            </w:pPr>
            <w:r>
              <w:rPr>
                <w:rFonts w:ascii="楷体"/>
                <w:w w:val="100"/>
                <w:sz w:val="21"/>
              </w:rPr>
              <w:t>2</w:t>
            </w:r>
          </w:p>
        </w:tc>
        <w:tc>
          <w:tcPr>
            <w:tcW w:w="1024" w:type="dxa"/>
            <w:shd w:val="clear" w:color="auto" w:fill="F8696B"/>
          </w:tcPr>
          <w:p>
            <w:pPr>
              <w:pStyle w:val="TableParagraph"/>
              <w:spacing w:before="43" w:line="261" w:lineRule="exact"/>
              <w:ind w:right="8"/>
              <w:rPr>
                <w:rFonts w:ascii="楷体"/>
                <w:sz w:val="21"/>
              </w:rPr>
            </w:pPr>
            <w:r>
              <w:rPr>
                <w:rFonts w:ascii="楷体"/>
                <w:w w:val="100"/>
                <w:sz w:val="21"/>
              </w:rPr>
              <w:t>4</w:t>
            </w:r>
          </w:p>
        </w:tc>
      </w:tr>
      <w:tr>
        <w:tblPrEx>
          <w:tblW w:w="0" w:type="auto"/>
          <w:jc w:val="left"/>
          <w:tblInd w:w="3211" w:type="dxa"/>
          <w:tblLayout w:type="fixed"/>
          <w:tblCellMar>
            <w:top w:w="0" w:type="dxa"/>
            <w:left w:w="0" w:type="dxa"/>
            <w:bottom w:w="0" w:type="dxa"/>
            <w:right w:w="0" w:type="dxa"/>
          </w:tblCellMar>
          <w:tblLook w:val="01E0"/>
        </w:tblPrEx>
        <w:trPr>
          <w:trHeight w:val="323"/>
          <w:jc w:val="left"/>
        </w:trPr>
        <w:tc>
          <w:tcPr>
            <w:tcW w:w="1069" w:type="dxa"/>
          </w:tcPr>
          <w:p>
            <w:pPr>
              <w:pStyle w:val="TableParagraph"/>
              <w:spacing w:before="43" w:line="261" w:lineRule="exact"/>
              <w:ind w:left="300"/>
              <w:jc w:val="left"/>
              <w:rPr>
                <w:rFonts w:ascii="楷体" w:eastAsia="楷体" w:hint="eastAsia"/>
                <w:sz w:val="21"/>
              </w:rPr>
            </w:pPr>
            <w:r>
              <w:rPr>
                <w:rFonts w:ascii="楷体" w:eastAsia="楷体" w:hint="eastAsia"/>
                <w:sz w:val="21"/>
              </w:rPr>
              <w:t>湖州</w:t>
            </w:r>
          </w:p>
        </w:tc>
        <w:tc>
          <w:tcPr>
            <w:tcW w:w="972" w:type="dxa"/>
          </w:tcPr>
          <w:p>
            <w:pPr>
              <w:pStyle w:val="TableParagraph"/>
              <w:spacing w:before="56"/>
              <w:ind w:left="345"/>
              <w:jc w:val="left"/>
              <w:rPr>
                <w:sz w:val="21"/>
              </w:rPr>
            </w:pPr>
            <w:r>
              <w:rPr>
                <w:sz w:val="21"/>
              </w:rPr>
              <w:t>10</w:t>
            </w:r>
          </w:p>
        </w:tc>
        <w:tc>
          <w:tcPr>
            <w:tcW w:w="1023" w:type="dxa"/>
            <w:shd w:val="clear" w:color="auto" w:fill="6E99CD"/>
          </w:tcPr>
          <w:p>
            <w:pPr>
              <w:pStyle w:val="TableParagraph"/>
              <w:spacing w:before="43" w:line="261" w:lineRule="exact"/>
              <w:ind w:left="128" w:right="129"/>
              <w:rPr>
                <w:rFonts w:ascii="楷体"/>
                <w:sz w:val="21"/>
              </w:rPr>
            </w:pPr>
            <w:r>
              <w:rPr>
                <w:rFonts w:ascii="楷体"/>
                <w:sz w:val="21"/>
              </w:rPr>
              <w:t>1.92</w:t>
            </w:r>
          </w:p>
        </w:tc>
        <w:tc>
          <w:tcPr>
            <w:tcW w:w="1020" w:type="dxa"/>
            <w:shd w:val="clear" w:color="auto" w:fill="779ED0"/>
          </w:tcPr>
          <w:p>
            <w:pPr>
              <w:pStyle w:val="TableParagraph"/>
              <w:spacing w:before="43" w:line="261" w:lineRule="exact"/>
              <w:ind w:right="1"/>
              <w:rPr>
                <w:rFonts w:ascii="楷体"/>
                <w:sz w:val="21"/>
              </w:rPr>
            </w:pPr>
            <w:r>
              <w:rPr>
                <w:rFonts w:ascii="楷体"/>
                <w:w w:val="100"/>
                <w:sz w:val="21"/>
              </w:rPr>
              <w:t>2</w:t>
            </w:r>
          </w:p>
        </w:tc>
        <w:tc>
          <w:tcPr>
            <w:tcW w:w="1021" w:type="dxa"/>
            <w:shd w:val="clear" w:color="auto" w:fill="B0C6E3"/>
          </w:tcPr>
          <w:p>
            <w:pPr>
              <w:pStyle w:val="TableParagraph"/>
              <w:spacing w:before="43" w:line="261" w:lineRule="exact"/>
              <w:ind w:right="2"/>
              <w:rPr>
                <w:rFonts w:ascii="楷体"/>
                <w:sz w:val="21"/>
              </w:rPr>
            </w:pPr>
            <w:r>
              <w:rPr>
                <w:rFonts w:ascii="楷体"/>
                <w:w w:val="100"/>
                <w:sz w:val="21"/>
              </w:rPr>
              <w:t>2</w:t>
            </w:r>
          </w:p>
        </w:tc>
        <w:tc>
          <w:tcPr>
            <w:tcW w:w="1023" w:type="dxa"/>
            <w:shd w:val="clear" w:color="auto" w:fill="5A89C5"/>
          </w:tcPr>
          <w:p>
            <w:pPr>
              <w:pStyle w:val="TableParagraph"/>
              <w:spacing w:before="43" w:line="261" w:lineRule="exact"/>
              <w:ind w:right="5"/>
              <w:rPr>
                <w:rFonts w:ascii="楷体"/>
                <w:sz w:val="21"/>
              </w:rPr>
            </w:pPr>
            <w:r>
              <w:rPr>
                <w:rFonts w:ascii="楷体"/>
                <w:w w:val="100"/>
                <w:sz w:val="21"/>
              </w:rPr>
              <w:t>1</w:t>
            </w:r>
          </w:p>
        </w:tc>
        <w:tc>
          <w:tcPr>
            <w:tcW w:w="1021" w:type="dxa"/>
            <w:shd w:val="clear" w:color="auto" w:fill="9AB7DC"/>
          </w:tcPr>
          <w:p>
            <w:pPr>
              <w:pStyle w:val="TableParagraph"/>
              <w:spacing w:before="43" w:line="261" w:lineRule="exact"/>
              <w:ind w:right="4"/>
              <w:rPr>
                <w:rFonts w:ascii="楷体"/>
                <w:sz w:val="21"/>
              </w:rPr>
            </w:pPr>
            <w:r>
              <w:rPr>
                <w:rFonts w:ascii="楷体"/>
                <w:w w:val="100"/>
                <w:sz w:val="21"/>
              </w:rPr>
              <w:t>2</w:t>
            </w:r>
          </w:p>
        </w:tc>
        <w:tc>
          <w:tcPr>
            <w:tcW w:w="1024" w:type="dxa"/>
            <w:shd w:val="clear" w:color="auto" w:fill="FBEAEC"/>
          </w:tcPr>
          <w:p>
            <w:pPr>
              <w:pStyle w:val="TableParagraph"/>
              <w:spacing w:before="43" w:line="261" w:lineRule="exact"/>
              <w:ind w:right="8"/>
              <w:rPr>
                <w:rFonts w:ascii="楷体"/>
                <w:sz w:val="21"/>
              </w:rPr>
            </w:pPr>
            <w:r>
              <w:rPr>
                <w:rFonts w:ascii="楷体"/>
                <w:w w:val="100"/>
                <w:sz w:val="21"/>
              </w:rPr>
              <w:t>2</w:t>
            </w:r>
          </w:p>
        </w:tc>
      </w:tr>
      <w:tr>
        <w:tblPrEx>
          <w:tblW w:w="0" w:type="auto"/>
          <w:jc w:val="left"/>
          <w:tblInd w:w="3211" w:type="dxa"/>
          <w:tblLayout w:type="fixed"/>
          <w:tblCellMar>
            <w:top w:w="0" w:type="dxa"/>
            <w:left w:w="0" w:type="dxa"/>
            <w:bottom w:w="0" w:type="dxa"/>
            <w:right w:w="0" w:type="dxa"/>
          </w:tblCellMar>
          <w:tblLook w:val="01E0"/>
        </w:tblPrEx>
        <w:trPr>
          <w:trHeight w:val="321"/>
          <w:jc w:val="left"/>
        </w:trPr>
        <w:tc>
          <w:tcPr>
            <w:tcW w:w="1069" w:type="dxa"/>
            <w:tcBorders>
              <w:bottom w:val="single" w:sz="4" w:space="0" w:color="004097"/>
            </w:tcBorders>
            <w:shd w:val="clear" w:color="auto" w:fill="F1F1F1"/>
          </w:tcPr>
          <w:p>
            <w:pPr>
              <w:pStyle w:val="TableParagraph"/>
              <w:spacing w:before="41" w:line="261" w:lineRule="exact"/>
              <w:ind w:left="300"/>
              <w:jc w:val="left"/>
              <w:rPr>
                <w:rFonts w:ascii="楷体" w:eastAsia="楷体" w:hint="eastAsia"/>
                <w:sz w:val="21"/>
              </w:rPr>
            </w:pPr>
            <w:r>
              <w:rPr>
                <w:rFonts w:ascii="楷体" w:eastAsia="楷体" w:hint="eastAsia"/>
                <w:sz w:val="21"/>
              </w:rPr>
              <w:t>丽水</w:t>
            </w:r>
          </w:p>
        </w:tc>
        <w:tc>
          <w:tcPr>
            <w:tcW w:w="972" w:type="dxa"/>
            <w:tcBorders>
              <w:bottom w:val="single" w:sz="4" w:space="0" w:color="004097"/>
            </w:tcBorders>
            <w:shd w:val="clear" w:color="auto" w:fill="F1F1F1"/>
          </w:tcPr>
          <w:p>
            <w:pPr>
              <w:pStyle w:val="TableParagraph"/>
              <w:spacing w:before="54"/>
              <w:ind w:left="352"/>
              <w:jc w:val="left"/>
              <w:rPr>
                <w:sz w:val="21"/>
              </w:rPr>
            </w:pPr>
            <w:r>
              <w:rPr>
                <w:sz w:val="21"/>
              </w:rPr>
              <w:t>11</w:t>
            </w:r>
          </w:p>
        </w:tc>
        <w:tc>
          <w:tcPr>
            <w:tcW w:w="2043" w:type="dxa"/>
            <w:gridSpan w:val="2"/>
            <w:tcBorders>
              <w:bottom w:val="single" w:sz="4" w:space="0" w:color="000000"/>
            </w:tcBorders>
            <w:shd w:val="clear" w:color="auto" w:fill="5A89C5"/>
          </w:tcPr>
          <w:p>
            <w:pPr>
              <w:pStyle w:val="TableParagraph"/>
              <w:tabs>
                <w:tab w:val="left" w:pos="1478"/>
              </w:tabs>
              <w:spacing w:before="41" w:line="261" w:lineRule="exact"/>
              <w:ind w:left="299"/>
              <w:jc w:val="left"/>
              <w:rPr>
                <w:rFonts w:ascii="楷体"/>
                <w:sz w:val="21"/>
              </w:rPr>
            </w:pPr>
            <w:r>
              <w:rPr>
                <w:rFonts w:ascii="楷体"/>
                <w:sz w:val="21"/>
              </w:rPr>
              <w:t>1.75</w:t>
              <w:tab/>
              <w:t>2</w:t>
            </w:r>
          </w:p>
        </w:tc>
        <w:tc>
          <w:tcPr>
            <w:tcW w:w="1021" w:type="dxa"/>
            <w:tcBorders>
              <w:bottom w:val="single" w:sz="4" w:space="0" w:color="000000"/>
            </w:tcBorders>
            <w:shd w:val="clear" w:color="auto" w:fill="5A89C5"/>
          </w:tcPr>
          <w:p>
            <w:pPr>
              <w:pStyle w:val="TableParagraph"/>
              <w:spacing w:before="41" w:line="261" w:lineRule="exact"/>
              <w:ind w:right="2"/>
              <w:rPr>
                <w:rFonts w:ascii="楷体"/>
                <w:sz w:val="21"/>
              </w:rPr>
            </w:pPr>
            <w:r>
              <w:rPr>
                <w:rFonts w:ascii="楷体"/>
                <w:w w:val="100"/>
                <w:sz w:val="21"/>
              </w:rPr>
              <w:t>1</w:t>
            </w:r>
          </w:p>
        </w:tc>
        <w:tc>
          <w:tcPr>
            <w:tcW w:w="1023" w:type="dxa"/>
            <w:tcBorders>
              <w:bottom w:val="single" w:sz="4" w:space="0" w:color="000000"/>
            </w:tcBorders>
            <w:shd w:val="clear" w:color="auto" w:fill="91AFD9"/>
          </w:tcPr>
          <w:p>
            <w:pPr>
              <w:pStyle w:val="TableParagraph"/>
              <w:spacing w:before="41" w:line="261" w:lineRule="exact"/>
              <w:ind w:right="5"/>
              <w:rPr>
                <w:rFonts w:ascii="楷体"/>
                <w:sz w:val="21"/>
              </w:rPr>
            </w:pPr>
            <w:r>
              <w:rPr>
                <w:rFonts w:ascii="楷体"/>
                <w:w w:val="100"/>
                <w:sz w:val="21"/>
              </w:rPr>
              <w:t>2</w:t>
            </w:r>
          </w:p>
        </w:tc>
        <w:tc>
          <w:tcPr>
            <w:tcW w:w="1021" w:type="dxa"/>
            <w:tcBorders>
              <w:bottom w:val="single" w:sz="4" w:space="0" w:color="000000"/>
            </w:tcBorders>
            <w:shd w:val="clear" w:color="auto" w:fill="618FC7"/>
          </w:tcPr>
          <w:p>
            <w:pPr>
              <w:pStyle w:val="TableParagraph"/>
              <w:spacing w:before="41" w:line="261" w:lineRule="exact"/>
              <w:ind w:right="4"/>
              <w:rPr>
                <w:rFonts w:ascii="楷体"/>
                <w:sz w:val="21"/>
              </w:rPr>
            </w:pPr>
            <w:r>
              <w:rPr>
                <w:rFonts w:ascii="楷体"/>
                <w:w w:val="100"/>
                <w:sz w:val="21"/>
              </w:rPr>
              <w:t>1</w:t>
            </w:r>
          </w:p>
        </w:tc>
        <w:tc>
          <w:tcPr>
            <w:tcW w:w="1024" w:type="dxa"/>
            <w:tcBorders>
              <w:bottom w:val="single" w:sz="4" w:space="0" w:color="000000"/>
            </w:tcBorders>
            <w:shd w:val="clear" w:color="auto" w:fill="F88E90"/>
          </w:tcPr>
          <w:p>
            <w:pPr>
              <w:pStyle w:val="TableParagraph"/>
              <w:spacing w:before="41" w:line="261" w:lineRule="exact"/>
              <w:ind w:right="8"/>
              <w:rPr>
                <w:rFonts w:ascii="楷体"/>
                <w:sz w:val="21"/>
              </w:rPr>
            </w:pPr>
            <w:r>
              <w:rPr>
                <w:rFonts w:ascii="楷体"/>
                <w:w w:val="100"/>
                <w:sz w:val="21"/>
              </w:rPr>
              <w:t>3</w:t>
            </w:r>
          </w:p>
        </w:tc>
      </w:tr>
    </w:tbl>
    <w:p>
      <w:pPr>
        <w:spacing w:before="0"/>
        <w:ind w:left="3312" w:right="0" w:firstLine="0"/>
        <w:jc w:val="left"/>
        <w:rPr>
          <w:rFonts w:ascii="宋体" w:eastAsia="宋体" w:hint="eastAsia"/>
          <w:sz w:val="17"/>
        </w:rPr>
      </w:pPr>
      <w:r>
        <w:t xml:space="preserve">资料来源： ， </w:t>
      </w:r>
    </w:p>
    <w:p>
      <w:pPr>
        <w:pStyle w:val="BodyText"/>
        <w:spacing w:before="10"/>
        <w:rPr>
          <w:rFonts w:ascii="宋体"/>
          <w:sz w:val="29"/>
        </w:rPr>
      </w:pPr>
    </w:p>
    <w:p>
      <w:pPr>
        <w:pStyle w:val="Heading1"/>
        <w:numPr>
          <w:ilvl w:val="0"/>
          <w:numId w:val="1"/>
        </w:numPr>
        <w:tabs>
          <w:tab w:val="left" w:pos="3563"/>
        </w:tabs>
        <w:spacing w:before="69" w:after="0" w:line="240" w:lineRule="auto"/>
        <w:ind w:left="3562" w:right="0" w:hanging="340"/>
        <w:jc w:val="left"/>
        <w:rPr>
          <w:rFonts w:ascii="Arial" w:eastAsia="Arial"/>
          <w:color w:val="013E96"/>
        </w:rPr>
      </w:pPr>
      <w:r>
        <w:rPr>
          <w:color w:val="013E96"/>
        </w:rPr>
        <w:t>浙江省内城农商行主体打分及梳理</w:t>
      </w:r>
    </w:p>
    <w:p>
      <w:pPr>
        <w:pStyle w:val="BodyText"/>
        <w:spacing w:before="3"/>
        <w:rPr>
          <w:b/>
          <w:sz w:val="43"/>
        </w:rPr>
        <w:sectPr>
          <w:headerReference w:type="default" r:id="rId67"/>
          <w:footerReference w:type="default" r:id="rId68"/>
          <w:type w:val="continuous"/>
          <w:pgSz w:w="11910" w:h="16840"/>
          <w:pgMar w:top="1320" w:right="0" w:bottom="660" w:left="180" w:header="708" w:footer="708"/>
          <w:pgNumType w:start="26"/>
          <w:cols w:space="708"/>
        </w:sectPr>
      </w:pPr>
    </w:p>
    <w:p>
      <w:pPr>
        <w:pStyle w:val="Heading2"/>
        <w:numPr>
          <w:ilvl w:val="1"/>
          <w:numId w:val="1"/>
        </w:numPr>
        <w:tabs>
          <w:tab w:val="left" w:pos="3755"/>
        </w:tabs>
        <w:spacing w:before="0" w:after="0" w:line="240" w:lineRule="auto"/>
        <w:ind w:left="3754" w:right="0" w:hanging="532"/>
        <w:jc w:val="left"/>
      </w:pPr>
      <w:r>
        <w:rPr>
          <w:color w:val="013E96"/>
        </w:rPr>
        <w:t>打分模型</w:t>
      </w:r>
    </w:p>
    <w:p>
      <w:pPr>
        <w:spacing w:after="0" w:line="240" w:lineRule="auto"/>
        <w:jc w:val="left"/>
        <w:sectPr>
          <w:headerReference w:type="default" r:id="rId69"/>
          <w:footerReference w:type="default" r:id="rId70"/>
          <w:type w:val="nextPage"/>
          <w:pgSz w:w="11910" w:h="16840"/>
          <w:pgMar w:top="1320" w:right="0" w:bottom="660" w:left="180" w:header="708" w:footer="708"/>
          <w:pgNumType w:start="27"/>
          <w:cols w:space="708"/>
          <w:titlePg w:val="0"/>
        </w:sectPr>
      </w:pPr>
    </w:p>
    <w:p>
      <w:pPr>
        <w:pStyle w:val="BodyText"/>
        <w:spacing w:before="134" w:line="319" w:lineRule="auto"/>
        <w:ind w:left="3192" w:right="845" w:firstLine="439"/>
        <w:jc w:val="both"/>
      </w:pPr>
      <w:r>
        <w:rPr>
          <w:spacing w:val="-5"/>
        </w:rPr>
        <w:t>我们充分考虑银行次级债投资逻辑、并结合城投债打分模型和目前市场上现</w:t>
      </w:r>
      <w:r>
        <w:rPr>
          <w:spacing w:val="-6"/>
        </w:rPr>
        <w:t>有模型的优缺点，力求构建出完善合理的城农商行打分体系。从银行相关的诸多</w:t>
      </w:r>
      <w:r>
        <w:rPr>
          <w:spacing w:val="4"/>
        </w:rPr>
        <w:t>影响因素中</w:t>
      </w:r>
      <w:r>
        <w:rPr>
          <w:spacing w:val="3"/>
          <w:u w:val="single"/>
        </w:rPr>
        <w:t>从外部环境和公司主体层面两个角度精选出七个一级指标和二十个</w:t>
      </w:r>
      <w:r>
        <w:rPr>
          <w:spacing w:val="-209"/>
          <w:u w:val="single"/>
        </w:rPr>
        <w:t>二级</w:t>
      </w:r>
      <w:r>
        <w:rPr>
          <w:spacing w:val="-6"/>
        </w:rPr>
        <w:t>指标入模，涵盖了城农商行的区域资源禀赋、公司治理及内部控制、资产规模与</w:t>
      </w:r>
      <w:r>
        <w:rPr>
          <w:spacing w:val="-7"/>
        </w:rPr>
        <w:t>质量、负债端结构、盈利能力分析、资本充足性及流动性情况，构建了如下双层</w:t>
      </w:r>
      <w:r>
        <w:rPr>
          <w:spacing w:val="-3"/>
        </w:rPr>
        <w:t>七维打分模型。</w:t>
      </w:r>
    </w:p>
    <w:p>
      <w:pPr>
        <w:spacing w:before="162"/>
        <w:ind w:left="921" w:right="0" w:firstLine="0"/>
        <w:jc w:val="left"/>
        <w:rPr>
          <w:rFonts w:ascii="宋体" w:eastAsia="宋体" w:hint="eastAsia"/>
          <w:sz w:val="17"/>
        </w:rPr>
      </w:pPr>
      <w:r>
        <w:pict>
          <v:group id="_x0000_s1318" style="width:517.25pt;height:0.5pt;margin-top:24.76pt;margin-left:49.68pt;mso-position-horizontal-relative:page;mso-wrap-distance-left:0;mso-wrap-distance-right:0;position:absolute;z-index:-251597824" coordorigin="994,495" coordsize="10345,10">
            <v:line id="_x0000_s1319" style="position:absolute" from="994,500" to="2412,500" stroked="t" strokecolor="#004097" strokeweight="0.48pt">
              <v:stroke dashstyle="solid"/>
            </v:line>
            <v:rect id="_x0000_s1320" style="width:10;height:10;left:2412;position:absolute;top:495" filled="t" fillcolor="#004097" stroked="f">
              <v:fill type="solid"/>
            </v:rect>
            <v:line id="_x0000_s1321" style="position:absolute" from="2422,500" to="4114,500" stroked="t" strokecolor="#004097" strokeweight="0.48pt">
              <v:stroke dashstyle="solid"/>
            </v:line>
            <v:rect id="_x0000_s1322" style="width:10;height:10;left:4114;position:absolute;top:495" filled="t" fillcolor="#004097" stroked="f">
              <v:fill type="solid"/>
            </v:rect>
            <v:line id="_x0000_s1323" style="position:absolute" from="4124,500" to="6383,500" stroked="t" strokecolor="#004097" strokeweight="0.48pt">
              <v:stroke dashstyle="solid"/>
            </v:line>
            <v:rect id="_x0000_s1324" style="width:10;height:10;left:6383;position:absolute;top:495" filled="t" fillcolor="#004097" stroked="f">
              <v:fill type="solid"/>
            </v:rect>
            <v:line id="_x0000_s1325" style="position:absolute" from="6393,500" to="7516,500" stroked="t" strokecolor="#004097" strokeweight="0.48pt">
              <v:stroke dashstyle="solid"/>
            </v:line>
            <v:rect id="_x0000_s1326" style="width:10;height:10;left:7515;position:absolute;top:495" filled="t" fillcolor="#004097" stroked="f">
              <v:fill type="solid"/>
            </v:rect>
            <v:line id="_x0000_s1327" style="position:absolute" from="7525,500" to="10209,500" stroked="t" strokecolor="#004097" strokeweight="0.48pt">
              <v:stroke dashstyle="solid"/>
            </v:line>
            <v:rect id="_x0000_s1328" style="width:10;height:10;left:10209;position:absolute;top:495" filled="t" fillcolor="#004097" stroked="f">
              <v:fill type="solid"/>
            </v:rect>
            <v:line id="_x0000_s1329" style="position:absolute" from="10219,500" to="11338,500" stroked="t" strokecolor="#004097" strokeweight="0.48pt">
              <v:stroke dashstyle="solid"/>
            </v:line>
            <w10:wrap type="topAndBottom"/>
          </v:group>
        </w:pict>
      </w:r>
      <w:r>
        <w:pict>
          <v:group id="_x0000_s1330" style="width:56.8pt;height:19.5pt;margin-top:45.17pt;margin-left:319.03pt;mso-position-horizontal-relative:page;position:absolute;z-index:-251612160" coordorigin="6381,903" coordsize="1136,390">
            <v:rect id="_x0000_s1331" style="width:1136;height:390;left:6380;position:absolute;top:903" filled="t" fillcolor="#f1f1f1" stroked="f">
              <v:fill type="solid"/>
            </v:rect>
            <v:shape id="_x0000_s1332" type="#_x0000_t75" style="width:95;height:140;left:6997;position:absolute;top:1044" stroked="f">
              <v:imagedata r:id="rId62" o:title=""/>
            </v:shape>
          </v:group>
        </w:pict>
      </w:r>
      <w:r>
        <w:drawing>
          <wp:anchor distT="0" distB="0" distL="0" distR="0" simplePos="0" relativeHeight="251705344" behindDoc="1" locked="0" layoutInCell="1" allowOverlap="1">
            <wp:simplePos x="0" y="0"/>
            <wp:positionH relativeFrom="page">
              <wp:posOffset>6872985</wp:posOffset>
            </wp:positionH>
            <wp:positionV relativeFrom="paragraph">
              <wp:posOffset>662992</wp:posOffset>
            </wp:positionV>
            <wp:extent cx="59721" cy="8801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62" cstate="print"/>
                    <a:stretch>
                      <a:fillRect/>
                    </a:stretch>
                  </pic:blipFill>
                  <pic:spPr>
                    <a:xfrm>
                      <a:off x="0" y="0"/>
                      <a:ext cx="59721" cy="8801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4443348</wp:posOffset>
            </wp:positionH>
            <wp:positionV relativeFrom="paragraph">
              <wp:posOffset>1157149</wp:posOffset>
            </wp:positionV>
            <wp:extent cx="59721" cy="88010"/>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png"/>
                    <pic:cNvPicPr/>
                  </pic:nvPicPr>
                  <pic:blipFill>
                    <a:blip xmlns:r="http://schemas.openxmlformats.org/officeDocument/2006/relationships" r:embed="rId62" cstate="print"/>
                    <a:stretch>
                      <a:fillRect/>
                    </a:stretch>
                  </pic:blipFill>
                  <pic:spPr>
                    <a:xfrm>
                      <a:off x="0" y="0"/>
                      <a:ext cx="59721" cy="8801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6841235</wp:posOffset>
            </wp:positionH>
            <wp:positionV relativeFrom="paragraph">
              <wp:posOffset>910261</wp:posOffset>
            </wp:positionV>
            <wp:extent cx="59721" cy="88010"/>
            <wp:effectExtent l="0" t="0" r="0" b="0"/>
            <wp:wrapNone/>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62" cstate="print"/>
                    <a:stretch>
                      <a:fillRect/>
                    </a:stretch>
                  </pic:blipFill>
                  <pic:spPr>
                    <a:xfrm>
                      <a:off x="0" y="0"/>
                      <a:ext cx="59721" cy="8801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6841235</wp:posOffset>
            </wp:positionH>
            <wp:positionV relativeFrom="paragraph">
              <wp:posOffset>1157149</wp:posOffset>
            </wp:positionV>
            <wp:extent cx="59721" cy="8801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62" cstate="print"/>
                    <a:stretch>
                      <a:fillRect/>
                    </a:stretch>
                  </pic:blipFill>
                  <pic:spPr>
                    <a:xfrm>
                      <a:off x="0" y="0"/>
                      <a:ext cx="59721" cy="8801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6841235</wp:posOffset>
            </wp:positionH>
            <wp:positionV relativeFrom="paragraph">
              <wp:posOffset>1404037</wp:posOffset>
            </wp:positionV>
            <wp:extent cx="59721" cy="88010"/>
            <wp:effectExtent l="0" t="0" r="0" b="0"/>
            <wp:wrapNone/>
            <wp:docPr id="3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3.png"/>
                    <pic:cNvPicPr/>
                  </pic:nvPicPr>
                  <pic:blipFill>
                    <a:blip xmlns:r="http://schemas.openxmlformats.org/officeDocument/2006/relationships" r:embed="rId62" cstate="print"/>
                    <a:stretch>
                      <a:fillRect/>
                    </a:stretch>
                  </pic:blipFill>
                  <pic:spPr>
                    <a:xfrm>
                      <a:off x="0" y="0"/>
                      <a:ext cx="59721" cy="8801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4443348</wp:posOffset>
            </wp:positionH>
            <wp:positionV relativeFrom="paragraph">
              <wp:posOffset>2391589</wp:posOffset>
            </wp:positionV>
            <wp:extent cx="59721" cy="88011"/>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62" cstate="print"/>
                    <a:stretch>
                      <a:fillRect/>
                    </a:stretch>
                  </pic:blipFill>
                  <pic:spPr>
                    <a:xfrm>
                      <a:off x="0" y="0"/>
                      <a:ext cx="59721" cy="88011"/>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6872985</wp:posOffset>
            </wp:positionH>
            <wp:positionV relativeFrom="paragraph">
              <wp:posOffset>1650925</wp:posOffset>
            </wp:positionV>
            <wp:extent cx="59721" cy="88010"/>
            <wp:effectExtent l="0" t="0" r="0" b="0"/>
            <wp:wrapNone/>
            <wp:docPr id="4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3.png"/>
                    <pic:cNvPicPr/>
                  </pic:nvPicPr>
                  <pic:blipFill>
                    <a:blip xmlns:r="http://schemas.openxmlformats.org/officeDocument/2006/relationships" r:embed="rId62" cstate="print"/>
                    <a:stretch>
                      <a:fillRect/>
                    </a:stretch>
                  </pic:blipFill>
                  <pic:spPr>
                    <a:xfrm>
                      <a:off x="0" y="0"/>
                      <a:ext cx="59721" cy="8801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5848858</wp:posOffset>
            </wp:positionH>
            <wp:positionV relativeFrom="paragraph">
              <wp:posOffset>1897814</wp:posOffset>
            </wp:positionV>
            <wp:extent cx="59721" cy="88011"/>
            <wp:effectExtent l="0" t="0" r="0" b="0"/>
            <wp:wrapNone/>
            <wp:docPr id="4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3.png"/>
                    <pic:cNvPicPr/>
                  </pic:nvPicPr>
                  <pic:blipFill>
                    <a:blip xmlns:r="http://schemas.openxmlformats.org/officeDocument/2006/relationships" r:embed="rId62" cstate="print"/>
                    <a:stretch>
                      <a:fillRect/>
                    </a:stretch>
                  </pic:blipFill>
                  <pic:spPr>
                    <a:xfrm>
                      <a:off x="0" y="0"/>
                      <a:ext cx="59721" cy="88011"/>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6841235</wp:posOffset>
            </wp:positionH>
            <wp:positionV relativeFrom="paragraph">
              <wp:posOffset>1897814</wp:posOffset>
            </wp:positionV>
            <wp:extent cx="59721" cy="88011"/>
            <wp:effectExtent l="0" t="0" r="0" b="0"/>
            <wp:wrapNone/>
            <wp:docPr id="4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3.png"/>
                    <pic:cNvPicPr/>
                  </pic:nvPicPr>
                  <pic:blipFill>
                    <a:blip xmlns:r="http://schemas.openxmlformats.org/officeDocument/2006/relationships" r:embed="rId62" cstate="print"/>
                    <a:stretch>
                      <a:fillRect/>
                    </a:stretch>
                  </pic:blipFill>
                  <pic:spPr>
                    <a:xfrm>
                      <a:off x="0" y="0"/>
                      <a:ext cx="59721" cy="88011"/>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6841235</wp:posOffset>
            </wp:positionH>
            <wp:positionV relativeFrom="paragraph">
              <wp:posOffset>2144701</wp:posOffset>
            </wp:positionV>
            <wp:extent cx="59721" cy="88011"/>
            <wp:effectExtent l="0" t="0" r="0" b="0"/>
            <wp:wrapNone/>
            <wp:docPr id="4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3.png"/>
                    <pic:cNvPicPr/>
                  </pic:nvPicPr>
                  <pic:blipFill>
                    <a:blip xmlns:r="http://schemas.openxmlformats.org/officeDocument/2006/relationships" r:embed="rId62" cstate="print"/>
                    <a:stretch>
                      <a:fillRect/>
                    </a:stretch>
                  </pic:blipFill>
                  <pic:spPr>
                    <a:xfrm>
                      <a:off x="0" y="0"/>
                      <a:ext cx="59721" cy="88011"/>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5911341</wp:posOffset>
            </wp:positionH>
            <wp:positionV relativeFrom="paragraph">
              <wp:posOffset>2391589</wp:posOffset>
            </wp:positionV>
            <wp:extent cx="59721" cy="88011"/>
            <wp:effectExtent l="0" t="0" r="0" b="0"/>
            <wp:wrapNone/>
            <wp:docPr id="4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3.png"/>
                    <pic:cNvPicPr/>
                  </pic:nvPicPr>
                  <pic:blipFill>
                    <a:blip xmlns:r="http://schemas.openxmlformats.org/officeDocument/2006/relationships" r:embed="rId62" cstate="print"/>
                    <a:stretch>
                      <a:fillRect/>
                    </a:stretch>
                  </pic:blipFill>
                  <pic:spPr>
                    <a:xfrm>
                      <a:off x="0" y="0"/>
                      <a:ext cx="59721" cy="88011"/>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6841235</wp:posOffset>
            </wp:positionH>
            <wp:positionV relativeFrom="paragraph">
              <wp:posOffset>2391589</wp:posOffset>
            </wp:positionV>
            <wp:extent cx="59721" cy="88011"/>
            <wp:effectExtent l="0" t="0" r="0" b="0"/>
            <wp:wrapNone/>
            <wp:docPr id="5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3.png"/>
                    <pic:cNvPicPr/>
                  </pic:nvPicPr>
                  <pic:blipFill>
                    <a:blip xmlns:r="http://schemas.openxmlformats.org/officeDocument/2006/relationships" r:embed="rId62" cstate="print"/>
                    <a:stretch>
                      <a:fillRect/>
                    </a:stretch>
                  </pic:blipFill>
                  <pic:spPr>
                    <a:xfrm>
                      <a:off x="0" y="0"/>
                      <a:ext cx="59721" cy="88011"/>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6841235</wp:posOffset>
            </wp:positionH>
            <wp:positionV relativeFrom="paragraph">
              <wp:posOffset>2638477</wp:posOffset>
            </wp:positionV>
            <wp:extent cx="59721" cy="88011"/>
            <wp:effectExtent l="0" t="0" r="0" b="0"/>
            <wp:wrapNone/>
            <wp:docPr id="5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3.png"/>
                    <pic:cNvPicPr/>
                  </pic:nvPicPr>
                  <pic:blipFill>
                    <a:blip xmlns:r="http://schemas.openxmlformats.org/officeDocument/2006/relationships" r:embed="rId62" cstate="print"/>
                    <a:stretch>
                      <a:fillRect/>
                    </a:stretch>
                  </pic:blipFill>
                  <pic:spPr>
                    <a:xfrm>
                      <a:off x="0" y="0"/>
                      <a:ext cx="59721" cy="88011"/>
                    </a:xfrm>
                    <a:prstGeom prst="rect">
                      <a:avLst/>
                    </a:prstGeom>
                  </pic:spPr>
                </pic:pic>
              </a:graphicData>
            </a:graphic>
          </wp:anchor>
        </w:drawing>
      </w:r>
      <w:r>
        <w:rPr>
          <w:rFonts w:ascii="宋体" w:eastAsia="宋体" w:hint="eastAsia"/>
          <w:color w:val="004097"/>
          <w:sz w:val="17"/>
        </w:rPr>
        <w:t xml:space="preserve">图表 </w:t>
      </w:r>
      <w:r>
        <w:rPr>
          <w:rFonts w:ascii="Tahoma" w:eastAsia="Tahoma"/>
          <w:i/>
          <w:color w:val="004097"/>
          <w:sz w:val="17"/>
        </w:rPr>
        <w:t>10</w:t>
      </w:r>
      <w:r>
        <w:rPr>
          <w:rFonts w:ascii="宋体" w:eastAsia="宋体" w:hint="eastAsia"/>
          <w:color w:val="004097"/>
          <w:sz w:val="17"/>
        </w:rPr>
        <w:t>：城农商行主体信用双层七维评分模型</w:t>
      </w:r>
    </w:p>
    <w:p>
      <w:pPr>
        <w:tabs>
          <w:tab w:val="left" w:pos="4644"/>
          <w:tab w:val="left" w:pos="6344"/>
          <w:tab w:val="left" w:pos="8260"/>
          <w:tab w:val="left" w:pos="10170"/>
        </w:tabs>
        <w:spacing w:before="39" w:after="46"/>
        <w:ind w:left="2662" w:right="0" w:firstLine="0"/>
        <w:jc w:val="left"/>
        <w:rPr>
          <w:b/>
          <w:sz w:val="21"/>
        </w:rPr>
      </w:pPr>
      <w:r>
        <w:rPr>
          <w:b/>
          <w:sz w:val="21"/>
        </w:rPr>
        <w:t>打分维度</w:t>
        <w:tab/>
        <w:t>一级指标</w:t>
        <w:tab/>
        <w:t>一级权重</w:t>
        <w:tab/>
        <w:t>二级指标</w:t>
        <w:tab/>
        <w:t>二级权重</w:t>
      </w:r>
    </w:p>
    <w:tbl>
      <w:tblPr>
        <w:tblStyle w:val="TableNormal1"/>
        <w:tblW w:w="0" w:type="auto"/>
        <w:jc w:val="left"/>
        <w:tblInd w:w="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6"/>
        <w:gridCol w:w="493"/>
        <w:gridCol w:w="1690"/>
        <w:gridCol w:w="2367"/>
        <w:gridCol w:w="960"/>
        <w:gridCol w:w="2862"/>
        <w:gridCol w:w="1046"/>
      </w:tblGrid>
      <w:tr>
        <w:tblPrEx>
          <w:tblW w:w="0" w:type="auto"/>
          <w:jc w:val="left"/>
          <w:tblInd w:w="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9"/>
          <w:jc w:val="left"/>
        </w:trPr>
        <w:tc>
          <w:tcPr>
            <w:tcW w:w="10344" w:type="dxa"/>
            <w:gridSpan w:val="7"/>
            <w:tcBorders>
              <w:top w:val="single" w:sz="4" w:space="0" w:color="004097"/>
            </w:tcBorders>
          </w:tcPr>
          <w:p>
            <w:pPr>
              <w:pStyle w:val="TableParagraph"/>
              <w:tabs>
                <w:tab w:val="left" w:pos="3651"/>
                <w:tab w:val="left" w:pos="5802"/>
                <w:tab w:val="left" w:pos="7066"/>
                <w:tab w:val="left" w:pos="9628"/>
              </w:tabs>
              <w:spacing w:before="86"/>
              <w:ind w:left="1870"/>
              <w:jc w:val="left"/>
              <w:rPr>
                <w:rFonts w:ascii="楷体" w:eastAsia="楷体" w:hAnsi="楷体" w:hint="eastAsia"/>
                <w:sz w:val="20"/>
              </w:rPr>
            </w:pPr>
            <w:r>
              <w:rPr>
                <w:rFonts w:ascii="楷体" w:eastAsia="楷体" w:hAnsi="楷体" w:hint="eastAsia"/>
                <w:sz w:val="20"/>
              </w:rPr>
              <w:t>外部环境</w:t>
              <w:tab/>
              <w:t>区域资源禀赋</w:t>
              <w:tab/>
              <w:t>15</w:t>
              <w:tab/>
              <w:t>区域政府信用评分</w:t>
              <w:tab/>
              <w:t>15</w:t>
            </w:r>
          </w:p>
        </w:tc>
      </w:tr>
      <w:tr>
        <w:tblPrEx>
          <w:tblW w:w="0" w:type="auto"/>
          <w:jc w:val="left"/>
          <w:tblInd w:w="821" w:type="dxa"/>
          <w:tblLayout w:type="fixed"/>
          <w:tblCellMar>
            <w:top w:w="0" w:type="dxa"/>
            <w:left w:w="0" w:type="dxa"/>
            <w:bottom w:w="0" w:type="dxa"/>
            <w:right w:w="0" w:type="dxa"/>
          </w:tblCellMar>
          <w:tblLook w:val="01E0"/>
        </w:tblPrEx>
        <w:trPr>
          <w:trHeight w:val="3945"/>
          <w:jc w:val="left"/>
        </w:trPr>
        <w:tc>
          <w:tcPr>
            <w:tcW w:w="926" w:type="dxa"/>
            <w:shd w:val="clear" w:color="auto" w:fill="F1F1F1"/>
          </w:tcPr>
          <w:p>
            <w:pPr>
              <w:pStyle w:val="TableParagraph"/>
              <w:jc w:val="left"/>
              <w:rPr>
                <w:rFonts w:ascii="楷体"/>
                <w:b/>
                <w:sz w:val="28"/>
              </w:rPr>
            </w:pPr>
          </w:p>
          <w:p>
            <w:pPr>
              <w:pStyle w:val="TableParagraph"/>
              <w:jc w:val="left"/>
              <w:rPr>
                <w:rFonts w:ascii="楷体"/>
                <w:b/>
                <w:sz w:val="28"/>
              </w:rPr>
            </w:pPr>
          </w:p>
          <w:p>
            <w:pPr>
              <w:pStyle w:val="TableParagraph"/>
              <w:jc w:val="left"/>
              <w:rPr>
                <w:rFonts w:ascii="楷体"/>
                <w:b/>
                <w:sz w:val="28"/>
              </w:rPr>
            </w:pPr>
          </w:p>
          <w:p>
            <w:pPr>
              <w:pStyle w:val="TableParagraph"/>
              <w:spacing w:before="8"/>
              <w:jc w:val="left"/>
              <w:rPr>
                <w:rFonts w:ascii="楷体"/>
                <w:b/>
                <w:sz w:val="41"/>
              </w:rPr>
            </w:pPr>
          </w:p>
          <w:p>
            <w:pPr>
              <w:pStyle w:val="TableParagraph"/>
              <w:spacing w:line="184" w:lineRule="auto"/>
              <w:ind w:left="564" w:right="78"/>
              <w:jc w:val="both"/>
              <w:rPr>
                <w:rFonts w:ascii="楷体" w:eastAsia="楷体" w:hint="eastAsia"/>
                <w:b/>
                <w:sz w:val="28"/>
              </w:rPr>
            </w:pPr>
            <w:r>
              <w:rPr>
                <w:rFonts w:ascii="楷体" w:eastAsia="楷体" w:hint="eastAsia"/>
                <w:b/>
                <w:sz w:val="28"/>
              </w:rPr>
              <w:t>城农商行主体信用</w:t>
            </w:r>
          </w:p>
          <w:p>
            <w:pPr>
              <w:pStyle w:val="TableParagraph"/>
              <w:spacing w:line="106" w:lineRule="exact"/>
              <w:ind w:left="564"/>
              <w:jc w:val="left"/>
              <w:rPr>
                <w:rFonts w:ascii="楷体" w:eastAsia="楷体" w:hint="eastAsia"/>
                <w:b/>
                <w:sz w:val="28"/>
              </w:rPr>
            </w:pPr>
            <w:r>
              <w:rPr>
                <w:rFonts w:ascii="楷体" w:eastAsia="楷体" w:hint="eastAsia"/>
                <w:b/>
                <w:w w:val="99"/>
                <w:sz w:val="28"/>
              </w:rPr>
              <w:t>双</w:t>
            </w:r>
          </w:p>
        </w:tc>
        <w:tc>
          <w:tcPr>
            <w:tcW w:w="493" w:type="dxa"/>
            <w:shd w:val="clear" w:color="auto" w:fill="F1F1F1"/>
          </w:tcPr>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jc w:val="left"/>
              <w:rPr>
                <w:rFonts w:ascii="楷体"/>
                <w:b/>
                <w:sz w:val="2"/>
              </w:rPr>
            </w:pPr>
          </w:p>
          <w:p>
            <w:pPr>
              <w:pStyle w:val="TableParagraph"/>
              <w:spacing w:before="7"/>
              <w:jc w:val="left"/>
              <w:rPr>
                <w:rFonts w:ascii="楷体"/>
                <w:b/>
                <w:sz w:val="2"/>
              </w:rPr>
            </w:pPr>
          </w:p>
          <w:p>
            <w:pPr>
              <w:pStyle w:val="TableParagraph"/>
              <w:ind w:left="80"/>
              <w:jc w:val="left"/>
              <w:rPr>
                <w:rFonts w:ascii="仿宋" w:eastAsia="仿宋" w:hint="eastAsia"/>
                <w:sz w:val="2"/>
              </w:rPr>
            </w:pPr>
            <w:r>
              <w:rPr>
                <w:rFonts w:ascii="仿宋" w:eastAsia="仿宋" w:hint="eastAsia"/>
                <w:color w:val="BFBFBF"/>
                <w:sz w:val="2"/>
              </w:rPr>
              <w:t>华福证券</w:t>
            </w:r>
          </w:p>
        </w:tc>
        <w:tc>
          <w:tcPr>
            <w:tcW w:w="1690" w:type="dxa"/>
            <w:vMerge w:val="restart"/>
            <w:tcBorders>
              <w:bottom w:val="single" w:sz="4" w:space="0" w:color="004097"/>
            </w:tcBorders>
          </w:tcPr>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spacing w:before="1"/>
              <w:jc w:val="left"/>
              <w:rPr>
                <w:rFonts w:ascii="楷体"/>
                <w:b/>
                <w:sz w:val="20"/>
              </w:rPr>
            </w:pPr>
          </w:p>
          <w:p>
            <w:pPr>
              <w:pStyle w:val="TableParagraph"/>
              <w:ind w:left="249"/>
              <w:jc w:val="left"/>
              <w:rPr>
                <w:rFonts w:ascii="楷体" w:eastAsia="楷体" w:hint="eastAsia"/>
                <w:sz w:val="20"/>
              </w:rPr>
            </w:pPr>
            <w:r>
              <w:rPr>
                <w:rFonts w:ascii="楷体" w:eastAsia="楷体" w:hint="eastAsia"/>
                <w:sz w:val="20"/>
              </w:rPr>
              <w:t>公司主体层面</w:t>
            </w:r>
          </w:p>
        </w:tc>
        <w:tc>
          <w:tcPr>
            <w:tcW w:w="2367" w:type="dxa"/>
            <w:vMerge w:val="restart"/>
            <w:tcBorders>
              <w:bottom w:val="single" w:sz="4" w:space="0" w:color="004097"/>
            </w:tcBorders>
          </w:tcPr>
          <w:p>
            <w:pPr>
              <w:pStyle w:val="TableParagraph"/>
              <w:jc w:val="left"/>
              <w:rPr>
                <w:rFonts w:ascii="楷体"/>
                <w:b/>
                <w:sz w:val="20"/>
              </w:rPr>
            </w:pPr>
          </w:p>
          <w:p>
            <w:pPr>
              <w:pStyle w:val="TableParagraph"/>
              <w:spacing w:before="1"/>
              <w:jc w:val="left"/>
              <w:rPr>
                <w:rFonts w:ascii="楷体"/>
                <w:b/>
                <w:sz w:val="17"/>
              </w:rPr>
            </w:pPr>
          </w:p>
          <w:p>
            <w:pPr>
              <w:pStyle w:val="TableParagraph"/>
              <w:ind w:left="222" w:right="305"/>
              <w:rPr>
                <w:rFonts w:ascii="楷体" w:eastAsia="楷体" w:hint="eastAsia"/>
                <w:sz w:val="20"/>
              </w:rPr>
            </w:pPr>
            <w:r>
              <w:rPr>
                <w:rFonts w:ascii="楷体" w:eastAsia="楷体" w:hint="eastAsia"/>
                <w:sz w:val="20"/>
              </w:rPr>
              <w:t>公司治理及内部控制</w:t>
            </w: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spacing w:before="150"/>
              <w:ind w:left="222" w:right="302"/>
              <w:rPr>
                <w:rFonts w:ascii="楷体" w:eastAsia="楷体" w:hint="eastAsia"/>
                <w:sz w:val="20"/>
              </w:rPr>
            </w:pPr>
            <w:r>
              <w:rPr>
                <w:rFonts w:ascii="楷体" w:eastAsia="楷体" w:hint="eastAsia"/>
                <w:sz w:val="20"/>
              </w:rPr>
              <w:t>资产规模与质量</w:t>
            </w: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spacing w:before="154"/>
              <w:ind w:left="222" w:right="302"/>
              <w:rPr>
                <w:rFonts w:ascii="楷体" w:eastAsia="楷体" w:hint="eastAsia"/>
                <w:sz w:val="20"/>
              </w:rPr>
            </w:pPr>
            <w:r>
              <w:rPr>
                <w:rFonts w:ascii="楷体" w:eastAsia="楷体" w:hint="eastAsia"/>
                <w:sz w:val="20"/>
              </w:rPr>
              <w:t>负债端结构</w:t>
            </w:r>
          </w:p>
          <w:p>
            <w:pPr>
              <w:pStyle w:val="TableParagraph"/>
              <w:jc w:val="left"/>
              <w:rPr>
                <w:rFonts w:ascii="楷体"/>
                <w:b/>
                <w:sz w:val="20"/>
              </w:rPr>
            </w:pPr>
          </w:p>
          <w:p>
            <w:pPr>
              <w:pStyle w:val="TableParagraph"/>
              <w:jc w:val="left"/>
              <w:rPr>
                <w:rFonts w:ascii="楷体"/>
                <w:b/>
                <w:sz w:val="20"/>
              </w:rPr>
            </w:pPr>
          </w:p>
          <w:p>
            <w:pPr>
              <w:pStyle w:val="TableParagraph"/>
              <w:spacing w:before="10"/>
              <w:jc w:val="left"/>
              <w:rPr>
                <w:rFonts w:ascii="楷体"/>
                <w:b/>
                <w:sz w:val="15"/>
              </w:rPr>
            </w:pPr>
          </w:p>
          <w:p>
            <w:pPr>
              <w:pStyle w:val="TableParagraph"/>
              <w:spacing w:before="1"/>
              <w:ind w:left="222" w:right="304"/>
              <w:rPr>
                <w:rFonts w:ascii="楷体" w:eastAsia="楷体" w:hint="eastAsia"/>
                <w:sz w:val="20"/>
              </w:rPr>
            </w:pPr>
            <w:r>
              <w:rPr>
                <w:rFonts w:ascii="楷体" w:eastAsia="楷体" w:hint="eastAsia"/>
                <w:sz w:val="20"/>
              </w:rPr>
              <w:t>盈利能力分析</w:t>
            </w:r>
          </w:p>
          <w:p>
            <w:pPr>
              <w:pStyle w:val="TableParagraph"/>
              <w:jc w:val="left"/>
              <w:rPr>
                <w:rFonts w:ascii="楷体"/>
                <w:b/>
                <w:sz w:val="20"/>
              </w:rPr>
            </w:pPr>
          </w:p>
          <w:p>
            <w:pPr>
              <w:pStyle w:val="TableParagraph"/>
              <w:spacing w:before="8"/>
              <w:jc w:val="left"/>
              <w:rPr>
                <w:rFonts w:ascii="楷体"/>
                <w:b/>
                <w:sz w:val="20"/>
              </w:rPr>
            </w:pPr>
          </w:p>
          <w:p>
            <w:pPr>
              <w:pStyle w:val="TableParagraph"/>
              <w:ind w:left="222" w:right="302"/>
              <w:rPr>
                <w:rFonts w:ascii="楷体" w:eastAsia="楷体" w:hint="eastAsia"/>
                <w:sz w:val="20"/>
              </w:rPr>
            </w:pPr>
            <w:r>
              <w:rPr>
                <w:rFonts w:ascii="楷体" w:eastAsia="楷体" w:hint="eastAsia"/>
                <w:sz w:val="20"/>
              </w:rPr>
              <w:t>资本充足性</w:t>
            </w:r>
          </w:p>
          <w:p>
            <w:pPr>
              <w:pStyle w:val="TableParagraph"/>
              <w:jc w:val="left"/>
              <w:rPr>
                <w:rFonts w:ascii="楷体"/>
                <w:b/>
                <w:sz w:val="20"/>
              </w:rPr>
            </w:pPr>
          </w:p>
          <w:p>
            <w:pPr>
              <w:pStyle w:val="TableParagraph"/>
              <w:spacing w:before="10"/>
              <w:jc w:val="left"/>
              <w:rPr>
                <w:rFonts w:ascii="楷体"/>
                <w:b/>
                <w:sz w:val="20"/>
              </w:rPr>
            </w:pPr>
          </w:p>
          <w:p>
            <w:pPr>
              <w:pStyle w:val="TableParagraph"/>
              <w:ind w:left="222" w:right="304"/>
              <w:rPr>
                <w:rFonts w:ascii="楷体" w:eastAsia="楷体" w:hint="eastAsia"/>
                <w:sz w:val="20"/>
              </w:rPr>
            </w:pPr>
            <w:r>
              <w:rPr>
                <w:rFonts w:ascii="楷体" w:eastAsia="楷体" w:hint="eastAsia"/>
                <w:sz w:val="20"/>
              </w:rPr>
              <w:t>流动性</w:t>
            </w:r>
          </w:p>
        </w:tc>
        <w:tc>
          <w:tcPr>
            <w:tcW w:w="960" w:type="dxa"/>
            <w:vMerge w:val="restart"/>
            <w:tcBorders>
              <w:bottom w:val="single" w:sz="4" w:space="0" w:color="004097"/>
            </w:tcBorders>
          </w:tcPr>
          <w:p>
            <w:pPr>
              <w:pStyle w:val="TableParagraph"/>
              <w:jc w:val="left"/>
              <w:rPr>
                <w:rFonts w:ascii="楷体"/>
                <w:b/>
                <w:sz w:val="20"/>
              </w:rPr>
            </w:pPr>
          </w:p>
          <w:p>
            <w:pPr>
              <w:pStyle w:val="TableParagraph"/>
              <w:spacing w:before="1"/>
              <w:jc w:val="left"/>
              <w:rPr>
                <w:rFonts w:ascii="楷体"/>
                <w:b/>
                <w:sz w:val="17"/>
              </w:rPr>
            </w:pPr>
          </w:p>
          <w:p>
            <w:pPr>
              <w:pStyle w:val="TableParagraph"/>
              <w:ind w:left="258" w:right="261"/>
              <w:rPr>
                <w:rFonts w:ascii="楷体" w:hAnsi="楷体"/>
                <w:sz w:val="20"/>
              </w:rPr>
            </w:pPr>
            <w:r>
              <w:rPr>
                <w:rFonts w:ascii="楷体" w:hAnsi="楷体"/>
                <w:sz w:val="20"/>
              </w:rPr>
              <w:t>15</w:t>
            </w: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spacing w:before="150"/>
              <w:ind w:left="258" w:right="261"/>
              <w:rPr>
                <w:rFonts w:ascii="楷体" w:hAnsi="楷体"/>
                <w:sz w:val="20"/>
              </w:rPr>
            </w:pPr>
            <w:r>
              <w:rPr>
                <w:rFonts w:ascii="楷体" w:hAnsi="楷体"/>
                <w:sz w:val="20"/>
              </w:rPr>
              <w:t>30</w:t>
            </w: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jc w:val="left"/>
              <w:rPr>
                <w:rFonts w:ascii="楷体"/>
                <w:b/>
                <w:sz w:val="20"/>
              </w:rPr>
            </w:pPr>
          </w:p>
          <w:p>
            <w:pPr>
              <w:pStyle w:val="TableParagraph"/>
              <w:spacing w:before="154"/>
              <w:ind w:left="258" w:right="261"/>
              <w:rPr>
                <w:rFonts w:ascii="楷体" w:hAnsi="楷体"/>
                <w:sz w:val="20"/>
              </w:rPr>
            </w:pPr>
            <w:r>
              <w:rPr>
                <w:rFonts w:ascii="楷体" w:hAnsi="楷体"/>
                <w:sz w:val="20"/>
              </w:rPr>
              <w:t>10</w:t>
            </w:r>
          </w:p>
          <w:p>
            <w:pPr>
              <w:pStyle w:val="TableParagraph"/>
              <w:jc w:val="left"/>
              <w:rPr>
                <w:rFonts w:ascii="楷体"/>
                <w:b/>
                <w:sz w:val="20"/>
              </w:rPr>
            </w:pPr>
          </w:p>
          <w:p>
            <w:pPr>
              <w:pStyle w:val="TableParagraph"/>
              <w:jc w:val="left"/>
              <w:rPr>
                <w:rFonts w:ascii="楷体"/>
                <w:b/>
                <w:sz w:val="20"/>
              </w:rPr>
            </w:pPr>
          </w:p>
          <w:p>
            <w:pPr>
              <w:pStyle w:val="TableParagraph"/>
              <w:spacing w:before="10"/>
              <w:jc w:val="left"/>
              <w:rPr>
                <w:rFonts w:ascii="楷体"/>
                <w:b/>
                <w:sz w:val="15"/>
              </w:rPr>
            </w:pPr>
          </w:p>
          <w:p>
            <w:pPr>
              <w:pStyle w:val="TableParagraph"/>
              <w:spacing w:before="1"/>
              <w:ind w:left="258" w:right="261"/>
              <w:rPr>
                <w:rFonts w:ascii="楷体" w:hAnsi="楷体"/>
                <w:sz w:val="20"/>
              </w:rPr>
            </w:pPr>
            <w:r>
              <w:rPr>
                <w:rFonts w:ascii="楷体" w:hAnsi="楷体"/>
                <w:sz w:val="20"/>
              </w:rPr>
              <w:t>10</w:t>
            </w:r>
          </w:p>
          <w:p>
            <w:pPr>
              <w:pStyle w:val="TableParagraph"/>
              <w:jc w:val="left"/>
              <w:rPr>
                <w:rFonts w:ascii="楷体"/>
                <w:b/>
                <w:sz w:val="20"/>
              </w:rPr>
            </w:pPr>
          </w:p>
          <w:p>
            <w:pPr>
              <w:pStyle w:val="TableParagraph"/>
              <w:spacing w:before="8"/>
              <w:jc w:val="left"/>
              <w:rPr>
                <w:rFonts w:ascii="楷体"/>
                <w:b/>
                <w:sz w:val="20"/>
              </w:rPr>
            </w:pPr>
          </w:p>
          <w:p>
            <w:pPr>
              <w:pStyle w:val="TableParagraph"/>
              <w:ind w:left="258" w:right="261"/>
              <w:rPr>
                <w:rFonts w:ascii="楷体" w:hAnsi="楷体"/>
                <w:sz w:val="20"/>
              </w:rPr>
            </w:pPr>
            <w:r>
              <w:rPr>
                <w:rFonts w:ascii="楷体" w:hAnsi="楷体"/>
                <w:sz w:val="20"/>
              </w:rPr>
              <w:t>10</w:t>
            </w:r>
          </w:p>
          <w:p>
            <w:pPr>
              <w:pStyle w:val="TableParagraph"/>
              <w:jc w:val="left"/>
              <w:rPr>
                <w:rFonts w:ascii="楷体"/>
                <w:b/>
                <w:sz w:val="20"/>
              </w:rPr>
            </w:pPr>
          </w:p>
          <w:p>
            <w:pPr>
              <w:pStyle w:val="TableParagraph"/>
              <w:spacing w:before="10"/>
              <w:jc w:val="left"/>
              <w:rPr>
                <w:rFonts w:ascii="楷体"/>
                <w:b/>
                <w:sz w:val="20"/>
              </w:rPr>
            </w:pPr>
          </w:p>
          <w:p>
            <w:pPr>
              <w:pStyle w:val="TableParagraph"/>
              <w:ind w:left="258" w:right="261"/>
              <w:rPr>
                <w:rFonts w:ascii="楷体" w:hAnsi="楷体"/>
                <w:sz w:val="20"/>
              </w:rPr>
            </w:pPr>
            <w:r>
              <w:rPr>
                <w:rFonts w:ascii="楷体" w:hAnsi="楷体"/>
                <w:sz w:val="20"/>
              </w:rPr>
              <w:t>10</w:t>
            </w:r>
          </w:p>
        </w:tc>
        <w:tc>
          <w:tcPr>
            <w:tcW w:w="2862" w:type="dxa"/>
            <w:vMerge w:val="restart"/>
            <w:tcBorders>
              <w:bottom w:val="single" w:sz="4" w:space="0" w:color="004097"/>
            </w:tcBorders>
          </w:tcPr>
          <w:p>
            <w:pPr>
              <w:pStyle w:val="TableParagraph"/>
              <w:spacing w:before="86"/>
              <w:ind w:left="330" w:right="331"/>
              <w:rPr>
                <w:rFonts w:ascii="楷体" w:eastAsia="楷体" w:hint="eastAsia"/>
                <w:sz w:val="20"/>
              </w:rPr>
            </w:pPr>
            <w:r>
              <w:rPr>
                <w:rFonts w:ascii="楷体" w:eastAsia="楷体" w:hint="eastAsia"/>
                <w:sz w:val="20"/>
              </w:rPr>
              <w:t>第一大股东性质</w:t>
            </w:r>
          </w:p>
          <w:p>
            <w:pPr>
              <w:pStyle w:val="TableParagraph"/>
              <w:spacing w:before="133" w:line="364" w:lineRule="auto"/>
              <w:ind w:left="331" w:right="331"/>
              <w:rPr>
                <w:rFonts w:ascii="楷体" w:eastAsia="楷体" w:hint="eastAsia"/>
                <w:sz w:val="20"/>
              </w:rPr>
            </w:pPr>
            <w:r>
              <w:rPr>
                <w:rFonts w:ascii="楷体" w:eastAsia="楷体" w:hint="eastAsia"/>
                <w:sz w:val="20"/>
              </w:rPr>
              <w:t>前五大股东国企持股比例是否上市</w:t>
            </w:r>
          </w:p>
          <w:p>
            <w:pPr>
              <w:pStyle w:val="TableParagraph"/>
              <w:spacing w:line="364" w:lineRule="auto"/>
              <w:ind w:left="731" w:right="731"/>
              <w:rPr>
                <w:rFonts w:ascii="楷体" w:eastAsia="楷体" w:hint="eastAsia"/>
                <w:sz w:val="20"/>
              </w:rPr>
            </w:pPr>
            <w:r>
              <w:rPr>
                <w:rFonts w:ascii="楷体" w:eastAsia="楷体" w:hint="eastAsia"/>
                <w:sz w:val="20"/>
              </w:rPr>
              <w:t>总资产（亿元） 资产增速（ ） 拨备覆盖率</w:t>
            </w:r>
          </w:p>
          <w:p>
            <w:pPr>
              <w:pStyle w:val="TableParagraph"/>
              <w:spacing w:line="364" w:lineRule="auto"/>
              <w:ind w:left="681" w:right="680"/>
              <w:rPr>
                <w:rFonts w:ascii="楷体" w:eastAsia="楷体" w:hint="eastAsia"/>
                <w:sz w:val="20"/>
              </w:rPr>
            </w:pPr>
            <w:r>
              <w:rPr>
                <w:rFonts w:ascii="楷体" w:eastAsia="楷体" w:hint="eastAsia"/>
                <w:sz w:val="20"/>
              </w:rPr>
              <w:t>不良贷款率（ ） 关注类贷款占比</w:t>
            </w:r>
          </w:p>
          <w:p>
            <w:pPr>
              <w:pStyle w:val="TableParagraph"/>
              <w:spacing w:line="364" w:lineRule="auto"/>
              <w:ind w:left="431" w:right="431" w:firstLine="2"/>
              <w:rPr>
                <w:rFonts w:ascii="楷体" w:eastAsia="楷体" w:hint="eastAsia"/>
                <w:sz w:val="20"/>
              </w:rPr>
            </w:pPr>
            <w:r>
              <w:rPr>
                <w:rFonts w:ascii="楷体" w:eastAsia="楷体" w:hint="eastAsia"/>
                <w:sz w:val="20"/>
              </w:rPr>
              <w:t xml:space="preserve">房地产行业贷款占比 </w:t>
            </w:r>
            <w:r>
              <w:rPr>
                <w:rFonts w:ascii="楷体" w:eastAsia="楷体" w:hint="eastAsia"/>
                <w:spacing w:val="-2"/>
                <w:sz w:val="20"/>
              </w:rPr>
              <w:t>最大十家客户贷款比例</w:t>
            </w:r>
            <w:r>
              <w:rPr>
                <w:rFonts w:ascii="楷体" w:eastAsia="楷体" w:hint="eastAsia"/>
                <w:sz w:val="20"/>
              </w:rPr>
              <w:t>负债规模增速</w:t>
            </w:r>
          </w:p>
          <w:p>
            <w:pPr>
              <w:pStyle w:val="TableParagraph"/>
              <w:spacing w:line="364" w:lineRule="auto"/>
              <w:ind w:left="833" w:right="829"/>
              <w:rPr>
                <w:rFonts w:ascii="楷体" w:eastAsia="楷体" w:hint="eastAsia"/>
                <w:sz w:val="20"/>
              </w:rPr>
            </w:pPr>
            <w:r>
              <w:rPr>
                <w:rFonts w:ascii="楷体" w:eastAsia="楷体" w:hint="eastAsia"/>
                <w:sz w:val="20"/>
              </w:rPr>
              <w:t>吸收存款比例同业负债比例净息差</w:t>
            </w:r>
          </w:p>
          <w:p>
            <w:pPr>
              <w:pStyle w:val="TableParagraph"/>
              <w:spacing w:line="364" w:lineRule="auto"/>
              <w:ind w:left="582" w:right="574"/>
              <w:rPr>
                <w:rFonts w:ascii="楷体" w:eastAsia="楷体" w:hint="eastAsia"/>
                <w:sz w:val="20"/>
              </w:rPr>
            </w:pPr>
            <w:r>
              <w:rPr>
                <w:rFonts w:ascii="楷体" w:eastAsia="楷体" w:hint="eastAsia"/>
                <w:spacing w:val="-1"/>
                <w:w w:val="95"/>
                <w:sz w:val="20"/>
              </w:rPr>
              <w:t>净资产收益率</w:t>
            </w:r>
            <w:r>
              <w:rPr>
                <w:rFonts w:ascii="楷体" w:eastAsia="楷体" w:hint="eastAsia"/>
                <w:w w:val="95"/>
                <w:sz w:val="20"/>
              </w:rPr>
              <w:t xml:space="preserve">(ROA) </w:t>
            </w:r>
            <w:r>
              <w:rPr>
                <w:rFonts w:ascii="楷体" w:eastAsia="楷体" w:hint="eastAsia"/>
                <w:sz w:val="20"/>
              </w:rPr>
              <w:t>资本充足率</w:t>
            </w:r>
          </w:p>
          <w:p>
            <w:pPr>
              <w:pStyle w:val="TableParagraph"/>
              <w:spacing w:line="364" w:lineRule="auto"/>
              <w:ind w:left="532" w:right="530"/>
              <w:rPr>
                <w:rFonts w:ascii="楷体" w:eastAsia="楷体" w:hint="eastAsia"/>
                <w:sz w:val="20"/>
              </w:rPr>
            </w:pPr>
            <w:r>
              <w:rPr>
                <w:rFonts w:ascii="楷体" w:eastAsia="楷体" w:hint="eastAsia"/>
                <w:spacing w:val="-2"/>
                <w:sz w:val="20"/>
              </w:rPr>
              <w:t>核心一级资本充足率</w:t>
            </w:r>
            <w:r>
              <w:rPr>
                <w:rFonts w:ascii="楷体" w:eastAsia="楷体" w:hint="eastAsia"/>
                <w:sz w:val="20"/>
              </w:rPr>
              <w:t>存贷款比例</w:t>
            </w:r>
          </w:p>
          <w:p>
            <w:pPr>
              <w:pStyle w:val="TableParagraph"/>
              <w:spacing w:line="255" w:lineRule="exact"/>
              <w:ind w:left="331" w:right="331"/>
              <w:rPr>
                <w:rFonts w:ascii="楷体" w:eastAsia="楷体" w:hint="eastAsia"/>
                <w:sz w:val="20"/>
              </w:rPr>
            </w:pPr>
            <w:r>
              <w:rPr>
                <w:rFonts w:ascii="楷体" w:eastAsia="楷体" w:hint="eastAsia"/>
                <w:w w:val="95"/>
                <w:sz w:val="20"/>
              </w:rPr>
              <w:t>流动性比率</w:t>
            </w:r>
          </w:p>
        </w:tc>
        <w:tc>
          <w:tcPr>
            <w:tcW w:w="1046" w:type="dxa"/>
            <w:vMerge w:val="restart"/>
            <w:tcBorders>
              <w:bottom w:val="single" w:sz="4" w:space="0" w:color="004097"/>
            </w:tcBorders>
          </w:tcPr>
          <w:p>
            <w:pPr>
              <w:pStyle w:val="TableParagraph"/>
              <w:spacing w:before="86"/>
              <w:ind w:left="262" w:right="343"/>
              <w:rPr>
                <w:rFonts w:ascii="楷体" w:hAnsi="楷体"/>
                <w:sz w:val="20"/>
              </w:rPr>
            </w:pPr>
            <w:r>
              <w:rPr>
                <w:rFonts w:ascii="楷体" w:hAnsi="楷体"/>
                <w:sz w:val="20"/>
              </w:rPr>
              <w:t>5</w:t>
            </w:r>
          </w:p>
          <w:p>
            <w:pPr>
              <w:pStyle w:val="TableParagraph"/>
              <w:spacing w:before="133"/>
              <w:ind w:left="262" w:right="343"/>
              <w:rPr>
                <w:rFonts w:ascii="楷体" w:hAnsi="楷体"/>
                <w:sz w:val="20"/>
              </w:rPr>
            </w:pPr>
            <w:r>
              <w:rPr>
                <w:rFonts w:ascii="楷体" w:hAnsi="楷体"/>
                <w:sz w:val="20"/>
              </w:rPr>
              <w:t>5</w:t>
            </w:r>
          </w:p>
          <w:p>
            <w:pPr>
              <w:pStyle w:val="TableParagraph"/>
              <w:spacing w:before="133"/>
              <w:ind w:left="262" w:right="343"/>
              <w:rPr>
                <w:rFonts w:ascii="楷体" w:hAnsi="楷体"/>
                <w:sz w:val="20"/>
              </w:rPr>
            </w:pPr>
            <w:r>
              <w:rPr>
                <w:rFonts w:ascii="楷体" w:hAnsi="楷体"/>
                <w:sz w:val="20"/>
              </w:rPr>
              <w:t>5</w:t>
            </w:r>
          </w:p>
          <w:p>
            <w:pPr>
              <w:pStyle w:val="TableParagraph"/>
              <w:spacing w:before="132"/>
              <w:ind w:left="263" w:right="343"/>
              <w:rPr>
                <w:rFonts w:ascii="楷体" w:hAnsi="楷体"/>
                <w:sz w:val="20"/>
              </w:rPr>
            </w:pPr>
            <w:r>
              <w:rPr>
                <w:rFonts w:ascii="楷体" w:hAnsi="楷体"/>
                <w:sz w:val="20"/>
              </w:rPr>
              <w:t>13</w:t>
            </w:r>
          </w:p>
          <w:p>
            <w:pPr>
              <w:pStyle w:val="TableParagraph"/>
              <w:spacing w:before="133"/>
              <w:ind w:left="262" w:right="343"/>
              <w:rPr>
                <w:rFonts w:ascii="楷体" w:hAnsi="楷体"/>
                <w:sz w:val="20"/>
              </w:rPr>
            </w:pPr>
            <w:r>
              <w:rPr>
                <w:rFonts w:ascii="楷体" w:hAnsi="楷体"/>
                <w:sz w:val="20"/>
              </w:rPr>
              <w:t>3</w:t>
            </w:r>
          </w:p>
          <w:p>
            <w:pPr>
              <w:pStyle w:val="TableParagraph"/>
              <w:spacing w:before="132"/>
              <w:ind w:left="262" w:right="343"/>
              <w:rPr>
                <w:rFonts w:ascii="楷体" w:hAnsi="楷体"/>
                <w:sz w:val="20"/>
              </w:rPr>
            </w:pPr>
            <w:r>
              <w:rPr>
                <w:rFonts w:ascii="楷体" w:hAnsi="楷体"/>
                <w:sz w:val="20"/>
              </w:rPr>
              <w:t>4</w:t>
            </w:r>
          </w:p>
          <w:p>
            <w:pPr>
              <w:pStyle w:val="TableParagraph"/>
              <w:spacing w:before="133"/>
              <w:ind w:left="262" w:right="343"/>
              <w:rPr>
                <w:rFonts w:ascii="楷体" w:hAnsi="楷体"/>
                <w:sz w:val="20"/>
              </w:rPr>
            </w:pPr>
            <w:r>
              <w:rPr>
                <w:rFonts w:ascii="楷体" w:hAnsi="楷体"/>
                <w:sz w:val="20"/>
              </w:rPr>
              <w:t>4</w:t>
            </w:r>
          </w:p>
          <w:p>
            <w:pPr>
              <w:pStyle w:val="TableParagraph"/>
              <w:spacing w:before="132"/>
              <w:ind w:left="262" w:right="343"/>
              <w:rPr>
                <w:rFonts w:ascii="楷体" w:hAnsi="楷体"/>
                <w:sz w:val="20"/>
              </w:rPr>
            </w:pPr>
            <w:r>
              <w:rPr>
                <w:rFonts w:ascii="楷体" w:hAnsi="楷体"/>
                <w:sz w:val="20"/>
              </w:rPr>
              <w:t>2</w:t>
            </w:r>
          </w:p>
          <w:p>
            <w:pPr>
              <w:pStyle w:val="TableParagraph"/>
              <w:spacing w:before="133"/>
              <w:ind w:left="262" w:right="343"/>
              <w:rPr>
                <w:rFonts w:ascii="楷体" w:hAnsi="楷体"/>
                <w:sz w:val="20"/>
              </w:rPr>
            </w:pPr>
            <w:r>
              <w:rPr>
                <w:rFonts w:ascii="楷体" w:hAnsi="楷体"/>
                <w:sz w:val="20"/>
              </w:rPr>
              <w:t>2</w:t>
            </w:r>
          </w:p>
          <w:p>
            <w:pPr>
              <w:pStyle w:val="TableParagraph"/>
              <w:spacing w:before="135"/>
              <w:ind w:left="262" w:right="343"/>
              <w:rPr>
                <w:rFonts w:ascii="楷体" w:hAnsi="楷体"/>
                <w:sz w:val="20"/>
              </w:rPr>
            </w:pPr>
            <w:r>
              <w:rPr>
                <w:rFonts w:ascii="楷体" w:hAnsi="楷体"/>
                <w:sz w:val="20"/>
              </w:rPr>
              <w:t>2</w:t>
            </w:r>
          </w:p>
          <w:p>
            <w:pPr>
              <w:pStyle w:val="TableParagraph"/>
              <w:spacing w:before="133"/>
              <w:ind w:left="262" w:right="343"/>
              <w:rPr>
                <w:rFonts w:ascii="楷体" w:hAnsi="楷体"/>
                <w:sz w:val="20"/>
              </w:rPr>
            </w:pPr>
            <w:r>
              <w:rPr>
                <w:rFonts w:ascii="楷体" w:hAnsi="楷体"/>
                <w:sz w:val="20"/>
              </w:rPr>
              <w:t>4</w:t>
            </w:r>
          </w:p>
          <w:p>
            <w:pPr>
              <w:pStyle w:val="TableParagraph"/>
              <w:spacing w:before="132"/>
              <w:ind w:left="262" w:right="343"/>
              <w:rPr>
                <w:rFonts w:ascii="楷体" w:hAnsi="楷体"/>
                <w:sz w:val="20"/>
              </w:rPr>
            </w:pPr>
            <w:r>
              <w:rPr>
                <w:rFonts w:ascii="楷体" w:hAnsi="楷体"/>
                <w:sz w:val="20"/>
              </w:rPr>
              <w:t>3</w:t>
            </w:r>
          </w:p>
          <w:p>
            <w:pPr>
              <w:pStyle w:val="TableParagraph"/>
              <w:spacing w:before="133"/>
              <w:ind w:left="262" w:right="343"/>
              <w:rPr>
                <w:rFonts w:ascii="楷体" w:hAnsi="楷体"/>
                <w:sz w:val="20"/>
              </w:rPr>
            </w:pPr>
            <w:r>
              <w:rPr>
                <w:rFonts w:ascii="楷体" w:hAnsi="楷体"/>
                <w:sz w:val="20"/>
              </w:rPr>
              <w:t>3</w:t>
            </w:r>
          </w:p>
          <w:p>
            <w:pPr>
              <w:pStyle w:val="TableParagraph"/>
              <w:spacing w:before="132"/>
              <w:ind w:left="262" w:right="343"/>
              <w:rPr>
                <w:rFonts w:ascii="楷体" w:hAnsi="楷体"/>
                <w:sz w:val="20"/>
              </w:rPr>
            </w:pPr>
            <w:r>
              <w:rPr>
                <w:rFonts w:ascii="楷体" w:hAnsi="楷体"/>
                <w:sz w:val="20"/>
              </w:rPr>
              <w:t>5</w:t>
            </w:r>
          </w:p>
          <w:p>
            <w:pPr>
              <w:pStyle w:val="TableParagraph"/>
              <w:spacing w:before="133"/>
              <w:ind w:left="262" w:right="343"/>
              <w:rPr>
                <w:rFonts w:ascii="楷体" w:hAnsi="楷体"/>
                <w:sz w:val="20"/>
              </w:rPr>
            </w:pPr>
            <w:r>
              <w:rPr>
                <w:rFonts w:ascii="楷体" w:hAnsi="楷体"/>
                <w:sz w:val="20"/>
              </w:rPr>
              <w:t>5</w:t>
            </w:r>
          </w:p>
          <w:p>
            <w:pPr>
              <w:pStyle w:val="TableParagraph"/>
              <w:spacing w:before="133"/>
              <w:ind w:left="262" w:right="343"/>
              <w:rPr>
                <w:rFonts w:ascii="楷体" w:hAnsi="楷体"/>
                <w:sz w:val="20"/>
              </w:rPr>
            </w:pPr>
            <w:r>
              <w:rPr>
                <w:rFonts w:ascii="楷体" w:hAnsi="楷体"/>
                <w:sz w:val="20"/>
              </w:rPr>
              <w:t>5</w:t>
            </w:r>
          </w:p>
          <w:p>
            <w:pPr>
              <w:pStyle w:val="TableParagraph"/>
              <w:spacing w:before="132"/>
              <w:ind w:left="262" w:right="343"/>
              <w:rPr>
                <w:rFonts w:ascii="楷体" w:hAnsi="楷体"/>
                <w:sz w:val="20"/>
              </w:rPr>
            </w:pPr>
            <w:r>
              <w:rPr>
                <w:rFonts w:ascii="楷体" w:hAnsi="楷体"/>
                <w:sz w:val="20"/>
              </w:rPr>
              <w:t>5</w:t>
            </w:r>
          </w:p>
          <w:p>
            <w:pPr>
              <w:pStyle w:val="TableParagraph"/>
              <w:spacing w:before="133"/>
              <w:ind w:left="262" w:right="343"/>
              <w:rPr>
                <w:rFonts w:ascii="楷体" w:hAnsi="楷体"/>
                <w:sz w:val="20"/>
              </w:rPr>
            </w:pPr>
            <w:r>
              <w:rPr>
                <w:rFonts w:ascii="楷体" w:hAnsi="楷体"/>
                <w:sz w:val="20"/>
              </w:rPr>
              <w:t>5</w:t>
            </w:r>
          </w:p>
          <w:p>
            <w:pPr>
              <w:pStyle w:val="TableParagraph"/>
              <w:spacing w:before="133"/>
              <w:ind w:left="262" w:right="343"/>
              <w:rPr>
                <w:rFonts w:ascii="楷体" w:hAnsi="楷体"/>
                <w:sz w:val="20"/>
              </w:rPr>
            </w:pPr>
            <w:r>
              <w:rPr>
                <w:rFonts w:ascii="楷体" w:hAnsi="楷体"/>
                <w:sz w:val="20"/>
              </w:rPr>
              <w:t>5</w:t>
            </w:r>
          </w:p>
        </w:tc>
      </w:tr>
      <w:tr>
        <w:tblPrEx>
          <w:tblW w:w="0" w:type="auto"/>
          <w:jc w:val="left"/>
          <w:tblInd w:w="821" w:type="dxa"/>
          <w:tblLayout w:type="fixed"/>
          <w:tblCellMar>
            <w:top w:w="0" w:type="dxa"/>
            <w:left w:w="0" w:type="dxa"/>
            <w:bottom w:w="0" w:type="dxa"/>
            <w:right w:w="0" w:type="dxa"/>
          </w:tblCellMar>
          <w:tblLook w:val="01E0"/>
        </w:tblPrEx>
        <w:trPr>
          <w:trHeight w:val="3436"/>
          <w:jc w:val="left"/>
        </w:trPr>
        <w:tc>
          <w:tcPr>
            <w:tcW w:w="926" w:type="dxa"/>
            <w:tcBorders>
              <w:bottom w:val="single" w:sz="4" w:space="0" w:color="004097"/>
            </w:tcBorders>
            <w:shd w:val="clear" w:color="auto" w:fill="F1F1F1"/>
          </w:tcPr>
          <w:p>
            <w:pPr>
              <w:pStyle w:val="TableParagraph"/>
              <w:spacing w:before="135" w:line="184" w:lineRule="auto"/>
              <w:ind w:left="564" w:right="78"/>
              <w:jc w:val="both"/>
              <w:rPr>
                <w:rFonts w:ascii="楷体" w:eastAsia="楷体" w:hint="eastAsia"/>
                <w:b/>
                <w:sz w:val="28"/>
              </w:rPr>
            </w:pPr>
            <w:r>
              <w:rPr>
                <w:rFonts w:ascii="楷体" w:eastAsia="楷体" w:hint="eastAsia"/>
                <w:b/>
                <w:sz w:val="28"/>
              </w:rPr>
              <w:t>层七维评分</w:t>
            </w:r>
          </w:p>
        </w:tc>
        <w:tc>
          <w:tcPr>
            <w:tcW w:w="493" w:type="dxa"/>
            <w:tcBorders>
              <w:bottom w:val="single" w:sz="4" w:space="0" w:color="004097"/>
            </w:tcBorders>
            <w:shd w:val="clear" w:color="auto" w:fill="F1F1F1"/>
          </w:tcPr>
          <w:p>
            <w:pPr>
              <w:pStyle w:val="TableParagraph"/>
              <w:jc w:val="left"/>
              <w:rPr>
                <w:rFonts w:ascii="Times New Roman"/>
                <w:sz w:val="20"/>
              </w:rPr>
            </w:pPr>
          </w:p>
        </w:tc>
        <w:tc>
          <w:tcPr>
            <w:tcW w:w="1690" w:type="dxa"/>
            <w:vMerge/>
            <w:tcBorders>
              <w:top w:val="nil"/>
              <w:bottom w:val="single" w:sz="4" w:space="0" w:color="004097"/>
            </w:tcBorders>
          </w:tcPr>
          <w:p>
            <w:pPr>
              <w:rPr>
                <w:sz w:val="2"/>
                <w:szCs w:val="2"/>
              </w:rPr>
            </w:pPr>
          </w:p>
        </w:tc>
        <w:tc>
          <w:tcPr>
            <w:tcW w:w="2367" w:type="dxa"/>
            <w:vMerge/>
            <w:tcBorders>
              <w:top w:val="nil"/>
              <w:bottom w:val="single" w:sz="4" w:space="0" w:color="004097"/>
            </w:tcBorders>
          </w:tcPr>
          <w:p>
            <w:pPr>
              <w:rPr>
                <w:sz w:val="2"/>
                <w:szCs w:val="2"/>
              </w:rPr>
            </w:pPr>
          </w:p>
        </w:tc>
        <w:tc>
          <w:tcPr>
            <w:tcW w:w="960" w:type="dxa"/>
            <w:vMerge/>
            <w:tcBorders>
              <w:top w:val="nil"/>
              <w:bottom w:val="single" w:sz="4" w:space="0" w:color="004097"/>
            </w:tcBorders>
          </w:tcPr>
          <w:p>
            <w:pPr>
              <w:rPr>
                <w:sz w:val="2"/>
                <w:szCs w:val="2"/>
              </w:rPr>
            </w:pPr>
          </w:p>
        </w:tc>
        <w:tc>
          <w:tcPr>
            <w:tcW w:w="2862" w:type="dxa"/>
            <w:vMerge/>
            <w:tcBorders>
              <w:top w:val="nil"/>
              <w:bottom w:val="single" w:sz="4" w:space="0" w:color="004097"/>
            </w:tcBorders>
          </w:tcPr>
          <w:p>
            <w:pPr>
              <w:rPr>
                <w:sz w:val="2"/>
                <w:szCs w:val="2"/>
              </w:rPr>
            </w:pPr>
          </w:p>
        </w:tc>
        <w:tc>
          <w:tcPr>
            <w:tcW w:w="1046" w:type="dxa"/>
            <w:vMerge/>
            <w:tcBorders>
              <w:top w:val="nil"/>
              <w:bottom w:val="single" w:sz="4" w:space="0" w:color="004097"/>
            </w:tcBorders>
          </w:tcPr>
          <w:p>
            <w:pPr>
              <w:rPr>
                <w:sz w:val="2"/>
                <w:szCs w:val="2"/>
              </w:rPr>
            </w:pPr>
          </w:p>
        </w:tc>
      </w:tr>
    </w:tbl>
    <w:p>
      <w:pPr>
        <w:spacing w:before="0"/>
        <w:ind w:left="921" w:right="0" w:firstLine="0"/>
        <w:jc w:val="left"/>
        <w:rPr>
          <w:rFonts w:ascii="宋体" w:eastAsia="宋体" w:hint="eastAsia"/>
          <w:sz w:val="17"/>
        </w:rPr>
      </w:pPr>
      <w:r>
        <w:t xml:space="preserve">资料来源： </w:t>
      </w:r>
    </w:p>
    <w:p>
      <w:pPr>
        <w:pStyle w:val="BodyText"/>
        <w:rPr>
          <w:rFonts w:ascii="宋体"/>
          <w:sz w:val="20"/>
        </w:rPr>
      </w:pPr>
    </w:p>
    <w:p>
      <w:pPr>
        <w:pStyle w:val="BodyText"/>
        <w:rPr>
          <w:rFonts w:ascii="宋体"/>
          <w:sz w:val="20"/>
        </w:rPr>
      </w:pPr>
    </w:p>
    <w:p>
      <w:pPr>
        <w:pStyle w:val="Heading2"/>
        <w:numPr>
          <w:ilvl w:val="1"/>
          <w:numId w:val="3"/>
        </w:numPr>
        <w:tabs>
          <w:tab w:val="left" w:pos="3755"/>
        </w:tabs>
        <w:spacing w:before="232" w:after="0" w:line="240" w:lineRule="auto"/>
        <w:ind w:left="3754" w:right="0" w:hanging="532"/>
        <w:jc w:val="left"/>
      </w:pPr>
      <w:r>
        <w:rPr>
          <w:color w:val="013E96"/>
        </w:rPr>
        <w:t>打分结果</w:t>
      </w:r>
    </w:p>
    <w:p>
      <w:pPr>
        <w:pStyle w:val="BodyText"/>
        <w:spacing w:before="4"/>
        <w:rPr>
          <w:b/>
          <w:sz w:val="38"/>
        </w:rPr>
      </w:pPr>
    </w:p>
    <w:p>
      <w:pPr>
        <w:pStyle w:val="BodyText"/>
        <w:spacing w:line="319" w:lineRule="auto"/>
        <w:ind w:left="3192" w:right="845" w:firstLine="439"/>
      </w:pPr>
      <w:r>
        <w:rPr>
          <w:spacing w:val="-7"/>
        </w:rPr>
        <w:t xml:space="preserve">我们以构建出的模型对浙江省下辖 </w:t>
      </w:r>
      <w:r>
        <w:rPr>
          <w:rFonts w:ascii="Arial" w:eastAsia="Arial"/>
          <w:spacing w:val="-10"/>
        </w:rPr>
        <w:t xml:space="preserve">11 </w:t>
      </w:r>
      <w:r>
        <w:rPr>
          <w:spacing w:val="-14"/>
        </w:rPr>
        <w:t xml:space="preserve">个地市的 </w:t>
      </w:r>
      <w:r>
        <w:rPr>
          <w:rFonts w:ascii="Arial" w:eastAsia="Arial"/>
        </w:rPr>
        <w:t xml:space="preserve">62 </w:t>
      </w:r>
      <w:r>
        <w:rPr>
          <w:spacing w:val="-3"/>
        </w:rPr>
        <w:t>家有存续次级债的城农商行进行打分，打分结果如下表所示。</w:t>
      </w:r>
    </w:p>
    <w:p>
      <w:pPr>
        <w:spacing w:after="0" w:line="319" w:lineRule="auto"/>
        <w:sectPr>
          <w:headerReference w:type="default" r:id="rId71"/>
          <w:footerReference w:type="default" r:id="rId72"/>
          <w:pgSz w:w="11910" w:h="16840"/>
          <w:pgMar w:top="1320" w:right="0" w:bottom="660" w:left="180" w:header="708" w:footer="708"/>
          <w:pgNumType w:start="28"/>
          <w:cols w:space="708"/>
        </w:sectPr>
      </w:pPr>
    </w:p>
    <w:p>
      <w:pPr>
        <w:spacing w:before="165"/>
        <w:ind w:left="211" w:right="0" w:firstLine="0"/>
        <w:jc w:val="left"/>
        <w:rPr>
          <w:rFonts w:ascii="宋体" w:eastAsia="宋体" w:hint="eastAsia"/>
          <w:sz w:val="17"/>
        </w:rPr>
      </w:pPr>
      <w:r>
        <w:rPr>
          <w:rFonts w:ascii="宋体" w:eastAsia="宋体" w:hint="eastAsia"/>
          <w:color w:val="004097"/>
          <w:sz w:val="17"/>
        </w:rPr>
        <w:t xml:space="preserve">图表 </w:t>
      </w:r>
      <w:r>
        <w:rPr>
          <w:rFonts w:ascii="Tahoma" w:eastAsia="Tahoma"/>
          <w:i/>
          <w:color w:val="004097"/>
          <w:sz w:val="17"/>
        </w:rPr>
        <w:t>11</w:t>
      </w:r>
      <w:r>
        <w:rPr>
          <w:rFonts w:ascii="宋体" w:eastAsia="宋体" w:hint="eastAsia"/>
          <w:color w:val="004097"/>
          <w:sz w:val="17"/>
        </w:rPr>
        <w:t>：浙江省城农商行打分情况（按存续次级债规模排列）</w:t>
      </w:r>
    </w:p>
    <w:p>
      <w:pPr>
        <w:tabs>
          <w:tab w:val="left" w:pos="2301"/>
          <w:tab w:val="left" w:pos="3898"/>
          <w:tab w:val="left" w:pos="4784"/>
          <w:tab w:val="left" w:pos="5919"/>
          <w:tab w:val="left" w:pos="7033"/>
          <w:tab w:val="left" w:pos="8154"/>
        </w:tabs>
        <w:spacing w:before="58" w:line="347" w:lineRule="exact"/>
        <w:ind w:left="247" w:right="0" w:firstLine="0"/>
        <w:jc w:val="left"/>
        <w:rPr>
          <w:b/>
          <w:sz w:val="21"/>
        </w:rPr>
      </w:pPr>
      <w:r>
        <w:pict>
          <v:group id="_x0000_s1333" style="width:574.2pt;height:0.5pt;margin-top:1.68pt;margin-left:14.28pt;mso-position-horizontal-relative:page;position:absolute;z-index:251719680" coordorigin="286,34" coordsize="11484,10">
            <v:line id="_x0000_s1334" style="position:absolute" from="286,38" to="1419,38" stroked="t" strokecolor="#004097" strokeweight="0.48pt">
              <v:stroke dashstyle="solid"/>
            </v:line>
            <v:rect id="_x0000_s1335" style="width:10;height:10;left:1418;position:absolute;top:33" filled="t" fillcolor="#004097" stroked="f">
              <v:fill type="solid"/>
            </v:rect>
            <v:line id="_x0000_s1336" style="position:absolute" from="1428,38" to="3973,38" stroked="t" strokecolor="#004097" strokeweight="0.48pt">
              <v:stroke dashstyle="solid"/>
            </v:line>
            <v:rect id="_x0000_s1337" style="width:10;height:10;left:3973;position:absolute;top:33" filled="t" fillcolor="#004097" stroked="f">
              <v:fill type="solid"/>
            </v:rect>
            <v:line id="_x0000_s1338" style="position:absolute" from="3983,38" to="4823,38" stroked="t" strokecolor="#004097" strokeweight="0.48pt">
              <v:stroke dashstyle="solid"/>
            </v:line>
            <v:rect id="_x0000_s1339" style="width:10;height:10;left:4822;position:absolute;top:33" filled="t" fillcolor="#004097" stroked="f">
              <v:fill type="solid"/>
            </v:rect>
            <v:line id="_x0000_s1340" style="position:absolute" from="4832,38" to="5956,38" stroked="t" strokecolor="#004097" strokeweight="0.48pt">
              <v:stroke dashstyle="solid"/>
            </v:line>
            <v:rect id="_x0000_s1341" style="width:10;height:10;left:5955;position:absolute;top:33" filled="t" fillcolor="#004097" stroked="f">
              <v:fill type="solid"/>
            </v:rect>
            <v:line id="_x0000_s1342" style="position:absolute" from="5965,38" to="7091,38" stroked="t" strokecolor="#004097" strokeweight="0.48pt">
              <v:stroke dashstyle="solid"/>
            </v:line>
            <v:shape id="_x0000_s1343" style="width:24;height:10;left:7091;position:absolute;top:33" coordorigin="7091,34" coordsize="24,10" path="m7105,34l7101,34,7091,34,7091,43,7101,43,7105,43,7105,34m7115,34l7105,34,7105,43,7115,43,7115,34e" filled="t" fillcolor="#004097" stroked="f">
              <v:fill type="solid"/>
              <v:path arrowok="t"/>
            </v:shape>
            <v:line id="_x0000_s1344" style="position:absolute" from="7115,38" to="8224,38" stroked="t" strokecolor="#004097" strokeweight="0.48pt">
              <v:stroke dashstyle="solid"/>
            </v:line>
            <v:rect id="_x0000_s1345" style="width:10;height:10;left:8223;position:absolute;top:33" filled="t" fillcolor="#004097" stroked="f">
              <v:fill type="solid"/>
            </v:rect>
            <v:line id="_x0000_s1346" style="position:absolute" from="8233,38" to="9501,38" stroked="t" strokecolor="#004097" strokeweight="0.48pt">
              <v:stroke dashstyle="solid"/>
            </v:line>
            <v:rect id="_x0000_s1347" style="width:10;height:10;left:9501;position:absolute;top:33" filled="t" fillcolor="#004097" stroked="f">
              <v:fill type="solid"/>
            </v:rect>
            <v:line id="_x0000_s1348" style="position:absolute" from="9511,38" to="10634,38" stroked="t" strokecolor="#004097" strokeweight="0.48pt">
              <v:stroke dashstyle="solid"/>
            </v:line>
            <v:rect id="_x0000_s1349" style="width:11;height:10;left:10634;position:absolute;top:33" filled="t" fillcolor="#004097" stroked="f">
              <v:fill type="solid"/>
            </v:rect>
            <v:line id="_x0000_s1350" style="position:absolute" from="10644,38" to="11770,38" stroked="t" strokecolor="#004097" strokeweight="0.48pt">
              <v:stroke dashstyle="solid"/>
            </v:line>
          </v:group>
        </w:pict>
      </w:r>
      <w:r>
        <w:rPr>
          <w:b/>
          <w:sz w:val="21"/>
        </w:rPr>
        <w:t>打分排名</w:t>
        <w:tab/>
        <w:t>名称</w:t>
        <w:tab/>
        <w:t>地级市</w:t>
        <w:tab/>
        <w:t>银行类型</w:t>
        <w:tab/>
        <w:t>最终得分</w:t>
        <w:tab/>
      </w:r>
      <w:r>
        <w:rPr>
          <w:b/>
          <w:sz w:val="22"/>
        </w:rPr>
        <w:t>主体评级</w:t>
        <w:tab/>
      </w:r>
      <w:r>
        <w:rPr>
          <w:b/>
          <w:position w:val="14"/>
          <w:sz w:val="21"/>
        </w:rPr>
        <w:t>二级资本</w:t>
      </w:r>
      <w:r>
        <w:rPr>
          <w:b/>
          <w:spacing w:val="-20"/>
          <w:position w:val="14"/>
          <w:sz w:val="21"/>
        </w:rPr>
        <w:t>债</w:t>
      </w:r>
    </w:p>
    <w:p>
      <w:pPr>
        <w:spacing w:before="0" w:line="204" w:lineRule="exact"/>
        <w:ind w:left="0" w:right="103" w:firstLine="0"/>
        <w:jc w:val="right"/>
        <w:rPr>
          <w:b/>
          <w:sz w:val="21"/>
        </w:rPr>
      </w:pPr>
      <w:r>
        <w:rPr>
          <w:b/>
          <w:sz w:val="21"/>
        </w:rPr>
        <w:t>（亿元）</w:t>
      </w:r>
    </w:p>
    <w:p>
      <w:pPr>
        <w:pStyle w:val="BodyText"/>
        <w:rPr>
          <w:b/>
          <w:sz w:val="20"/>
        </w:rPr>
        <w:sectPr>
          <w:headerReference w:type="default" r:id="rId73"/>
          <w:footerReference w:type="default" r:id="rId74"/>
          <w:type w:val="continuous"/>
          <w:pgSz w:w="11910" w:h="16840"/>
          <w:pgMar w:top="1320" w:right="0" w:bottom="660" w:left="180" w:header="708" w:footer="708"/>
          <w:pgNumType w:start="29"/>
          <w:cols w:num="3" w:space="708" w:equalWidth="0">
            <w:col w:w="9211" w:space="43"/>
            <w:col w:w="1057" w:space="77"/>
            <w:col w:w="1342" w:space="0"/>
          </w:cols>
        </w:sectPr>
      </w:pPr>
      <w:r>
        <w:br w:type="column"/>
      </w:r>
    </w:p>
    <w:p>
      <w:pPr>
        <w:pStyle w:val="BodyText"/>
        <w:spacing w:before="6"/>
        <w:rPr>
          <w:b/>
          <w:sz w:val="14"/>
        </w:rPr>
      </w:pPr>
    </w:p>
    <w:p>
      <w:pPr>
        <w:spacing w:before="0"/>
        <w:ind w:left="211" w:right="0" w:firstLine="0"/>
        <w:jc w:val="center"/>
        <w:rPr>
          <w:b/>
          <w:sz w:val="21"/>
        </w:rPr>
      </w:pPr>
      <w:r>
        <w:rPr>
          <w:b/>
          <w:sz w:val="21"/>
        </w:rPr>
        <w:t>永续债</w:t>
      </w:r>
    </w:p>
    <w:p>
      <w:pPr>
        <w:spacing w:before="12"/>
        <w:ind w:left="211" w:right="0" w:firstLine="0"/>
        <w:jc w:val="center"/>
        <w:rPr>
          <w:b/>
          <w:sz w:val="21"/>
        </w:rPr>
      </w:pPr>
      <w:r>
        <w:rPr>
          <w:b/>
          <w:sz w:val="21"/>
        </w:rPr>
        <w:t>（亿元</w:t>
      </w:r>
      <w:r>
        <w:rPr>
          <w:b/>
          <w:spacing w:val="-20"/>
          <w:sz w:val="21"/>
        </w:rPr>
        <w:t>）</w:t>
      </w:r>
    </w:p>
    <w:p>
      <w:pPr>
        <w:pStyle w:val="BodyText"/>
        <w:rPr>
          <w:b/>
          <w:sz w:val="20"/>
        </w:rPr>
      </w:pPr>
      <w:r>
        <w:br w:type="column"/>
      </w:r>
    </w:p>
    <w:p>
      <w:pPr>
        <w:pStyle w:val="BodyText"/>
        <w:spacing w:before="6"/>
        <w:rPr>
          <w:b/>
          <w:sz w:val="14"/>
        </w:rPr>
      </w:pPr>
    </w:p>
    <w:p>
      <w:pPr>
        <w:spacing w:before="0"/>
        <w:ind w:left="211" w:right="0" w:firstLine="0"/>
        <w:jc w:val="left"/>
        <w:rPr>
          <w:b/>
          <w:sz w:val="21"/>
        </w:rPr>
      </w:pPr>
      <w:r>
        <w:rPr>
          <w:b/>
          <w:sz w:val="21"/>
        </w:rPr>
        <w:t>资产规模</w:t>
      </w:r>
    </w:p>
    <w:p>
      <w:pPr>
        <w:spacing w:before="12"/>
        <w:ind w:left="211" w:right="0" w:firstLine="0"/>
        <w:jc w:val="left"/>
        <w:rPr>
          <w:b/>
          <w:sz w:val="21"/>
        </w:rPr>
      </w:pPr>
      <w:r>
        <w:rPr>
          <w:b/>
          <w:sz w:val="21"/>
        </w:rPr>
        <w:t>（亿元）</w:t>
      </w:r>
    </w:p>
    <w:p>
      <w:pPr>
        <w:spacing w:after="0"/>
        <w:jc w:val="left"/>
        <w:rPr>
          <w:sz w:val="21"/>
        </w:rPr>
        <w:sectPr>
          <w:headerReference w:type="default" r:id="rId75"/>
          <w:footerReference w:type="default" r:id="rId76"/>
          <w:type w:val="nextPage"/>
          <w:pgSz w:w="11910" w:h="16840"/>
          <w:pgMar w:top="1320" w:right="0" w:bottom="660" w:left="180" w:header="708" w:footer="708"/>
          <w:pgNumType w:start="30"/>
          <w:cols w:num="3" w:space="708" w:equalWidth="0">
            <w:col w:w="9211" w:space="43"/>
            <w:col w:w="1057" w:space="77"/>
            <w:col w:w="1342" w:space="0"/>
          </w:cols>
          <w:titlePg w:val="0"/>
        </w:sectPr>
      </w:pPr>
    </w:p>
    <w:p>
      <w:pPr>
        <w:pStyle w:val="BodyText"/>
        <w:spacing w:line="20" w:lineRule="exact"/>
        <w:ind w:left="86"/>
        <w:rPr>
          <w:sz w:val="2"/>
        </w:rPr>
      </w:pPr>
      <w:r>
        <w:rPr>
          <w:sz w:val="2"/>
        </w:rPr>
        <w:pict>
          <v:group id="_x0000_i1351" style="width:574.95pt;height:0.5pt;mso-position-horizontal-relative:char;mso-position-vertical-relative:line" coordorigin="0,0" coordsize="11499,10">
            <v:line id="_x0000_s1352" style="position:absolute" from="0,5" to="1148,5" stroked="t" strokecolor="#004097" strokeweight="0.48pt">
              <v:stroke dashstyle="solid"/>
            </v:line>
            <v:rect id="_x0000_s1353" style="width:10;height:10;left:1133;position:absolute" filled="t" fillcolor="#004097" stroked="f">
              <v:fill type="solid"/>
            </v:rect>
            <v:line id="_x0000_s1354" style="position:absolute" from="1143,5" to="3702,5" stroked="t" strokecolor="#004097" strokeweight="0.48pt">
              <v:stroke dashstyle="solid"/>
            </v:line>
            <v:rect id="_x0000_s1355" style="width:10;height:10;left:3687;position:absolute" filled="t" fillcolor="#004097" stroked="f">
              <v:fill type="solid"/>
            </v:rect>
            <v:line id="_x0000_s1356" style="position:absolute" from="3697,5" to="4551,5" stroked="t" strokecolor="#004097" strokeweight="0.48pt">
              <v:stroke dashstyle="solid"/>
            </v:line>
            <v:rect id="_x0000_s1357" style="width:10;height:10;left:4537;position:absolute" filled="t" fillcolor="#004097" stroked="f">
              <v:fill type="solid"/>
            </v:rect>
            <v:line id="_x0000_s1358" style="position:absolute" from="4547,5" to="5685,5" stroked="t" strokecolor="#004097" strokeweight="0.48pt">
              <v:stroke dashstyle="solid"/>
            </v:line>
            <v:rect id="_x0000_s1359" style="width:10;height:10;left:5670;position:absolute" filled="t" fillcolor="#004097" stroked="f">
              <v:fill type="solid"/>
            </v:rect>
            <v:line id="_x0000_s1360" style="position:absolute" from="5680,5" to="6820,5" stroked="t" strokecolor="#004097" strokeweight="0.48pt">
              <v:stroke dashstyle="solid"/>
            </v:line>
            <v:rect id="_x0000_s1361" style="width:10;height:10;left:6805;position:absolute" filled="t" fillcolor="#004097" stroked="f">
              <v:fill type="solid"/>
            </v:rect>
            <v:line id="_x0000_s1362" style="position:absolute" from="6815,5" to="7953,5" stroked="t" strokecolor="#004097" strokeweight="0.48pt">
              <v:stroke dashstyle="solid"/>
            </v:line>
            <v:rect id="_x0000_s1363" style="width:10;height:10;left:7938;position:absolute" filled="t" fillcolor="#004097" stroked="f">
              <v:fill type="solid"/>
            </v:rect>
            <v:line id="_x0000_s1364" style="position:absolute" from="7948,5" to="9230,5" stroked="t" strokecolor="#004097" strokeweight="0.48pt">
              <v:stroke dashstyle="solid"/>
            </v:line>
            <v:rect id="_x0000_s1365" style="width:10;height:10;left:9215;position:absolute" filled="t" fillcolor="#004097" stroked="f">
              <v:fill type="solid"/>
            </v:rect>
            <v:line id="_x0000_s1366" style="position:absolute" from="9225,5" to="10363,5" stroked="t" strokecolor="#004097" strokeweight="0.48pt">
              <v:stroke dashstyle="solid"/>
            </v:line>
            <v:rect id="_x0000_s1367" style="width:10;height:10;left:10348;position:absolute" filled="t" fillcolor="#004097" stroked="f">
              <v:fill type="solid"/>
            </v:rect>
            <v:line id="_x0000_s1368" style="position:absolute" from="10358,5" to="11498,5" stroked="t" strokecolor="#004097" strokeweight="0.48pt">
              <v:stroke dashstyle="solid"/>
            </v:line>
            <w10:wrap type="none"/>
          </v:group>
        </w:pict>
      </w:r>
    </w:p>
    <w:p>
      <w:pPr>
        <w:spacing w:after="0" w:line="20" w:lineRule="exact"/>
        <w:rPr>
          <w:sz w:val="2"/>
        </w:rPr>
        <w:sectPr>
          <w:headerReference w:type="default" r:id="rId77"/>
          <w:footerReference w:type="default" r:id="rId78"/>
          <w:type w:val="continuous"/>
          <w:pgSz w:w="11910" w:h="16840"/>
          <w:pgMar w:top="1320" w:right="0" w:bottom="660" w:left="180" w:header="708" w:footer="708"/>
          <w:pgNumType w:start="31"/>
          <w:cols w:space="708"/>
        </w:sectPr>
      </w:pPr>
    </w:p>
    <w:p>
      <w:pPr>
        <w:pStyle w:val="BodyText"/>
        <w:rPr>
          <w:b/>
          <w:sz w:val="20"/>
        </w:rPr>
      </w:pPr>
      <w:r>
        <w:pict>
          <v:shape id="_x0000_s1369" type="#_x0000_t202" style="width:574.35pt;height:721.8pt;margin-top:71.16pt;margin-left:14.16pt;mso-position-horizontal-relative:page;mso-position-vertical-relative:page;position:absolute;z-index:251720704"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9"/>
                    <w:gridCol w:w="2521"/>
                    <w:gridCol w:w="948"/>
                    <w:gridCol w:w="1189"/>
                    <w:gridCol w:w="1062"/>
                    <w:gridCol w:w="1312"/>
                    <w:gridCol w:w="1413"/>
                    <w:gridCol w:w="934"/>
                    <w:gridCol w:w="102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7"/>
                      <w:jc w:val="left"/>
                    </w:trPr>
                    <w:tc>
                      <w:tcPr>
                        <w:tcW w:w="1089" w:type="dxa"/>
                        <w:tcBorders>
                          <w:top w:val="single" w:sz="4" w:space="0" w:color="004097"/>
                        </w:tcBorders>
                        <w:shd w:val="clear" w:color="auto" w:fill="F1F1F1"/>
                      </w:tcPr>
                      <w:p>
                        <w:pPr>
                          <w:pStyle w:val="TableParagraph"/>
                          <w:spacing w:before="26"/>
                          <w:ind w:left="516"/>
                          <w:jc w:val="left"/>
                          <w:rPr>
                            <w:rFonts w:ascii="楷体"/>
                            <w:sz w:val="20"/>
                          </w:rPr>
                        </w:pPr>
                        <w:r>
                          <w:rPr>
                            <w:rFonts w:ascii="楷体"/>
                            <w:w w:val="99"/>
                            <w:sz w:val="20"/>
                          </w:rPr>
                          <w:t>1</w:t>
                        </w:r>
                      </w:p>
                    </w:tc>
                    <w:tc>
                      <w:tcPr>
                        <w:tcW w:w="2521" w:type="dxa"/>
                        <w:tcBorders>
                          <w:top w:val="single" w:sz="4" w:space="0" w:color="004097"/>
                        </w:tcBorders>
                        <w:shd w:val="clear" w:color="auto" w:fill="F1F1F1"/>
                      </w:tcPr>
                      <w:p>
                        <w:pPr>
                          <w:pStyle w:val="TableParagraph"/>
                          <w:spacing w:before="38" w:line="250" w:lineRule="exact"/>
                          <w:ind w:left="399" w:right="278"/>
                          <w:rPr>
                            <w:rFonts w:ascii="楷体" w:eastAsia="楷体" w:hint="eastAsia"/>
                            <w:sz w:val="20"/>
                          </w:rPr>
                        </w:pPr>
                        <w:r>
                          <w:rPr>
                            <w:rFonts w:ascii="楷体" w:eastAsia="楷体" w:hint="eastAsia"/>
                            <w:sz w:val="20"/>
                          </w:rPr>
                          <w:t>宁波银行</w:t>
                        </w:r>
                      </w:p>
                    </w:tc>
                    <w:tc>
                      <w:tcPr>
                        <w:tcW w:w="948" w:type="dxa"/>
                        <w:tcBorders>
                          <w:top w:val="single" w:sz="4" w:space="0" w:color="004097"/>
                        </w:tcBorders>
                        <w:shd w:val="clear" w:color="auto" w:fill="F1F1F1"/>
                      </w:tcPr>
                      <w:p>
                        <w:pPr>
                          <w:pStyle w:val="TableParagraph"/>
                          <w:spacing w:before="38" w:line="250" w:lineRule="exact"/>
                          <w:ind w:left="279" w:right="228"/>
                          <w:rPr>
                            <w:rFonts w:ascii="楷体" w:eastAsia="楷体" w:hint="eastAsia"/>
                            <w:sz w:val="20"/>
                          </w:rPr>
                        </w:pPr>
                        <w:r>
                          <w:rPr>
                            <w:rFonts w:ascii="楷体" w:eastAsia="楷体" w:hint="eastAsia"/>
                            <w:sz w:val="20"/>
                          </w:rPr>
                          <w:t>宁波</w:t>
                        </w:r>
                      </w:p>
                    </w:tc>
                    <w:tc>
                      <w:tcPr>
                        <w:tcW w:w="1189" w:type="dxa"/>
                        <w:tcBorders>
                          <w:top w:val="single" w:sz="4" w:space="0" w:color="004097"/>
                        </w:tcBorders>
                        <w:shd w:val="clear" w:color="auto" w:fill="F1F1F1"/>
                      </w:tcPr>
                      <w:p>
                        <w:pPr>
                          <w:pStyle w:val="TableParagraph"/>
                          <w:spacing w:before="38" w:line="250" w:lineRule="exact"/>
                          <w:ind w:left="225" w:right="323"/>
                          <w:rPr>
                            <w:rFonts w:ascii="楷体" w:eastAsia="楷体" w:hint="eastAsia"/>
                            <w:sz w:val="20"/>
                          </w:rPr>
                        </w:pPr>
                        <w:r>
                          <w:rPr>
                            <w:rFonts w:ascii="楷体" w:eastAsia="楷体" w:hint="eastAsia"/>
                            <w:sz w:val="20"/>
                          </w:rPr>
                          <w:t>城商行</w:t>
                        </w:r>
                      </w:p>
                    </w:tc>
                    <w:tc>
                      <w:tcPr>
                        <w:tcW w:w="1062" w:type="dxa"/>
                        <w:tcBorders>
                          <w:top w:val="single" w:sz="4" w:space="0" w:color="004097"/>
                        </w:tcBorders>
                        <w:shd w:val="clear" w:color="auto" w:fill="F1F1F1"/>
                      </w:tcPr>
                      <w:p>
                        <w:pPr>
                          <w:pStyle w:val="TableParagraph"/>
                          <w:spacing w:before="26"/>
                          <w:ind w:left="340"/>
                          <w:jc w:val="left"/>
                          <w:rPr>
                            <w:rFonts w:ascii="楷体"/>
                            <w:sz w:val="20"/>
                          </w:rPr>
                        </w:pPr>
                        <w:r>
                          <w:rPr>
                            <w:rFonts w:ascii="楷体"/>
                            <w:sz w:val="20"/>
                          </w:rPr>
                          <w:t>3.9</w:t>
                        </w:r>
                      </w:p>
                    </w:tc>
                    <w:tc>
                      <w:tcPr>
                        <w:tcW w:w="1312" w:type="dxa"/>
                        <w:tcBorders>
                          <w:top w:val="single" w:sz="4" w:space="0" w:color="004097"/>
                        </w:tcBorders>
                        <w:shd w:val="clear" w:color="auto" w:fill="F1F1F1"/>
                      </w:tcPr>
                      <w:p>
                        <w:pPr>
                          <w:pStyle w:val="TableParagraph"/>
                          <w:spacing w:before="38" w:line="250" w:lineRule="exact"/>
                          <w:ind w:left="411"/>
                          <w:jc w:val="left"/>
                          <w:rPr>
                            <w:rFonts w:ascii="楷体"/>
                            <w:sz w:val="20"/>
                          </w:rPr>
                        </w:pPr>
                        <w:r>
                          <w:rPr>
                            <w:rFonts w:ascii="楷体"/>
                            <w:sz w:val="20"/>
                          </w:rPr>
                          <w:t>AAA</w:t>
                        </w:r>
                      </w:p>
                    </w:tc>
                    <w:tc>
                      <w:tcPr>
                        <w:tcW w:w="1413" w:type="dxa"/>
                        <w:tcBorders>
                          <w:top w:val="single" w:sz="4" w:space="0" w:color="004097"/>
                        </w:tcBorders>
                        <w:shd w:val="clear" w:color="auto" w:fill="F1F1F1"/>
                      </w:tcPr>
                      <w:p>
                        <w:pPr>
                          <w:pStyle w:val="TableParagraph"/>
                          <w:spacing w:before="38" w:line="250" w:lineRule="exact"/>
                          <w:ind w:right="419"/>
                          <w:jc w:val="right"/>
                          <w:rPr>
                            <w:rFonts w:ascii="楷体"/>
                            <w:sz w:val="20"/>
                          </w:rPr>
                        </w:pPr>
                        <w:r>
                          <w:rPr>
                            <w:rFonts w:ascii="楷体"/>
                            <w:sz w:val="20"/>
                          </w:rPr>
                          <w:t>515</w:t>
                        </w:r>
                      </w:p>
                    </w:tc>
                    <w:tc>
                      <w:tcPr>
                        <w:tcW w:w="934" w:type="dxa"/>
                        <w:tcBorders>
                          <w:top w:val="single" w:sz="4" w:space="0" w:color="004097"/>
                        </w:tcBorders>
                        <w:shd w:val="clear" w:color="auto" w:fill="F1F1F1"/>
                      </w:tcPr>
                      <w:p>
                        <w:pPr>
                          <w:pStyle w:val="TableParagraph"/>
                          <w:spacing w:before="38" w:line="250" w:lineRule="exact"/>
                          <w:ind w:right="220"/>
                          <w:jc w:val="right"/>
                          <w:rPr>
                            <w:rFonts w:ascii="楷体"/>
                            <w:sz w:val="20"/>
                          </w:rPr>
                        </w:pPr>
                        <w:r>
                          <w:rPr>
                            <w:rFonts w:ascii="楷体"/>
                            <w:sz w:val="20"/>
                          </w:rPr>
                          <w:t>100</w:t>
                        </w:r>
                      </w:p>
                    </w:tc>
                    <w:tc>
                      <w:tcPr>
                        <w:tcW w:w="1028" w:type="dxa"/>
                        <w:tcBorders>
                          <w:top w:val="single" w:sz="4" w:space="0" w:color="004097"/>
                        </w:tcBorders>
                        <w:shd w:val="clear" w:color="auto" w:fill="F1F1F1"/>
                      </w:tcPr>
                      <w:p>
                        <w:pPr>
                          <w:pStyle w:val="TableParagraph"/>
                          <w:spacing w:before="38" w:line="250" w:lineRule="exact"/>
                          <w:ind w:right="117"/>
                          <w:jc w:val="right"/>
                          <w:rPr>
                            <w:rFonts w:ascii="楷体"/>
                            <w:sz w:val="20"/>
                          </w:rPr>
                        </w:pPr>
                        <w:r>
                          <w:rPr>
                            <w:rFonts w:ascii="楷体"/>
                            <w:w w:val="95"/>
                            <w:sz w:val="20"/>
                          </w:rPr>
                          <w:t>23661.0</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516"/>
                          <w:jc w:val="left"/>
                          <w:rPr>
                            <w:rFonts w:ascii="楷体"/>
                            <w:sz w:val="20"/>
                          </w:rPr>
                        </w:pPr>
                        <w:r>
                          <w:rPr>
                            <w:rFonts w:ascii="楷体"/>
                            <w:w w:val="99"/>
                            <w:sz w:val="20"/>
                          </w:rPr>
                          <w:t>7</w:t>
                        </w:r>
                      </w:p>
                    </w:tc>
                    <w:tc>
                      <w:tcPr>
                        <w:tcW w:w="2521" w:type="dxa"/>
                      </w:tcPr>
                      <w:p>
                        <w:pPr>
                          <w:pStyle w:val="TableParagraph"/>
                          <w:spacing w:before="37" w:line="250" w:lineRule="exact"/>
                          <w:ind w:left="399" w:right="278"/>
                          <w:rPr>
                            <w:rFonts w:ascii="楷体" w:eastAsia="楷体" w:hint="eastAsia"/>
                            <w:sz w:val="20"/>
                          </w:rPr>
                        </w:pPr>
                        <w:r>
                          <w:rPr>
                            <w:rFonts w:ascii="楷体" w:eastAsia="楷体" w:hint="eastAsia"/>
                            <w:sz w:val="20"/>
                          </w:rPr>
                          <w:t>杭州银行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杭州</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城商行</w:t>
                        </w:r>
                      </w:p>
                    </w:tc>
                    <w:tc>
                      <w:tcPr>
                        <w:tcW w:w="1062" w:type="dxa"/>
                      </w:tcPr>
                      <w:p>
                        <w:pPr>
                          <w:pStyle w:val="TableParagraph"/>
                          <w:spacing w:before="25"/>
                          <w:ind w:left="340"/>
                          <w:jc w:val="left"/>
                          <w:rPr>
                            <w:rFonts w:ascii="楷体"/>
                            <w:sz w:val="20"/>
                          </w:rPr>
                        </w:pPr>
                        <w:r>
                          <w:rPr>
                            <w:rFonts w:ascii="楷体"/>
                            <w:sz w:val="20"/>
                          </w:rPr>
                          <w:t>3.4</w:t>
                        </w:r>
                      </w:p>
                    </w:tc>
                    <w:tc>
                      <w:tcPr>
                        <w:tcW w:w="1312" w:type="dxa"/>
                      </w:tcPr>
                      <w:p>
                        <w:pPr>
                          <w:pStyle w:val="TableParagraph"/>
                          <w:spacing w:before="37" w:line="250" w:lineRule="exact"/>
                          <w:ind w:left="411"/>
                          <w:jc w:val="left"/>
                          <w:rPr>
                            <w:rFonts w:ascii="楷体"/>
                            <w:sz w:val="20"/>
                          </w:rPr>
                        </w:pPr>
                        <w:r>
                          <w:rPr>
                            <w:rFonts w:ascii="楷体"/>
                            <w:sz w:val="20"/>
                          </w:rPr>
                          <w:t>AAA</w:t>
                        </w:r>
                      </w:p>
                    </w:tc>
                    <w:tc>
                      <w:tcPr>
                        <w:tcW w:w="1413" w:type="dxa"/>
                      </w:tcPr>
                      <w:p>
                        <w:pPr>
                          <w:pStyle w:val="TableParagraph"/>
                          <w:spacing w:before="37" w:line="250" w:lineRule="exact"/>
                          <w:ind w:right="419"/>
                          <w:jc w:val="right"/>
                          <w:rPr>
                            <w:rFonts w:ascii="楷体"/>
                            <w:sz w:val="20"/>
                          </w:rPr>
                        </w:pPr>
                        <w:r>
                          <w:rPr>
                            <w:rFonts w:ascii="楷体"/>
                            <w:sz w:val="20"/>
                          </w:rPr>
                          <w:t>200</w:t>
                        </w:r>
                      </w:p>
                    </w:tc>
                    <w:tc>
                      <w:tcPr>
                        <w:tcW w:w="934" w:type="dxa"/>
                      </w:tcPr>
                      <w:p>
                        <w:pPr>
                          <w:pStyle w:val="TableParagraph"/>
                          <w:spacing w:before="37" w:line="250" w:lineRule="exact"/>
                          <w:ind w:right="220"/>
                          <w:jc w:val="right"/>
                          <w:rPr>
                            <w:rFonts w:ascii="楷体"/>
                            <w:sz w:val="20"/>
                          </w:rPr>
                        </w:pPr>
                        <w:r>
                          <w:rPr>
                            <w:rFonts w:ascii="楷体"/>
                            <w:sz w:val="20"/>
                          </w:rPr>
                          <w:t>70</w:t>
                        </w:r>
                      </w:p>
                    </w:tc>
                    <w:tc>
                      <w:tcPr>
                        <w:tcW w:w="1028" w:type="dxa"/>
                      </w:tcPr>
                      <w:p>
                        <w:pPr>
                          <w:pStyle w:val="TableParagraph"/>
                          <w:spacing w:before="37" w:line="250" w:lineRule="exact"/>
                          <w:ind w:right="117"/>
                          <w:jc w:val="right"/>
                          <w:rPr>
                            <w:rFonts w:ascii="楷体"/>
                            <w:sz w:val="20"/>
                          </w:rPr>
                        </w:pPr>
                        <w:r>
                          <w:rPr>
                            <w:rFonts w:ascii="楷体"/>
                            <w:w w:val="95"/>
                            <w:sz w:val="20"/>
                          </w:rPr>
                          <w:t>16165.4</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516"/>
                          <w:jc w:val="left"/>
                          <w:rPr>
                            <w:rFonts w:ascii="楷体"/>
                            <w:sz w:val="20"/>
                          </w:rPr>
                        </w:pPr>
                        <w:r>
                          <w:rPr>
                            <w:rFonts w:ascii="楷体"/>
                            <w:w w:val="99"/>
                            <w:sz w:val="20"/>
                          </w:rPr>
                          <w:t>2</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杭州联合农商行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杭州</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3.6</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AAA</w:t>
                        </w:r>
                      </w:p>
                    </w:tc>
                    <w:tc>
                      <w:tcPr>
                        <w:tcW w:w="1413" w:type="dxa"/>
                        <w:shd w:val="clear" w:color="auto" w:fill="F1F1F1"/>
                      </w:tcPr>
                      <w:p>
                        <w:pPr>
                          <w:pStyle w:val="TableParagraph"/>
                          <w:spacing w:before="37" w:line="250" w:lineRule="exact"/>
                          <w:ind w:right="419"/>
                          <w:jc w:val="right"/>
                          <w:rPr>
                            <w:rFonts w:ascii="楷体"/>
                            <w:sz w:val="20"/>
                          </w:rPr>
                        </w:pPr>
                        <w:r>
                          <w:rPr>
                            <w:rFonts w:ascii="楷体"/>
                            <w:sz w:val="20"/>
                          </w:rPr>
                          <w:t>80</w:t>
                        </w:r>
                      </w:p>
                    </w:tc>
                    <w:tc>
                      <w:tcPr>
                        <w:tcW w:w="934" w:type="dxa"/>
                        <w:shd w:val="clear" w:color="auto" w:fill="F1F1F1"/>
                      </w:tcPr>
                      <w:p>
                        <w:pPr>
                          <w:pStyle w:val="TableParagraph"/>
                          <w:spacing w:before="37" w:line="250" w:lineRule="exact"/>
                          <w:ind w:right="220"/>
                          <w:jc w:val="right"/>
                          <w:rPr>
                            <w:rFonts w:ascii="楷体"/>
                            <w:sz w:val="20"/>
                          </w:rPr>
                        </w:pPr>
                        <w:r>
                          <w:rPr>
                            <w:rFonts w:ascii="楷体"/>
                            <w:sz w:val="20"/>
                          </w:rPr>
                          <w:t>40</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4156.3</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465"/>
                          <w:jc w:val="left"/>
                          <w:rPr>
                            <w:rFonts w:ascii="楷体"/>
                            <w:sz w:val="20"/>
                          </w:rPr>
                        </w:pPr>
                        <w:r>
                          <w:rPr>
                            <w:rFonts w:ascii="楷体"/>
                            <w:sz w:val="20"/>
                          </w:rPr>
                          <w:t>48</w:t>
                        </w:r>
                      </w:p>
                    </w:tc>
                    <w:tc>
                      <w:tcPr>
                        <w:tcW w:w="2521" w:type="dxa"/>
                      </w:tcPr>
                      <w:p>
                        <w:pPr>
                          <w:pStyle w:val="TableParagraph"/>
                          <w:spacing w:before="37" w:line="250" w:lineRule="exact"/>
                          <w:ind w:left="399" w:right="278"/>
                          <w:rPr>
                            <w:rFonts w:ascii="楷体" w:eastAsia="楷体" w:hint="eastAsia"/>
                            <w:sz w:val="20"/>
                          </w:rPr>
                        </w:pPr>
                        <w:r>
                          <w:rPr>
                            <w:rFonts w:ascii="楷体" w:eastAsia="楷体" w:hint="eastAsia"/>
                            <w:sz w:val="20"/>
                          </w:rPr>
                          <w:t>温州银行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温州</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城商行</w:t>
                        </w:r>
                      </w:p>
                    </w:tc>
                    <w:tc>
                      <w:tcPr>
                        <w:tcW w:w="1062" w:type="dxa"/>
                      </w:tcPr>
                      <w:p>
                        <w:pPr>
                          <w:pStyle w:val="TableParagraph"/>
                          <w:spacing w:before="23"/>
                          <w:ind w:left="340"/>
                          <w:jc w:val="left"/>
                          <w:rPr>
                            <w:rFonts w:ascii="楷体"/>
                            <w:sz w:val="20"/>
                          </w:rPr>
                        </w:pPr>
                        <w:r>
                          <w:rPr>
                            <w:rFonts w:ascii="楷体"/>
                            <w:sz w:val="20"/>
                          </w:rPr>
                          <w:t>2.6</w:t>
                        </w:r>
                      </w:p>
                    </w:tc>
                    <w:tc>
                      <w:tcPr>
                        <w:tcW w:w="1312" w:type="dxa"/>
                      </w:tcPr>
                      <w:p>
                        <w:pPr>
                          <w:pStyle w:val="TableParagraph"/>
                          <w:spacing w:before="37" w:line="250" w:lineRule="exact"/>
                          <w:ind w:left="411"/>
                          <w:jc w:val="left"/>
                          <w:rPr>
                            <w:rFonts w:ascii="楷体"/>
                            <w:sz w:val="20"/>
                          </w:rPr>
                        </w:pPr>
                        <w:r>
                          <w:rPr>
                            <w:rFonts w:ascii="楷体"/>
                            <w:sz w:val="20"/>
                          </w:rPr>
                          <w:t>AA+</w:t>
                        </w:r>
                      </w:p>
                    </w:tc>
                    <w:tc>
                      <w:tcPr>
                        <w:tcW w:w="1413" w:type="dxa"/>
                      </w:tcPr>
                      <w:p>
                        <w:pPr>
                          <w:pStyle w:val="TableParagraph"/>
                          <w:spacing w:before="37" w:line="250" w:lineRule="exact"/>
                          <w:ind w:right="419"/>
                          <w:jc w:val="right"/>
                          <w:rPr>
                            <w:rFonts w:ascii="楷体"/>
                            <w:sz w:val="20"/>
                          </w:rPr>
                        </w:pPr>
                        <w:r>
                          <w:rPr>
                            <w:rFonts w:ascii="楷体"/>
                            <w:sz w:val="20"/>
                          </w:rPr>
                          <w:t>50</w:t>
                        </w:r>
                      </w:p>
                    </w:tc>
                    <w:tc>
                      <w:tcPr>
                        <w:tcW w:w="934" w:type="dxa"/>
                      </w:tcPr>
                      <w:p>
                        <w:pPr>
                          <w:pStyle w:val="TableParagraph"/>
                          <w:spacing w:before="37" w:line="250" w:lineRule="exact"/>
                          <w:ind w:right="220"/>
                          <w:jc w:val="right"/>
                          <w:rPr>
                            <w:rFonts w:ascii="楷体"/>
                            <w:sz w:val="20"/>
                          </w:rPr>
                        </w:pPr>
                        <w:r>
                          <w:rPr>
                            <w:rFonts w:ascii="楷体"/>
                            <w:sz w:val="20"/>
                          </w:rPr>
                          <w:t>60</w:t>
                        </w:r>
                      </w:p>
                    </w:tc>
                    <w:tc>
                      <w:tcPr>
                        <w:tcW w:w="1028" w:type="dxa"/>
                      </w:tcPr>
                      <w:p>
                        <w:pPr>
                          <w:pStyle w:val="TableParagraph"/>
                          <w:spacing w:before="37" w:line="250" w:lineRule="exact"/>
                          <w:ind w:right="117"/>
                          <w:jc w:val="right"/>
                          <w:rPr>
                            <w:rFonts w:ascii="楷体"/>
                            <w:sz w:val="20"/>
                          </w:rPr>
                        </w:pPr>
                        <w:r>
                          <w:rPr>
                            <w:rFonts w:ascii="楷体"/>
                            <w:w w:val="95"/>
                            <w:sz w:val="20"/>
                          </w:rPr>
                          <w:t>4098.7</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3"/>
                          <w:ind w:left="465"/>
                          <w:jc w:val="left"/>
                          <w:rPr>
                            <w:rFonts w:ascii="楷体"/>
                            <w:sz w:val="20"/>
                          </w:rPr>
                        </w:pPr>
                        <w:r>
                          <w:rPr>
                            <w:rFonts w:ascii="楷体"/>
                            <w:sz w:val="20"/>
                          </w:rPr>
                          <w:t>40</w:t>
                        </w:r>
                      </w:p>
                    </w:tc>
                    <w:tc>
                      <w:tcPr>
                        <w:tcW w:w="2521" w:type="dxa"/>
                        <w:shd w:val="clear" w:color="auto" w:fill="F1F1F1"/>
                      </w:tcPr>
                      <w:p>
                        <w:pPr>
                          <w:pStyle w:val="TableParagraph"/>
                          <w:spacing w:before="37" w:line="250" w:lineRule="exact"/>
                          <w:ind w:left="399" w:right="281"/>
                          <w:rPr>
                            <w:rFonts w:ascii="楷体" w:eastAsia="楷体" w:hint="eastAsia"/>
                            <w:sz w:val="20"/>
                          </w:rPr>
                        </w:pPr>
                        <w:r>
                          <w:rPr>
                            <w:rFonts w:ascii="楷体" w:eastAsia="楷体" w:hint="eastAsia"/>
                            <w:sz w:val="20"/>
                          </w:rPr>
                          <w:t>浙江稠州银行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金华</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城商行</w:t>
                        </w:r>
                      </w:p>
                    </w:tc>
                    <w:tc>
                      <w:tcPr>
                        <w:tcW w:w="1062" w:type="dxa"/>
                        <w:shd w:val="clear" w:color="auto" w:fill="F1F1F1"/>
                      </w:tcPr>
                      <w:p>
                        <w:pPr>
                          <w:pStyle w:val="TableParagraph"/>
                          <w:spacing w:before="23"/>
                          <w:ind w:left="340"/>
                          <w:jc w:val="left"/>
                          <w:rPr>
                            <w:rFonts w:ascii="楷体"/>
                            <w:sz w:val="20"/>
                          </w:rPr>
                        </w:pPr>
                        <w:r>
                          <w:rPr>
                            <w:rFonts w:ascii="楷体"/>
                            <w:sz w:val="20"/>
                          </w:rPr>
                          <w:t>2.6</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19"/>
                          <w:jc w:val="right"/>
                          <w:rPr>
                            <w:rFonts w:ascii="楷体"/>
                            <w:sz w:val="20"/>
                          </w:rPr>
                        </w:pPr>
                        <w:r>
                          <w:rPr>
                            <w:rFonts w:ascii="楷体"/>
                            <w:sz w:val="20"/>
                          </w:rPr>
                          <w:t>75</w:t>
                        </w:r>
                      </w:p>
                    </w:tc>
                    <w:tc>
                      <w:tcPr>
                        <w:tcW w:w="934" w:type="dxa"/>
                        <w:shd w:val="clear" w:color="auto" w:fill="F1F1F1"/>
                      </w:tcPr>
                      <w:p>
                        <w:pPr>
                          <w:pStyle w:val="TableParagraph"/>
                          <w:spacing w:before="37" w:line="250" w:lineRule="exact"/>
                          <w:ind w:right="220"/>
                          <w:jc w:val="right"/>
                          <w:rPr>
                            <w:rFonts w:ascii="楷体"/>
                            <w:sz w:val="20"/>
                          </w:rPr>
                        </w:pPr>
                        <w:r>
                          <w:rPr>
                            <w:rFonts w:ascii="楷体"/>
                            <w:sz w:val="20"/>
                          </w:rPr>
                          <w:t>25</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3270.2</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465"/>
                          <w:jc w:val="left"/>
                          <w:rPr>
                            <w:rFonts w:ascii="楷体"/>
                            <w:sz w:val="20"/>
                          </w:rPr>
                        </w:pPr>
                        <w:r>
                          <w:rPr>
                            <w:rFonts w:ascii="楷体"/>
                            <w:sz w:val="20"/>
                          </w:rPr>
                          <w:t>13</w:t>
                        </w:r>
                      </w:p>
                    </w:tc>
                    <w:tc>
                      <w:tcPr>
                        <w:tcW w:w="2521" w:type="dxa"/>
                      </w:tcPr>
                      <w:p>
                        <w:pPr>
                          <w:pStyle w:val="TableParagraph"/>
                          <w:spacing w:before="37" w:line="250" w:lineRule="exact"/>
                          <w:ind w:left="399" w:right="281"/>
                          <w:rPr>
                            <w:rFonts w:ascii="楷体" w:eastAsia="楷体" w:hint="eastAsia"/>
                            <w:sz w:val="20"/>
                          </w:rPr>
                        </w:pPr>
                        <w:r>
                          <w:rPr>
                            <w:rFonts w:ascii="楷体" w:eastAsia="楷体" w:hint="eastAsia"/>
                            <w:sz w:val="20"/>
                          </w:rPr>
                          <w:t>浙江泰隆银行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台州</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城商行</w:t>
                        </w:r>
                      </w:p>
                    </w:tc>
                    <w:tc>
                      <w:tcPr>
                        <w:tcW w:w="1062" w:type="dxa"/>
                      </w:tcPr>
                      <w:p>
                        <w:pPr>
                          <w:pStyle w:val="TableParagraph"/>
                          <w:spacing w:before="23"/>
                          <w:ind w:left="340"/>
                          <w:jc w:val="left"/>
                          <w:rPr>
                            <w:rFonts w:ascii="楷体"/>
                            <w:sz w:val="20"/>
                          </w:rPr>
                        </w:pPr>
                        <w:r>
                          <w:rPr>
                            <w:rFonts w:ascii="楷体"/>
                            <w:sz w:val="20"/>
                          </w:rPr>
                          <w:t>3.1</w:t>
                        </w:r>
                      </w:p>
                    </w:tc>
                    <w:tc>
                      <w:tcPr>
                        <w:tcW w:w="1312" w:type="dxa"/>
                      </w:tcPr>
                      <w:p>
                        <w:pPr>
                          <w:pStyle w:val="TableParagraph"/>
                          <w:spacing w:before="37" w:line="250" w:lineRule="exact"/>
                          <w:ind w:left="411"/>
                          <w:jc w:val="left"/>
                          <w:rPr>
                            <w:rFonts w:ascii="楷体"/>
                            <w:sz w:val="20"/>
                          </w:rPr>
                        </w:pPr>
                        <w:r>
                          <w:rPr>
                            <w:rFonts w:ascii="楷体"/>
                            <w:sz w:val="20"/>
                          </w:rPr>
                          <w:t>AAA</w:t>
                        </w:r>
                      </w:p>
                    </w:tc>
                    <w:tc>
                      <w:tcPr>
                        <w:tcW w:w="1413" w:type="dxa"/>
                      </w:tcPr>
                      <w:p>
                        <w:pPr>
                          <w:pStyle w:val="TableParagraph"/>
                          <w:spacing w:before="37" w:line="250" w:lineRule="exact"/>
                          <w:ind w:right="419"/>
                          <w:jc w:val="right"/>
                          <w:rPr>
                            <w:rFonts w:ascii="楷体"/>
                            <w:sz w:val="20"/>
                          </w:rPr>
                        </w:pPr>
                        <w:r>
                          <w:rPr>
                            <w:rFonts w:ascii="楷体"/>
                            <w:sz w:val="20"/>
                          </w:rPr>
                          <w:t>74</w:t>
                        </w:r>
                      </w:p>
                    </w:tc>
                    <w:tc>
                      <w:tcPr>
                        <w:tcW w:w="934" w:type="dxa"/>
                      </w:tcPr>
                      <w:p>
                        <w:pPr>
                          <w:pStyle w:val="TableParagraph"/>
                          <w:spacing w:before="37" w:line="250" w:lineRule="exact"/>
                          <w:ind w:right="220"/>
                          <w:jc w:val="right"/>
                          <w:rPr>
                            <w:rFonts w:ascii="楷体"/>
                            <w:sz w:val="20"/>
                          </w:rPr>
                        </w:pPr>
                        <w:r>
                          <w:rPr>
                            <w:rFonts w:ascii="楷体"/>
                            <w:sz w:val="20"/>
                          </w:rPr>
                          <w:t>25</w:t>
                        </w:r>
                      </w:p>
                    </w:tc>
                    <w:tc>
                      <w:tcPr>
                        <w:tcW w:w="1028" w:type="dxa"/>
                      </w:tcPr>
                      <w:p>
                        <w:pPr>
                          <w:pStyle w:val="TableParagraph"/>
                          <w:spacing w:before="37" w:line="250" w:lineRule="exact"/>
                          <w:ind w:right="117"/>
                          <w:jc w:val="right"/>
                          <w:rPr>
                            <w:rFonts w:ascii="楷体"/>
                            <w:sz w:val="20"/>
                          </w:rPr>
                        </w:pPr>
                        <w:r>
                          <w:rPr>
                            <w:rFonts w:ascii="楷体"/>
                            <w:w w:val="95"/>
                            <w:sz w:val="20"/>
                          </w:rPr>
                          <w:t>3769.5</w:t>
                        </w:r>
                      </w:p>
                    </w:tc>
                  </w:tr>
                  <w:tr>
                    <w:tblPrEx>
                      <w:tblW w:w="0" w:type="auto"/>
                      <w:jc w:val="left"/>
                      <w:tblInd w:w="7" w:type="dxa"/>
                      <w:tblLayout w:type="fixed"/>
                      <w:tblCellMar>
                        <w:top w:w="0" w:type="dxa"/>
                        <w:left w:w="0" w:type="dxa"/>
                        <w:bottom w:w="0" w:type="dxa"/>
                        <w:right w:w="0" w:type="dxa"/>
                      </w:tblCellMar>
                      <w:tblLook w:val="01E0"/>
                    </w:tblPrEx>
                    <w:trPr>
                      <w:trHeight w:val="304"/>
                      <w:jc w:val="left"/>
                    </w:trPr>
                    <w:tc>
                      <w:tcPr>
                        <w:tcW w:w="1089" w:type="dxa"/>
                        <w:shd w:val="clear" w:color="auto" w:fill="F1F1F1"/>
                      </w:tcPr>
                      <w:p>
                        <w:pPr>
                          <w:pStyle w:val="TableParagraph"/>
                          <w:spacing w:before="23"/>
                          <w:ind w:left="465"/>
                          <w:jc w:val="left"/>
                          <w:rPr>
                            <w:rFonts w:ascii="楷体"/>
                            <w:sz w:val="20"/>
                          </w:rPr>
                        </w:pPr>
                        <w:r>
                          <w:rPr>
                            <w:rFonts w:ascii="楷体"/>
                            <w:sz w:val="20"/>
                          </w:rPr>
                          <w:t>18</w:t>
                        </w:r>
                      </w:p>
                    </w:tc>
                    <w:tc>
                      <w:tcPr>
                        <w:tcW w:w="2521" w:type="dxa"/>
                        <w:shd w:val="clear" w:color="auto" w:fill="F1F1F1"/>
                      </w:tcPr>
                      <w:p>
                        <w:pPr>
                          <w:pStyle w:val="TableParagraph"/>
                          <w:spacing w:before="37" w:line="247" w:lineRule="exact"/>
                          <w:ind w:left="399" w:right="281"/>
                          <w:rPr>
                            <w:rFonts w:ascii="楷体" w:eastAsia="楷体" w:hint="eastAsia"/>
                            <w:sz w:val="20"/>
                          </w:rPr>
                        </w:pPr>
                        <w:r>
                          <w:rPr>
                            <w:rFonts w:ascii="楷体" w:eastAsia="楷体" w:hint="eastAsia"/>
                            <w:sz w:val="20"/>
                          </w:rPr>
                          <w:t>浙江民泰银行</w:t>
                        </w:r>
                      </w:p>
                    </w:tc>
                    <w:tc>
                      <w:tcPr>
                        <w:tcW w:w="948" w:type="dxa"/>
                        <w:shd w:val="clear" w:color="auto" w:fill="F1F1F1"/>
                      </w:tcPr>
                      <w:p>
                        <w:pPr>
                          <w:pStyle w:val="TableParagraph"/>
                          <w:spacing w:before="37" w:line="247" w:lineRule="exact"/>
                          <w:ind w:left="279" w:right="228"/>
                          <w:rPr>
                            <w:rFonts w:ascii="楷体" w:eastAsia="楷体" w:hint="eastAsia"/>
                            <w:sz w:val="20"/>
                          </w:rPr>
                        </w:pPr>
                        <w:r>
                          <w:rPr>
                            <w:rFonts w:ascii="楷体" w:eastAsia="楷体" w:hint="eastAsia"/>
                            <w:sz w:val="20"/>
                          </w:rPr>
                          <w:t>台州</w:t>
                        </w:r>
                      </w:p>
                    </w:tc>
                    <w:tc>
                      <w:tcPr>
                        <w:tcW w:w="1189" w:type="dxa"/>
                        <w:shd w:val="clear" w:color="auto" w:fill="F1F1F1"/>
                      </w:tcPr>
                      <w:p>
                        <w:pPr>
                          <w:pStyle w:val="TableParagraph"/>
                          <w:spacing w:before="37" w:line="247" w:lineRule="exact"/>
                          <w:ind w:left="225" w:right="323"/>
                          <w:rPr>
                            <w:rFonts w:ascii="楷体" w:eastAsia="楷体" w:hint="eastAsia"/>
                            <w:sz w:val="20"/>
                          </w:rPr>
                        </w:pPr>
                        <w:r>
                          <w:rPr>
                            <w:rFonts w:ascii="楷体" w:eastAsia="楷体" w:hint="eastAsia"/>
                            <w:sz w:val="20"/>
                          </w:rPr>
                          <w:t>城商行</w:t>
                        </w:r>
                      </w:p>
                    </w:tc>
                    <w:tc>
                      <w:tcPr>
                        <w:tcW w:w="1062" w:type="dxa"/>
                        <w:shd w:val="clear" w:color="auto" w:fill="F1F1F1"/>
                      </w:tcPr>
                      <w:p>
                        <w:pPr>
                          <w:pStyle w:val="TableParagraph"/>
                          <w:spacing w:before="23"/>
                          <w:ind w:left="340"/>
                          <w:jc w:val="left"/>
                          <w:rPr>
                            <w:rFonts w:ascii="楷体"/>
                            <w:sz w:val="20"/>
                          </w:rPr>
                        </w:pPr>
                        <w:r>
                          <w:rPr>
                            <w:rFonts w:ascii="楷体"/>
                            <w:sz w:val="20"/>
                          </w:rPr>
                          <w:t>3.0</w:t>
                        </w:r>
                      </w:p>
                    </w:tc>
                    <w:tc>
                      <w:tcPr>
                        <w:tcW w:w="1312" w:type="dxa"/>
                        <w:shd w:val="clear" w:color="auto" w:fill="F1F1F1"/>
                      </w:tcPr>
                      <w:p>
                        <w:pPr>
                          <w:pStyle w:val="TableParagraph"/>
                          <w:spacing w:before="37" w:line="247"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47" w:lineRule="exact"/>
                          <w:ind w:right="419"/>
                          <w:jc w:val="right"/>
                          <w:rPr>
                            <w:rFonts w:ascii="楷体"/>
                            <w:sz w:val="20"/>
                          </w:rPr>
                        </w:pPr>
                        <w:r>
                          <w:rPr>
                            <w:rFonts w:ascii="楷体"/>
                            <w:sz w:val="20"/>
                          </w:rPr>
                          <w:t>35</w:t>
                        </w:r>
                      </w:p>
                    </w:tc>
                    <w:tc>
                      <w:tcPr>
                        <w:tcW w:w="934" w:type="dxa"/>
                        <w:shd w:val="clear" w:color="auto" w:fill="F1F1F1"/>
                      </w:tcPr>
                      <w:p>
                        <w:pPr>
                          <w:pStyle w:val="TableParagraph"/>
                          <w:spacing w:before="37" w:line="247" w:lineRule="exact"/>
                          <w:ind w:right="220"/>
                          <w:jc w:val="right"/>
                          <w:rPr>
                            <w:rFonts w:ascii="楷体"/>
                            <w:sz w:val="20"/>
                          </w:rPr>
                        </w:pPr>
                        <w:r>
                          <w:rPr>
                            <w:rFonts w:ascii="楷体"/>
                            <w:sz w:val="20"/>
                          </w:rPr>
                          <w:t>25</w:t>
                        </w:r>
                      </w:p>
                    </w:tc>
                    <w:tc>
                      <w:tcPr>
                        <w:tcW w:w="1028" w:type="dxa"/>
                        <w:shd w:val="clear" w:color="auto" w:fill="F1F1F1"/>
                      </w:tcPr>
                      <w:p>
                        <w:pPr>
                          <w:pStyle w:val="TableParagraph"/>
                          <w:spacing w:before="37" w:line="247" w:lineRule="exact"/>
                          <w:ind w:right="117"/>
                          <w:jc w:val="right"/>
                          <w:rPr>
                            <w:rFonts w:ascii="楷体"/>
                            <w:sz w:val="20"/>
                          </w:rPr>
                        </w:pPr>
                        <w:r>
                          <w:rPr>
                            <w:rFonts w:ascii="楷体"/>
                            <w:w w:val="95"/>
                            <w:sz w:val="20"/>
                          </w:rPr>
                          <w:t>2373.2</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29</w:t>
                        </w:r>
                      </w:p>
                    </w:tc>
                    <w:tc>
                      <w:tcPr>
                        <w:tcW w:w="2521" w:type="dxa"/>
                      </w:tcPr>
                      <w:p>
                        <w:pPr>
                          <w:pStyle w:val="TableParagraph"/>
                          <w:spacing w:before="40" w:line="247" w:lineRule="exact"/>
                          <w:ind w:left="399" w:right="278"/>
                          <w:rPr>
                            <w:rFonts w:ascii="楷体" w:eastAsia="楷体" w:hint="eastAsia"/>
                            <w:sz w:val="20"/>
                          </w:rPr>
                        </w:pPr>
                        <w:r>
                          <w:rPr>
                            <w:rFonts w:ascii="楷体" w:eastAsia="楷体" w:hint="eastAsia"/>
                            <w:sz w:val="20"/>
                          </w:rPr>
                          <w:t>绍兴银行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绍兴</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城商行</w:t>
                        </w:r>
                      </w:p>
                    </w:tc>
                    <w:tc>
                      <w:tcPr>
                        <w:tcW w:w="1062" w:type="dxa"/>
                      </w:tcPr>
                      <w:p>
                        <w:pPr>
                          <w:pStyle w:val="TableParagraph"/>
                          <w:spacing w:before="25"/>
                          <w:ind w:left="340"/>
                          <w:jc w:val="left"/>
                          <w:rPr>
                            <w:rFonts w:ascii="楷体"/>
                            <w:sz w:val="20"/>
                          </w:rPr>
                        </w:pPr>
                        <w:r>
                          <w:rPr>
                            <w:rFonts w:ascii="楷体"/>
                            <w:sz w:val="20"/>
                          </w:rPr>
                          <w:t>2.8</w:t>
                        </w:r>
                      </w:p>
                    </w:tc>
                    <w:tc>
                      <w:tcPr>
                        <w:tcW w:w="1312" w:type="dxa"/>
                      </w:tcPr>
                      <w:p>
                        <w:pPr>
                          <w:pStyle w:val="TableParagraph"/>
                          <w:spacing w:before="40" w:line="247" w:lineRule="exact"/>
                          <w:ind w:left="411"/>
                          <w:jc w:val="left"/>
                          <w:rPr>
                            <w:rFonts w:ascii="楷体"/>
                            <w:sz w:val="20"/>
                          </w:rPr>
                        </w:pPr>
                        <w:r>
                          <w:rPr>
                            <w:rFonts w:ascii="楷体"/>
                            <w:sz w:val="20"/>
                          </w:rPr>
                          <w:t>AA+</w:t>
                        </w:r>
                      </w:p>
                    </w:tc>
                    <w:tc>
                      <w:tcPr>
                        <w:tcW w:w="1413" w:type="dxa"/>
                      </w:tcPr>
                      <w:p>
                        <w:pPr>
                          <w:pStyle w:val="TableParagraph"/>
                          <w:spacing w:before="40" w:line="247" w:lineRule="exact"/>
                          <w:ind w:right="419"/>
                          <w:jc w:val="right"/>
                          <w:rPr>
                            <w:rFonts w:ascii="楷体"/>
                            <w:sz w:val="20"/>
                          </w:rPr>
                        </w:pPr>
                        <w:r>
                          <w:rPr>
                            <w:rFonts w:ascii="楷体"/>
                            <w:sz w:val="20"/>
                          </w:rPr>
                          <w:t>30</w:t>
                        </w:r>
                      </w:p>
                    </w:tc>
                    <w:tc>
                      <w:tcPr>
                        <w:tcW w:w="934" w:type="dxa"/>
                      </w:tcPr>
                      <w:p>
                        <w:pPr>
                          <w:pStyle w:val="TableParagraph"/>
                          <w:spacing w:before="40" w:line="247" w:lineRule="exact"/>
                          <w:ind w:right="220"/>
                          <w:jc w:val="right"/>
                          <w:rPr>
                            <w:rFonts w:ascii="楷体"/>
                            <w:sz w:val="20"/>
                          </w:rPr>
                        </w:pPr>
                        <w:r>
                          <w:rPr>
                            <w:rFonts w:ascii="楷体"/>
                            <w:sz w:val="20"/>
                          </w:rPr>
                          <w:t>28</w:t>
                        </w:r>
                      </w:p>
                    </w:tc>
                    <w:tc>
                      <w:tcPr>
                        <w:tcW w:w="1028" w:type="dxa"/>
                      </w:tcPr>
                      <w:p>
                        <w:pPr>
                          <w:pStyle w:val="TableParagraph"/>
                          <w:spacing w:before="40" w:line="247" w:lineRule="exact"/>
                          <w:ind w:right="117"/>
                          <w:jc w:val="right"/>
                          <w:rPr>
                            <w:rFonts w:ascii="楷体"/>
                            <w:sz w:val="20"/>
                          </w:rPr>
                        </w:pPr>
                        <w:r>
                          <w:rPr>
                            <w:rFonts w:ascii="楷体"/>
                            <w:w w:val="95"/>
                            <w:sz w:val="20"/>
                          </w:rPr>
                          <w:t>2157.6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516"/>
                          <w:jc w:val="left"/>
                          <w:rPr>
                            <w:rFonts w:ascii="楷体"/>
                            <w:sz w:val="20"/>
                          </w:rPr>
                        </w:pPr>
                        <w:r>
                          <w:rPr>
                            <w:rFonts w:ascii="楷体"/>
                            <w:w w:val="99"/>
                            <w:sz w:val="20"/>
                          </w:rPr>
                          <w:t>4</w:t>
                        </w:r>
                      </w:p>
                    </w:tc>
                    <w:tc>
                      <w:tcPr>
                        <w:tcW w:w="2521" w:type="dxa"/>
                        <w:shd w:val="clear" w:color="auto" w:fill="F1F1F1"/>
                      </w:tcPr>
                      <w:p>
                        <w:pPr>
                          <w:pStyle w:val="TableParagraph"/>
                          <w:spacing w:before="40" w:line="247" w:lineRule="exact"/>
                          <w:ind w:left="399" w:right="278"/>
                          <w:rPr>
                            <w:rFonts w:ascii="楷体" w:eastAsia="楷体" w:hint="eastAsia"/>
                            <w:sz w:val="20"/>
                          </w:rPr>
                        </w:pPr>
                        <w:r>
                          <w:rPr>
                            <w:rFonts w:ascii="楷体" w:eastAsia="楷体" w:hint="eastAsia"/>
                            <w:sz w:val="20"/>
                          </w:rPr>
                          <w:t>台州银行</w:t>
                        </w:r>
                      </w:p>
                    </w:tc>
                    <w:tc>
                      <w:tcPr>
                        <w:tcW w:w="948" w:type="dxa"/>
                        <w:shd w:val="clear" w:color="auto" w:fill="F1F1F1"/>
                      </w:tcPr>
                      <w:p>
                        <w:pPr>
                          <w:pStyle w:val="TableParagraph"/>
                          <w:spacing w:before="40" w:line="247" w:lineRule="exact"/>
                          <w:ind w:left="279" w:right="228"/>
                          <w:rPr>
                            <w:rFonts w:ascii="楷体" w:eastAsia="楷体" w:hint="eastAsia"/>
                            <w:sz w:val="20"/>
                          </w:rPr>
                        </w:pPr>
                        <w:r>
                          <w:rPr>
                            <w:rFonts w:ascii="楷体" w:eastAsia="楷体" w:hint="eastAsia"/>
                            <w:sz w:val="20"/>
                          </w:rPr>
                          <w:t>台州</w:t>
                        </w:r>
                      </w:p>
                    </w:tc>
                    <w:tc>
                      <w:tcPr>
                        <w:tcW w:w="1189" w:type="dxa"/>
                        <w:shd w:val="clear" w:color="auto" w:fill="F1F1F1"/>
                      </w:tcPr>
                      <w:p>
                        <w:pPr>
                          <w:pStyle w:val="TableParagraph"/>
                          <w:spacing w:before="40" w:line="247" w:lineRule="exact"/>
                          <w:ind w:left="225" w:right="323"/>
                          <w:rPr>
                            <w:rFonts w:ascii="楷体" w:eastAsia="楷体" w:hint="eastAsia"/>
                            <w:sz w:val="20"/>
                          </w:rPr>
                        </w:pPr>
                        <w:r>
                          <w:rPr>
                            <w:rFonts w:ascii="楷体" w:eastAsia="楷体" w:hint="eastAsia"/>
                            <w:sz w:val="20"/>
                          </w:rPr>
                          <w:t>城商行</w:t>
                        </w:r>
                      </w:p>
                    </w:tc>
                    <w:tc>
                      <w:tcPr>
                        <w:tcW w:w="1062" w:type="dxa"/>
                        <w:shd w:val="clear" w:color="auto" w:fill="F1F1F1"/>
                      </w:tcPr>
                      <w:p>
                        <w:pPr>
                          <w:pStyle w:val="TableParagraph"/>
                          <w:spacing w:before="25"/>
                          <w:ind w:left="340"/>
                          <w:jc w:val="left"/>
                          <w:rPr>
                            <w:rFonts w:ascii="楷体"/>
                            <w:sz w:val="20"/>
                          </w:rPr>
                        </w:pPr>
                        <w:r>
                          <w:rPr>
                            <w:rFonts w:ascii="楷体"/>
                            <w:sz w:val="20"/>
                          </w:rPr>
                          <w:t>3.5</w:t>
                        </w:r>
                      </w:p>
                    </w:tc>
                    <w:tc>
                      <w:tcPr>
                        <w:tcW w:w="1312" w:type="dxa"/>
                        <w:shd w:val="clear" w:color="auto" w:fill="F1F1F1"/>
                      </w:tcPr>
                      <w:p>
                        <w:pPr>
                          <w:pStyle w:val="TableParagraph"/>
                          <w:spacing w:before="40" w:line="247" w:lineRule="exact"/>
                          <w:ind w:left="411"/>
                          <w:jc w:val="left"/>
                          <w:rPr>
                            <w:rFonts w:ascii="楷体"/>
                            <w:sz w:val="20"/>
                          </w:rPr>
                        </w:pPr>
                        <w:r>
                          <w:rPr>
                            <w:rFonts w:ascii="楷体"/>
                            <w:sz w:val="20"/>
                          </w:rPr>
                          <w:t>AAA</w:t>
                        </w:r>
                      </w:p>
                    </w:tc>
                    <w:tc>
                      <w:tcPr>
                        <w:tcW w:w="1413" w:type="dxa"/>
                        <w:shd w:val="clear" w:color="auto" w:fill="F1F1F1"/>
                      </w:tcPr>
                      <w:p>
                        <w:pPr>
                          <w:pStyle w:val="TableParagraph"/>
                          <w:spacing w:before="40" w:line="247" w:lineRule="exact"/>
                          <w:ind w:right="419"/>
                          <w:jc w:val="right"/>
                          <w:rPr>
                            <w:rFonts w:ascii="楷体"/>
                            <w:sz w:val="20"/>
                          </w:rPr>
                        </w:pPr>
                        <w:r>
                          <w:rPr>
                            <w:rFonts w:ascii="楷体"/>
                            <w:sz w:val="20"/>
                          </w:rPr>
                          <w:t>25</w:t>
                        </w:r>
                      </w:p>
                    </w:tc>
                    <w:tc>
                      <w:tcPr>
                        <w:tcW w:w="934" w:type="dxa"/>
                        <w:shd w:val="clear" w:color="auto" w:fill="F1F1F1"/>
                      </w:tcPr>
                      <w:p>
                        <w:pPr>
                          <w:pStyle w:val="TableParagraph"/>
                          <w:spacing w:before="40" w:line="247" w:lineRule="exact"/>
                          <w:ind w:right="220"/>
                          <w:jc w:val="right"/>
                          <w:rPr>
                            <w:rFonts w:ascii="楷体"/>
                            <w:sz w:val="20"/>
                          </w:rPr>
                        </w:pPr>
                        <w:r>
                          <w:rPr>
                            <w:rFonts w:ascii="楷体"/>
                            <w:sz w:val="20"/>
                          </w:rPr>
                          <w:t>27</w:t>
                        </w:r>
                      </w:p>
                    </w:tc>
                    <w:tc>
                      <w:tcPr>
                        <w:tcW w:w="1028" w:type="dxa"/>
                        <w:shd w:val="clear" w:color="auto" w:fill="F1F1F1"/>
                      </w:tcPr>
                      <w:p>
                        <w:pPr>
                          <w:pStyle w:val="TableParagraph"/>
                          <w:spacing w:before="40" w:line="247" w:lineRule="exact"/>
                          <w:ind w:right="117"/>
                          <w:jc w:val="right"/>
                          <w:rPr>
                            <w:rFonts w:ascii="楷体"/>
                            <w:sz w:val="20"/>
                          </w:rPr>
                        </w:pPr>
                        <w:r>
                          <w:rPr>
                            <w:rFonts w:ascii="楷体"/>
                            <w:w w:val="95"/>
                            <w:sz w:val="20"/>
                          </w:rPr>
                          <w:t>3718.6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10</w:t>
                        </w:r>
                      </w:p>
                    </w:tc>
                    <w:tc>
                      <w:tcPr>
                        <w:tcW w:w="2521" w:type="dxa"/>
                      </w:tcPr>
                      <w:p>
                        <w:pPr>
                          <w:pStyle w:val="TableParagraph"/>
                          <w:spacing w:before="40" w:line="247" w:lineRule="exact"/>
                          <w:ind w:left="399" w:right="281"/>
                          <w:rPr>
                            <w:rFonts w:ascii="楷体" w:eastAsia="楷体" w:hint="eastAsia"/>
                            <w:sz w:val="20"/>
                          </w:rPr>
                        </w:pPr>
                        <w:r>
                          <w:rPr>
                            <w:rFonts w:ascii="楷体" w:eastAsia="楷体" w:hint="eastAsia"/>
                            <w:sz w:val="20"/>
                          </w:rPr>
                          <w:t>浙江余农商行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杭州</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3.2</w:t>
                        </w:r>
                      </w:p>
                    </w:tc>
                    <w:tc>
                      <w:tcPr>
                        <w:tcW w:w="1312" w:type="dxa"/>
                      </w:tcPr>
                      <w:p>
                        <w:pPr>
                          <w:pStyle w:val="TableParagraph"/>
                          <w:spacing w:before="40" w:line="247" w:lineRule="exact"/>
                          <w:ind w:left="411"/>
                          <w:jc w:val="left"/>
                          <w:rPr>
                            <w:rFonts w:ascii="楷体"/>
                            <w:sz w:val="20"/>
                          </w:rPr>
                        </w:pPr>
                        <w:r>
                          <w:rPr>
                            <w:rFonts w:ascii="楷体"/>
                            <w:sz w:val="20"/>
                          </w:rPr>
                          <w:t>AA+</w:t>
                        </w:r>
                      </w:p>
                    </w:tc>
                    <w:tc>
                      <w:tcPr>
                        <w:tcW w:w="1413" w:type="dxa"/>
                      </w:tcPr>
                      <w:p>
                        <w:pPr>
                          <w:pStyle w:val="TableParagraph"/>
                          <w:spacing w:before="40" w:line="247" w:lineRule="exact"/>
                          <w:ind w:right="419"/>
                          <w:jc w:val="right"/>
                          <w:rPr>
                            <w:rFonts w:ascii="楷体"/>
                            <w:sz w:val="20"/>
                          </w:rPr>
                        </w:pPr>
                        <w:r>
                          <w:rPr>
                            <w:rFonts w:ascii="楷体"/>
                            <w:sz w:val="20"/>
                          </w:rPr>
                          <w:t>30</w:t>
                        </w:r>
                      </w:p>
                    </w:tc>
                    <w:tc>
                      <w:tcPr>
                        <w:tcW w:w="934" w:type="dxa"/>
                      </w:tcPr>
                      <w:p>
                        <w:pPr>
                          <w:pStyle w:val="TableParagraph"/>
                          <w:spacing w:before="40" w:line="247" w:lineRule="exact"/>
                          <w:ind w:right="220"/>
                          <w:jc w:val="right"/>
                          <w:rPr>
                            <w:rFonts w:ascii="楷体"/>
                            <w:sz w:val="20"/>
                          </w:rPr>
                        </w:pPr>
                        <w:r>
                          <w:rPr>
                            <w:rFonts w:ascii="楷体"/>
                            <w:sz w:val="20"/>
                          </w:rPr>
                          <w:t>21</w:t>
                        </w:r>
                      </w:p>
                    </w:tc>
                    <w:tc>
                      <w:tcPr>
                        <w:tcW w:w="1028" w:type="dxa"/>
                      </w:tcPr>
                      <w:p>
                        <w:pPr>
                          <w:pStyle w:val="TableParagraph"/>
                          <w:spacing w:before="40" w:line="247" w:lineRule="exact"/>
                          <w:ind w:right="117"/>
                          <w:jc w:val="right"/>
                          <w:rPr>
                            <w:rFonts w:ascii="楷体"/>
                            <w:sz w:val="20"/>
                          </w:rPr>
                        </w:pPr>
                        <w:r>
                          <w:rPr>
                            <w:rFonts w:ascii="楷体"/>
                            <w:w w:val="95"/>
                            <w:sz w:val="20"/>
                          </w:rPr>
                          <w:t>1920.4</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516"/>
                          <w:jc w:val="left"/>
                          <w:rPr>
                            <w:rFonts w:ascii="楷体"/>
                            <w:sz w:val="20"/>
                          </w:rPr>
                        </w:pPr>
                        <w:r>
                          <w:rPr>
                            <w:rFonts w:ascii="楷体"/>
                            <w:w w:val="99"/>
                            <w:sz w:val="20"/>
                          </w:rPr>
                          <w:t>8</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宁波鄞州农商行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宁波</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3.4</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19"/>
                          <w:jc w:val="right"/>
                          <w:rPr>
                            <w:rFonts w:ascii="楷体"/>
                            <w:sz w:val="20"/>
                          </w:rPr>
                        </w:pPr>
                        <w:r>
                          <w:rPr>
                            <w:rFonts w:ascii="楷体"/>
                            <w:sz w:val="20"/>
                          </w:rPr>
                          <w:t>13.5</w:t>
                        </w:r>
                      </w:p>
                    </w:tc>
                    <w:tc>
                      <w:tcPr>
                        <w:tcW w:w="934" w:type="dxa"/>
                        <w:shd w:val="clear" w:color="auto" w:fill="F1F1F1"/>
                      </w:tcPr>
                      <w:p>
                        <w:pPr>
                          <w:pStyle w:val="TableParagraph"/>
                          <w:spacing w:before="37" w:line="250" w:lineRule="exact"/>
                          <w:ind w:right="220"/>
                          <w:jc w:val="right"/>
                          <w:rPr>
                            <w:rFonts w:ascii="楷体"/>
                            <w:sz w:val="20"/>
                          </w:rPr>
                        </w:pPr>
                        <w:r>
                          <w:rPr>
                            <w:rFonts w:ascii="楷体"/>
                            <w:sz w:val="20"/>
                          </w:rPr>
                          <w:t>30</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2374.6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6"/>
                          <w:ind w:left="465"/>
                          <w:jc w:val="left"/>
                          <w:rPr>
                            <w:rFonts w:ascii="楷体"/>
                            <w:sz w:val="20"/>
                          </w:rPr>
                        </w:pPr>
                        <w:r>
                          <w:rPr>
                            <w:rFonts w:ascii="楷体"/>
                            <w:sz w:val="20"/>
                          </w:rPr>
                          <w:t>15</w:t>
                        </w:r>
                      </w:p>
                    </w:tc>
                    <w:tc>
                      <w:tcPr>
                        <w:tcW w:w="2521" w:type="dxa"/>
                      </w:tcPr>
                      <w:p>
                        <w:pPr>
                          <w:pStyle w:val="TableParagraph"/>
                          <w:spacing w:before="38" w:line="250" w:lineRule="exact"/>
                          <w:ind w:left="399" w:right="281"/>
                          <w:rPr>
                            <w:rFonts w:ascii="楷体" w:eastAsia="楷体" w:hint="eastAsia"/>
                            <w:sz w:val="20"/>
                          </w:rPr>
                        </w:pPr>
                        <w:r>
                          <w:rPr>
                            <w:rFonts w:ascii="楷体" w:eastAsia="楷体" w:hint="eastAsia"/>
                            <w:sz w:val="20"/>
                          </w:rPr>
                          <w:t>宁波通商银行</w:t>
                        </w:r>
                      </w:p>
                    </w:tc>
                    <w:tc>
                      <w:tcPr>
                        <w:tcW w:w="948" w:type="dxa"/>
                      </w:tcPr>
                      <w:p>
                        <w:pPr>
                          <w:pStyle w:val="TableParagraph"/>
                          <w:spacing w:before="38" w:line="250" w:lineRule="exact"/>
                          <w:ind w:left="279" w:right="228"/>
                          <w:rPr>
                            <w:rFonts w:ascii="楷体" w:eastAsia="楷体" w:hint="eastAsia"/>
                            <w:sz w:val="20"/>
                          </w:rPr>
                        </w:pPr>
                        <w:r>
                          <w:rPr>
                            <w:rFonts w:ascii="楷体" w:eastAsia="楷体" w:hint="eastAsia"/>
                            <w:sz w:val="20"/>
                          </w:rPr>
                          <w:t>宁波</w:t>
                        </w:r>
                      </w:p>
                    </w:tc>
                    <w:tc>
                      <w:tcPr>
                        <w:tcW w:w="1189" w:type="dxa"/>
                      </w:tcPr>
                      <w:p>
                        <w:pPr>
                          <w:pStyle w:val="TableParagraph"/>
                          <w:spacing w:before="38" w:line="250" w:lineRule="exact"/>
                          <w:ind w:left="225" w:right="323"/>
                          <w:rPr>
                            <w:rFonts w:ascii="楷体" w:eastAsia="楷体" w:hint="eastAsia"/>
                            <w:sz w:val="20"/>
                          </w:rPr>
                        </w:pPr>
                        <w:r>
                          <w:rPr>
                            <w:rFonts w:ascii="楷体" w:eastAsia="楷体" w:hint="eastAsia"/>
                            <w:sz w:val="20"/>
                          </w:rPr>
                          <w:t>城商行</w:t>
                        </w:r>
                      </w:p>
                    </w:tc>
                    <w:tc>
                      <w:tcPr>
                        <w:tcW w:w="1062" w:type="dxa"/>
                      </w:tcPr>
                      <w:p>
                        <w:pPr>
                          <w:pStyle w:val="TableParagraph"/>
                          <w:spacing w:before="26"/>
                          <w:ind w:left="340"/>
                          <w:jc w:val="left"/>
                          <w:rPr>
                            <w:rFonts w:ascii="楷体"/>
                            <w:sz w:val="20"/>
                          </w:rPr>
                        </w:pPr>
                        <w:r>
                          <w:rPr>
                            <w:rFonts w:ascii="楷体"/>
                            <w:sz w:val="20"/>
                          </w:rPr>
                          <w:t>3.0</w:t>
                        </w:r>
                      </w:p>
                    </w:tc>
                    <w:tc>
                      <w:tcPr>
                        <w:tcW w:w="1312" w:type="dxa"/>
                      </w:tcPr>
                      <w:p>
                        <w:pPr>
                          <w:pStyle w:val="TableParagraph"/>
                          <w:spacing w:before="38" w:line="250" w:lineRule="exact"/>
                          <w:ind w:left="411"/>
                          <w:jc w:val="left"/>
                          <w:rPr>
                            <w:rFonts w:ascii="楷体"/>
                            <w:sz w:val="20"/>
                          </w:rPr>
                        </w:pPr>
                        <w:r>
                          <w:rPr>
                            <w:rFonts w:ascii="楷体"/>
                            <w:sz w:val="20"/>
                          </w:rPr>
                          <w:t>AA+</w:t>
                        </w:r>
                      </w:p>
                    </w:tc>
                    <w:tc>
                      <w:tcPr>
                        <w:tcW w:w="1413" w:type="dxa"/>
                      </w:tcPr>
                      <w:p>
                        <w:pPr>
                          <w:pStyle w:val="TableParagraph"/>
                          <w:spacing w:before="38" w:line="250" w:lineRule="exact"/>
                          <w:ind w:right="419"/>
                          <w:jc w:val="right"/>
                          <w:rPr>
                            <w:rFonts w:ascii="楷体"/>
                            <w:sz w:val="20"/>
                          </w:rPr>
                        </w:pPr>
                        <w:r>
                          <w:rPr>
                            <w:rFonts w:ascii="楷体"/>
                            <w:sz w:val="20"/>
                          </w:rPr>
                          <w:t>25</w:t>
                        </w:r>
                      </w:p>
                    </w:tc>
                    <w:tc>
                      <w:tcPr>
                        <w:tcW w:w="934" w:type="dxa"/>
                      </w:tcPr>
                      <w:p>
                        <w:pPr>
                          <w:pStyle w:val="TableParagraph"/>
                          <w:spacing w:before="38" w:line="250" w:lineRule="exact"/>
                          <w:ind w:right="220"/>
                          <w:jc w:val="right"/>
                          <w:rPr>
                            <w:rFonts w:ascii="楷体"/>
                            <w:sz w:val="20"/>
                          </w:rPr>
                        </w:pPr>
                        <w:r>
                          <w:rPr>
                            <w:rFonts w:ascii="楷体"/>
                            <w:sz w:val="20"/>
                          </w:rPr>
                          <w:t>15</w:t>
                        </w:r>
                      </w:p>
                    </w:tc>
                    <w:tc>
                      <w:tcPr>
                        <w:tcW w:w="1028" w:type="dxa"/>
                      </w:tcPr>
                      <w:p>
                        <w:pPr>
                          <w:pStyle w:val="TableParagraph"/>
                          <w:spacing w:before="38" w:line="250" w:lineRule="exact"/>
                          <w:ind w:right="117"/>
                          <w:jc w:val="right"/>
                          <w:rPr>
                            <w:rFonts w:ascii="楷体"/>
                            <w:sz w:val="20"/>
                          </w:rPr>
                        </w:pPr>
                        <w:r>
                          <w:rPr>
                            <w:rFonts w:ascii="楷体"/>
                            <w:w w:val="95"/>
                            <w:sz w:val="20"/>
                          </w:rPr>
                          <w:t>1380.5</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14</w:t>
                        </w:r>
                      </w:p>
                    </w:tc>
                    <w:tc>
                      <w:tcPr>
                        <w:tcW w:w="2521" w:type="dxa"/>
                        <w:shd w:val="clear" w:color="auto" w:fill="F1F1F1"/>
                      </w:tcPr>
                      <w:p>
                        <w:pPr>
                          <w:pStyle w:val="TableParagraph"/>
                          <w:spacing w:before="37" w:line="250" w:lineRule="exact"/>
                          <w:ind w:left="399" w:right="278"/>
                          <w:rPr>
                            <w:rFonts w:ascii="楷体" w:eastAsia="楷体" w:hint="eastAsia"/>
                            <w:sz w:val="20"/>
                          </w:rPr>
                        </w:pPr>
                        <w:r>
                          <w:rPr>
                            <w:rFonts w:ascii="楷体" w:eastAsia="楷体" w:hint="eastAsia"/>
                            <w:sz w:val="20"/>
                          </w:rPr>
                          <w:t>嘉兴银行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嘉兴</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城商行</w:t>
                        </w:r>
                      </w:p>
                    </w:tc>
                    <w:tc>
                      <w:tcPr>
                        <w:tcW w:w="1062" w:type="dxa"/>
                        <w:shd w:val="clear" w:color="auto" w:fill="F1F1F1"/>
                      </w:tcPr>
                      <w:p>
                        <w:pPr>
                          <w:pStyle w:val="TableParagraph"/>
                          <w:spacing w:before="25"/>
                          <w:ind w:left="340"/>
                          <w:jc w:val="left"/>
                          <w:rPr>
                            <w:rFonts w:ascii="楷体"/>
                            <w:sz w:val="20"/>
                          </w:rPr>
                        </w:pPr>
                        <w:r>
                          <w:rPr>
                            <w:rFonts w:ascii="楷体"/>
                            <w:sz w:val="20"/>
                          </w:rPr>
                          <w:t>3.1</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19"/>
                          <w:jc w:val="right"/>
                          <w:rPr>
                            <w:rFonts w:ascii="楷体"/>
                            <w:sz w:val="20"/>
                          </w:rPr>
                        </w:pPr>
                        <w:r>
                          <w:rPr>
                            <w:rFonts w:ascii="楷体"/>
                            <w:sz w:val="20"/>
                          </w:rPr>
                          <w:t>15</w:t>
                        </w:r>
                      </w:p>
                    </w:tc>
                    <w:tc>
                      <w:tcPr>
                        <w:tcW w:w="934" w:type="dxa"/>
                        <w:shd w:val="clear" w:color="auto" w:fill="F1F1F1"/>
                      </w:tcPr>
                      <w:p>
                        <w:pPr>
                          <w:pStyle w:val="TableParagraph"/>
                          <w:spacing w:before="37" w:line="250" w:lineRule="exact"/>
                          <w:ind w:right="220"/>
                          <w:jc w:val="right"/>
                          <w:rPr>
                            <w:rFonts w:ascii="楷体"/>
                            <w:sz w:val="20"/>
                          </w:rPr>
                        </w:pPr>
                        <w:r>
                          <w:rPr>
                            <w:rFonts w:ascii="楷体"/>
                            <w:sz w:val="20"/>
                          </w:rPr>
                          <w:t>15</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1399.6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22</w:t>
                        </w:r>
                      </w:p>
                    </w:tc>
                    <w:tc>
                      <w:tcPr>
                        <w:tcW w:w="2521" w:type="dxa"/>
                      </w:tcPr>
                      <w:p>
                        <w:pPr>
                          <w:pStyle w:val="TableParagraph"/>
                          <w:spacing w:before="37" w:line="250" w:lineRule="exact"/>
                          <w:ind w:left="399" w:right="278"/>
                          <w:rPr>
                            <w:rFonts w:ascii="楷体" w:eastAsia="楷体" w:hint="eastAsia"/>
                            <w:sz w:val="20"/>
                          </w:rPr>
                        </w:pPr>
                        <w:r>
                          <w:rPr>
                            <w:rFonts w:ascii="楷体" w:eastAsia="楷体" w:hint="eastAsia"/>
                            <w:sz w:val="20"/>
                          </w:rPr>
                          <w:t>湖州银行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湖州</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城商行</w:t>
                        </w:r>
                      </w:p>
                    </w:tc>
                    <w:tc>
                      <w:tcPr>
                        <w:tcW w:w="1062" w:type="dxa"/>
                      </w:tcPr>
                      <w:p>
                        <w:pPr>
                          <w:pStyle w:val="TableParagraph"/>
                          <w:spacing w:before="25"/>
                          <w:ind w:left="340"/>
                          <w:jc w:val="left"/>
                          <w:rPr>
                            <w:rFonts w:ascii="楷体"/>
                            <w:sz w:val="20"/>
                          </w:rPr>
                        </w:pPr>
                        <w:r>
                          <w:rPr>
                            <w:rFonts w:ascii="楷体"/>
                            <w:sz w:val="20"/>
                          </w:rPr>
                          <w:t>3.0</w:t>
                        </w:r>
                      </w:p>
                    </w:tc>
                    <w:tc>
                      <w:tcPr>
                        <w:tcW w:w="1312" w:type="dxa"/>
                      </w:tcPr>
                      <w:p>
                        <w:pPr>
                          <w:pStyle w:val="TableParagraph"/>
                          <w:spacing w:before="37" w:line="250" w:lineRule="exact"/>
                          <w:ind w:left="411"/>
                          <w:jc w:val="left"/>
                          <w:rPr>
                            <w:rFonts w:ascii="楷体"/>
                            <w:sz w:val="20"/>
                          </w:rPr>
                        </w:pPr>
                        <w:r>
                          <w:rPr>
                            <w:rFonts w:ascii="楷体"/>
                            <w:sz w:val="20"/>
                          </w:rPr>
                          <w:t>AA+</w:t>
                        </w:r>
                      </w:p>
                    </w:tc>
                    <w:tc>
                      <w:tcPr>
                        <w:tcW w:w="1413" w:type="dxa"/>
                      </w:tcPr>
                      <w:p>
                        <w:pPr>
                          <w:pStyle w:val="TableParagraph"/>
                          <w:spacing w:before="37" w:line="250" w:lineRule="exact"/>
                          <w:ind w:right="419"/>
                          <w:jc w:val="right"/>
                          <w:rPr>
                            <w:rFonts w:ascii="楷体"/>
                            <w:sz w:val="20"/>
                          </w:rPr>
                        </w:pPr>
                        <w:r>
                          <w:rPr>
                            <w:rFonts w:ascii="楷体"/>
                            <w:sz w:val="20"/>
                          </w:rPr>
                          <w:t>14</w:t>
                        </w:r>
                      </w:p>
                    </w:tc>
                    <w:tc>
                      <w:tcPr>
                        <w:tcW w:w="934" w:type="dxa"/>
                      </w:tcPr>
                      <w:p>
                        <w:pPr>
                          <w:pStyle w:val="TableParagraph"/>
                          <w:spacing w:before="37" w:line="250" w:lineRule="exact"/>
                          <w:ind w:right="220"/>
                          <w:jc w:val="right"/>
                          <w:rPr>
                            <w:rFonts w:ascii="楷体"/>
                            <w:sz w:val="20"/>
                          </w:rPr>
                        </w:pPr>
                        <w:r>
                          <w:rPr>
                            <w:rFonts w:ascii="楷体"/>
                            <w:sz w:val="20"/>
                          </w:rPr>
                          <w:t>12</w:t>
                        </w:r>
                      </w:p>
                    </w:tc>
                    <w:tc>
                      <w:tcPr>
                        <w:tcW w:w="1028" w:type="dxa"/>
                      </w:tcPr>
                      <w:p>
                        <w:pPr>
                          <w:pStyle w:val="TableParagraph"/>
                          <w:spacing w:before="37" w:line="250" w:lineRule="exact"/>
                          <w:ind w:right="117"/>
                          <w:jc w:val="right"/>
                          <w:rPr>
                            <w:rFonts w:ascii="楷体"/>
                            <w:sz w:val="20"/>
                          </w:rPr>
                        </w:pPr>
                        <w:r>
                          <w:rPr>
                            <w:rFonts w:ascii="楷体"/>
                            <w:w w:val="95"/>
                            <w:sz w:val="20"/>
                          </w:rPr>
                          <w:t>1173.6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516"/>
                          <w:jc w:val="left"/>
                          <w:rPr>
                            <w:rFonts w:ascii="楷体"/>
                            <w:sz w:val="20"/>
                          </w:rPr>
                        </w:pPr>
                        <w:r>
                          <w:rPr>
                            <w:rFonts w:ascii="楷体"/>
                            <w:w w:val="99"/>
                            <w:sz w:val="20"/>
                          </w:rPr>
                          <w:t>5</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浙江萧山农商银</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杭州</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3.5</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AAA</w:t>
                        </w:r>
                      </w:p>
                    </w:tc>
                    <w:tc>
                      <w:tcPr>
                        <w:tcW w:w="1413" w:type="dxa"/>
                        <w:shd w:val="clear" w:color="auto" w:fill="F1F1F1"/>
                      </w:tcPr>
                      <w:p>
                        <w:pPr>
                          <w:pStyle w:val="TableParagraph"/>
                          <w:spacing w:before="37" w:line="250" w:lineRule="exact"/>
                          <w:ind w:right="419"/>
                          <w:jc w:val="right"/>
                          <w:rPr>
                            <w:rFonts w:ascii="楷体"/>
                            <w:sz w:val="20"/>
                          </w:rPr>
                        </w:pPr>
                        <w:r>
                          <w:rPr>
                            <w:rFonts w:ascii="楷体"/>
                            <w:sz w:val="20"/>
                          </w:rPr>
                          <w:t>18</w:t>
                        </w:r>
                      </w:p>
                    </w:tc>
                    <w:tc>
                      <w:tcPr>
                        <w:tcW w:w="934" w:type="dxa"/>
                        <w:shd w:val="clear" w:color="auto" w:fill="F1F1F1"/>
                      </w:tcPr>
                      <w:p>
                        <w:pPr>
                          <w:pStyle w:val="TableParagraph"/>
                          <w:spacing w:before="37" w:line="250" w:lineRule="exact"/>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2831.1</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516"/>
                          <w:jc w:val="left"/>
                          <w:rPr>
                            <w:rFonts w:ascii="楷体"/>
                            <w:sz w:val="20"/>
                          </w:rPr>
                        </w:pPr>
                        <w:r>
                          <w:rPr>
                            <w:rFonts w:ascii="楷体"/>
                            <w:w w:val="99"/>
                            <w:sz w:val="20"/>
                          </w:rPr>
                          <w:t>6</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宁波余姚农商行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宁波</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3"/>
                          <w:ind w:left="340"/>
                          <w:jc w:val="left"/>
                          <w:rPr>
                            <w:rFonts w:ascii="楷体"/>
                            <w:sz w:val="20"/>
                          </w:rPr>
                        </w:pPr>
                        <w:r>
                          <w:rPr>
                            <w:rFonts w:ascii="楷体"/>
                            <w:sz w:val="20"/>
                          </w:rPr>
                          <w:t>3.4</w:t>
                        </w:r>
                      </w:p>
                    </w:tc>
                    <w:tc>
                      <w:tcPr>
                        <w:tcW w:w="1312" w:type="dxa"/>
                      </w:tcPr>
                      <w:p>
                        <w:pPr>
                          <w:pStyle w:val="TableParagraph"/>
                          <w:spacing w:before="37" w:line="250" w:lineRule="exact"/>
                          <w:ind w:left="461"/>
                          <w:jc w:val="left"/>
                          <w:rPr>
                            <w:rFonts w:ascii="楷体"/>
                            <w:sz w:val="20"/>
                          </w:rPr>
                        </w:pPr>
                        <w:r>
                          <w:rPr>
                            <w:rFonts w:ascii="楷体"/>
                            <w:sz w:val="20"/>
                          </w:rPr>
                          <w:t>AA</w:t>
                        </w:r>
                      </w:p>
                    </w:tc>
                    <w:tc>
                      <w:tcPr>
                        <w:tcW w:w="1413" w:type="dxa"/>
                      </w:tcPr>
                      <w:p>
                        <w:pPr>
                          <w:pStyle w:val="TableParagraph"/>
                          <w:spacing w:before="37" w:line="250" w:lineRule="exact"/>
                          <w:ind w:right="419"/>
                          <w:jc w:val="right"/>
                          <w:rPr>
                            <w:rFonts w:ascii="楷体"/>
                            <w:sz w:val="20"/>
                          </w:rPr>
                        </w:pPr>
                        <w:r>
                          <w:rPr>
                            <w:rFonts w:ascii="楷体"/>
                            <w:sz w:val="20"/>
                          </w:rPr>
                          <w:t>15</w:t>
                        </w:r>
                      </w:p>
                    </w:tc>
                    <w:tc>
                      <w:tcPr>
                        <w:tcW w:w="934" w:type="dxa"/>
                      </w:tcPr>
                      <w:p>
                        <w:pPr>
                          <w:pStyle w:val="TableParagraph"/>
                          <w:spacing w:before="23"/>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818.8</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3"/>
                          <w:ind w:left="465"/>
                          <w:jc w:val="left"/>
                          <w:rPr>
                            <w:rFonts w:ascii="楷体"/>
                            <w:sz w:val="20"/>
                          </w:rPr>
                        </w:pPr>
                        <w:r>
                          <w:rPr>
                            <w:rFonts w:ascii="楷体"/>
                            <w:sz w:val="20"/>
                          </w:rPr>
                          <w:t>45</w:t>
                        </w:r>
                      </w:p>
                    </w:tc>
                    <w:tc>
                      <w:tcPr>
                        <w:tcW w:w="2521" w:type="dxa"/>
                        <w:shd w:val="clear" w:color="auto" w:fill="F1F1F1"/>
                      </w:tcPr>
                      <w:p>
                        <w:pPr>
                          <w:pStyle w:val="TableParagraph"/>
                          <w:spacing w:before="37" w:line="250" w:lineRule="exact"/>
                          <w:ind w:left="399" w:right="278"/>
                          <w:rPr>
                            <w:rFonts w:ascii="楷体" w:eastAsia="楷体" w:hint="eastAsia"/>
                            <w:sz w:val="20"/>
                          </w:rPr>
                        </w:pPr>
                        <w:r>
                          <w:rPr>
                            <w:rFonts w:ascii="楷体" w:eastAsia="楷体" w:hint="eastAsia"/>
                            <w:sz w:val="20"/>
                          </w:rPr>
                          <w:t>金华银行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金华</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城商行</w:t>
                        </w:r>
                      </w:p>
                    </w:tc>
                    <w:tc>
                      <w:tcPr>
                        <w:tcW w:w="1062" w:type="dxa"/>
                        <w:shd w:val="clear" w:color="auto" w:fill="F1F1F1"/>
                      </w:tcPr>
                      <w:p>
                        <w:pPr>
                          <w:pStyle w:val="TableParagraph"/>
                          <w:spacing w:before="23"/>
                          <w:ind w:left="340"/>
                          <w:jc w:val="left"/>
                          <w:rPr>
                            <w:rFonts w:ascii="楷体"/>
                            <w:sz w:val="20"/>
                          </w:rPr>
                        </w:pPr>
                        <w:r>
                          <w:rPr>
                            <w:rFonts w:ascii="楷体"/>
                            <w:sz w:val="20"/>
                          </w:rPr>
                          <w:t>2.6</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19"/>
                          <w:jc w:val="right"/>
                          <w:rPr>
                            <w:rFonts w:ascii="楷体"/>
                            <w:sz w:val="20"/>
                          </w:rPr>
                        </w:pPr>
                        <w:r>
                          <w:rPr>
                            <w:rFonts w:ascii="楷体"/>
                            <w:sz w:val="20"/>
                          </w:rPr>
                          <w:t>15</w:t>
                        </w:r>
                      </w:p>
                    </w:tc>
                    <w:tc>
                      <w:tcPr>
                        <w:tcW w:w="934" w:type="dxa"/>
                        <w:shd w:val="clear" w:color="auto" w:fill="F1F1F1"/>
                      </w:tcPr>
                      <w:p>
                        <w:pPr>
                          <w:pStyle w:val="TableParagraph"/>
                          <w:spacing w:before="23"/>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1017.8</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465"/>
                          <w:jc w:val="left"/>
                          <w:rPr>
                            <w:rFonts w:ascii="楷体"/>
                            <w:sz w:val="20"/>
                          </w:rPr>
                        </w:pPr>
                        <w:r>
                          <w:rPr>
                            <w:rFonts w:ascii="楷体"/>
                            <w:sz w:val="20"/>
                          </w:rPr>
                          <w:t>28</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浙江嘉善农商行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嘉兴</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3"/>
                          <w:ind w:left="340"/>
                          <w:jc w:val="left"/>
                          <w:rPr>
                            <w:rFonts w:ascii="楷体"/>
                            <w:sz w:val="20"/>
                          </w:rPr>
                        </w:pPr>
                        <w:r>
                          <w:rPr>
                            <w:rFonts w:ascii="楷体"/>
                            <w:sz w:val="20"/>
                          </w:rPr>
                          <w:t>2.8</w:t>
                        </w:r>
                      </w:p>
                    </w:tc>
                    <w:tc>
                      <w:tcPr>
                        <w:tcW w:w="1312" w:type="dxa"/>
                      </w:tcPr>
                      <w:p>
                        <w:pPr>
                          <w:pStyle w:val="TableParagraph"/>
                          <w:spacing w:before="37" w:line="250" w:lineRule="exact"/>
                          <w:ind w:left="461"/>
                          <w:jc w:val="left"/>
                          <w:rPr>
                            <w:rFonts w:ascii="楷体"/>
                            <w:sz w:val="20"/>
                          </w:rPr>
                        </w:pPr>
                        <w:r>
                          <w:rPr>
                            <w:rFonts w:ascii="楷体"/>
                            <w:sz w:val="20"/>
                          </w:rPr>
                          <w:t>AA</w:t>
                        </w:r>
                      </w:p>
                    </w:tc>
                    <w:tc>
                      <w:tcPr>
                        <w:tcW w:w="1413" w:type="dxa"/>
                      </w:tcPr>
                      <w:p>
                        <w:pPr>
                          <w:pStyle w:val="TableParagraph"/>
                          <w:spacing w:before="37" w:line="250" w:lineRule="exact"/>
                          <w:ind w:right="419"/>
                          <w:jc w:val="right"/>
                          <w:rPr>
                            <w:rFonts w:ascii="楷体"/>
                            <w:sz w:val="20"/>
                          </w:rPr>
                        </w:pPr>
                        <w:r>
                          <w:rPr>
                            <w:rFonts w:ascii="楷体"/>
                            <w:sz w:val="20"/>
                          </w:rPr>
                          <w:t>13.5</w:t>
                        </w:r>
                      </w:p>
                    </w:tc>
                    <w:tc>
                      <w:tcPr>
                        <w:tcW w:w="934" w:type="dxa"/>
                      </w:tcPr>
                      <w:p>
                        <w:pPr>
                          <w:pStyle w:val="TableParagraph"/>
                          <w:spacing w:before="23"/>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536.1</w:t>
                        </w:r>
                      </w:p>
                    </w:tc>
                  </w:tr>
                  <w:tr>
                    <w:tblPrEx>
                      <w:tblW w:w="0" w:type="auto"/>
                      <w:jc w:val="left"/>
                      <w:tblInd w:w="7" w:type="dxa"/>
                      <w:tblLayout w:type="fixed"/>
                      <w:tblCellMar>
                        <w:top w:w="0" w:type="dxa"/>
                        <w:left w:w="0" w:type="dxa"/>
                        <w:bottom w:w="0" w:type="dxa"/>
                        <w:right w:w="0" w:type="dxa"/>
                      </w:tblCellMar>
                      <w:tblLook w:val="01E0"/>
                    </w:tblPrEx>
                    <w:trPr>
                      <w:trHeight w:val="304"/>
                      <w:jc w:val="left"/>
                    </w:trPr>
                    <w:tc>
                      <w:tcPr>
                        <w:tcW w:w="1089" w:type="dxa"/>
                        <w:shd w:val="clear" w:color="auto" w:fill="F1F1F1"/>
                      </w:tcPr>
                      <w:p>
                        <w:pPr>
                          <w:pStyle w:val="TableParagraph"/>
                          <w:spacing w:before="23"/>
                          <w:ind w:left="465"/>
                          <w:jc w:val="left"/>
                          <w:rPr>
                            <w:rFonts w:ascii="楷体"/>
                            <w:sz w:val="20"/>
                          </w:rPr>
                        </w:pPr>
                        <w:r>
                          <w:rPr>
                            <w:rFonts w:ascii="楷体"/>
                            <w:sz w:val="20"/>
                          </w:rPr>
                          <w:t>58</w:t>
                        </w:r>
                      </w:p>
                    </w:tc>
                    <w:tc>
                      <w:tcPr>
                        <w:tcW w:w="2521" w:type="dxa"/>
                        <w:shd w:val="clear" w:color="auto" w:fill="F1F1F1"/>
                      </w:tcPr>
                      <w:p>
                        <w:pPr>
                          <w:pStyle w:val="TableParagraph"/>
                          <w:spacing w:before="37" w:line="247" w:lineRule="exact"/>
                          <w:ind w:left="399" w:right="279"/>
                          <w:rPr>
                            <w:rFonts w:ascii="楷体" w:eastAsia="楷体" w:hint="eastAsia"/>
                            <w:sz w:val="20"/>
                          </w:rPr>
                        </w:pPr>
                        <w:r>
                          <w:rPr>
                            <w:rFonts w:ascii="楷体" w:eastAsia="楷体" w:hint="eastAsia"/>
                            <w:sz w:val="20"/>
                          </w:rPr>
                          <w:t>湖州吴兴农商行</w:t>
                        </w:r>
                      </w:p>
                    </w:tc>
                    <w:tc>
                      <w:tcPr>
                        <w:tcW w:w="948" w:type="dxa"/>
                        <w:shd w:val="clear" w:color="auto" w:fill="F1F1F1"/>
                      </w:tcPr>
                      <w:p>
                        <w:pPr>
                          <w:pStyle w:val="TableParagraph"/>
                          <w:spacing w:before="37" w:line="247" w:lineRule="exact"/>
                          <w:ind w:left="279" w:right="228"/>
                          <w:rPr>
                            <w:rFonts w:ascii="楷体" w:eastAsia="楷体" w:hint="eastAsia"/>
                            <w:sz w:val="20"/>
                          </w:rPr>
                        </w:pPr>
                        <w:r>
                          <w:rPr>
                            <w:rFonts w:ascii="楷体" w:eastAsia="楷体" w:hint="eastAsia"/>
                            <w:sz w:val="20"/>
                          </w:rPr>
                          <w:t>湖州</w:t>
                        </w:r>
                      </w:p>
                    </w:tc>
                    <w:tc>
                      <w:tcPr>
                        <w:tcW w:w="1189" w:type="dxa"/>
                        <w:shd w:val="clear" w:color="auto" w:fill="F1F1F1"/>
                      </w:tcPr>
                      <w:p>
                        <w:pPr>
                          <w:pStyle w:val="TableParagraph"/>
                          <w:spacing w:before="37" w:line="24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3"/>
                          <w:ind w:left="340"/>
                          <w:jc w:val="left"/>
                          <w:rPr>
                            <w:rFonts w:ascii="楷体"/>
                            <w:sz w:val="20"/>
                          </w:rPr>
                        </w:pPr>
                        <w:r>
                          <w:rPr>
                            <w:rFonts w:ascii="楷体"/>
                            <w:sz w:val="20"/>
                          </w:rPr>
                          <w:t>2.3</w:t>
                        </w:r>
                      </w:p>
                    </w:tc>
                    <w:tc>
                      <w:tcPr>
                        <w:tcW w:w="1312" w:type="dxa"/>
                        <w:shd w:val="clear" w:color="auto" w:fill="F1F1F1"/>
                      </w:tcPr>
                      <w:p>
                        <w:pPr>
                          <w:pStyle w:val="TableParagraph"/>
                          <w:spacing w:before="37" w:line="247" w:lineRule="exact"/>
                          <w:ind w:left="461"/>
                          <w:jc w:val="left"/>
                          <w:rPr>
                            <w:rFonts w:ascii="楷体"/>
                            <w:sz w:val="20"/>
                          </w:rPr>
                        </w:pPr>
                        <w:r>
                          <w:rPr>
                            <w:rFonts w:ascii="楷体"/>
                            <w:sz w:val="20"/>
                          </w:rPr>
                          <w:t>AA</w:t>
                        </w:r>
                      </w:p>
                    </w:tc>
                    <w:tc>
                      <w:tcPr>
                        <w:tcW w:w="1413" w:type="dxa"/>
                        <w:shd w:val="clear" w:color="auto" w:fill="F1F1F1"/>
                      </w:tcPr>
                      <w:p>
                        <w:pPr>
                          <w:pStyle w:val="TableParagraph"/>
                          <w:spacing w:before="37" w:line="247" w:lineRule="exact"/>
                          <w:ind w:right="419"/>
                          <w:jc w:val="right"/>
                          <w:rPr>
                            <w:rFonts w:ascii="楷体"/>
                            <w:sz w:val="20"/>
                          </w:rPr>
                        </w:pPr>
                        <w:r>
                          <w:rPr>
                            <w:rFonts w:ascii="楷体"/>
                            <w:sz w:val="20"/>
                          </w:rPr>
                          <w:t>13</w:t>
                        </w:r>
                      </w:p>
                    </w:tc>
                    <w:tc>
                      <w:tcPr>
                        <w:tcW w:w="934" w:type="dxa"/>
                        <w:shd w:val="clear" w:color="auto" w:fill="F1F1F1"/>
                      </w:tcPr>
                      <w:p>
                        <w:pPr>
                          <w:pStyle w:val="TableParagraph"/>
                          <w:spacing w:before="23"/>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47" w:lineRule="exact"/>
                          <w:ind w:right="117"/>
                          <w:jc w:val="right"/>
                          <w:rPr>
                            <w:rFonts w:ascii="楷体"/>
                            <w:sz w:val="20"/>
                          </w:rPr>
                        </w:pPr>
                        <w:r>
                          <w:rPr>
                            <w:rFonts w:ascii="楷体"/>
                            <w:w w:val="95"/>
                            <w:sz w:val="20"/>
                          </w:rPr>
                          <w:t>481.1</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17</w:t>
                        </w:r>
                      </w:p>
                    </w:tc>
                    <w:tc>
                      <w:tcPr>
                        <w:tcW w:w="2521" w:type="dxa"/>
                      </w:tcPr>
                      <w:p>
                        <w:pPr>
                          <w:pStyle w:val="TableParagraph"/>
                          <w:spacing w:before="40" w:line="247" w:lineRule="exact"/>
                          <w:ind w:left="399" w:right="279"/>
                          <w:rPr>
                            <w:rFonts w:ascii="楷体" w:eastAsia="楷体" w:hint="eastAsia"/>
                            <w:sz w:val="20"/>
                          </w:rPr>
                        </w:pPr>
                        <w:r>
                          <w:rPr>
                            <w:rFonts w:ascii="楷体" w:eastAsia="楷体" w:hint="eastAsia"/>
                            <w:sz w:val="20"/>
                          </w:rPr>
                          <w:t>浙江富阳农商行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杭州</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3.0</w:t>
                        </w:r>
                      </w:p>
                    </w:tc>
                    <w:tc>
                      <w:tcPr>
                        <w:tcW w:w="1312" w:type="dxa"/>
                      </w:tcPr>
                      <w:p>
                        <w:pPr>
                          <w:pStyle w:val="TableParagraph"/>
                          <w:spacing w:before="40" w:line="247" w:lineRule="exact"/>
                          <w:ind w:left="461"/>
                          <w:jc w:val="left"/>
                          <w:rPr>
                            <w:rFonts w:ascii="楷体"/>
                            <w:sz w:val="20"/>
                          </w:rPr>
                        </w:pPr>
                        <w:r>
                          <w:rPr>
                            <w:rFonts w:ascii="楷体"/>
                            <w:sz w:val="20"/>
                          </w:rPr>
                          <w:t>AA</w:t>
                        </w:r>
                      </w:p>
                    </w:tc>
                    <w:tc>
                      <w:tcPr>
                        <w:tcW w:w="1413" w:type="dxa"/>
                      </w:tcPr>
                      <w:p>
                        <w:pPr>
                          <w:pStyle w:val="TableParagraph"/>
                          <w:spacing w:before="40" w:line="247" w:lineRule="exact"/>
                          <w:ind w:right="419"/>
                          <w:jc w:val="right"/>
                          <w:rPr>
                            <w:rFonts w:ascii="楷体"/>
                            <w:sz w:val="20"/>
                          </w:rPr>
                        </w:pPr>
                        <w:r>
                          <w:rPr>
                            <w:rFonts w:ascii="楷体"/>
                            <w:sz w:val="20"/>
                          </w:rPr>
                          <w:t>12</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40" w:line="247" w:lineRule="exact"/>
                          <w:ind w:right="117"/>
                          <w:jc w:val="right"/>
                          <w:rPr>
                            <w:rFonts w:ascii="楷体"/>
                            <w:sz w:val="20"/>
                          </w:rPr>
                        </w:pPr>
                        <w:r>
                          <w:rPr>
                            <w:rFonts w:ascii="楷体"/>
                            <w:w w:val="95"/>
                            <w:sz w:val="20"/>
                          </w:rPr>
                          <w:t>826.4</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516"/>
                          <w:jc w:val="left"/>
                          <w:rPr>
                            <w:rFonts w:ascii="楷体"/>
                            <w:sz w:val="20"/>
                          </w:rPr>
                        </w:pPr>
                        <w:r>
                          <w:rPr>
                            <w:rFonts w:ascii="楷体"/>
                            <w:w w:val="99"/>
                            <w:sz w:val="20"/>
                          </w:rPr>
                          <w:t>9</w:t>
                        </w:r>
                      </w:p>
                    </w:tc>
                    <w:tc>
                      <w:tcPr>
                        <w:tcW w:w="2521" w:type="dxa"/>
                        <w:shd w:val="clear" w:color="auto" w:fill="F1F1F1"/>
                      </w:tcPr>
                      <w:p>
                        <w:pPr>
                          <w:pStyle w:val="TableParagraph"/>
                          <w:spacing w:before="40" w:line="247" w:lineRule="exact"/>
                          <w:ind w:left="399" w:right="281"/>
                          <w:rPr>
                            <w:rFonts w:ascii="楷体" w:eastAsia="楷体" w:hint="eastAsia"/>
                            <w:sz w:val="20"/>
                          </w:rPr>
                        </w:pPr>
                        <w:r>
                          <w:rPr>
                            <w:rFonts w:ascii="楷体" w:eastAsia="楷体" w:hint="eastAsia"/>
                            <w:sz w:val="20"/>
                          </w:rPr>
                          <w:t>浙江温州鹿城农商行</w:t>
                        </w:r>
                      </w:p>
                    </w:tc>
                    <w:tc>
                      <w:tcPr>
                        <w:tcW w:w="948" w:type="dxa"/>
                        <w:shd w:val="clear" w:color="auto" w:fill="F1F1F1"/>
                      </w:tcPr>
                      <w:p>
                        <w:pPr>
                          <w:pStyle w:val="TableParagraph"/>
                          <w:spacing w:before="40" w:line="247" w:lineRule="exact"/>
                          <w:ind w:left="279" w:right="228"/>
                          <w:rPr>
                            <w:rFonts w:ascii="楷体" w:eastAsia="楷体" w:hint="eastAsia"/>
                            <w:sz w:val="20"/>
                          </w:rPr>
                        </w:pPr>
                        <w:r>
                          <w:rPr>
                            <w:rFonts w:ascii="楷体" w:eastAsia="楷体" w:hint="eastAsia"/>
                            <w:sz w:val="20"/>
                          </w:rPr>
                          <w:t>温州</w:t>
                        </w:r>
                      </w:p>
                    </w:tc>
                    <w:tc>
                      <w:tcPr>
                        <w:tcW w:w="1189" w:type="dxa"/>
                        <w:shd w:val="clear" w:color="auto" w:fill="F1F1F1"/>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3.3</w:t>
                        </w:r>
                      </w:p>
                    </w:tc>
                    <w:tc>
                      <w:tcPr>
                        <w:tcW w:w="1312" w:type="dxa"/>
                        <w:shd w:val="clear" w:color="auto" w:fill="F1F1F1"/>
                      </w:tcPr>
                      <w:p>
                        <w:pPr>
                          <w:pStyle w:val="TableParagraph"/>
                          <w:spacing w:before="40" w:line="247" w:lineRule="exact"/>
                          <w:ind w:left="411"/>
                          <w:jc w:val="left"/>
                          <w:rPr>
                            <w:rFonts w:ascii="楷体"/>
                            <w:sz w:val="20"/>
                          </w:rPr>
                        </w:pPr>
                        <w:r>
                          <w:rPr>
                            <w:rFonts w:ascii="楷体"/>
                            <w:sz w:val="20"/>
                          </w:rPr>
                          <w:t>AA+</w:t>
                        </w:r>
                      </w:p>
                    </w:tc>
                    <w:tc>
                      <w:tcPr>
                        <w:tcW w:w="1413" w:type="dxa"/>
                        <w:shd w:val="clear" w:color="auto" w:fill="F1F1F1"/>
                      </w:tcPr>
                      <w:p>
                        <w:pPr>
                          <w:pStyle w:val="TableParagraph"/>
                          <w:spacing w:before="40" w:line="247" w:lineRule="exact"/>
                          <w:ind w:right="419"/>
                          <w:jc w:val="right"/>
                          <w:rPr>
                            <w:rFonts w:ascii="楷体"/>
                            <w:sz w:val="20"/>
                          </w:rPr>
                        </w:pPr>
                        <w:r>
                          <w:rPr>
                            <w:rFonts w:ascii="楷体"/>
                            <w:sz w:val="20"/>
                          </w:rPr>
                          <w:t>10</w:t>
                        </w:r>
                      </w:p>
                    </w:tc>
                    <w:tc>
                      <w:tcPr>
                        <w:tcW w:w="934" w:type="dxa"/>
                        <w:shd w:val="clear" w:color="auto" w:fill="F1F1F1"/>
                      </w:tcPr>
                      <w:p>
                        <w:pPr>
                          <w:pStyle w:val="TableParagraph"/>
                          <w:spacing w:before="40" w:line="247" w:lineRule="exact"/>
                          <w:ind w:right="224"/>
                          <w:jc w:val="right"/>
                          <w:rPr>
                            <w:rFonts w:ascii="楷体"/>
                            <w:sz w:val="20"/>
                          </w:rPr>
                        </w:pPr>
                        <w:r>
                          <w:rPr>
                            <w:rFonts w:ascii="楷体"/>
                            <w:w w:val="99"/>
                            <w:sz w:val="20"/>
                          </w:rPr>
                          <w:t>-</w:t>
                        </w:r>
                      </w:p>
                    </w:tc>
                    <w:tc>
                      <w:tcPr>
                        <w:tcW w:w="1028" w:type="dxa"/>
                        <w:shd w:val="clear" w:color="auto" w:fill="F1F1F1"/>
                      </w:tcPr>
                      <w:p>
                        <w:pPr>
                          <w:pStyle w:val="TableParagraph"/>
                          <w:spacing w:before="40" w:line="247" w:lineRule="exact"/>
                          <w:ind w:right="117"/>
                          <w:jc w:val="right"/>
                          <w:rPr>
                            <w:rFonts w:ascii="楷体"/>
                            <w:sz w:val="20"/>
                          </w:rPr>
                        </w:pPr>
                        <w:r>
                          <w:rPr>
                            <w:rFonts w:ascii="楷体"/>
                            <w:w w:val="95"/>
                            <w:sz w:val="20"/>
                          </w:rPr>
                          <w:t>1309.6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23</w:t>
                        </w:r>
                      </w:p>
                    </w:tc>
                    <w:tc>
                      <w:tcPr>
                        <w:tcW w:w="2521" w:type="dxa"/>
                      </w:tcPr>
                      <w:p>
                        <w:pPr>
                          <w:pStyle w:val="TableParagraph"/>
                          <w:spacing w:before="40" w:line="247" w:lineRule="exact"/>
                          <w:ind w:left="399" w:right="281"/>
                          <w:rPr>
                            <w:rFonts w:ascii="楷体" w:eastAsia="楷体" w:hint="eastAsia"/>
                            <w:sz w:val="20"/>
                          </w:rPr>
                        </w:pPr>
                        <w:r>
                          <w:rPr>
                            <w:rFonts w:ascii="楷体" w:eastAsia="楷体" w:hint="eastAsia"/>
                            <w:sz w:val="20"/>
                          </w:rPr>
                          <w:t>浙江温州瓯海农商行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温州</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3.0</w:t>
                        </w:r>
                      </w:p>
                    </w:tc>
                    <w:tc>
                      <w:tcPr>
                        <w:tcW w:w="1312" w:type="dxa"/>
                      </w:tcPr>
                      <w:p>
                        <w:pPr>
                          <w:pStyle w:val="TableParagraph"/>
                          <w:spacing w:before="40" w:line="247" w:lineRule="exact"/>
                          <w:ind w:left="461"/>
                          <w:jc w:val="left"/>
                          <w:rPr>
                            <w:rFonts w:ascii="楷体"/>
                            <w:sz w:val="20"/>
                          </w:rPr>
                        </w:pPr>
                        <w:r>
                          <w:rPr>
                            <w:rFonts w:ascii="楷体"/>
                            <w:sz w:val="20"/>
                          </w:rPr>
                          <w:t>AA</w:t>
                        </w:r>
                      </w:p>
                    </w:tc>
                    <w:tc>
                      <w:tcPr>
                        <w:tcW w:w="1413" w:type="dxa"/>
                      </w:tcPr>
                      <w:p>
                        <w:pPr>
                          <w:pStyle w:val="TableParagraph"/>
                          <w:spacing w:before="40" w:line="247" w:lineRule="exact"/>
                          <w:ind w:right="423"/>
                          <w:jc w:val="right"/>
                          <w:rPr>
                            <w:rFonts w:ascii="楷体"/>
                            <w:sz w:val="20"/>
                          </w:rPr>
                        </w:pPr>
                        <w:r>
                          <w:rPr>
                            <w:rFonts w:ascii="楷体"/>
                            <w:w w:val="99"/>
                            <w:sz w:val="20"/>
                          </w:rPr>
                          <w:t>6</w:t>
                        </w:r>
                      </w:p>
                    </w:tc>
                    <w:tc>
                      <w:tcPr>
                        <w:tcW w:w="934" w:type="dxa"/>
                      </w:tcPr>
                      <w:p>
                        <w:pPr>
                          <w:pStyle w:val="TableParagraph"/>
                          <w:spacing w:before="40" w:line="247" w:lineRule="exact"/>
                          <w:ind w:right="224"/>
                          <w:jc w:val="right"/>
                          <w:rPr>
                            <w:rFonts w:ascii="楷体"/>
                            <w:sz w:val="20"/>
                          </w:rPr>
                        </w:pPr>
                        <w:r>
                          <w:rPr>
                            <w:rFonts w:ascii="楷体"/>
                            <w:w w:val="99"/>
                            <w:sz w:val="20"/>
                          </w:rPr>
                          <w:t>4</w:t>
                        </w:r>
                      </w:p>
                    </w:tc>
                    <w:tc>
                      <w:tcPr>
                        <w:tcW w:w="1028" w:type="dxa"/>
                      </w:tcPr>
                      <w:p>
                        <w:pPr>
                          <w:pStyle w:val="TableParagraph"/>
                          <w:spacing w:before="40" w:line="247" w:lineRule="exact"/>
                          <w:ind w:right="117"/>
                          <w:jc w:val="right"/>
                          <w:rPr>
                            <w:rFonts w:ascii="楷体"/>
                            <w:sz w:val="20"/>
                          </w:rPr>
                        </w:pPr>
                        <w:r>
                          <w:rPr>
                            <w:rFonts w:ascii="楷体"/>
                            <w:w w:val="95"/>
                            <w:sz w:val="20"/>
                          </w:rPr>
                          <w:t>851.4</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6"/>
                          <w:ind w:left="465"/>
                          <w:jc w:val="left"/>
                          <w:rPr>
                            <w:rFonts w:ascii="楷体"/>
                            <w:sz w:val="20"/>
                          </w:rPr>
                        </w:pPr>
                        <w:r>
                          <w:rPr>
                            <w:rFonts w:ascii="楷体"/>
                            <w:sz w:val="20"/>
                          </w:rPr>
                          <w:t>42</w:t>
                        </w:r>
                      </w:p>
                    </w:tc>
                    <w:tc>
                      <w:tcPr>
                        <w:tcW w:w="2521" w:type="dxa"/>
                        <w:shd w:val="clear" w:color="auto" w:fill="F1F1F1"/>
                      </w:tcPr>
                      <w:p>
                        <w:pPr>
                          <w:pStyle w:val="TableParagraph"/>
                          <w:spacing w:before="38" w:line="250" w:lineRule="exact"/>
                          <w:ind w:left="399" w:right="279"/>
                          <w:rPr>
                            <w:rFonts w:ascii="楷体" w:eastAsia="楷体" w:hint="eastAsia"/>
                            <w:sz w:val="20"/>
                          </w:rPr>
                        </w:pPr>
                        <w:r>
                          <w:rPr>
                            <w:rFonts w:ascii="楷体" w:eastAsia="楷体" w:hint="eastAsia"/>
                            <w:sz w:val="20"/>
                          </w:rPr>
                          <w:t>浙江上虞农商行</w:t>
                        </w:r>
                      </w:p>
                    </w:tc>
                    <w:tc>
                      <w:tcPr>
                        <w:tcW w:w="948" w:type="dxa"/>
                        <w:shd w:val="clear" w:color="auto" w:fill="F1F1F1"/>
                      </w:tcPr>
                      <w:p>
                        <w:pPr>
                          <w:pStyle w:val="TableParagraph"/>
                          <w:spacing w:before="38" w:line="250" w:lineRule="exact"/>
                          <w:ind w:left="279" w:right="228"/>
                          <w:rPr>
                            <w:rFonts w:ascii="楷体" w:eastAsia="楷体" w:hint="eastAsia"/>
                            <w:sz w:val="20"/>
                          </w:rPr>
                        </w:pPr>
                        <w:r>
                          <w:rPr>
                            <w:rFonts w:ascii="楷体" w:eastAsia="楷体" w:hint="eastAsia"/>
                            <w:sz w:val="20"/>
                          </w:rPr>
                          <w:t>绍兴</w:t>
                        </w:r>
                      </w:p>
                    </w:tc>
                    <w:tc>
                      <w:tcPr>
                        <w:tcW w:w="1189" w:type="dxa"/>
                        <w:shd w:val="clear" w:color="auto" w:fill="F1F1F1"/>
                      </w:tcPr>
                      <w:p>
                        <w:pPr>
                          <w:pStyle w:val="TableParagraph"/>
                          <w:spacing w:before="38"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6"/>
                          <w:ind w:left="340"/>
                          <w:jc w:val="left"/>
                          <w:rPr>
                            <w:rFonts w:ascii="楷体"/>
                            <w:sz w:val="20"/>
                          </w:rPr>
                        </w:pPr>
                        <w:r>
                          <w:rPr>
                            <w:rFonts w:ascii="楷体"/>
                            <w:sz w:val="20"/>
                          </w:rPr>
                          <w:t>2.6</w:t>
                        </w:r>
                      </w:p>
                    </w:tc>
                    <w:tc>
                      <w:tcPr>
                        <w:tcW w:w="1312" w:type="dxa"/>
                        <w:shd w:val="clear" w:color="auto" w:fill="F1F1F1"/>
                      </w:tcPr>
                      <w:p>
                        <w:pPr>
                          <w:pStyle w:val="TableParagraph"/>
                          <w:spacing w:before="38"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8" w:line="250" w:lineRule="exact"/>
                          <w:ind w:right="419"/>
                          <w:jc w:val="right"/>
                          <w:rPr>
                            <w:rFonts w:ascii="楷体"/>
                            <w:sz w:val="20"/>
                          </w:rPr>
                        </w:pPr>
                        <w:r>
                          <w:rPr>
                            <w:rFonts w:ascii="楷体"/>
                            <w:sz w:val="20"/>
                          </w:rPr>
                          <w:t>10</w:t>
                        </w:r>
                      </w:p>
                    </w:tc>
                    <w:tc>
                      <w:tcPr>
                        <w:tcW w:w="934" w:type="dxa"/>
                        <w:shd w:val="clear" w:color="auto" w:fill="F1F1F1"/>
                      </w:tcPr>
                      <w:p>
                        <w:pPr>
                          <w:pStyle w:val="TableParagraph"/>
                          <w:spacing w:before="26"/>
                          <w:ind w:right="224"/>
                          <w:jc w:val="right"/>
                          <w:rPr>
                            <w:rFonts w:ascii="楷体"/>
                            <w:sz w:val="20"/>
                          </w:rPr>
                        </w:pPr>
                        <w:r>
                          <w:rPr>
                            <w:rFonts w:ascii="楷体"/>
                            <w:w w:val="99"/>
                            <w:sz w:val="20"/>
                          </w:rPr>
                          <w:t>-</w:t>
                        </w:r>
                      </w:p>
                    </w:tc>
                    <w:tc>
                      <w:tcPr>
                        <w:tcW w:w="1028" w:type="dxa"/>
                        <w:shd w:val="clear" w:color="auto" w:fill="F1F1F1"/>
                      </w:tcPr>
                      <w:p>
                        <w:pPr>
                          <w:pStyle w:val="TableParagraph"/>
                          <w:spacing w:before="38" w:line="250" w:lineRule="exact"/>
                          <w:ind w:right="117"/>
                          <w:jc w:val="right"/>
                          <w:rPr>
                            <w:rFonts w:ascii="楷体"/>
                            <w:sz w:val="20"/>
                          </w:rPr>
                        </w:pPr>
                        <w:r>
                          <w:rPr>
                            <w:rFonts w:ascii="楷体"/>
                            <w:w w:val="95"/>
                            <w:sz w:val="20"/>
                          </w:rPr>
                          <w:t>856.1</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53</w:t>
                        </w:r>
                      </w:p>
                    </w:tc>
                    <w:tc>
                      <w:tcPr>
                        <w:tcW w:w="2521" w:type="dxa"/>
                      </w:tcPr>
                      <w:p>
                        <w:pPr>
                          <w:pStyle w:val="TableParagraph"/>
                          <w:spacing w:before="37" w:line="250" w:lineRule="exact"/>
                          <w:ind w:left="399" w:right="281"/>
                          <w:rPr>
                            <w:rFonts w:ascii="楷体" w:eastAsia="楷体" w:hint="eastAsia"/>
                            <w:sz w:val="20"/>
                          </w:rPr>
                        </w:pPr>
                        <w:r>
                          <w:rPr>
                            <w:rFonts w:ascii="楷体" w:eastAsia="楷体" w:hint="eastAsia"/>
                            <w:sz w:val="20"/>
                          </w:rPr>
                          <w:t>浙江金华成泰农商行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金华</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2.5</w:t>
                        </w:r>
                      </w:p>
                    </w:tc>
                    <w:tc>
                      <w:tcPr>
                        <w:tcW w:w="1312" w:type="dxa"/>
                      </w:tcPr>
                      <w:p>
                        <w:pPr>
                          <w:pStyle w:val="TableParagraph"/>
                          <w:spacing w:before="37" w:line="250" w:lineRule="exact"/>
                          <w:ind w:left="461"/>
                          <w:jc w:val="left"/>
                          <w:rPr>
                            <w:rFonts w:ascii="楷体"/>
                            <w:sz w:val="20"/>
                          </w:rPr>
                        </w:pPr>
                        <w:r>
                          <w:rPr>
                            <w:rFonts w:ascii="楷体"/>
                            <w:sz w:val="20"/>
                          </w:rPr>
                          <w:t>AA</w:t>
                        </w:r>
                      </w:p>
                    </w:tc>
                    <w:tc>
                      <w:tcPr>
                        <w:tcW w:w="1413" w:type="dxa"/>
                      </w:tcPr>
                      <w:p>
                        <w:pPr>
                          <w:pStyle w:val="TableParagraph"/>
                          <w:spacing w:before="37" w:line="250" w:lineRule="exact"/>
                          <w:ind w:right="419"/>
                          <w:jc w:val="right"/>
                          <w:rPr>
                            <w:rFonts w:ascii="楷体"/>
                            <w:sz w:val="20"/>
                          </w:rPr>
                        </w:pPr>
                        <w:r>
                          <w:rPr>
                            <w:rFonts w:ascii="楷体"/>
                            <w:sz w:val="20"/>
                          </w:rPr>
                          <w:t>10</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500.2</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39</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浙江禾城农商行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嘉兴</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2.7</w:t>
                        </w:r>
                      </w:p>
                    </w:tc>
                    <w:tc>
                      <w:tcPr>
                        <w:tcW w:w="1312" w:type="dxa"/>
                        <w:shd w:val="clear" w:color="auto" w:fill="F1F1F1"/>
                      </w:tcPr>
                      <w:p>
                        <w:pPr>
                          <w:pStyle w:val="TableParagraph"/>
                          <w:spacing w:before="37" w:line="250" w:lineRule="exact"/>
                          <w:ind w:left="46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9</w:t>
                        </w:r>
                      </w:p>
                    </w:tc>
                    <w:tc>
                      <w:tcPr>
                        <w:tcW w:w="934" w:type="dxa"/>
                        <w:shd w:val="clear" w:color="auto" w:fill="F1F1F1"/>
                      </w:tcPr>
                      <w:p>
                        <w:pPr>
                          <w:pStyle w:val="TableParagraph"/>
                          <w:spacing w:before="25"/>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778.6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27</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宁波甬城农商行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宁波</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2.8</w:t>
                        </w:r>
                      </w:p>
                    </w:tc>
                    <w:tc>
                      <w:tcPr>
                        <w:tcW w:w="1312" w:type="dxa"/>
                      </w:tcPr>
                      <w:p>
                        <w:pPr>
                          <w:pStyle w:val="TableParagraph"/>
                          <w:spacing w:before="37" w:line="250" w:lineRule="exact"/>
                          <w:ind w:left="461"/>
                          <w:jc w:val="left"/>
                          <w:rPr>
                            <w:rFonts w:ascii="楷体"/>
                            <w:sz w:val="20"/>
                          </w:rPr>
                        </w:pPr>
                        <w:r>
                          <w:rPr>
                            <w:rFonts w:ascii="楷体"/>
                            <w:sz w:val="20"/>
                          </w:rPr>
                          <w:t>AA</w:t>
                        </w:r>
                      </w:p>
                    </w:tc>
                    <w:tc>
                      <w:tcPr>
                        <w:tcW w:w="1413" w:type="dxa"/>
                      </w:tcPr>
                      <w:p>
                        <w:pPr>
                          <w:pStyle w:val="TableParagraph"/>
                          <w:spacing w:before="37" w:line="250" w:lineRule="exact"/>
                          <w:ind w:right="423"/>
                          <w:jc w:val="right"/>
                          <w:rPr>
                            <w:rFonts w:ascii="楷体"/>
                            <w:sz w:val="20"/>
                          </w:rPr>
                        </w:pPr>
                        <w:r>
                          <w:rPr>
                            <w:rFonts w:ascii="楷体"/>
                            <w:w w:val="99"/>
                            <w:sz w:val="20"/>
                          </w:rPr>
                          <w:t>8</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531.5</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37</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浙江安吉农商行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湖州</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2.7</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8</w:t>
                        </w:r>
                      </w:p>
                    </w:tc>
                    <w:tc>
                      <w:tcPr>
                        <w:tcW w:w="934" w:type="dxa"/>
                        <w:shd w:val="clear" w:color="auto" w:fill="F1F1F1"/>
                      </w:tcPr>
                      <w:p>
                        <w:pPr>
                          <w:pStyle w:val="TableParagraph"/>
                          <w:spacing w:before="25"/>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810.5</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465"/>
                          <w:jc w:val="left"/>
                          <w:rPr>
                            <w:rFonts w:ascii="楷体"/>
                            <w:sz w:val="20"/>
                          </w:rPr>
                        </w:pPr>
                        <w:r>
                          <w:rPr>
                            <w:rFonts w:ascii="楷体"/>
                            <w:sz w:val="20"/>
                          </w:rPr>
                          <w:t>51</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浙江海宁农商行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嘉兴</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3"/>
                          <w:ind w:left="340"/>
                          <w:jc w:val="left"/>
                          <w:rPr>
                            <w:rFonts w:ascii="楷体"/>
                            <w:sz w:val="20"/>
                          </w:rPr>
                        </w:pPr>
                        <w:r>
                          <w:rPr>
                            <w:rFonts w:ascii="楷体"/>
                            <w:sz w:val="20"/>
                          </w:rPr>
                          <w:t>2.5</w:t>
                        </w:r>
                      </w:p>
                    </w:tc>
                    <w:tc>
                      <w:tcPr>
                        <w:tcW w:w="1312" w:type="dxa"/>
                      </w:tcPr>
                      <w:p>
                        <w:pPr>
                          <w:pStyle w:val="TableParagraph"/>
                          <w:spacing w:before="37" w:line="250" w:lineRule="exact"/>
                          <w:ind w:left="411"/>
                          <w:jc w:val="left"/>
                          <w:rPr>
                            <w:rFonts w:ascii="楷体"/>
                            <w:sz w:val="20"/>
                          </w:rPr>
                        </w:pPr>
                        <w:r>
                          <w:rPr>
                            <w:rFonts w:ascii="楷体"/>
                            <w:sz w:val="20"/>
                          </w:rPr>
                          <w:t>AA-</w:t>
                        </w:r>
                      </w:p>
                    </w:tc>
                    <w:tc>
                      <w:tcPr>
                        <w:tcW w:w="1413" w:type="dxa"/>
                      </w:tcPr>
                      <w:p>
                        <w:pPr>
                          <w:pStyle w:val="TableParagraph"/>
                          <w:spacing w:before="37" w:line="250" w:lineRule="exact"/>
                          <w:ind w:right="423"/>
                          <w:jc w:val="right"/>
                          <w:rPr>
                            <w:rFonts w:ascii="楷体"/>
                            <w:sz w:val="20"/>
                          </w:rPr>
                        </w:pPr>
                        <w:r>
                          <w:rPr>
                            <w:rFonts w:ascii="楷体"/>
                            <w:w w:val="99"/>
                            <w:sz w:val="20"/>
                          </w:rPr>
                          <w:t>8</w:t>
                        </w:r>
                      </w:p>
                    </w:tc>
                    <w:tc>
                      <w:tcPr>
                        <w:tcW w:w="934" w:type="dxa"/>
                      </w:tcPr>
                      <w:p>
                        <w:pPr>
                          <w:pStyle w:val="TableParagraph"/>
                          <w:spacing w:before="23"/>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458.7</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3"/>
                          <w:ind w:left="465"/>
                          <w:jc w:val="left"/>
                          <w:rPr>
                            <w:rFonts w:ascii="楷体"/>
                            <w:sz w:val="20"/>
                          </w:rPr>
                        </w:pPr>
                        <w:r>
                          <w:rPr>
                            <w:rFonts w:ascii="楷体"/>
                            <w:sz w:val="20"/>
                          </w:rPr>
                          <w:t>21</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浙江南浔农商行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湖州</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3"/>
                          <w:ind w:left="340"/>
                          <w:jc w:val="left"/>
                          <w:rPr>
                            <w:rFonts w:ascii="楷体"/>
                            <w:sz w:val="20"/>
                          </w:rPr>
                        </w:pPr>
                        <w:r>
                          <w:rPr>
                            <w:rFonts w:ascii="楷体"/>
                            <w:sz w:val="20"/>
                          </w:rPr>
                          <w:t>3.0</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7</w:t>
                        </w:r>
                      </w:p>
                    </w:tc>
                    <w:tc>
                      <w:tcPr>
                        <w:tcW w:w="934" w:type="dxa"/>
                        <w:shd w:val="clear" w:color="auto" w:fill="F1F1F1"/>
                      </w:tcPr>
                      <w:p>
                        <w:pPr>
                          <w:pStyle w:val="TableParagraph"/>
                          <w:spacing w:before="23"/>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347.6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465"/>
                          <w:jc w:val="left"/>
                          <w:rPr>
                            <w:rFonts w:ascii="楷体"/>
                            <w:sz w:val="20"/>
                          </w:rPr>
                        </w:pPr>
                        <w:r>
                          <w:rPr>
                            <w:rFonts w:ascii="楷体"/>
                            <w:sz w:val="20"/>
                          </w:rPr>
                          <w:t>32</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浙江海盐农商行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嘉兴</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3"/>
                          <w:ind w:left="340"/>
                          <w:jc w:val="left"/>
                          <w:rPr>
                            <w:rFonts w:ascii="楷体"/>
                            <w:sz w:val="20"/>
                          </w:rPr>
                        </w:pPr>
                        <w:r>
                          <w:rPr>
                            <w:rFonts w:ascii="楷体"/>
                            <w:sz w:val="20"/>
                          </w:rPr>
                          <w:t>2.8</w:t>
                        </w:r>
                      </w:p>
                    </w:tc>
                    <w:tc>
                      <w:tcPr>
                        <w:tcW w:w="1312" w:type="dxa"/>
                      </w:tcPr>
                      <w:p>
                        <w:pPr>
                          <w:pStyle w:val="TableParagraph"/>
                          <w:spacing w:before="37" w:line="250" w:lineRule="exact"/>
                          <w:ind w:left="411"/>
                          <w:jc w:val="left"/>
                          <w:rPr>
                            <w:rFonts w:ascii="楷体"/>
                            <w:sz w:val="20"/>
                          </w:rPr>
                        </w:pPr>
                        <w:r>
                          <w:rPr>
                            <w:rFonts w:ascii="楷体"/>
                            <w:sz w:val="20"/>
                          </w:rPr>
                          <w:t>AA+</w:t>
                        </w:r>
                      </w:p>
                    </w:tc>
                    <w:tc>
                      <w:tcPr>
                        <w:tcW w:w="1413" w:type="dxa"/>
                      </w:tcPr>
                      <w:p>
                        <w:pPr>
                          <w:pStyle w:val="TableParagraph"/>
                          <w:spacing w:before="37" w:line="250" w:lineRule="exact"/>
                          <w:ind w:right="423"/>
                          <w:jc w:val="right"/>
                          <w:rPr>
                            <w:rFonts w:ascii="楷体"/>
                            <w:sz w:val="20"/>
                          </w:rPr>
                        </w:pPr>
                        <w:r>
                          <w:rPr>
                            <w:rFonts w:ascii="楷体"/>
                            <w:w w:val="99"/>
                            <w:sz w:val="20"/>
                          </w:rPr>
                          <w:t>7</w:t>
                        </w:r>
                      </w:p>
                    </w:tc>
                    <w:tc>
                      <w:tcPr>
                        <w:tcW w:w="934" w:type="dxa"/>
                      </w:tcPr>
                      <w:p>
                        <w:pPr>
                          <w:pStyle w:val="TableParagraph"/>
                          <w:spacing w:before="23"/>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761.5</w:t>
                        </w:r>
                      </w:p>
                    </w:tc>
                  </w:tr>
                  <w:tr>
                    <w:tblPrEx>
                      <w:tblW w:w="0" w:type="auto"/>
                      <w:jc w:val="left"/>
                      <w:tblInd w:w="7" w:type="dxa"/>
                      <w:tblLayout w:type="fixed"/>
                      <w:tblCellMar>
                        <w:top w:w="0" w:type="dxa"/>
                        <w:left w:w="0" w:type="dxa"/>
                        <w:bottom w:w="0" w:type="dxa"/>
                        <w:right w:w="0" w:type="dxa"/>
                      </w:tblCellMar>
                      <w:tblLook w:val="01E0"/>
                    </w:tblPrEx>
                    <w:trPr>
                      <w:trHeight w:val="304"/>
                      <w:jc w:val="left"/>
                    </w:trPr>
                    <w:tc>
                      <w:tcPr>
                        <w:tcW w:w="1089" w:type="dxa"/>
                        <w:shd w:val="clear" w:color="auto" w:fill="F1F1F1"/>
                      </w:tcPr>
                      <w:p>
                        <w:pPr>
                          <w:pStyle w:val="TableParagraph"/>
                          <w:spacing w:before="23"/>
                          <w:ind w:left="465"/>
                          <w:jc w:val="left"/>
                          <w:rPr>
                            <w:rFonts w:ascii="楷体"/>
                            <w:sz w:val="20"/>
                          </w:rPr>
                        </w:pPr>
                        <w:r>
                          <w:rPr>
                            <w:rFonts w:ascii="楷体"/>
                            <w:sz w:val="20"/>
                          </w:rPr>
                          <w:t>19</w:t>
                        </w:r>
                      </w:p>
                    </w:tc>
                    <w:tc>
                      <w:tcPr>
                        <w:tcW w:w="2521" w:type="dxa"/>
                        <w:shd w:val="clear" w:color="auto" w:fill="F1F1F1"/>
                      </w:tcPr>
                      <w:p>
                        <w:pPr>
                          <w:pStyle w:val="TableParagraph"/>
                          <w:spacing w:before="37" w:line="247" w:lineRule="exact"/>
                          <w:ind w:left="399" w:right="281"/>
                          <w:rPr>
                            <w:rFonts w:ascii="楷体" w:eastAsia="楷体" w:hint="eastAsia"/>
                            <w:sz w:val="20"/>
                          </w:rPr>
                        </w:pPr>
                        <w:r>
                          <w:rPr>
                            <w:rFonts w:ascii="楷体" w:eastAsia="楷体" w:hint="eastAsia"/>
                            <w:sz w:val="20"/>
                          </w:rPr>
                          <w:t>浙江温州龙湾农商行</w:t>
                        </w:r>
                      </w:p>
                    </w:tc>
                    <w:tc>
                      <w:tcPr>
                        <w:tcW w:w="948" w:type="dxa"/>
                        <w:shd w:val="clear" w:color="auto" w:fill="F1F1F1"/>
                      </w:tcPr>
                      <w:p>
                        <w:pPr>
                          <w:pStyle w:val="TableParagraph"/>
                          <w:spacing w:before="37" w:line="247" w:lineRule="exact"/>
                          <w:ind w:left="279" w:right="228"/>
                          <w:rPr>
                            <w:rFonts w:ascii="楷体" w:eastAsia="楷体" w:hint="eastAsia"/>
                            <w:sz w:val="20"/>
                          </w:rPr>
                        </w:pPr>
                        <w:r>
                          <w:rPr>
                            <w:rFonts w:ascii="楷体" w:eastAsia="楷体" w:hint="eastAsia"/>
                            <w:sz w:val="20"/>
                          </w:rPr>
                          <w:t>温州</w:t>
                        </w:r>
                      </w:p>
                    </w:tc>
                    <w:tc>
                      <w:tcPr>
                        <w:tcW w:w="1189" w:type="dxa"/>
                        <w:shd w:val="clear" w:color="auto" w:fill="F1F1F1"/>
                      </w:tcPr>
                      <w:p>
                        <w:pPr>
                          <w:pStyle w:val="TableParagraph"/>
                          <w:spacing w:before="37" w:line="24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3"/>
                          <w:ind w:left="340"/>
                          <w:jc w:val="left"/>
                          <w:rPr>
                            <w:rFonts w:ascii="楷体"/>
                            <w:sz w:val="20"/>
                          </w:rPr>
                        </w:pPr>
                        <w:r>
                          <w:rPr>
                            <w:rFonts w:ascii="楷体"/>
                            <w:sz w:val="20"/>
                          </w:rPr>
                          <w:t>3.0</w:t>
                        </w:r>
                      </w:p>
                    </w:tc>
                    <w:tc>
                      <w:tcPr>
                        <w:tcW w:w="1312" w:type="dxa"/>
                        <w:shd w:val="clear" w:color="auto" w:fill="F1F1F1"/>
                      </w:tcPr>
                      <w:p>
                        <w:pPr>
                          <w:pStyle w:val="TableParagraph"/>
                          <w:spacing w:before="37" w:line="247"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47" w:lineRule="exact"/>
                          <w:ind w:right="423"/>
                          <w:jc w:val="right"/>
                          <w:rPr>
                            <w:rFonts w:ascii="楷体"/>
                            <w:sz w:val="20"/>
                          </w:rPr>
                        </w:pPr>
                        <w:r>
                          <w:rPr>
                            <w:rFonts w:ascii="楷体"/>
                            <w:w w:val="99"/>
                            <w:sz w:val="20"/>
                          </w:rPr>
                          <w:t>6</w:t>
                        </w:r>
                      </w:p>
                    </w:tc>
                    <w:tc>
                      <w:tcPr>
                        <w:tcW w:w="934" w:type="dxa"/>
                        <w:shd w:val="clear" w:color="auto" w:fill="F1F1F1"/>
                      </w:tcPr>
                      <w:p>
                        <w:pPr>
                          <w:pStyle w:val="TableParagraph"/>
                          <w:spacing w:before="23"/>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47" w:lineRule="exact"/>
                          <w:ind w:right="117"/>
                          <w:jc w:val="right"/>
                          <w:rPr>
                            <w:rFonts w:ascii="楷体"/>
                            <w:sz w:val="20"/>
                          </w:rPr>
                        </w:pPr>
                        <w:r>
                          <w:rPr>
                            <w:rFonts w:ascii="楷体"/>
                            <w:w w:val="95"/>
                            <w:sz w:val="20"/>
                          </w:rPr>
                          <w:t>788.0</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46</w:t>
                        </w:r>
                      </w:p>
                    </w:tc>
                    <w:tc>
                      <w:tcPr>
                        <w:tcW w:w="2521" w:type="dxa"/>
                      </w:tcPr>
                      <w:p>
                        <w:pPr>
                          <w:pStyle w:val="TableParagraph"/>
                          <w:spacing w:before="40" w:line="247" w:lineRule="exact"/>
                          <w:ind w:left="399" w:right="279"/>
                          <w:rPr>
                            <w:rFonts w:ascii="楷体" w:eastAsia="楷体" w:hint="eastAsia"/>
                            <w:sz w:val="20"/>
                          </w:rPr>
                        </w:pPr>
                        <w:r>
                          <w:rPr>
                            <w:rFonts w:ascii="楷体" w:eastAsia="楷体" w:hint="eastAsia"/>
                            <w:sz w:val="20"/>
                          </w:rPr>
                          <w:t>浙江江山农商行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衢州</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2.6</w:t>
                        </w:r>
                      </w:p>
                    </w:tc>
                    <w:tc>
                      <w:tcPr>
                        <w:tcW w:w="1312" w:type="dxa"/>
                      </w:tcPr>
                      <w:p>
                        <w:pPr>
                          <w:pStyle w:val="TableParagraph"/>
                          <w:spacing w:before="40" w:line="247" w:lineRule="exact"/>
                          <w:ind w:left="411"/>
                          <w:jc w:val="left"/>
                          <w:rPr>
                            <w:rFonts w:ascii="楷体"/>
                            <w:sz w:val="20"/>
                          </w:rPr>
                        </w:pPr>
                        <w:r>
                          <w:rPr>
                            <w:rFonts w:ascii="楷体"/>
                            <w:sz w:val="20"/>
                          </w:rPr>
                          <w:t>AA-</w:t>
                        </w:r>
                      </w:p>
                    </w:tc>
                    <w:tc>
                      <w:tcPr>
                        <w:tcW w:w="1413" w:type="dxa"/>
                      </w:tcPr>
                      <w:p>
                        <w:pPr>
                          <w:pStyle w:val="TableParagraph"/>
                          <w:spacing w:before="40" w:line="247" w:lineRule="exact"/>
                          <w:ind w:right="423"/>
                          <w:jc w:val="right"/>
                          <w:rPr>
                            <w:rFonts w:ascii="楷体"/>
                            <w:sz w:val="20"/>
                          </w:rPr>
                        </w:pPr>
                        <w:r>
                          <w:rPr>
                            <w:rFonts w:ascii="楷体"/>
                            <w:w w:val="99"/>
                            <w:sz w:val="20"/>
                          </w:rPr>
                          <w:t>6</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40" w:line="247" w:lineRule="exact"/>
                          <w:ind w:right="117"/>
                          <w:jc w:val="right"/>
                          <w:rPr>
                            <w:rFonts w:ascii="楷体"/>
                            <w:sz w:val="20"/>
                          </w:rPr>
                        </w:pPr>
                        <w:r>
                          <w:rPr>
                            <w:rFonts w:ascii="楷体"/>
                            <w:w w:val="95"/>
                            <w:sz w:val="20"/>
                          </w:rPr>
                          <w:t>385.6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60</w:t>
                        </w:r>
                      </w:p>
                    </w:tc>
                    <w:tc>
                      <w:tcPr>
                        <w:tcW w:w="2521" w:type="dxa"/>
                        <w:shd w:val="clear" w:color="auto" w:fill="F1F1F1"/>
                      </w:tcPr>
                      <w:p>
                        <w:pPr>
                          <w:pStyle w:val="TableParagraph"/>
                          <w:spacing w:before="40" w:line="247" w:lineRule="exact"/>
                          <w:ind w:left="399" w:right="281"/>
                          <w:rPr>
                            <w:rFonts w:ascii="楷体" w:eastAsia="楷体" w:hint="eastAsia"/>
                            <w:sz w:val="20"/>
                          </w:rPr>
                        </w:pPr>
                        <w:r>
                          <w:rPr>
                            <w:rFonts w:ascii="楷体" w:eastAsia="楷体" w:hint="eastAsia"/>
                            <w:sz w:val="20"/>
                          </w:rPr>
                          <w:t>浙江绍兴恒信农商行</w:t>
                        </w:r>
                      </w:p>
                    </w:tc>
                    <w:tc>
                      <w:tcPr>
                        <w:tcW w:w="948" w:type="dxa"/>
                        <w:shd w:val="clear" w:color="auto" w:fill="F1F1F1"/>
                      </w:tcPr>
                      <w:p>
                        <w:pPr>
                          <w:pStyle w:val="TableParagraph"/>
                          <w:spacing w:before="40" w:line="247" w:lineRule="exact"/>
                          <w:ind w:left="279" w:right="228"/>
                          <w:rPr>
                            <w:rFonts w:ascii="楷体" w:eastAsia="楷体" w:hint="eastAsia"/>
                            <w:sz w:val="20"/>
                          </w:rPr>
                        </w:pPr>
                        <w:r>
                          <w:rPr>
                            <w:rFonts w:ascii="楷体" w:eastAsia="楷体" w:hint="eastAsia"/>
                            <w:sz w:val="20"/>
                          </w:rPr>
                          <w:t>绍兴</w:t>
                        </w:r>
                      </w:p>
                    </w:tc>
                    <w:tc>
                      <w:tcPr>
                        <w:tcW w:w="1189" w:type="dxa"/>
                        <w:shd w:val="clear" w:color="auto" w:fill="F1F1F1"/>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2.2</w:t>
                        </w:r>
                      </w:p>
                    </w:tc>
                    <w:tc>
                      <w:tcPr>
                        <w:tcW w:w="1312" w:type="dxa"/>
                        <w:shd w:val="clear" w:color="auto" w:fill="F1F1F1"/>
                      </w:tcPr>
                      <w:p>
                        <w:pPr>
                          <w:pStyle w:val="TableParagraph"/>
                          <w:spacing w:before="40" w:line="247" w:lineRule="exact"/>
                          <w:ind w:left="411"/>
                          <w:jc w:val="left"/>
                          <w:rPr>
                            <w:rFonts w:ascii="楷体"/>
                            <w:sz w:val="20"/>
                          </w:rPr>
                        </w:pPr>
                        <w:r>
                          <w:rPr>
                            <w:rFonts w:ascii="楷体"/>
                            <w:sz w:val="20"/>
                          </w:rPr>
                          <w:t>AA-</w:t>
                        </w:r>
                      </w:p>
                    </w:tc>
                    <w:tc>
                      <w:tcPr>
                        <w:tcW w:w="1413" w:type="dxa"/>
                        <w:shd w:val="clear" w:color="auto" w:fill="F1F1F1"/>
                      </w:tcPr>
                      <w:p>
                        <w:pPr>
                          <w:pStyle w:val="TableParagraph"/>
                          <w:spacing w:before="40" w:line="247" w:lineRule="exact"/>
                          <w:ind w:right="423"/>
                          <w:jc w:val="right"/>
                          <w:rPr>
                            <w:rFonts w:ascii="楷体"/>
                            <w:sz w:val="20"/>
                          </w:rPr>
                        </w:pPr>
                        <w:r>
                          <w:rPr>
                            <w:rFonts w:ascii="楷体"/>
                            <w:w w:val="99"/>
                            <w:sz w:val="20"/>
                          </w:rPr>
                          <w:t>6</w:t>
                        </w:r>
                      </w:p>
                    </w:tc>
                    <w:tc>
                      <w:tcPr>
                        <w:tcW w:w="934" w:type="dxa"/>
                        <w:shd w:val="clear" w:color="auto" w:fill="F1F1F1"/>
                      </w:tcPr>
                      <w:p>
                        <w:pPr>
                          <w:pStyle w:val="TableParagraph"/>
                          <w:spacing w:before="25"/>
                          <w:ind w:right="224"/>
                          <w:jc w:val="right"/>
                          <w:rPr>
                            <w:rFonts w:ascii="楷体"/>
                            <w:sz w:val="20"/>
                          </w:rPr>
                        </w:pPr>
                        <w:r>
                          <w:rPr>
                            <w:rFonts w:ascii="楷体"/>
                            <w:w w:val="99"/>
                            <w:sz w:val="20"/>
                          </w:rPr>
                          <w:t>-</w:t>
                        </w:r>
                      </w:p>
                    </w:tc>
                    <w:tc>
                      <w:tcPr>
                        <w:tcW w:w="1028" w:type="dxa"/>
                        <w:shd w:val="clear" w:color="auto" w:fill="F1F1F1"/>
                      </w:tcPr>
                      <w:p>
                        <w:pPr>
                          <w:pStyle w:val="TableParagraph"/>
                          <w:spacing w:before="40" w:line="247" w:lineRule="exact"/>
                          <w:ind w:right="117"/>
                          <w:jc w:val="right"/>
                          <w:rPr>
                            <w:rFonts w:ascii="楷体"/>
                            <w:sz w:val="20"/>
                          </w:rPr>
                        </w:pPr>
                        <w:r>
                          <w:rPr>
                            <w:rFonts w:ascii="楷体"/>
                            <w:w w:val="95"/>
                            <w:sz w:val="20"/>
                          </w:rPr>
                          <w:t>399.1</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6"/>
                          <w:ind w:left="465"/>
                          <w:jc w:val="left"/>
                          <w:rPr>
                            <w:rFonts w:ascii="楷体"/>
                            <w:sz w:val="20"/>
                          </w:rPr>
                        </w:pPr>
                        <w:r>
                          <w:rPr>
                            <w:rFonts w:ascii="楷体"/>
                            <w:sz w:val="20"/>
                          </w:rPr>
                          <w:t>12</w:t>
                        </w:r>
                      </w:p>
                    </w:tc>
                    <w:tc>
                      <w:tcPr>
                        <w:tcW w:w="2521" w:type="dxa"/>
                      </w:tcPr>
                      <w:p>
                        <w:pPr>
                          <w:pStyle w:val="TableParagraph"/>
                          <w:spacing w:before="40" w:line="247" w:lineRule="exact"/>
                          <w:ind w:left="399" w:right="279"/>
                          <w:rPr>
                            <w:rFonts w:ascii="楷体" w:eastAsia="楷体" w:hint="eastAsia"/>
                            <w:sz w:val="20"/>
                          </w:rPr>
                        </w:pPr>
                        <w:r>
                          <w:rPr>
                            <w:rFonts w:ascii="楷体" w:eastAsia="楷体" w:hint="eastAsia"/>
                            <w:sz w:val="20"/>
                          </w:rPr>
                          <w:t>浙江德清农商行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湖州</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6"/>
                          <w:ind w:left="340"/>
                          <w:jc w:val="left"/>
                          <w:rPr>
                            <w:rFonts w:ascii="楷体"/>
                            <w:sz w:val="20"/>
                          </w:rPr>
                        </w:pPr>
                        <w:r>
                          <w:rPr>
                            <w:rFonts w:ascii="楷体"/>
                            <w:sz w:val="20"/>
                          </w:rPr>
                          <w:t>3.1</w:t>
                        </w:r>
                      </w:p>
                    </w:tc>
                    <w:tc>
                      <w:tcPr>
                        <w:tcW w:w="1312" w:type="dxa"/>
                      </w:tcPr>
                      <w:p>
                        <w:pPr>
                          <w:pStyle w:val="TableParagraph"/>
                          <w:spacing w:before="40" w:line="247" w:lineRule="exact"/>
                          <w:ind w:left="461"/>
                          <w:jc w:val="left"/>
                          <w:rPr>
                            <w:rFonts w:ascii="楷体"/>
                            <w:sz w:val="20"/>
                          </w:rPr>
                        </w:pPr>
                        <w:r>
                          <w:rPr>
                            <w:rFonts w:ascii="楷体"/>
                            <w:sz w:val="20"/>
                          </w:rPr>
                          <w:t>AA</w:t>
                        </w:r>
                      </w:p>
                    </w:tc>
                    <w:tc>
                      <w:tcPr>
                        <w:tcW w:w="1413" w:type="dxa"/>
                      </w:tcPr>
                      <w:p>
                        <w:pPr>
                          <w:pStyle w:val="TableParagraph"/>
                          <w:spacing w:before="40" w:line="247" w:lineRule="exact"/>
                          <w:ind w:right="423"/>
                          <w:jc w:val="right"/>
                          <w:rPr>
                            <w:rFonts w:ascii="楷体"/>
                            <w:sz w:val="20"/>
                          </w:rPr>
                        </w:pPr>
                        <w:r>
                          <w:rPr>
                            <w:rFonts w:ascii="楷体"/>
                            <w:w w:val="99"/>
                            <w:sz w:val="20"/>
                          </w:rPr>
                          <w:t>5</w:t>
                        </w:r>
                      </w:p>
                    </w:tc>
                    <w:tc>
                      <w:tcPr>
                        <w:tcW w:w="934" w:type="dxa"/>
                      </w:tcPr>
                      <w:p>
                        <w:pPr>
                          <w:pStyle w:val="TableParagraph"/>
                          <w:spacing w:before="26"/>
                          <w:ind w:right="224"/>
                          <w:jc w:val="right"/>
                          <w:rPr>
                            <w:rFonts w:ascii="楷体"/>
                            <w:sz w:val="20"/>
                          </w:rPr>
                        </w:pPr>
                        <w:r>
                          <w:rPr>
                            <w:rFonts w:ascii="楷体"/>
                            <w:w w:val="99"/>
                            <w:sz w:val="20"/>
                          </w:rPr>
                          <w:t>-</w:t>
                        </w:r>
                      </w:p>
                    </w:tc>
                    <w:tc>
                      <w:tcPr>
                        <w:tcW w:w="1028" w:type="dxa"/>
                      </w:tcPr>
                      <w:p>
                        <w:pPr>
                          <w:pStyle w:val="TableParagraph"/>
                          <w:spacing w:before="40" w:line="247" w:lineRule="exact"/>
                          <w:ind w:right="117"/>
                          <w:jc w:val="right"/>
                          <w:rPr>
                            <w:rFonts w:ascii="楷体"/>
                            <w:sz w:val="20"/>
                          </w:rPr>
                        </w:pPr>
                        <w:r>
                          <w:rPr>
                            <w:rFonts w:ascii="楷体"/>
                            <w:w w:val="95"/>
                            <w:sz w:val="20"/>
                          </w:rPr>
                          <w:t>759.7</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16</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浙江建德农商行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杭州</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3.0</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5</w:t>
                        </w:r>
                      </w:p>
                    </w:tc>
                    <w:tc>
                      <w:tcPr>
                        <w:tcW w:w="934" w:type="dxa"/>
                        <w:shd w:val="clear" w:color="auto" w:fill="F1F1F1"/>
                      </w:tcPr>
                      <w:p>
                        <w:pPr>
                          <w:pStyle w:val="TableParagraph"/>
                          <w:spacing w:before="25"/>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326.8</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25</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浙江诸暨农商行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绍兴</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2.9</w:t>
                        </w:r>
                      </w:p>
                    </w:tc>
                    <w:tc>
                      <w:tcPr>
                        <w:tcW w:w="1312" w:type="dxa"/>
                      </w:tcPr>
                      <w:p>
                        <w:pPr>
                          <w:pStyle w:val="TableParagraph"/>
                          <w:spacing w:before="37" w:line="250" w:lineRule="exact"/>
                          <w:ind w:left="461"/>
                          <w:jc w:val="left"/>
                          <w:rPr>
                            <w:rFonts w:ascii="楷体"/>
                            <w:sz w:val="20"/>
                          </w:rPr>
                        </w:pPr>
                        <w:r>
                          <w:rPr>
                            <w:rFonts w:ascii="楷体"/>
                            <w:sz w:val="20"/>
                          </w:rPr>
                          <w:t>AA</w:t>
                        </w:r>
                      </w:p>
                    </w:tc>
                    <w:tc>
                      <w:tcPr>
                        <w:tcW w:w="1413" w:type="dxa"/>
                      </w:tcPr>
                      <w:p>
                        <w:pPr>
                          <w:pStyle w:val="TableParagraph"/>
                          <w:spacing w:before="37" w:line="250" w:lineRule="exact"/>
                          <w:ind w:right="423"/>
                          <w:jc w:val="right"/>
                          <w:rPr>
                            <w:rFonts w:ascii="楷体"/>
                            <w:sz w:val="20"/>
                          </w:rPr>
                        </w:pPr>
                        <w:r>
                          <w:rPr>
                            <w:rFonts w:ascii="楷体"/>
                            <w:w w:val="99"/>
                            <w:sz w:val="20"/>
                          </w:rPr>
                          <w:t>5</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732.9</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30</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浙江武义农商行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金华</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2.8</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5</w:t>
                        </w:r>
                      </w:p>
                    </w:tc>
                    <w:tc>
                      <w:tcPr>
                        <w:tcW w:w="934" w:type="dxa"/>
                        <w:shd w:val="clear" w:color="auto" w:fill="F1F1F1"/>
                      </w:tcPr>
                      <w:p>
                        <w:pPr>
                          <w:pStyle w:val="TableParagraph"/>
                          <w:spacing w:before="25"/>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318.4</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33</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浙江平湖农商行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嘉兴</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2.8</w:t>
                        </w:r>
                      </w:p>
                    </w:tc>
                    <w:tc>
                      <w:tcPr>
                        <w:tcW w:w="1312" w:type="dxa"/>
                      </w:tcPr>
                      <w:p>
                        <w:pPr>
                          <w:pStyle w:val="TableParagraph"/>
                          <w:spacing w:before="37" w:line="250" w:lineRule="exact"/>
                          <w:ind w:left="461"/>
                          <w:jc w:val="left"/>
                          <w:rPr>
                            <w:rFonts w:ascii="楷体"/>
                            <w:sz w:val="20"/>
                          </w:rPr>
                        </w:pPr>
                        <w:r>
                          <w:rPr>
                            <w:rFonts w:ascii="楷体"/>
                            <w:sz w:val="20"/>
                          </w:rPr>
                          <w:t>AA</w:t>
                        </w:r>
                      </w:p>
                    </w:tc>
                    <w:tc>
                      <w:tcPr>
                        <w:tcW w:w="1413" w:type="dxa"/>
                      </w:tcPr>
                      <w:p>
                        <w:pPr>
                          <w:pStyle w:val="TableParagraph"/>
                          <w:spacing w:before="37" w:line="250" w:lineRule="exact"/>
                          <w:ind w:right="423"/>
                          <w:jc w:val="right"/>
                          <w:rPr>
                            <w:rFonts w:ascii="楷体"/>
                            <w:sz w:val="20"/>
                          </w:rPr>
                        </w:pPr>
                        <w:r>
                          <w:rPr>
                            <w:rFonts w:ascii="楷体"/>
                            <w:w w:val="99"/>
                            <w:sz w:val="20"/>
                          </w:rPr>
                          <w:t>5</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461.2</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34</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宁波北仑农商行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宁波</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2.7</w:t>
                        </w:r>
                      </w:p>
                    </w:tc>
                    <w:tc>
                      <w:tcPr>
                        <w:tcW w:w="1312" w:type="dxa"/>
                        <w:shd w:val="clear" w:color="auto" w:fill="F1F1F1"/>
                      </w:tcPr>
                      <w:p>
                        <w:pPr>
                          <w:pStyle w:val="TableParagraph"/>
                          <w:spacing w:before="37" w:line="250" w:lineRule="exact"/>
                          <w:ind w:left="46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5</w:t>
                        </w:r>
                      </w:p>
                    </w:tc>
                    <w:tc>
                      <w:tcPr>
                        <w:tcW w:w="934" w:type="dxa"/>
                        <w:shd w:val="clear" w:color="auto" w:fill="F1F1F1"/>
                      </w:tcPr>
                      <w:p>
                        <w:pPr>
                          <w:pStyle w:val="TableParagraph"/>
                          <w:spacing w:before="25"/>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449.7</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465"/>
                          <w:jc w:val="left"/>
                          <w:rPr>
                            <w:rFonts w:ascii="楷体"/>
                            <w:sz w:val="20"/>
                          </w:rPr>
                        </w:pPr>
                        <w:r>
                          <w:rPr>
                            <w:rFonts w:ascii="楷体"/>
                            <w:sz w:val="20"/>
                          </w:rPr>
                          <w:t>47</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浙江长兴农商行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湖州</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3"/>
                          <w:ind w:left="340"/>
                          <w:jc w:val="left"/>
                          <w:rPr>
                            <w:rFonts w:ascii="楷体"/>
                            <w:sz w:val="20"/>
                          </w:rPr>
                        </w:pPr>
                        <w:r>
                          <w:rPr>
                            <w:rFonts w:ascii="楷体"/>
                            <w:sz w:val="20"/>
                          </w:rPr>
                          <w:t>2.6</w:t>
                        </w:r>
                      </w:p>
                    </w:tc>
                    <w:tc>
                      <w:tcPr>
                        <w:tcW w:w="1312" w:type="dxa"/>
                      </w:tcPr>
                      <w:p>
                        <w:pPr>
                          <w:pStyle w:val="TableParagraph"/>
                          <w:spacing w:before="37" w:line="250" w:lineRule="exact"/>
                          <w:ind w:left="461"/>
                          <w:jc w:val="left"/>
                          <w:rPr>
                            <w:rFonts w:ascii="楷体"/>
                            <w:sz w:val="20"/>
                          </w:rPr>
                        </w:pPr>
                        <w:r>
                          <w:rPr>
                            <w:rFonts w:ascii="楷体"/>
                            <w:sz w:val="20"/>
                          </w:rPr>
                          <w:t>AA</w:t>
                        </w:r>
                      </w:p>
                    </w:tc>
                    <w:tc>
                      <w:tcPr>
                        <w:tcW w:w="1413" w:type="dxa"/>
                      </w:tcPr>
                      <w:p>
                        <w:pPr>
                          <w:pStyle w:val="TableParagraph"/>
                          <w:spacing w:before="37" w:line="250" w:lineRule="exact"/>
                          <w:ind w:right="423"/>
                          <w:jc w:val="right"/>
                          <w:rPr>
                            <w:rFonts w:ascii="楷体"/>
                            <w:sz w:val="20"/>
                          </w:rPr>
                        </w:pPr>
                        <w:r>
                          <w:rPr>
                            <w:rFonts w:ascii="楷体"/>
                            <w:w w:val="99"/>
                            <w:sz w:val="20"/>
                          </w:rPr>
                          <w:t>5</w:t>
                        </w:r>
                      </w:p>
                    </w:tc>
                    <w:tc>
                      <w:tcPr>
                        <w:tcW w:w="934" w:type="dxa"/>
                      </w:tcPr>
                      <w:p>
                        <w:pPr>
                          <w:pStyle w:val="TableParagraph"/>
                          <w:spacing w:before="23"/>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520.7</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3"/>
                          <w:ind w:left="465"/>
                          <w:jc w:val="left"/>
                          <w:rPr>
                            <w:rFonts w:ascii="楷体"/>
                            <w:sz w:val="20"/>
                          </w:rPr>
                        </w:pPr>
                        <w:r>
                          <w:rPr>
                            <w:rFonts w:ascii="楷体"/>
                            <w:sz w:val="20"/>
                          </w:rPr>
                          <w:t>49</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宁波奉化农商行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宁波</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3"/>
                          <w:ind w:left="340"/>
                          <w:jc w:val="left"/>
                          <w:rPr>
                            <w:rFonts w:ascii="楷体"/>
                            <w:sz w:val="20"/>
                          </w:rPr>
                        </w:pPr>
                        <w:r>
                          <w:rPr>
                            <w:rFonts w:ascii="楷体"/>
                            <w:sz w:val="20"/>
                          </w:rPr>
                          <w:t>2.5</w:t>
                        </w:r>
                      </w:p>
                    </w:tc>
                    <w:tc>
                      <w:tcPr>
                        <w:tcW w:w="1312" w:type="dxa"/>
                        <w:shd w:val="clear" w:color="auto" w:fill="F1F1F1"/>
                      </w:tcPr>
                      <w:p>
                        <w:pPr>
                          <w:pStyle w:val="TableParagraph"/>
                          <w:spacing w:before="37" w:line="250"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5</w:t>
                        </w:r>
                      </w:p>
                    </w:tc>
                    <w:tc>
                      <w:tcPr>
                        <w:tcW w:w="934" w:type="dxa"/>
                        <w:shd w:val="clear" w:color="auto" w:fill="F1F1F1"/>
                      </w:tcPr>
                      <w:p>
                        <w:pPr>
                          <w:pStyle w:val="TableParagraph"/>
                          <w:spacing w:before="23"/>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294.9</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3"/>
                          <w:ind w:left="465"/>
                          <w:jc w:val="left"/>
                          <w:rPr>
                            <w:rFonts w:ascii="楷体"/>
                            <w:sz w:val="20"/>
                          </w:rPr>
                        </w:pPr>
                        <w:r>
                          <w:rPr>
                            <w:rFonts w:ascii="楷体"/>
                            <w:sz w:val="20"/>
                          </w:rPr>
                          <w:t>24</w:t>
                        </w:r>
                      </w:p>
                    </w:tc>
                    <w:tc>
                      <w:tcPr>
                        <w:tcW w:w="2521" w:type="dxa"/>
                      </w:tcPr>
                      <w:p>
                        <w:pPr>
                          <w:pStyle w:val="TableParagraph"/>
                          <w:spacing w:before="37" w:line="250" w:lineRule="exact"/>
                          <w:ind w:left="399" w:right="279"/>
                          <w:rPr>
                            <w:rFonts w:ascii="楷体" w:eastAsia="楷体" w:hint="eastAsia"/>
                            <w:sz w:val="20"/>
                          </w:rPr>
                        </w:pPr>
                        <w:r>
                          <w:rPr>
                            <w:rFonts w:ascii="楷体" w:eastAsia="楷体" w:hint="eastAsia"/>
                            <w:sz w:val="20"/>
                          </w:rPr>
                          <w:t>宁波镇海农商行</w:t>
                        </w:r>
                      </w:p>
                    </w:tc>
                    <w:tc>
                      <w:tcPr>
                        <w:tcW w:w="948" w:type="dxa"/>
                      </w:tcPr>
                      <w:p>
                        <w:pPr>
                          <w:pStyle w:val="TableParagraph"/>
                          <w:spacing w:before="37" w:line="250" w:lineRule="exact"/>
                          <w:ind w:left="279" w:right="228"/>
                          <w:rPr>
                            <w:rFonts w:ascii="楷体" w:eastAsia="楷体" w:hint="eastAsia"/>
                            <w:sz w:val="20"/>
                          </w:rPr>
                        </w:pPr>
                        <w:r>
                          <w:rPr>
                            <w:rFonts w:ascii="楷体" w:eastAsia="楷体" w:hint="eastAsia"/>
                            <w:sz w:val="20"/>
                          </w:rPr>
                          <w:t>宁波</w:t>
                        </w:r>
                      </w:p>
                    </w:tc>
                    <w:tc>
                      <w:tcPr>
                        <w:tcW w:w="1189" w:type="dxa"/>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3"/>
                          <w:ind w:left="340"/>
                          <w:jc w:val="left"/>
                          <w:rPr>
                            <w:rFonts w:ascii="楷体"/>
                            <w:sz w:val="20"/>
                          </w:rPr>
                        </w:pPr>
                        <w:r>
                          <w:rPr>
                            <w:rFonts w:ascii="楷体"/>
                            <w:sz w:val="20"/>
                          </w:rPr>
                          <w:t>2.9</w:t>
                        </w:r>
                      </w:p>
                    </w:tc>
                    <w:tc>
                      <w:tcPr>
                        <w:tcW w:w="1312" w:type="dxa"/>
                      </w:tcPr>
                      <w:p>
                        <w:pPr>
                          <w:pStyle w:val="TableParagraph"/>
                          <w:spacing w:before="37" w:line="250" w:lineRule="exact"/>
                          <w:ind w:left="461"/>
                          <w:jc w:val="left"/>
                          <w:rPr>
                            <w:rFonts w:ascii="楷体"/>
                            <w:sz w:val="20"/>
                          </w:rPr>
                        </w:pPr>
                        <w:r>
                          <w:rPr>
                            <w:rFonts w:ascii="楷体"/>
                            <w:sz w:val="20"/>
                          </w:rPr>
                          <w:t>A+</w:t>
                        </w:r>
                      </w:p>
                    </w:tc>
                    <w:tc>
                      <w:tcPr>
                        <w:tcW w:w="1413" w:type="dxa"/>
                      </w:tcPr>
                      <w:p>
                        <w:pPr>
                          <w:pStyle w:val="TableParagraph"/>
                          <w:spacing w:before="37" w:line="250" w:lineRule="exact"/>
                          <w:ind w:right="419"/>
                          <w:jc w:val="right"/>
                          <w:rPr>
                            <w:rFonts w:ascii="楷体"/>
                            <w:sz w:val="20"/>
                          </w:rPr>
                        </w:pPr>
                        <w:r>
                          <w:rPr>
                            <w:rFonts w:ascii="楷体"/>
                            <w:sz w:val="20"/>
                          </w:rPr>
                          <w:t>4.6</w:t>
                        </w:r>
                      </w:p>
                    </w:tc>
                    <w:tc>
                      <w:tcPr>
                        <w:tcW w:w="934" w:type="dxa"/>
                      </w:tcPr>
                      <w:p>
                        <w:pPr>
                          <w:pStyle w:val="TableParagraph"/>
                          <w:spacing w:before="23"/>
                          <w:ind w:right="224"/>
                          <w:jc w:val="right"/>
                          <w:rPr>
                            <w:rFonts w:ascii="楷体"/>
                            <w:sz w:val="20"/>
                          </w:rPr>
                        </w:pPr>
                        <w:r>
                          <w:rPr>
                            <w:rFonts w:ascii="楷体"/>
                            <w:w w:val="99"/>
                            <w:sz w:val="20"/>
                          </w:rPr>
                          <w:t>-</w:t>
                        </w:r>
                      </w:p>
                    </w:tc>
                    <w:tc>
                      <w:tcPr>
                        <w:tcW w:w="1028" w:type="dxa"/>
                      </w:tcPr>
                      <w:p>
                        <w:pPr>
                          <w:pStyle w:val="TableParagraph"/>
                          <w:spacing w:before="37" w:line="250" w:lineRule="exact"/>
                          <w:ind w:right="117"/>
                          <w:jc w:val="right"/>
                          <w:rPr>
                            <w:rFonts w:ascii="楷体"/>
                            <w:sz w:val="20"/>
                          </w:rPr>
                        </w:pPr>
                        <w:r>
                          <w:rPr>
                            <w:rFonts w:ascii="楷体"/>
                            <w:w w:val="95"/>
                            <w:sz w:val="20"/>
                          </w:rPr>
                          <w:t>319.9</w:t>
                        </w:r>
                      </w:p>
                    </w:tc>
                  </w:tr>
                  <w:tr>
                    <w:tblPrEx>
                      <w:tblW w:w="0" w:type="auto"/>
                      <w:jc w:val="left"/>
                      <w:tblInd w:w="7" w:type="dxa"/>
                      <w:tblLayout w:type="fixed"/>
                      <w:tblCellMar>
                        <w:top w:w="0" w:type="dxa"/>
                        <w:left w:w="0" w:type="dxa"/>
                        <w:bottom w:w="0" w:type="dxa"/>
                        <w:right w:w="0" w:type="dxa"/>
                      </w:tblCellMar>
                      <w:tblLook w:val="01E0"/>
                    </w:tblPrEx>
                    <w:trPr>
                      <w:trHeight w:val="304"/>
                      <w:jc w:val="left"/>
                    </w:trPr>
                    <w:tc>
                      <w:tcPr>
                        <w:tcW w:w="1089" w:type="dxa"/>
                        <w:shd w:val="clear" w:color="auto" w:fill="F1F1F1"/>
                      </w:tcPr>
                      <w:p>
                        <w:pPr>
                          <w:pStyle w:val="TableParagraph"/>
                          <w:spacing w:before="23"/>
                          <w:ind w:left="465"/>
                          <w:jc w:val="left"/>
                          <w:rPr>
                            <w:rFonts w:ascii="楷体"/>
                            <w:sz w:val="20"/>
                          </w:rPr>
                        </w:pPr>
                        <w:r>
                          <w:rPr>
                            <w:rFonts w:ascii="楷体"/>
                            <w:sz w:val="20"/>
                          </w:rPr>
                          <w:t>59</w:t>
                        </w:r>
                      </w:p>
                    </w:tc>
                    <w:tc>
                      <w:tcPr>
                        <w:tcW w:w="2521" w:type="dxa"/>
                        <w:shd w:val="clear" w:color="auto" w:fill="F1F1F1"/>
                      </w:tcPr>
                      <w:p>
                        <w:pPr>
                          <w:pStyle w:val="TableParagraph"/>
                          <w:spacing w:before="37" w:line="247" w:lineRule="exact"/>
                          <w:ind w:left="399" w:right="279"/>
                          <w:rPr>
                            <w:rFonts w:ascii="楷体" w:eastAsia="楷体" w:hint="eastAsia"/>
                            <w:sz w:val="20"/>
                          </w:rPr>
                        </w:pPr>
                        <w:r>
                          <w:rPr>
                            <w:rFonts w:ascii="楷体" w:eastAsia="楷体" w:hint="eastAsia"/>
                            <w:sz w:val="20"/>
                          </w:rPr>
                          <w:t>浙江青田农商行</w:t>
                        </w:r>
                      </w:p>
                    </w:tc>
                    <w:tc>
                      <w:tcPr>
                        <w:tcW w:w="948" w:type="dxa"/>
                        <w:shd w:val="clear" w:color="auto" w:fill="F1F1F1"/>
                      </w:tcPr>
                      <w:p>
                        <w:pPr>
                          <w:pStyle w:val="TableParagraph"/>
                          <w:spacing w:before="37" w:line="247" w:lineRule="exact"/>
                          <w:ind w:left="279" w:right="228"/>
                          <w:rPr>
                            <w:rFonts w:ascii="楷体" w:eastAsia="楷体" w:hint="eastAsia"/>
                            <w:sz w:val="20"/>
                          </w:rPr>
                        </w:pPr>
                        <w:r>
                          <w:rPr>
                            <w:rFonts w:ascii="楷体" w:eastAsia="楷体" w:hint="eastAsia"/>
                            <w:sz w:val="20"/>
                          </w:rPr>
                          <w:t>丽水</w:t>
                        </w:r>
                      </w:p>
                    </w:tc>
                    <w:tc>
                      <w:tcPr>
                        <w:tcW w:w="1189" w:type="dxa"/>
                        <w:shd w:val="clear" w:color="auto" w:fill="F1F1F1"/>
                      </w:tcPr>
                      <w:p>
                        <w:pPr>
                          <w:pStyle w:val="TableParagraph"/>
                          <w:spacing w:before="37" w:line="24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3"/>
                          <w:ind w:left="340"/>
                          <w:jc w:val="left"/>
                          <w:rPr>
                            <w:rFonts w:ascii="楷体"/>
                            <w:sz w:val="20"/>
                          </w:rPr>
                        </w:pPr>
                        <w:r>
                          <w:rPr>
                            <w:rFonts w:ascii="楷体"/>
                            <w:sz w:val="20"/>
                          </w:rPr>
                          <w:t>2.2</w:t>
                        </w:r>
                      </w:p>
                    </w:tc>
                    <w:tc>
                      <w:tcPr>
                        <w:tcW w:w="1312" w:type="dxa"/>
                        <w:shd w:val="clear" w:color="auto" w:fill="F1F1F1"/>
                      </w:tcPr>
                      <w:p>
                        <w:pPr>
                          <w:pStyle w:val="TableParagraph"/>
                          <w:spacing w:before="37" w:line="247" w:lineRule="exact"/>
                          <w:ind w:left="411"/>
                          <w:jc w:val="left"/>
                          <w:rPr>
                            <w:rFonts w:ascii="楷体"/>
                            <w:sz w:val="20"/>
                          </w:rPr>
                        </w:pPr>
                        <w:r>
                          <w:rPr>
                            <w:rFonts w:ascii="楷体"/>
                            <w:sz w:val="20"/>
                          </w:rPr>
                          <w:t>AA-</w:t>
                        </w:r>
                      </w:p>
                    </w:tc>
                    <w:tc>
                      <w:tcPr>
                        <w:tcW w:w="1413" w:type="dxa"/>
                        <w:shd w:val="clear" w:color="auto" w:fill="F1F1F1"/>
                      </w:tcPr>
                      <w:p>
                        <w:pPr>
                          <w:pStyle w:val="TableParagraph"/>
                          <w:spacing w:before="37" w:line="247" w:lineRule="exact"/>
                          <w:ind w:right="419"/>
                          <w:jc w:val="right"/>
                          <w:rPr>
                            <w:rFonts w:ascii="楷体"/>
                            <w:sz w:val="20"/>
                          </w:rPr>
                        </w:pPr>
                        <w:r>
                          <w:rPr>
                            <w:rFonts w:ascii="楷体"/>
                            <w:sz w:val="20"/>
                          </w:rPr>
                          <w:t>4.6</w:t>
                        </w:r>
                      </w:p>
                    </w:tc>
                    <w:tc>
                      <w:tcPr>
                        <w:tcW w:w="934" w:type="dxa"/>
                        <w:shd w:val="clear" w:color="auto" w:fill="F1F1F1"/>
                      </w:tcPr>
                      <w:p>
                        <w:pPr>
                          <w:pStyle w:val="TableParagraph"/>
                          <w:spacing w:before="23"/>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47" w:lineRule="exact"/>
                          <w:ind w:right="117"/>
                          <w:jc w:val="right"/>
                          <w:rPr>
                            <w:rFonts w:ascii="楷体"/>
                            <w:sz w:val="20"/>
                          </w:rPr>
                        </w:pPr>
                        <w:r>
                          <w:rPr>
                            <w:rFonts w:ascii="楷体"/>
                            <w:w w:val="95"/>
                            <w:sz w:val="20"/>
                          </w:rPr>
                          <w:t>309.4</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20</w:t>
                        </w:r>
                      </w:p>
                    </w:tc>
                    <w:tc>
                      <w:tcPr>
                        <w:tcW w:w="2521" w:type="dxa"/>
                      </w:tcPr>
                      <w:p>
                        <w:pPr>
                          <w:pStyle w:val="TableParagraph"/>
                          <w:spacing w:before="40" w:line="247" w:lineRule="exact"/>
                          <w:ind w:left="399" w:right="279"/>
                          <w:rPr>
                            <w:rFonts w:ascii="楷体" w:eastAsia="楷体" w:hint="eastAsia"/>
                            <w:sz w:val="20"/>
                          </w:rPr>
                        </w:pPr>
                        <w:r>
                          <w:rPr>
                            <w:rFonts w:ascii="楷体" w:eastAsia="楷体" w:hint="eastAsia"/>
                            <w:sz w:val="20"/>
                          </w:rPr>
                          <w:t>浙江嵊州农商行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绍兴</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3.0</w:t>
                        </w:r>
                      </w:p>
                    </w:tc>
                    <w:tc>
                      <w:tcPr>
                        <w:tcW w:w="1312" w:type="dxa"/>
                      </w:tcPr>
                      <w:p>
                        <w:pPr>
                          <w:pStyle w:val="TableParagraph"/>
                          <w:spacing w:before="40" w:line="247" w:lineRule="exact"/>
                          <w:ind w:left="461"/>
                          <w:jc w:val="left"/>
                          <w:rPr>
                            <w:rFonts w:ascii="楷体"/>
                            <w:sz w:val="20"/>
                          </w:rPr>
                        </w:pPr>
                        <w:r>
                          <w:rPr>
                            <w:rFonts w:ascii="楷体"/>
                            <w:sz w:val="20"/>
                          </w:rPr>
                          <w:t>AA</w:t>
                        </w:r>
                      </w:p>
                    </w:tc>
                    <w:tc>
                      <w:tcPr>
                        <w:tcW w:w="1413" w:type="dxa"/>
                      </w:tcPr>
                      <w:p>
                        <w:pPr>
                          <w:pStyle w:val="TableParagraph"/>
                          <w:spacing w:before="40" w:line="247" w:lineRule="exact"/>
                          <w:ind w:right="423"/>
                          <w:jc w:val="right"/>
                          <w:rPr>
                            <w:rFonts w:ascii="楷体"/>
                            <w:sz w:val="20"/>
                          </w:rPr>
                        </w:pPr>
                        <w:r>
                          <w:rPr>
                            <w:rFonts w:ascii="楷体"/>
                            <w:w w:val="99"/>
                            <w:sz w:val="20"/>
                          </w:rPr>
                          <w:t>4</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40" w:line="247" w:lineRule="exact"/>
                          <w:ind w:right="117"/>
                          <w:jc w:val="right"/>
                          <w:rPr>
                            <w:rFonts w:ascii="楷体"/>
                            <w:sz w:val="20"/>
                          </w:rPr>
                        </w:pPr>
                        <w:r>
                          <w:rPr>
                            <w:rFonts w:ascii="楷体"/>
                            <w:w w:val="95"/>
                            <w:sz w:val="20"/>
                          </w:rPr>
                          <w:t>508.6</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6"/>
                          <w:ind w:left="465"/>
                          <w:jc w:val="left"/>
                          <w:rPr>
                            <w:rFonts w:ascii="楷体"/>
                            <w:sz w:val="20"/>
                          </w:rPr>
                        </w:pPr>
                        <w:r>
                          <w:rPr>
                            <w:rFonts w:ascii="楷体"/>
                            <w:sz w:val="20"/>
                          </w:rPr>
                          <w:t>31</w:t>
                        </w:r>
                      </w:p>
                    </w:tc>
                    <w:tc>
                      <w:tcPr>
                        <w:tcW w:w="2521" w:type="dxa"/>
                        <w:shd w:val="clear" w:color="auto" w:fill="F1F1F1"/>
                      </w:tcPr>
                      <w:p>
                        <w:pPr>
                          <w:pStyle w:val="TableParagraph"/>
                          <w:spacing w:before="40" w:line="247" w:lineRule="exact"/>
                          <w:ind w:left="399" w:right="281"/>
                          <w:rPr>
                            <w:rFonts w:ascii="楷体" w:eastAsia="楷体" w:hint="eastAsia"/>
                            <w:sz w:val="20"/>
                          </w:rPr>
                        </w:pPr>
                        <w:r>
                          <w:rPr>
                            <w:rFonts w:ascii="楷体" w:eastAsia="楷体" w:hint="eastAsia"/>
                            <w:sz w:val="20"/>
                          </w:rPr>
                          <w:t>浙江衢州柯城农商行</w:t>
                        </w:r>
                      </w:p>
                    </w:tc>
                    <w:tc>
                      <w:tcPr>
                        <w:tcW w:w="948" w:type="dxa"/>
                        <w:shd w:val="clear" w:color="auto" w:fill="F1F1F1"/>
                      </w:tcPr>
                      <w:p>
                        <w:pPr>
                          <w:pStyle w:val="TableParagraph"/>
                          <w:spacing w:before="40" w:line="247" w:lineRule="exact"/>
                          <w:ind w:left="279" w:right="228"/>
                          <w:rPr>
                            <w:rFonts w:ascii="楷体" w:eastAsia="楷体" w:hint="eastAsia"/>
                            <w:sz w:val="20"/>
                          </w:rPr>
                        </w:pPr>
                        <w:r>
                          <w:rPr>
                            <w:rFonts w:ascii="楷体" w:eastAsia="楷体" w:hint="eastAsia"/>
                            <w:sz w:val="20"/>
                          </w:rPr>
                          <w:t>衢州</w:t>
                        </w:r>
                      </w:p>
                    </w:tc>
                    <w:tc>
                      <w:tcPr>
                        <w:tcW w:w="1189" w:type="dxa"/>
                        <w:shd w:val="clear" w:color="auto" w:fill="F1F1F1"/>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6"/>
                          <w:ind w:left="340"/>
                          <w:jc w:val="left"/>
                          <w:rPr>
                            <w:rFonts w:ascii="楷体"/>
                            <w:sz w:val="20"/>
                          </w:rPr>
                        </w:pPr>
                        <w:r>
                          <w:rPr>
                            <w:rFonts w:ascii="楷体"/>
                            <w:sz w:val="20"/>
                          </w:rPr>
                          <w:t>2.8</w:t>
                        </w:r>
                      </w:p>
                    </w:tc>
                    <w:tc>
                      <w:tcPr>
                        <w:tcW w:w="1312" w:type="dxa"/>
                        <w:shd w:val="clear" w:color="auto" w:fill="F1F1F1"/>
                      </w:tcPr>
                      <w:p>
                        <w:pPr>
                          <w:pStyle w:val="TableParagraph"/>
                          <w:spacing w:before="40" w:line="247" w:lineRule="exact"/>
                          <w:ind w:left="411"/>
                          <w:jc w:val="left"/>
                          <w:rPr>
                            <w:rFonts w:ascii="楷体"/>
                            <w:sz w:val="20"/>
                          </w:rPr>
                        </w:pPr>
                        <w:r>
                          <w:rPr>
                            <w:rFonts w:ascii="楷体"/>
                            <w:sz w:val="20"/>
                          </w:rPr>
                          <w:t>AA-</w:t>
                        </w:r>
                      </w:p>
                    </w:tc>
                    <w:tc>
                      <w:tcPr>
                        <w:tcW w:w="1413" w:type="dxa"/>
                        <w:shd w:val="clear" w:color="auto" w:fill="F1F1F1"/>
                      </w:tcPr>
                      <w:p>
                        <w:pPr>
                          <w:pStyle w:val="TableParagraph"/>
                          <w:spacing w:before="40" w:line="247" w:lineRule="exact"/>
                          <w:ind w:right="423"/>
                          <w:jc w:val="right"/>
                          <w:rPr>
                            <w:rFonts w:ascii="楷体"/>
                            <w:sz w:val="20"/>
                          </w:rPr>
                        </w:pPr>
                        <w:r>
                          <w:rPr>
                            <w:rFonts w:ascii="楷体"/>
                            <w:w w:val="99"/>
                            <w:sz w:val="20"/>
                          </w:rPr>
                          <w:t>4</w:t>
                        </w:r>
                      </w:p>
                    </w:tc>
                    <w:tc>
                      <w:tcPr>
                        <w:tcW w:w="934" w:type="dxa"/>
                        <w:shd w:val="clear" w:color="auto" w:fill="F1F1F1"/>
                      </w:tcPr>
                      <w:p>
                        <w:pPr>
                          <w:pStyle w:val="TableParagraph"/>
                          <w:spacing w:before="26"/>
                          <w:ind w:right="224"/>
                          <w:jc w:val="right"/>
                          <w:rPr>
                            <w:rFonts w:ascii="楷体"/>
                            <w:sz w:val="20"/>
                          </w:rPr>
                        </w:pPr>
                        <w:r>
                          <w:rPr>
                            <w:rFonts w:ascii="楷体"/>
                            <w:w w:val="99"/>
                            <w:sz w:val="20"/>
                          </w:rPr>
                          <w:t>-</w:t>
                        </w:r>
                      </w:p>
                    </w:tc>
                    <w:tc>
                      <w:tcPr>
                        <w:tcW w:w="1028" w:type="dxa"/>
                        <w:shd w:val="clear" w:color="auto" w:fill="F1F1F1"/>
                      </w:tcPr>
                      <w:p>
                        <w:pPr>
                          <w:pStyle w:val="TableParagraph"/>
                          <w:spacing w:before="40" w:line="247" w:lineRule="exact"/>
                          <w:ind w:right="117"/>
                          <w:jc w:val="right"/>
                          <w:rPr>
                            <w:rFonts w:ascii="楷体"/>
                            <w:sz w:val="20"/>
                          </w:rPr>
                        </w:pPr>
                        <w:r>
                          <w:rPr>
                            <w:rFonts w:ascii="楷体"/>
                            <w:w w:val="95"/>
                            <w:sz w:val="20"/>
                          </w:rPr>
                          <w:t>284.8</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tcPr>
                      <w:p>
                        <w:pPr>
                          <w:pStyle w:val="TableParagraph"/>
                          <w:spacing w:before="25"/>
                          <w:ind w:left="465"/>
                          <w:jc w:val="left"/>
                          <w:rPr>
                            <w:rFonts w:ascii="楷体"/>
                            <w:sz w:val="20"/>
                          </w:rPr>
                        </w:pPr>
                        <w:r>
                          <w:rPr>
                            <w:rFonts w:ascii="楷体"/>
                            <w:sz w:val="20"/>
                          </w:rPr>
                          <w:t>35</w:t>
                        </w:r>
                      </w:p>
                    </w:tc>
                    <w:tc>
                      <w:tcPr>
                        <w:tcW w:w="2521" w:type="dxa"/>
                      </w:tcPr>
                      <w:p>
                        <w:pPr>
                          <w:pStyle w:val="TableParagraph"/>
                          <w:spacing w:before="40" w:line="247" w:lineRule="exact"/>
                          <w:ind w:left="399" w:right="279"/>
                          <w:rPr>
                            <w:rFonts w:ascii="楷体" w:eastAsia="楷体" w:hint="eastAsia"/>
                            <w:sz w:val="20"/>
                          </w:rPr>
                        </w:pPr>
                        <w:r>
                          <w:rPr>
                            <w:rFonts w:ascii="楷体" w:eastAsia="楷体" w:hint="eastAsia"/>
                            <w:sz w:val="20"/>
                          </w:rPr>
                          <w:t>浙江新昌农商行</w:t>
                        </w:r>
                      </w:p>
                    </w:tc>
                    <w:tc>
                      <w:tcPr>
                        <w:tcW w:w="948" w:type="dxa"/>
                      </w:tcPr>
                      <w:p>
                        <w:pPr>
                          <w:pStyle w:val="TableParagraph"/>
                          <w:spacing w:before="40" w:line="247" w:lineRule="exact"/>
                          <w:ind w:left="279" w:right="228"/>
                          <w:rPr>
                            <w:rFonts w:ascii="楷体" w:eastAsia="楷体" w:hint="eastAsia"/>
                            <w:sz w:val="20"/>
                          </w:rPr>
                        </w:pPr>
                        <w:r>
                          <w:rPr>
                            <w:rFonts w:ascii="楷体" w:eastAsia="楷体" w:hint="eastAsia"/>
                            <w:sz w:val="20"/>
                          </w:rPr>
                          <w:t>绍兴</w:t>
                        </w:r>
                      </w:p>
                    </w:tc>
                    <w:tc>
                      <w:tcPr>
                        <w:tcW w:w="1189" w:type="dxa"/>
                      </w:tcPr>
                      <w:p>
                        <w:pPr>
                          <w:pStyle w:val="TableParagraph"/>
                          <w:spacing w:before="40" w:line="24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25"/>
                          <w:ind w:left="340"/>
                          <w:jc w:val="left"/>
                          <w:rPr>
                            <w:rFonts w:ascii="楷体"/>
                            <w:sz w:val="20"/>
                          </w:rPr>
                        </w:pPr>
                        <w:r>
                          <w:rPr>
                            <w:rFonts w:ascii="楷体"/>
                            <w:sz w:val="20"/>
                          </w:rPr>
                          <w:t>2.7</w:t>
                        </w:r>
                      </w:p>
                    </w:tc>
                    <w:tc>
                      <w:tcPr>
                        <w:tcW w:w="1312" w:type="dxa"/>
                      </w:tcPr>
                      <w:p>
                        <w:pPr>
                          <w:pStyle w:val="TableParagraph"/>
                          <w:spacing w:before="40" w:line="247" w:lineRule="exact"/>
                          <w:ind w:left="411"/>
                          <w:jc w:val="left"/>
                          <w:rPr>
                            <w:rFonts w:ascii="楷体"/>
                            <w:sz w:val="20"/>
                          </w:rPr>
                        </w:pPr>
                        <w:r>
                          <w:rPr>
                            <w:rFonts w:ascii="楷体"/>
                            <w:sz w:val="20"/>
                          </w:rPr>
                          <w:t>AA-</w:t>
                        </w:r>
                      </w:p>
                    </w:tc>
                    <w:tc>
                      <w:tcPr>
                        <w:tcW w:w="1413" w:type="dxa"/>
                      </w:tcPr>
                      <w:p>
                        <w:pPr>
                          <w:pStyle w:val="TableParagraph"/>
                          <w:spacing w:before="40" w:line="247" w:lineRule="exact"/>
                          <w:ind w:right="423"/>
                          <w:jc w:val="right"/>
                          <w:rPr>
                            <w:rFonts w:ascii="楷体"/>
                            <w:sz w:val="20"/>
                          </w:rPr>
                        </w:pPr>
                        <w:r>
                          <w:rPr>
                            <w:rFonts w:ascii="楷体"/>
                            <w:w w:val="99"/>
                            <w:sz w:val="20"/>
                          </w:rPr>
                          <w:t>4</w:t>
                        </w:r>
                      </w:p>
                    </w:tc>
                    <w:tc>
                      <w:tcPr>
                        <w:tcW w:w="934" w:type="dxa"/>
                      </w:tcPr>
                      <w:p>
                        <w:pPr>
                          <w:pStyle w:val="TableParagraph"/>
                          <w:spacing w:before="25"/>
                          <w:ind w:right="224"/>
                          <w:jc w:val="right"/>
                          <w:rPr>
                            <w:rFonts w:ascii="楷体"/>
                            <w:sz w:val="20"/>
                          </w:rPr>
                        </w:pPr>
                        <w:r>
                          <w:rPr>
                            <w:rFonts w:ascii="楷体"/>
                            <w:w w:val="99"/>
                            <w:sz w:val="20"/>
                          </w:rPr>
                          <w:t>-</w:t>
                        </w:r>
                      </w:p>
                    </w:tc>
                    <w:tc>
                      <w:tcPr>
                        <w:tcW w:w="1028" w:type="dxa"/>
                      </w:tcPr>
                      <w:p>
                        <w:pPr>
                          <w:pStyle w:val="TableParagraph"/>
                          <w:spacing w:before="40" w:line="247" w:lineRule="exact"/>
                          <w:ind w:right="117"/>
                          <w:jc w:val="right"/>
                          <w:rPr>
                            <w:rFonts w:ascii="楷体"/>
                            <w:sz w:val="20"/>
                          </w:rPr>
                        </w:pPr>
                        <w:r>
                          <w:rPr>
                            <w:rFonts w:ascii="楷体"/>
                            <w:w w:val="95"/>
                            <w:sz w:val="20"/>
                          </w:rPr>
                          <w:t>317.5</w:t>
                        </w:r>
                      </w:p>
                    </w:tc>
                  </w:tr>
                  <w:tr>
                    <w:tblPrEx>
                      <w:tblW w:w="0" w:type="auto"/>
                      <w:jc w:val="left"/>
                      <w:tblInd w:w="7" w:type="dxa"/>
                      <w:tblLayout w:type="fixed"/>
                      <w:tblCellMar>
                        <w:top w:w="0" w:type="dxa"/>
                        <w:left w:w="0" w:type="dxa"/>
                        <w:bottom w:w="0" w:type="dxa"/>
                        <w:right w:w="0" w:type="dxa"/>
                      </w:tblCellMar>
                      <w:tblLook w:val="01E0"/>
                    </w:tblPrEx>
                    <w:trPr>
                      <w:trHeight w:val="307"/>
                      <w:jc w:val="left"/>
                    </w:trPr>
                    <w:tc>
                      <w:tcPr>
                        <w:tcW w:w="1089" w:type="dxa"/>
                        <w:shd w:val="clear" w:color="auto" w:fill="F1F1F1"/>
                      </w:tcPr>
                      <w:p>
                        <w:pPr>
                          <w:pStyle w:val="TableParagraph"/>
                          <w:spacing w:before="25"/>
                          <w:ind w:left="465"/>
                          <w:jc w:val="left"/>
                          <w:rPr>
                            <w:rFonts w:ascii="楷体"/>
                            <w:sz w:val="20"/>
                          </w:rPr>
                        </w:pPr>
                        <w:r>
                          <w:rPr>
                            <w:rFonts w:ascii="楷体"/>
                            <w:sz w:val="20"/>
                          </w:rPr>
                          <w:t>36</w:t>
                        </w:r>
                      </w:p>
                    </w:tc>
                    <w:tc>
                      <w:tcPr>
                        <w:tcW w:w="2521" w:type="dxa"/>
                        <w:shd w:val="clear" w:color="auto" w:fill="F1F1F1"/>
                      </w:tcPr>
                      <w:p>
                        <w:pPr>
                          <w:pStyle w:val="TableParagraph"/>
                          <w:spacing w:before="37" w:line="250" w:lineRule="exact"/>
                          <w:ind w:left="399" w:right="279"/>
                          <w:rPr>
                            <w:rFonts w:ascii="楷体" w:eastAsia="楷体" w:hint="eastAsia"/>
                            <w:sz w:val="20"/>
                          </w:rPr>
                        </w:pPr>
                        <w:r>
                          <w:rPr>
                            <w:rFonts w:ascii="楷体" w:eastAsia="楷体" w:hint="eastAsia"/>
                            <w:sz w:val="20"/>
                          </w:rPr>
                          <w:t>浙江浦江农商行</w:t>
                        </w:r>
                      </w:p>
                    </w:tc>
                    <w:tc>
                      <w:tcPr>
                        <w:tcW w:w="948" w:type="dxa"/>
                        <w:shd w:val="clear" w:color="auto" w:fill="F1F1F1"/>
                      </w:tcPr>
                      <w:p>
                        <w:pPr>
                          <w:pStyle w:val="TableParagraph"/>
                          <w:spacing w:before="37" w:line="250" w:lineRule="exact"/>
                          <w:ind w:left="279" w:right="228"/>
                          <w:rPr>
                            <w:rFonts w:ascii="楷体" w:eastAsia="楷体" w:hint="eastAsia"/>
                            <w:sz w:val="20"/>
                          </w:rPr>
                        </w:pPr>
                        <w:r>
                          <w:rPr>
                            <w:rFonts w:ascii="楷体" w:eastAsia="楷体" w:hint="eastAsia"/>
                            <w:sz w:val="20"/>
                          </w:rPr>
                          <w:t>金华</w:t>
                        </w:r>
                      </w:p>
                    </w:tc>
                    <w:tc>
                      <w:tcPr>
                        <w:tcW w:w="1189" w:type="dxa"/>
                        <w:shd w:val="clear" w:color="auto" w:fill="F1F1F1"/>
                      </w:tcPr>
                      <w:p>
                        <w:pPr>
                          <w:pStyle w:val="TableParagraph"/>
                          <w:spacing w:before="37" w:line="250"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25"/>
                          <w:ind w:left="340"/>
                          <w:jc w:val="left"/>
                          <w:rPr>
                            <w:rFonts w:ascii="楷体"/>
                            <w:sz w:val="20"/>
                          </w:rPr>
                        </w:pPr>
                        <w:r>
                          <w:rPr>
                            <w:rFonts w:ascii="楷体"/>
                            <w:sz w:val="20"/>
                          </w:rPr>
                          <w:t>2.7</w:t>
                        </w:r>
                      </w:p>
                    </w:tc>
                    <w:tc>
                      <w:tcPr>
                        <w:tcW w:w="1312" w:type="dxa"/>
                        <w:shd w:val="clear" w:color="auto" w:fill="F1F1F1"/>
                      </w:tcPr>
                      <w:p>
                        <w:pPr>
                          <w:pStyle w:val="TableParagraph"/>
                          <w:spacing w:before="37" w:line="250" w:lineRule="exact"/>
                          <w:ind w:left="461"/>
                          <w:jc w:val="left"/>
                          <w:rPr>
                            <w:rFonts w:ascii="楷体"/>
                            <w:sz w:val="20"/>
                          </w:rPr>
                        </w:pPr>
                        <w:r>
                          <w:rPr>
                            <w:rFonts w:ascii="楷体"/>
                            <w:sz w:val="20"/>
                          </w:rPr>
                          <w:t>A+</w:t>
                        </w:r>
                      </w:p>
                    </w:tc>
                    <w:tc>
                      <w:tcPr>
                        <w:tcW w:w="1413" w:type="dxa"/>
                        <w:shd w:val="clear" w:color="auto" w:fill="F1F1F1"/>
                      </w:tcPr>
                      <w:p>
                        <w:pPr>
                          <w:pStyle w:val="TableParagraph"/>
                          <w:spacing w:before="37" w:line="250" w:lineRule="exact"/>
                          <w:ind w:right="423"/>
                          <w:jc w:val="right"/>
                          <w:rPr>
                            <w:rFonts w:ascii="楷体"/>
                            <w:sz w:val="20"/>
                          </w:rPr>
                        </w:pPr>
                        <w:r>
                          <w:rPr>
                            <w:rFonts w:ascii="楷体"/>
                            <w:w w:val="99"/>
                            <w:sz w:val="20"/>
                          </w:rPr>
                          <w:t>4</w:t>
                        </w:r>
                      </w:p>
                    </w:tc>
                    <w:tc>
                      <w:tcPr>
                        <w:tcW w:w="934" w:type="dxa"/>
                        <w:shd w:val="clear" w:color="auto" w:fill="F1F1F1"/>
                      </w:tcPr>
                      <w:p>
                        <w:pPr>
                          <w:pStyle w:val="TableParagraph"/>
                          <w:spacing w:before="25"/>
                          <w:ind w:right="224"/>
                          <w:jc w:val="right"/>
                          <w:rPr>
                            <w:rFonts w:ascii="楷体"/>
                            <w:sz w:val="20"/>
                          </w:rPr>
                        </w:pPr>
                        <w:r>
                          <w:rPr>
                            <w:rFonts w:ascii="楷体"/>
                            <w:w w:val="99"/>
                            <w:sz w:val="20"/>
                          </w:rPr>
                          <w:t>-</w:t>
                        </w:r>
                      </w:p>
                    </w:tc>
                    <w:tc>
                      <w:tcPr>
                        <w:tcW w:w="1028" w:type="dxa"/>
                        <w:shd w:val="clear" w:color="auto" w:fill="F1F1F1"/>
                      </w:tcPr>
                      <w:p>
                        <w:pPr>
                          <w:pStyle w:val="TableParagraph"/>
                          <w:spacing w:before="37" w:line="250" w:lineRule="exact"/>
                          <w:ind w:right="117"/>
                          <w:jc w:val="right"/>
                          <w:rPr>
                            <w:rFonts w:ascii="楷体"/>
                            <w:sz w:val="20"/>
                          </w:rPr>
                        </w:pPr>
                        <w:r>
                          <w:rPr>
                            <w:rFonts w:ascii="楷体"/>
                            <w:w w:val="95"/>
                            <w:sz w:val="20"/>
                          </w:rPr>
                          <w:t>215.0</w:t>
                        </w:r>
                      </w:p>
                    </w:tc>
                  </w:tr>
                </w:tbl>
                <w:p>
                  <w:pPr>
                    <w:pStyle w:val="BodyText"/>
                  </w:pPr>
                </w:p>
              </w:txbxContent>
            </v:textbox>
          </v:shape>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7"/>
        </w:rPr>
      </w:pPr>
    </w:p>
    <w:p>
      <w:pPr>
        <w:pStyle w:val="BodyText"/>
        <w:rPr>
          <w:b/>
          <w:sz w:val="2"/>
        </w:rPr>
      </w:pPr>
    </w:p>
    <w:p>
      <w:pPr>
        <w:pStyle w:val="BodyText"/>
        <w:rPr>
          <w:b/>
          <w:sz w:val="2"/>
        </w:rPr>
      </w:pPr>
    </w:p>
    <w:p>
      <w:pPr>
        <w:pStyle w:val="BodyText"/>
        <w:rPr>
          <w:b/>
          <w:sz w:val="2"/>
        </w:rPr>
      </w:pPr>
    </w:p>
    <w:p>
      <w:pPr>
        <w:pStyle w:val="BodyText"/>
        <w:rPr>
          <w:b/>
          <w:sz w:val="2"/>
        </w:rPr>
      </w:pPr>
    </w:p>
    <w:p>
      <w:pPr>
        <w:spacing w:before="0"/>
        <w:ind w:left="1820" w:right="0" w:firstLine="0"/>
        <w:jc w:val="left"/>
        <w:rPr>
          <w:rFonts w:ascii="仿宋" w:eastAsia="仿宋" w:hint="eastAsia"/>
          <w:sz w:val="2"/>
        </w:rPr>
      </w:pPr>
      <w:r>
        <w:rPr>
          <w:rFonts w:ascii="仿宋" w:eastAsia="仿宋" w:hint="eastAsia"/>
          <w:color w:val="BFBFBF"/>
          <w:sz w:val="2"/>
        </w:rPr>
        <w:t>华福证券</w:t>
      </w:r>
    </w:p>
    <w:p>
      <w:pPr>
        <w:spacing w:after="0"/>
        <w:jc w:val="left"/>
        <w:rPr>
          <w:rFonts w:ascii="仿宋" w:eastAsia="仿宋" w:hint="eastAsia"/>
          <w:sz w:val="2"/>
        </w:rPr>
        <w:sectPr>
          <w:headerReference w:type="default" r:id="rId79"/>
          <w:footerReference w:type="default" r:id="rId80"/>
          <w:pgSz w:w="11910" w:h="16840"/>
          <w:pgMar w:top="1320" w:right="0" w:bottom="660" w:left="180" w:header="708" w:footer="708"/>
          <w:pgNumType w:start="32"/>
          <w:cols w:space="708"/>
        </w:sectPr>
      </w:pPr>
    </w:p>
    <w:p>
      <w:pPr>
        <w:pStyle w:val="BodyText"/>
        <w:spacing w:before="6" w:after="1"/>
        <w:rPr>
          <w:rFonts w:ascii="仿宋"/>
          <w:sz w:val="8"/>
        </w:rPr>
      </w:pPr>
    </w:p>
    <w:tbl>
      <w:tblPr>
        <w:tblStyle w:val="TableNormal3"/>
        <w:tblW w:w="0" w:type="auto"/>
        <w:jc w:val="left"/>
        <w:tblInd w:w="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8"/>
        <w:gridCol w:w="2721"/>
        <w:gridCol w:w="847"/>
        <w:gridCol w:w="1189"/>
        <w:gridCol w:w="1062"/>
        <w:gridCol w:w="1362"/>
        <w:gridCol w:w="1463"/>
        <w:gridCol w:w="934"/>
        <w:gridCol w:w="929"/>
      </w:tblGrid>
      <w:tr>
        <w:tblPrEx>
          <w:tblW w:w="0" w:type="auto"/>
          <w:jc w:val="left"/>
          <w:tblInd w:w="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55"/>
          <w:jc w:val="left"/>
        </w:trPr>
        <w:tc>
          <w:tcPr>
            <w:tcW w:w="988" w:type="dxa"/>
          </w:tcPr>
          <w:p>
            <w:pPr>
              <w:pStyle w:val="TableParagraph"/>
              <w:spacing w:before="1" w:line="234" w:lineRule="exact"/>
              <w:ind w:left="160" w:right="18"/>
              <w:rPr>
                <w:rFonts w:ascii="楷体"/>
                <w:sz w:val="20"/>
              </w:rPr>
            </w:pPr>
            <w:r>
              <w:rPr>
                <w:rFonts w:ascii="楷体"/>
                <w:sz w:val="20"/>
              </w:rPr>
              <w:t>43</w:t>
            </w:r>
          </w:p>
        </w:tc>
        <w:tc>
          <w:tcPr>
            <w:tcW w:w="2721" w:type="dxa"/>
          </w:tcPr>
          <w:p>
            <w:pPr>
              <w:pStyle w:val="TableParagraph"/>
              <w:spacing w:before="16" w:line="219" w:lineRule="exact"/>
              <w:ind w:left="300" w:right="180"/>
              <w:rPr>
                <w:rFonts w:ascii="楷体" w:eastAsia="楷体" w:hint="eastAsia"/>
                <w:sz w:val="20"/>
              </w:rPr>
            </w:pPr>
            <w:r>
              <w:rPr>
                <w:rFonts w:ascii="楷体" w:eastAsia="楷体" w:hint="eastAsia"/>
                <w:sz w:val="20"/>
              </w:rPr>
              <w:t>浙江龙游农商行</w:t>
            </w:r>
          </w:p>
        </w:tc>
        <w:tc>
          <w:tcPr>
            <w:tcW w:w="847" w:type="dxa"/>
          </w:tcPr>
          <w:p>
            <w:pPr>
              <w:pStyle w:val="TableParagraph"/>
              <w:spacing w:before="16" w:line="219" w:lineRule="exact"/>
              <w:ind w:left="200"/>
              <w:jc w:val="left"/>
              <w:rPr>
                <w:rFonts w:ascii="楷体" w:eastAsia="楷体" w:hint="eastAsia"/>
                <w:sz w:val="20"/>
              </w:rPr>
            </w:pPr>
            <w:r>
              <w:rPr>
                <w:rFonts w:ascii="楷体" w:eastAsia="楷体" w:hint="eastAsia"/>
                <w:sz w:val="20"/>
              </w:rPr>
              <w:t>衢州</w:t>
            </w:r>
          </w:p>
        </w:tc>
        <w:tc>
          <w:tcPr>
            <w:tcW w:w="1189" w:type="dxa"/>
          </w:tcPr>
          <w:p>
            <w:pPr>
              <w:pStyle w:val="TableParagraph"/>
              <w:spacing w:before="16" w:line="219"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1" w:line="234" w:lineRule="exact"/>
              <w:ind w:left="341"/>
              <w:jc w:val="left"/>
              <w:rPr>
                <w:rFonts w:ascii="楷体"/>
                <w:sz w:val="20"/>
              </w:rPr>
            </w:pPr>
            <w:r>
              <w:rPr>
                <w:rFonts w:ascii="楷体"/>
                <w:sz w:val="20"/>
              </w:rPr>
              <w:t>2.6</w:t>
            </w:r>
          </w:p>
        </w:tc>
        <w:tc>
          <w:tcPr>
            <w:tcW w:w="1362" w:type="dxa"/>
          </w:tcPr>
          <w:p>
            <w:pPr>
              <w:pStyle w:val="TableParagraph"/>
              <w:spacing w:before="16" w:line="219" w:lineRule="exact"/>
              <w:ind w:left="412"/>
              <w:jc w:val="left"/>
              <w:rPr>
                <w:rFonts w:ascii="楷体"/>
                <w:sz w:val="20"/>
              </w:rPr>
            </w:pPr>
            <w:r>
              <w:rPr>
                <w:rFonts w:ascii="楷体"/>
                <w:sz w:val="20"/>
              </w:rPr>
              <w:t>AA-</w:t>
            </w:r>
          </w:p>
        </w:tc>
        <w:tc>
          <w:tcPr>
            <w:tcW w:w="1463" w:type="dxa"/>
          </w:tcPr>
          <w:p>
            <w:pPr>
              <w:pStyle w:val="TableParagraph"/>
              <w:spacing w:before="16" w:line="219" w:lineRule="exact"/>
              <w:ind w:right="522"/>
              <w:jc w:val="right"/>
              <w:rPr>
                <w:rFonts w:ascii="楷体"/>
                <w:sz w:val="20"/>
              </w:rPr>
            </w:pPr>
            <w:r>
              <w:rPr>
                <w:rFonts w:ascii="楷体"/>
                <w:w w:val="99"/>
                <w:sz w:val="20"/>
              </w:rPr>
              <w:t>4</w:t>
            </w:r>
          </w:p>
        </w:tc>
        <w:tc>
          <w:tcPr>
            <w:tcW w:w="934" w:type="dxa"/>
          </w:tcPr>
          <w:p>
            <w:pPr>
              <w:pStyle w:val="TableParagraph"/>
              <w:spacing w:before="1" w:line="234" w:lineRule="exact"/>
              <w:ind w:right="323"/>
              <w:jc w:val="right"/>
              <w:rPr>
                <w:rFonts w:ascii="楷体"/>
                <w:sz w:val="20"/>
              </w:rPr>
            </w:pPr>
            <w:r>
              <w:rPr>
                <w:rFonts w:ascii="楷体"/>
                <w:w w:val="99"/>
                <w:sz w:val="20"/>
              </w:rPr>
              <w:t>-</w:t>
            </w:r>
          </w:p>
        </w:tc>
        <w:tc>
          <w:tcPr>
            <w:tcW w:w="929" w:type="dxa"/>
          </w:tcPr>
          <w:p>
            <w:pPr>
              <w:pStyle w:val="TableParagraph"/>
              <w:spacing w:before="16" w:line="219" w:lineRule="exact"/>
              <w:ind w:right="117"/>
              <w:jc w:val="right"/>
              <w:rPr>
                <w:rFonts w:ascii="楷体"/>
                <w:sz w:val="20"/>
              </w:rPr>
            </w:pPr>
            <w:r>
              <w:rPr>
                <w:rFonts w:ascii="楷体"/>
                <w:w w:val="95"/>
                <w:sz w:val="20"/>
              </w:rPr>
              <w:t>262.1</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shd w:val="clear" w:color="auto" w:fill="F1F1F1"/>
          </w:tcPr>
          <w:p>
            <w:pPr>
              <w:pStyle w:val="TableParagraph"/>
              <w:spacing w:before="53" w:line="234" w:lineRule="exact"/>
              <w:ind w:left="160" w:right="18"/>
              <w:rPr>
                <w:rFonts w:ascii="楷体"/>
                <w:sz w:val="20"/>
              </w:rPr>
            </w:pPr>
            <w:r>
              <w:rPr>
                <w:rFonts w:ascii="楷体"/>
                <w:sz w:val="20"/>
              </w:rPr>
              <w:t>62</w:t>
            </w:r>
          </w:p>
        </w:tc>
        <w:tc>
          <w:tcPr>
            <w:tcW w:w="2721" w:type="dxa"/>
            <w:shd w:val="clear" w:color="auto" w:fill="F1F1F1"/>
          </w:tcPr>
          <w:p>
            <w:pPr>
              <w:pStyle w:val="TableParagraph"/>
              <w:spacing w:before="68" w:line="219" w:lineRule="exact"/>
              <w:ind w:left="297" w:right="180"/>
              <w:rPr>
                <w:rFonts w:ascii="楷体" w:eastAsia="楷体" w:hint="eastAsia"/>
                <w:sz w:val="20"/>
              </w:rPr>
            </w:pPr>
            <w:r>
              <w:rPr>
                <w:rFonts w:ascii="楷体" w:eastAsia="楷体" w:hint="eastAsia"/>
                <w:sz w:val="20"/>
              </w:rPr>
              <w:t>浙江丽水莲都农商行</w:t>
            </w:r>
          </w:p>
        </w:tc>
        <w:tc>
          <w:tcPr>
            <w:tcW w:w="847" w:type="dxa"/>
            <w:shd w:val="clear" w:color="auto" w:fill="F1F1F1"/>
          </w:tcPr>
          <w:p>
            <w:pPr>
              <w:pStyle w:val="TableParagraph"/>
              <w:spacing w:before="68" w:line="219" w:lineRule="exact"/>
              <w:ind w:left="200"/>
              <w:jc w:val="left"/>
              <w:rPr>
                <w:rFonts w:ascii="楷体" w:eastAsia="楷体" w:hint="eastAsia"/>
                <w:sz w:val="20"/>
              </w:rPr>
            </w:pPr>
            <w:r>
              <w:rPr>
                <w:rFonts w:ascii="楷体" w:eastAsia="楷体" w:hint="eastAsia"/>
                <w:sz w:val="20"/>
              </w:rPr>
              <w:t>丽水</w:t>
            </w:r>
          </w:p>
        </w:tc>
        <w:tc>
          <w:tcPr>
            <w:tcW w:w="1189" w:type="dxa"/>
            <w:shd w:val="clear" w:color="auto" w:fill="F1F1F1"/>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53" w:line="234" w:lineRule="exact"/>
              <w:ind w:left="341"/>
              <w:jc w:val="left"/>
              <w:rPr>
                <w:rFonts w:ascii="楷体"/>
                <w:sz w:val="20"/>
              </w:rPr>
            </w:pPr>
            <w:r>
              <w:rPr>
                <w:rFonts w:ascii="楷体"/>
                <w:sz w:val="20"/>
              </w:rPr>
              <w:t>2.0</w:t>
            </w:r>
          </w:p>
        </w:tc>
        <w:tc>
          <w:tcPr>
            <w:tcW w:w="1362" w:type="dxa"/>
            <w:shd w:val="clear" w:color="auto" w:fill="F1F1F1"/>
          </w:tcPr>
          <w:p>
            <w:pPr>
              <w:pStyle w:val="TableParagraph"/>
              <w:spacing w:before="68" w:line="219" w:lineRule="exact"/>
              <w:ind w:left="412"/>
              <w:jc w:val="left"/>
              <w:rPr>
                <w:rFonts w:ascii="楷体"/>
                <w:sz w:val="20"/>
              </w:rPr>
            </w:pPr>
            <w:r>
              <w:rPr>
                <w:rFonts w:ascii="楷体"/>
                <w:sz w:val="20"/>
              </w:rPr>
              <w:t>AA-</w:t>
            </w:r>
          </w:p>
        </w:tc>
        <w:tc>
          <w:tcPr>
            <w:tcW w:w="1463" w:type="dxa"/>
            <w:shd w:val="clear" w:color="auto" w:fill="F1F1F1"/>
          </w:tcPr>
          <w:p>
            <w:pPr>
              <w:pStyle w:val="TableParagraph"/>
              <w:spacing w:before="68" w:line="219" w:lineRule="exact"/>
              <w:ind w:right="522"/>
              <w:jc w:val="right"/>
              <w:rPr>
                <w:rFonts w:ascii="楷体"/>
                <w:sz w:val="20"/>
              </w:rPr>
            </w:pPr>
            <w:r>
              <w:rPr>
                <w:rFonts w:ascii="楷体"/>
                <w:w w:val="99"/>
                <w:sz w:val="20"/>
              </w:rPr>
              <w:t>4</w:t>
            </w:r>
          </w:p>
        </w:tc>
        <w:tc>
          <w:tcPr>
            <w:tcW w:w="934" w:type="dxa"/>
            <w:shd w:val="clear" w:color="auto" w:fill="F1F1F1"/>
          </w:tcPr>
          <w:p>
            <w:pPr>
              <w:pStyle w:val="TableParagraph"/>
              <w:spacing w:before="53" w:line="234" w:lineRule="exact"/>
              <w:ind w:right="323"/>
              <w:jc w:val="right"/>
              <w:rPr>
                <w:rFonts w:ascii="楷体"/>
                <w:sz w:val="20"/>
              </w:rPr>
            </w:pPr>
            <w:r>
              <w:rPr>
                <w:rFonts w:ascii="楷体"/>
                <w:w w:val="99"/>
                <w:sz w:val="20"/>
              </w:rPr>
              <w:t>-</w:t>
            </w:r>
          </w:p>
        </w:tc>
        <w:tc>
          <w:tcPr>
            <w:tcW w:w="929" w:type="dxa"/>
            <w:shd w:val="clear" w:color="auto" w:fill="F1F1F1"/>
          </w:tcPr>
          <w:p>
            <w:pPr>
              <w:pStyle w:val="TableParagraph"/>
              <w:spacing w:before="68" w:line="219" w:lineRule="exact"/>
              <w:ind w:right="117"/>
              <w:jc w:val="right"/>
              <w:rPr>
                <w:rFonts w:ascii="楷体"/>
                <w:sz w:val="20"/>
              </w:rPr>
            </w:pPr>
            <w:r>
              <w:rPr>
                <w:rFonts w:ascii="楷体"/>
                <w:w w:val="95"/>
                <w:sz w:val="20"/>
              </w:rPr>
              <w:t>306.7</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tcPr>
          <w:p>
            <w:pPr>
              <w:pStyle w:val="TableParagraph"/>
              <w:spacing w:before="53" w:line="234" w:lineRule="exact"/>
              <w:ind w:left="141"/>
              <w:rPr>
                <w:rFonts w:ascii="楷体"/>
                <w:sz w:val="20"/>
              </w:rPr>
            </w:pPr>
            <w:r>
              <w:rPr>
                <w:rFonts w:ascii="楷体"/>
                <w:w w:val="99"/>
                <w:sz w:val="20"/>
              </w:rPr>
              <w:t>3</w:t>
            </w:r>
          </w:p>
        </w:tc>
        <w:tc>
          <w:tcPr>
            <w:tcW w:w="2721" w:type="dxa"/>
          </w:tcPr>
          <w:p>
            <w:pPr>
              <w:pStyle w:val="TableParagraph"/>
              <w:spacing w:before="68" w:line="219" w:lineRule="exact"/>
              <w:ind w:left="300" w:right="180"/>
              <w:rPr>
                <w:rFonts w:ascii="楷体" w:eastAsia="楷体" w:hint="eastAsia"/>
                <w:sz w:val="20"/>
              </w:rPr>
            </w:pPr>
            <w:r>
              <w:rPr>
                <w:rFonts w:ascii="楷体" w:eastAsia="楷体" w:hint="eastAsia"/>
                <w:sz w:val="20"/>
              </w:rPr>
              <w:t>宁波宁海农商行</w:t>
            </w:r>
          </w:p>
        </w:tc>
        <w:tc>
          <w:tcPr>
            <w:tcW w:w="847" w:type="dxa"/>
          </w:tcPr>
          <w:p>
            <w:pPr>
              <w:pStyle w:val="TableParagraph"/>
              <w:spacing w:before="68" w:line="219" w:lineRule="exact"/>
              <w:ind w:left="200"/>
              <w:jc w:val="left"/>
              <w:rPr>
                <w:rFonts w:ascii="楷体" w:eastAsia="楷体" w:hint="eastAsia"/>
                <w:sz w:val="20"/>
              </w:rPr>
            </w:pPr>
            <w:r>
              <w:rPr>
                <w:rFonts w:ascii="楷体" w:eastAsia="楷体" w:hint="eastAsia"/>
                <w:sz w:val="20"/>
              </w:rPr>
              <w:t>宁波</w:t>
            </w:r>
          </w:p>
        </w:tc>
        <w:tc>
          <w:tcPr>
            <w:tcW w:w="1189" w:type="dxa"/>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53" w:line="234" w:lineRule="exact"/>
              <w:ind w:left="341"/>
              <w:jc w:val="left"/>
              <w:rPr>
                <w:rFonts w:ascii="楷体"/>
                <w:sz w:val="20"/>
              </w:rPr>
            </w:pPr>
            <w:r>
              <w:rPr>
                <w:rFonts w:ascii="楷体"/>
                <w:sz w:val="20"/>
              </w:rPr>
              <w:t>3.5</w:t>
            </w:r>
          </w:p>
        </w:tc>
        <w:tc>
          <w:tcPr>
            <w:tcW w:w="1362" w:type="dxa"/>
          </w:tcPr>
          <w:p>
            <w:pPr>
              <w:pStyle w:val="TableParagraph"/>
              <w:spacing w:before="68" w:line="219" w:lineRule="exact"/>
              <w:ind w:left="412"/>
              <w:jc w:val="left"/>
              <w:rPr>
                <w:rFonts w:ascii="楷体"/>
                <w:sz w:val="20"/>
              </w:rPr>
            </w:pPr>
            <w:r>
              <w:rPr>
                <w:rFonts w:ascii="楷体"/>
                <w:sz w:val="20"/>
              </w:rPr>
              <w:t>AA-</w:t>
            </w:r>
          </w:p>
        </w:tc>
        <w:tc>
          <w:tcPr>
            <w:tcW w:w="1463" w:type="dxa"/>
          </w:tcPr>
          <w:p>
            <w:pPr>
              <w:pStyle w:val="TableParagraph"/>
              <w:spacing w:before="68" w:line="219" w:lineRule="exact"/>
              <w:ind w:right="522"/>
              <w:jc w:val="right"/>
              <w:rPr>
                <w:rFonts w:ascii="楷体"/>
                <w:sz w:val="20"/>
              </w:rPr>
            </w:pPr>
            <w:r>
              <w:rPr>
                <w:rFonts w:ascii="楷体"/>
                <w:w w:val="99"/>
                <w:sz w:val="20"/>
              </w:rPr>
              <w:t>3</w:t>
            </w:r>
          </w:p>
        </w:tc>
        <w:tc>
          <w:tcPr>
            <w:tcW w:w="934" w:type="dxa"/>
          </w:tcPr>
          <w:p>
            <w:pPr>
              <w:pStyle w:val="TableParagraph"/>
              <w:spacing w:before="53" w:line="234" w:lineRule="exact"/>
              <w:ind w:right="323"/>
              <w:jc w:val="right"/>
              <w:rPr>
                <w:rFonts w:ascii="楷体"/>
                <w:sz w:val="20"/>
              </w:rPr>
            </w:pPr>
            <w:r>
              <w:rPr>
                <w:rFonts w:ascii="楷体"/>
                <w:w w:val="99"/>
                <w:sz w:val="20"/>
              </w:rPr>
              <w:t>-</w:t>
            </w:r>
          </w:p>
        </w:tc>
        <w:tc>
          <w:tcPr>
            <w:tcW w:w="929" w:type="dxa"/>
          </w:tcPr>
          <w:p>
            <w:pPr>
              <w:pStyle w:val="TableParagraph"/>
              <w:spacing w:before="68" w:line="219" w:lineRule="exact"/>
              <w:ind w:right="117"/>
              <w:jc w:val="right"/>
              <w:rPr>
                <w:rFonts w:ascii="楷体"/>
                <w:sz w:val="20"/>
              </w:rPr>
            </w:pPr>
            <w:r>
              <w:rPr>
                <w:rFonts w:ascii="楷体"/>
                <w:w w:val="95"/>
                <w:sz w:val="20"/>
              </w:rPr>
              <w:t>291.5</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shd w:val="clear" w:color="auto" w:fill="F1F1F1"/>
          </w:tcPr>
          <w:p>
            <w:pPr>
              <w:pStyle w:val="TableParagraph"/>
              <w:spacing w:before="53" w:line="234" w:lineRule="exact"/>
              <w:ind w:left="160" w:right="18"/>
              <w:rPr>
                <w:rFonts w:ascii="楷体"/>
                <w:sz w:val="20"/>
              </w:rPr>
            </w:pPr>
            <w:r>
              <w:rPr>
                <w:rFonts w:ascii="楷体"/>
                <w:sz w:val="20"/>
              </w:rPr>
              <w:t>11</w:t>
            </w:r>
          </w:p>
        </w:tc>
        <w:tc>
          <w:tcPr>
            <w:tcW w:w="2721" w:type="dxa"/>
            <w:shd w:val="clear" w:color="auto" w:fill="F1F1F1"/>
          </w:tcPr>
          <w:p>
            <w:pPr>
              <w:pStyle w:val="TableParagraph"/>
              <w:spacing w:before="68" w:line="219" w:lineRule="exact"/>
              <w:ind w:left="300" w:right="180"/>
              <w:rPr>
                <w:rFonts w:ascii="楷体" w:eastAsia="楷体" w:hint="eastAsia"/>
                <w:sz w:val="20"/>
              </w:rPr>
            </w:pPr>
            <w:r>
              <w:rPr>
                <w:rFonts w:ascii="楷体" w:eastAsia="楷体" w:hint="eastAsia"/>
                <w:sz w:val="20"/>
              </w:rPr>
              <w:t>浙江淳安农商行</w:t>
            </w:r>
          </w:p>
        </w:tc>
        <w:tc>
          <w:tcPr>
            <w:tcW w:w="847" w:type="dxa"/>
            <w:shd w:val="clear" w:color="auto" w:fill="F1F1F1"/>
          </w:tcPr>
          <w:p>
            <w:pPr>
              <w:pStyle w:val="TableParagraph"/>
              <w:spacing w:before="68" w:line="219" w:lineRule="exact"/>
              <w:ind w:left="200"/>
              <w:jc w:val="left"/>
              <w:rPr>
                <w:rFonts w:ascii="楷体" w:eastAsia="楷体" w:hint="eastAsia"/>
                <w:sz w:val="20"/>
              </w:rPr>
            </w:pPr>
            <w:r>
              <w:rPr>
                <w:rFonts w:ascii="楷体" w:eastAsia="楷体" w:hint="eastAsia"/>
                <w:sz w:val="20"/>
              </w:rPr>
              <w:t>杭州</w:t>
            </w:r>
          </w:p>
        </w:tc>
        <w:tc>
          <w:tcPr>
            <w:tcW w:w="1189" w:type="dxa"/>
            <w:shd w:val="clear" w:color="auto" w:fill="F1F1F1"/>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53" w:line="234" w:lineRule="exact"/>
              <w:ind w:left="341"/>
              <w:jc w:val="left"/>
              <w:rPr>
                <w:rFonts w:ascii="楷体"/>
                <w:sz w:val="20"/>
              </w:rPr>
            </w:pPr>
            <w:r>
              <w:rPr>
                <w:rFonts w:ascii="楷体"/>
                <w:sz w:val="20"/>
              </w:rPr>
              <w:t>3.2</w:t>
            </w:r>
          </w:p>
        </w:tc>
        <w:tc>
          <w:tcPr>
            <w:tcW w:w="1362" w:type="dxa"/>
            <w:shd w:val="clear" w:color="auto" w:fill="F1F1F1"/>
          </w:tcPr>
          <w:p>
            <w:pPr>
              <w:pStyle w:val="TableParagraph"/>
              <w:spacing w:before="68" w:line="219" w:lineRule="exact"/>
              <w:ind w:left="462"/>
              <w:jc w:val="left"/>
              <w:rPr>
                <w:rFonts w:ascii="楷体"/>
                <w:sz w:val="20"/>
              </w:rPr>
            </w:pPr>
            <w:r>
              <w:rPr>
                <w:rFonts w:ascii="楷体"/>
                <w:sz w:val="20"/>
              </w:rPr>
              <w:t>A+</w:t>
            </w:r>
          </w:p>
        </w:tc>
        <w:tc>
          <w:tcPr>
            <w:tcW w:w="1463" w:type="dxa"/>
            <w:shd w:val="clear" w:color="auto" w:fill="F1F1F1"/>
          </w:tcPr>
          <w:p>
            <w:pPr>
              <w:pStyle w:val="TableParagraph"/>
              <w:spacing w:before="68" w:line="219" w:lineRule="exact"/>
              <w:ind w:right="522"/>
              <w:jc w:val="right"/>
              <w:rPr>
                <w:rFonts w:ascii="楷体"/>
                <w:sz w:val="20"/>
              </w:rPr>
            </w:pPr>
            <w:r>
              <w:rPr>
                <w:rFonts w:ascii="楷体"/>
                <w:w w:val="99"/>
                <w:sz w:val="20"/>
              </w:rPr>
              <w:t>3</w:t>
            </w:r>
          </w:p>
        </w:tc>
        <w:tc>
          <w:tcPr>
            <w:tcW w:w="934" w:type="dxa"/>
            <w:shd w:val="clear" w:color="auto" w:fill="F1F1F1"/>
          </w:tcPr>
          <w:p>
            <w:pPr>
              <w:pStyle w:val="TableParagraph"/>
              <w:spacing w:before="53" w:line="234" w:lineRule="exact"/>
              <w:ind w:right="323"/>
              <w:jc w:val="right"/>
              <w:rPr>
                <w:rFonts w:ascii="楷体"/>
                <w:sz w:val="20"/>
              </w:rPr>
            </w:pPr>
            <w:r>
              <w:rPr>
                <w:rFonts w:ascii="楷体"/>
                <w:w w:val="99"/>
                <w:sz w:val="20"/>
              </w:rPr>
              <w:t>-</w:t>
            </w:r>
          </w:p>
        </w:tc>
        <w:tc>
          <w:tcPr>
            <w:tcW w:w="929" w:type="dxa"/>
            <w:shd w:val="clear" w:color="auto" w:fill="F1F1F1"/>
          </w:tcPr>
          <w:p>
            <w:pPr>
              <w:pStyle w:val="TableParagraph"/>
              <w:spacing w:before="68" w:line="219" w:lineRule="exact"/>
              <w:ind w:right="117"/>
              <w:jc w:val="right"/>
              <w:rPr>
                <w:rFonts w:ascii="楷体"/>
                <w:sz w:val="20"/>
              </w:rPr>
            </w:pPr>
            <w:r>
              <w:rPr>
                <w:rFonts w:ascii="楷体"/>
                <w:w w:val="95"/>
                <w:sz w:val="20"/>
              </w:rPr>
              <w:t>217.7</w:t>
            </w:r>
          </w:p>
        </w:tc>
      </w:tr>
      <w:tr>
        <w:tblPrEx>
          <w:tblW w:w="0" w:type="auto"/>
          <w:jc w:val="left"/>
          <w:tblInd w:w="111" w:type="dxa"/>
          <w:tblLayout w:type="fixed"/>
          <w:tblCellMar>
            <w:top w:w="0" w:type="dxa"/>
            <w:left w:w="0" w:type="dxa"/>
            <w:bottom w:w="0" w:type="dxa"/>
            <w:right w:w="0" w:type="dxa"/>
          </w:tblCellMar>
          <w:tblLook w:val="01E0"/>
        </w:tblPrEx>
        <w:trPr>
          <w:trHeight w:val="304"/>
          <w:jc w:val="left"/>
        </w:trPr>
        <w:tc>
          <w:tcPr>
            <w:tcW w:w="988" w:type="dxa"/>
          </w:tcPr>
          <w:p>
            <w:pPr>
              <w:pStyle w:val="TableParagraph"/>
              <w:spacing w:before="53" w:line="231" w:lineRule="exact"/>
              <w:ind w:left="160" w:right="18"/>
              <w:rPr>
                <w:rFonts w:ascii="楷体"/>
                <w:sz w:val="20"/>
              </w:rPr>
            </w:pPr>
            <w:r>
              <w:rPr>
                <w:rFonts w:ascii="楷体"/>
                <w:sz w:val="20"/>
              </w:rPr>
              <w:t>50</w:t>
            </w:r>
          </w:p>
        </w:tc>
        <w:tc>
          <w:tcPr>
            <w:tcW w:w="2721" w:type="dxa"/>
          </w:tcPr>
          <w:p>
            <w:pPr>
              <w:pStyle w:val="TableParagraph"/>
              <w:spacing w:before="68" w:line="217" w:lineRule="exact"/>
              <w:ind w:left="300" w:right="180"/>
              <w:rPr>
                <w:rFonts w:ascii="楷体" w:eastAsia="楷体" w:hint="eastAsia"/>
                <w:sz w:val="20"/>
              </w:rPr>
            </w:pPr>
            <w:r>
              <w:rPr>
                <w:rFonts w:ascii="楷体" w:eastAsia="楷体" w:hint="eastAsia"/>
                <w:sz w:val="20"/>
              </w:rPr>
              <w:t>浙江兰溪农商行</w:t>
            </w:r>
          </w:p>
        </w:tc>
        <w:tc>
          <w:tcPr>
            <w:tcW w:w="847" w:type="dxa"/>
          </w:tcPr>
          <w:p>
            <w:pPr>
              <w:pStyle w:val="TableParagraph"/>
              <w:spacing w:before="68" w:line="217" w:lineRule="exact"/>
              <w:ind w:left="200"/>
              <w:jc w:val="left"/>
              <w:rPr>
                <w:rFonts w:ascii="楷体" w:eastAsia="楷体" w:hint="eastAsia"/>
                <w:sz w:val="20"/>
              </w:rPr>
            </w:pPr>
            <w:r>
              <w:rPr>
                <w:rFonts w:ascii="楷体" w:eastAsia="楷体" w:hint="eastAsia"/>
                <w:sz w:val="20"/>
              </w:rPr>
              <w:t>金华</w:t>
            </w:r>
          </w:p>
        </w:tc>
        <w:tc>
          <w:tcPr>
            <w:tcW w:w="1189" w:type="dxa"/>
          </w:tcPr>
          <w:p>
            <w:pPr>
              <w:pStyle w:val="TableParagraph"/>
              <w:spacing w:before="68" w:line="21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53" w:line="231" w:lineRule="exact"/>
              <w:ind w:left="341"/>
              <w:jc w:val="left"/>
              <w:rPr>
                <w:rFonts w:ascii="楷体"/>
                <w:sz w:val="20"/>
              </w:rPr>
            </w:pPr>
            <w:r>
              <w:rPr>
                <w:rFonts w:ascii="楷体"/>
                <w:sz w:val="20"/>
              </w:rPr>
              <w:t>2.5</w:t>
            </w:r>
          </w:p>
        </w:tc>
        <w:tc>
          <w:tcPr>
            <w:tcW w:w="1362" w:type="dxa"/>
          </w:tcPr>
          <w:p>
            <w:pPr>
              <w:pStyle w:val="TableParagraph"/>
              <w:spacing w:before="68" w:line="217" w:lineRule="exact"/>
              <w:ind w:left="412"/>
              <w:jc w:val="left"/>
              <w:rPr>
                <w:rFonts w:ascii="楷体"/>
                <w:sz w:val="20"/>
              </w:rPr>
            </w:pPr>
            <w:r>
              <w:rPr>
                <w:rFonts w:ascii="楷体"/>
                <w:sz w:val="20"/>
              </w:rPr>
              <w:t>AA-</w:t>
            </w:r>
          </w:p>
        </w:tc>
        <w:tc>
          <w:tcPr>
            <w:tcW w:w="1463" w:type="dxa"/>
          </w:tcPr>
          <w:p>
            <w:pPr>
              <w:pStyle w:val="TableParagraph"/>
              <w:spacing w:before="68" w:line="217" w:lineRule="exact"/>
              <w:ind w:right="522"/>
              <w:jc w:val="right"/>
              <w:rPr>
                <w:rFonts w:ascii="楷体"/>
                <w:sz w:val="20"/>
              </w:rPr>
            </w:pPr>
            <w:r>
              <w:rPr>
                <w:rFonts w:ascii="楷体"/>
                <w:w w:val="99"/>
                <w:sz w:val="20"/>
              </w:rPr>
              <w:t>3</w:t>
            </w:r>
          </w:p>
        </w:tc>
        <w:tc>
          <w:tcPr>
            <w:tcW w:w="934" w:type="dxa"/>
          </w:tcPr>
          <w:p>
            <w:pPr>
              <w:pStyle w:val="TableParagraph"/>
              <w:spacing w:before="53" w:line="231" w:lineRule="exact"/>
              <w:ind w:right="323"/>
              <w:jc w:val="right"/>
              <w:rPr>
                <w:rFonts w:ascii="楷体"/>
                <w:sz w:val="20"/>
              </w:rPr>
            </w:pPr>
            <w:r>
              <w:rPr>
                <w:rFonts w:ascii="楷体"/>
                <w:w w:val="99"/>
                <w:sz w:val="20"/>
              </w:rPr>
              <w:t>-</w:t>
            </w:r>
          </w:p>
        </w:tc>
        <w:tc>
          <w:tcPr>
            <w:tcW w:w="929" w:type="dxa"/>
          </w:tcPr>
          <w:p>
            <w:pPr>
              <w:pStyle w:val="TableParagraph"/>
              <w:spacing w:before="68" w:line="217" w:lineRule="exact"/>
              <w:ind w:right="117"/>
              <w:jc w:val="right"/>
              <w:rPr>
                <w:rFonts w:ascii="楷体"/>
                <w:sz w:val="20"/>
              </w:rPr>
            </w:pPr>
            <w:r>
              <w:rPr>
                <w:rFonts w:ascii="楷体"/>
                <w:w w:val="95"/>
                <w:sz w:val="20"/>
              </w:rPr>
              <w:t>320.9</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shd w:val="clear" w:color="auto" w:fill="F1F1F1"/>
          </w:tcPr>
          <w:p>
            <w:pPr>
              <w:pStyle w:val="TableParagraph"/>
              <w:spacing w:before="56" w:line="231" w:lineRule="exact"/>
              <w:ind w:left="160" w:right="18"/>
              <w:rPr>
                <w:rFonts w:ascii="楷体"/>
                <w:sz w:val="20"/>
              </w:rPr>
            </w:pPr>
            <w:r>
              <w:rPr>
                <w:rFonts w:ascii="楷体"/>
                <w:sz w:val="20"/>
              </w:rPr>
              <w:t>52</w:t>
            </w:r>
          </w:p>
        </w:tc>
        <w:tc>
          <w:tcPr>
            <w:tcW w:w="2721" w:type="dxa"/>
            <w:shd w:val="clear" w:color="auto" w:fill="F1F1F1"/>
          </w:tcPr>
          <w:p>
            <w:pPr>
              <w:pStyle w:val="TableParagraph"/>
              <w:spacing w:before="70" w:line="217" w:lineRule="exact"/>
              <w:ind w:left="300" w:right="180"/>
              <w:rPr>
                <w:rFonts w:ascii="楷体" w:eastAsia="楷体" w:hint="eastAsia"/>
                <w:sz w:val="20"/>
              </w:rPr>
            </w:pPr>
            <w:r>
              <w:rPr>
                <w:rFonts w:ascii="楷体" w:eastAsia="楷体" w:hint="eastAsia"/>
                <w:sz w:val="20"/>
              </w:rPr>
              <w:t>浙江遂昌农商行</w:t>
            </w:r>
          </w:p>
        </w:tc>
        <w:tc>
          <w:tcPr>
            <w:tcW w:w="847" w:type="dxa"/>
            <w:shd w:val="clear" w:color="auto" w:fill="F1F1F1"/>
          </w:tcPr>
          <w:p>
            <w:pPr>
              <w:pStyle w:val="TableParagraph"/>
              <w:spacing w:before="70" w:line="217" w:lineRule="exact"/>
              <w:ind w:left="200"/>
              <w:jc w:val="left"/>
              <w:rPr>
                <w:rFonts w:ascii="楷体" w:eastAsia="楷体" w:hint="eastAsia"/>
                <w:sz w:val="20"/>
              </w:rPr>
            </w:pPr>
            <w:r>
              <w:rPr>
                <w:rFonts w:ascii="楷体" w:eastAsia="楷体" w:hint="eastAsia"/>
                <w:sz w:val="20"/>
              </w:rPr>
              <w:t>丽水</w:t>
            </w:r>
          </w:p>
        </w:tc>
        <w:tc>
          <w:tcPr>
            <w:tcW w:w="1189" w:type="dxa"/>
            <w:shd w:val="clear" w:color="auto" w:fill="F1F1F1"/>
          </w:tcPr>
          <w:p>
            <w:pPr>
              <w:pStyle w:val="TableParagraph"/>
              <w:spacing w:before="70" w:line="21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56" w:line="231" w:lineRule="exact"/>
              <w:ind w:left="341"/>
              <w:jc w:val="left"/>
              <w:rPr>
                <w:rFonts w:ascii="楷体"/>
                <w:sz w:val="20"/>
              </w:rPr>
            </w:pPr>
            <w:r>
              <w:rPr>
                <w:rFonts w:ascii="楷体"/>
                <w:sz w:val="20"/>
              </w:rPr>
              <w:t>2.5</w:t>
            </w:r>
          </w:p>
        </w:tc>
        <w:tc>
          <w:tcPr>
            <w:tcW w:w="1362" w:type="dxa"/>
            <w:shd w:val="clear" w:color="auto" w:fill="F1F1F1"/>
          </w:tcPr>
          <w:p>
            <w:pPr>
              <w:pStyle w:val="TableParagraph"/>
              <w:spacing w:before="70" w:line="217" w:lineRule="exact"/>
              <w:ind w:left="462"/>
              <w:jc w:val="left"/>
              <w:rPr>
                <w:rFonts w:ascii="楷体"/>
                <w:sz w:val="20"/>
              </w:rPr>
            </w:pPr>
            <w:r>
              <w:rPr>
                <w:rFonts w:ascii="楷体"/>
                <w:sz w:val="20"/>
              </w:rPr>
              <w:t>A+</w:t>
            </w:r>
          </w:p>
        </w:tc>
        <w:tc>
          <w:tcPr>
            <w:tcW w:w="1463" w:type="dxa"/>
            <w:shd w:val="clear" w:color="auto" w:fill="F1F1F1"/>
          </w:tcPr>
          <w:p>
            <w:pPr>
              <w:pStyle w:val="TableParagraph"/>
              <w:spacing w:before="70" w:line="217" w:lineRule="exact"/>
              <w:ind w:right="522"/>
              <w:jc w:val="right"/>
              <w:rPr>
                <w:rFonts w:ascii="楷体"/>
                <w:sz w:val="20"/>
              </w:rPr>
            </w:pPr>
            <w:r>
              <w:rPr>
                <w:rFonts w:ascii="楷体"/>
                <w:w w:val="99"/>
                <w:sz w:val="20"/>
              </w:rPr>
              <w:t>3</w:t>
            </w:r>
          </w:p>
        </w:tc>
        <w:tc>
          <w:tcPr>
            <w:tcW w:w="934" w:type="dxa"/>
            <w:shd w:val="clear" w:color="auto" w:fill="F1F1F1"/>
          </w:tcPr>
          <w:p>
            <w:pPr>
              <w:pStyle w:val="TableParagraph"/>
              <w:spacing w:before="56" w:line="231" w:lineRule="exact"/>
              <w:ind w:right="323"/>
              <w:jc w:val="right"/>
              <w:rPr>
                <w:rFonts w:ascii="楷体"/>
                <w:sz w:val="20"/>
              </w:rPr>
            </w:pPr>
            <w:r>
              <w:rPr>
                <w:rFonts w:ascii="楷体"/>
                <w:w w:val="99"/>
                <w:sz w:val="20"/>
              </w:rPr>
              <w:t>-</w:t>
            </w:r>
          </w:p>
        </w:tc>
        <w:tc>
          <w:tcPr>
            <w:tcW w:w="929" w:type="dxa"/>
            <w:shd w:val="clear" w:color="auto" w:fill="F1F1F1"/>
          </w:tcPr>
          <w:p>
            <w:pPr>
              <w:pStyle w:val="TableParagraph"/>
              <w:spacing w:before="70" w:line="217" w:lineRule="exact"/>
              <w:ind w:right="117"/>
              <w:jc w:val="right"/>
              <w:rPr>
                <w:rFonts w:ascii="楷体"/>
                <w:sz w:val="20"/>
              </w:rPr>
            </w:pPr>
            <w:r>
              <w:rPr>
                <w:rFonts w:ascii="楷体"/>
                <w:w w:val="95"/>
                <w:sz w:val="20"/>
              </w:rPr>
              <w:t>138.9</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tcPr>
          <w:p>
            <w:pPr>
              <w:pStyle w:val="TableParagraph"/>
              <w:spacing w:before="56" w:line="231" w:lineRule="exact"/>
              <w:ind w:left="160" w:right="18"/>
              <w:rPr>
                <w:rFonts w:ascii="楷体"/>
                <w:sz w:val="20"/>
              </w:rPr>
            </w:pPr>
            <w:r>
              <w:rPr>
                <w:rFonts w:ascii="楷体"/>
                <w:sz w:val="20"/>
              </w:rPr>
              <w:t>54</w:t>
            </w:r>
          </w:p>
        </w:tc>
        <w:tc>
          <w:tcPr>
            <w:tcW w:w="2721" w:type="dxa"/>
          </w:tcPr>
          <w:p>
            <w:pPr>
              <w:pStyle w:val="TableParagraph"/>
              <w:spacing w:before="70" w:line="217" w:lineRule="exact"/>
              <w:ind w:left="300" w:right="180"/>
              <w:rPr>
                <w:rFonts w:ascii="楷体" w:eastAsia="楷体" w:hint="eastAsia"/>
                <w:sz w:val="20"/>
              </w:rPr>
            </w:pPr>
            <w:r>
              <w:rPr>
                <w:rFonts w:ascii="楷体" w:eastAsia="楷体" w:hint="eastAsia"/>
                <w:sz w:val="20"/>
              </w:rPr>
              <w:t>浙江缙云农商行</w:t>
            </w:r>
          </w:p>
        </w:tc>
        <w:tc>
          <w:tcPr>
            <w:tcW w:w="847" w:type="dxa"/>
          </w:tcPr>
          <w:p>
            <w:pPr>
              <w:pStyle w:val="TableParagraph"/>
              <w:spacing w:before="70" w:line="217" w:lineRule="exact"/>
              <w:ind w:left="200"/>
              <w:jc w:val="left"/>
              <w:rPr>
                <w:rFonts w:ascii="楷体" w:eastAsia="楷体" w:hint="eastAsia"/>
                <w:sz w:val="20"/>
              </w:rPr>
            </w:pPr>
            <w:r>
              <w:rPr>
                <w:rFonts w:ascii="楷体" w:eastAsia="楷体" w:hint="eastAsia"/>
                <w:sz w:val="20"/>
              </w:rPr>
              <w:t>丽水</w:t>
            </w:r>
          </w:p>
        </w:tc>
        <w:tc>
          <w:tcPr>
            <w:tcW w:w="1189" w:type="dxa"/>
          </w:tcPr>
          <w:p>
            <w:pPr>
              <w:pStyle w:val="TableParagraph"/>
              <w:spacing w:before="70" w:line="217"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56" w:line="231" w:lineRule="exact"/>
              <w:ind w:left="341"/>
              <w:jc w:val="left"/>
              <w:rPr>
                <w:rFonts w:ascii="楷体"/>
                <w:sz w:val="20"/>
              </w:rPr>
            </w:pPr>
            <w:r>
              <w:rPr>
                <w:rFonts w:ascii="楷体"/>
                <w:sz w:val="20"/>
              </w:rPr>
              <w:t>2.5</w:t>
            </w:r>
          </w:p>
        </w:tc>
        <w:tc>
          <w:tcPr>
            <w:tcW w:w="1362" w:type="dxa"/>
          </w:tcPr>
          <w:p>
            <w:pPr>
              <w:pStyle w:val="TableParagraph"/>
              <w:spacing w:before="70" w:line="217" w:lineRule="exact"/>
              <w:ind w:left="462"/>
              <w:jc w:val="left"/>
              <w:rPr>
                <w:rFonts w:ascii="楷体"/>
                <w:sz w:val="20"/>
              </w:rPr>
            </w:pPr>
            <w:r>
              <w:rPr>
                <w:rFonts w:ascii="楷体"/>
                <w:sz w:val="20"/>
              </w:rPr>
              <w:t>A+</w:t>
            </w:r>
          </w:p>
        </w:tc>
        <w:tc>
          <w:tcPr>
            <w:tcW w:w="1463" w:type="dxa"/>
          </w:tcPr>
          <w:p>
            <w:pPr>
              <w:pStyle w:val="TableParagraph"/>
              <w:spacing w:before="70" w:line="217" w:lineRule="exact"/>
              <w:ind w:right="522"/>
              <w:jc w:val="right"/>
              <w:rPr>
                <w:rFonts w:ascii="楷体"/>
                <w:sz w:val="20"/>
              </w:rPr>
            </w:pPr>
            <w:r>
              <w:rPr>
                <w:rFonts w:ascii="楷体"/>
                <w:w w:val="99"/>
                <w:sz w:val="20"/>
              </w:rPr>
              <w:t>3</w:t>
            </w:r>
          </w:p>
        </w:tc>
        <w:tc>
          <w:tcPr>
            <w:tcW w:w="934" w:type="dxa"/>
          </w:tcPr>
          <w:p>
            <w:pPr>
              <w:pStyle w:val="TableParagraph"/>
              <w:spacing w:before="56" w:line="231" w:lineRule="exact"/>
              <w:ind w:right="323"/>
              <w:jc w:val="right"/>
              <w:rPr>
                <w:rFonts w:ascii="楷体"/>
                <w:sz w:val="20"/>
              </w:rPr>
            </w:pPr>
            <w:r>
              <w:rPr>
                <w:rFonts w:ascii="楷体"/>
                <w:w w:val="99"/>
                <w:sz w:val="20"/>
              </w:rPr>
              <w:t>-</w:t>
            </w:r>
          </w:p>
        </w:tc>
        <w:tc>
          <w:tcPr>
            <w:tcW w:w="929" w:type="dxa"/>
          </w:tcPr>
          <w:p>
            <w:pPr>
              <w:pStyle w:val="TableParagraph"/>
              <w:spacing w:before="70" w:line="217" w:lineRule="exact"/>
              <w:ind w:right="117"/>
              <w:jc w:val="right"/>
              <w:rPr>
                <w:rFonts w:ascii="楷体"/>
                <w:sz w:val="20"/>
              </w:rPr>
            </w:pPr>
            <w:r>
              <w:rPr>
                <w:rFonts w:ascii="楷体"/>
                <w:w w:val="95"/>
                <w:sz w:val="20"/>
              </w:rPr>
              <w:t>174.0</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shd w:val="clear" w:color="auto" w:fill="F1F1F1"/>
          </w:tcPr>
          <w:p>
            <w:pPr>
              <w:pStyle w:val="TableParagraph"/>
              <w:spacing w:before="56" w:line="231" w:lineRule="exact"/>
              <w:ind w:left="160" w:right="18"/>
              <w:rPr>
                <w:rFonts w:ascii="楷体"/>
                <w:sz w:val="20"/>
              </w:rPr>
            </w:pPr>
            <w:r>
              <w:rPr>
                <w:rFonts w:ascii="楷体"/>
                <w:sz w:val="20"/>
              </w:rPr>
              <w:t>57</w:t>
            </w:r>
          </w:p>
        </w:tc>
        <w:tc>
          <w:tcPr>
            <w:tcW w:w="2721" w:type="dxa"/>
            <w:shd w:val="clear" w:color="auto" w:fill="F1F1F1"/>
          </w:tcPr>
          <w:p>
            <w:pPr>
              <w:pStyle w:val="TableParagraph"/>
              <w:spacing w:before="70" w:line="217" w:lineRule="exact"/>
              <w:ind w:left="300" w:right="180"/>
              <w:rPr>
                <w:rFonts w:ascii="楷体" w:eastAsia="楷体" w:hint="eastAsia"/>
                <w:sz w:val="20"/>
              </w:rPr>
            </w:pPr>
            <w:r>
              <w:rPr>
                <w:rFonts w:ascii="楷体" w:eastAsia="楷体" w:hint="eastAsia"/>
                <w:sz w:val="20"/>
              </w:rPr>
              <w:t>浙江舟山定海海洋农商行</w:t>
            </w:r>
          </w:p>
        </w:tc>
        <w:tc>
          <w:tcPr>
            <w:tcW w:w="847" w:type="dxa"/>
            <w:shd w:val="clear" w:color="auto" w:fill="F1F1F1"/>
          </w:tcPr>
          <w:p>
            <w:pPr>
              <w:pStyle w:val="TableParagraph"/>
              <w:spacing w:before="70" w:line="217" w:lineRule="exact"/>
              <w:ind w:left="200"/>
              <w:jc w:val="left"/>
              <w:rPr>
                <w:rFonts w:ascii="楷体" w:eastAsia="楷体" w:hint="eastAsia"/>
                <w:sz w:val="20"/>
              </w:rPr>
            </w:pPr>
            <w:r>
              <w:rPr>
                <w:rFonts w:ascii="楷体" w:eastAsia="楷体" w:hint="eastAsia"/>
                <w:sz w:val="20"/>
              </w:rPr>
              <w:t>舟山</w:t>
            </w:r>
          </w:p>
        </w:tc>
        <w:tc>
          <w:tcPr>
            <w:tcW w:w="1189" w:type="dxa"/>
            <w:shd w:val="clear" w:color="auto" w:fill="F1F1F1"/>
          </w:tcPr>
          <w:p>
            <w:pPr>
              <w:pStyle w:val="TableParagraph"/>
              <w:spacing w:before="70" w:line="217"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56" w:line="231" w:lineRule="exact"/>
              <w:ind w:left="341"/>
              <w:jc w:val="left"/>
              <w:rPr>
                <w:rFonts w:ascii="楷体"/>
                <w:sz w:val="20"/>
              </w:rPr>
            </w:pPr>
            <w:r>
              <w:rPr>
                <w:rFonts w:ascii="楷体"/>
                <w:sz w:val="20"/>
              </w:rPr>
              <w:t>2.3</w:t>
            </w:r>
          </w:p>
        </w:tc>
        <w:tc>
          <w:tcPr>
            <w:tcW w:w="1362" w:type="dxa"/>
            <w:shd w:val="clear" w:color="auto" w:fill="F1F1F1"/>
          </w:tcPr>
          <w:p>
            <w:pPr>
              <w:pStyle w:val="TableParagraph"/>
              <w:spacing w:before="70" w:line="217" w:lineRule="exact"/>
              <w:ind w:left="412"/>
              <w:jc w:val="left"/>
              <w:rPr>
                <w:rFonts w:ascii="楷体"/>
                <w:sz w:val="20"/>
              </w:rPr>
            </w:pPr>
            <w:r>
              <w:rPr>
                <w:rFonts w:ascii="楷体"/>
                <w:sz w:val="20"/>
              </w:rPr>
              <w:t>AA-</w:t>
            </w:r>
          </w:p>
        </w:tc>
        <w:tc>
          <w:tcPr>
            <w:tcW w:w="1463" w:type="dxa"/>
            <w:shd w:val="clear" w:color="auto" w:fill="F1F1F1"/>
          </w:tcPr>
          <w:p>
            <w:pPr>
              <w:pStyle w:val="TableParagraph"/>
              <w:spacing w:before="70" w:line="217" w:lineRule="exact"/>
              <w:ind w:right="518"/>
              <w:jc w:val="right"/>
              <w:rPr>
                <w:rFonts w:ascii="楷体"/>
                <w:sz w:val="20"/>
              </w:rPr>
            </w:pPr>
            <w:r>
              <w:rPr>
                <w:rFonts w:ascii="楷体"/>
                <w:sz w:val="20"/>
              </w:rPr>
              <w:t>2.3</w:t>
            </w:r>
          </w:p>
        </w:tc>
        <w:tc>
          <w:tcPr>
            <w:tcW w:w="934" w:type="dxa"/>
            <w:shd w:val="clear" w:color="auto" w:fill="F1F1F1"/>
          </w:tcPr>
          <w:p>
            <w:pPr>
              <w:pStyle w:val="TableParagraph"/>
              <w:spacing w:before="56" w:line="231" w:lineRule="exact"/>
              <w:ind w:right="323"/>
              <w:jc w:val="right"/>
              <w:rPr>
                <w:rFonts w:ascii="楷体"/>
                <w:sz w:val="20"/>
              </w:rPr>
            </w:pPr>
            <w:r>
              <w:rPr>
                <w:rFonts w:ascii="楷体"/>
                <w:w w:val="99"/>
                <w:sz w:val="20"/>
              </w:rPr>
              <w:t>-</w:t>
            </w:r>
          </w:p>
        </w:tc>
        <w:tc>
          <w:tcPr>
            <w:tcW w:w="929" w:type="dxa"/>
            <w:shd w:val="clear" w:color="auto" w:fill="F1F1F1"/>
          </w:tcPr>
          <w:p>
            <w:pPr>
              <w:pStyle w:val="TableParagraph"/>
              <w:spacing w:before="70" w:line="217" w:lineRule="exact"/>
              <w:ind w:right="117"/>
              <w:jc w:val="right"/>
              <w:rPr>
                <w:rFonts w:ascii="楷体"/>
                <w:sz w:val="20"/>
              </w:rPr>
            </w:pPr>
            <w:r>
              <w:rPr>
                <w:rFonts w:ascii="楷体"/>
                <w:w w:val="95"/>
                <w:sz w:val="20"/>
              </w:rPr>
              <w:t>298.7</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tcPr>
          <w:p>
            <w:pPr>
              <w:pStyle w:val="TableParagraph"/>
              <w:spacing w:before="56" w:line="231" w:lineRule="exact"/>
              <w:ind w:left="160" w:right="18"/>
              <w:rPr>
                <w:rFonts w:ascii="楷体"/>
                <w:sz w:val="20"/>
              </w:rPr>
            </w:pPr>
            <w:r>
              <w:rPr>
                <w:rFonts w:ascii="楷体"/>
                <w:sz w:val="20"/>
              </w:rPr>
              <w:t>26</w:t>
            </w:r>
          </w:p>
        </w:tc>
        <w:tc>
          <w:tcPr>
            <w:tcW w:w="2721" w:type="dxa"/>
          </w:tcPr>
          <w:p>
            <w:pPr>
              <w:pStyle w:val="TableParagraph"/>
              <w:spacing w:before="68" w:line="219" w:lineRule="exact"/>
              <w:ind w:left="300" w:right="180"/>
              <w:rPr>
                <w:rFonts w:ascii="楷体" w:eastAsia="楷体" w:hint="eastAsia"/>
                <w:sz w:val="20"/>
              </w:rPr>
            </w:pPr>
            <w:r>
              <w:rPr>
                <w:rFonts w:ascii="楷体" w:eastAsia="楷体" w:hint="eastAsia"/>
                <w:sz w:val="20"/>
              </w:rPr>
              <w:t>浙江常山农商行</w:t>
            </w:r>
          </w:p>
        </w:tc>
        <w:tc>
          <w:tcPr>
            <w:tcW w:w="847" w:type="dxa"/>
          </w:tcPr>
          <w:p>
            <w:pPr>
              <w:pStyle w:val="TableParagraph"/>
              <w:spacing w:before="68" w:line="219" w:lineRule="exact"/>
              <w:ind w:left="200"/>
              <w:jc w:val="left"/>
              <w:rPr>
                <w:rFonts w:ascii="楷体" w:eastAsia="楷体" w:hint="eastAsia"/>
                <w:sz w:val="20"/>
              </w:rPr>
            </w:pPr>
            <w:r>
              <w:rPr>
                <w:rFonts w:ascii="楷体" w:eastAsia="楷体" w:hint="eastAsia"/>
                <w:sz w:val="20"/>
              </w:rPr>
              <w:t>衢州</w:t>
            </w:r>
          </w:p>
        </w:tc>
        <w:tc>
          <w:tcPr>
            <w:tcW w:w="1189" w:type="dxa"/>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56" w:line="231" w:lineRule="exact"/>
              <w:ind w:left="341"/>
              <w:jc w:val="left"/>
              <w:rPr>
                <w:rFonts w:ascii="楷体"/>
                <w:sz w:val="20"/>
              </w:rPr>
            </w:pPr>
            <w:r>
              <w:rPr>
                <w:rFonts w:ascii="楷体"/>
                <w:sz w:val="20"/>
              </w:rPr>
              <w:t>2.8</w:t>
            </w:r>
          </w:p>
        </w:tc>
        <w:tc>
          <w:tcPr>
            <w:tcW w:w="1362" w:type="dxa"/>
          </w:tcPr>
          <w:p>
            <w:pPr>
              <w:pStyle w:val="TableParagraph"/>
              <w:spacing w:before="68" w:line="219" w:lineRule="exact"/>
              <w:ind w:left="462"/>
              <w:jc w:val="left"/>
              <w:rPr>
                <w:rFonts w:ascii="楷体"/>
                <w:sz w:val="20"/>
              </w:rPr>
            </w:pPr>
            <w:r>
              <w:rPr>
                <w:rFonts w:ascii="楷体"/>
                <w:sz w:val="20"/>
              </w:rPr>
              <w:t>A+</w:t>
            </w:r>
          </w:p>
        </w:tc>
        <w:tc>
          <w:tcPr>
            <w:tcW w:w="1463" w:type="dxa"/>
          </w:tcPr>
          <w:p>
            <w:pPr>
              <w:pStyle w:val="TableParagraph"/>
              <w:spacing w:before="68" w:line="219" w:lineRule="exact"/>
              <w:ind w:right="522"/>
              <w:jc w:val="right"/>
              <w:rPr>
                <w:rFonts w:ascii="楷体"/>
                <w:sz w:val="20"/>
              </w:rPr>
            </w:pPr>
            <w:r>
              <w:rPr>
                <w:rFonts w:ascii="楷体"/>
                <w:w w:val="99"/>
                <w:sz w:val="20"/>
              </w:rPr>
              <w:t>2</w:t>
            </w:r>
          </w:p>
        </w:tc>
        <w:tc>
          <w:tcPr>
            <w:tcW w:w="934" w:type="dxa"/>
          </w:tcPr>
          <w:p>
            <w:pPr>
              <w:pStyle w:val="TableParagraph"/>
              <w:spacing w:before="56" w:line="231" w:lineRule="exact"/>
              <w:ind w:right="323"/>
              <w:jc w:val="right"/>
              <w:rPr>
                <w:rFonts w:ascii="楷体"/>
                <w:sz w:val="20"/>
              </w:rPr>
            </w:pPr>
            <w:r>
              <w:rPr>
                <w:rFonts w:ascii="楷体"/>
                <w:w w:val="99"/>
                <w:sz w:val="20"/>
              </w:rPr>
              <w:t>-</w:t>
            </w:r>
          </w:p>
        </w:tc>
        <w:tc>
          <w:tcPr>
            <w:tcW w:w="929" w:type="dxa"/>
          </w:tcPr>
          <w:p>
            <w:pPr>
              <w:pStyle w:val="TableParagraph"/>
              <w:spacing w:before="68" w:line="219" w:lineRule="exact"/>
              <w:ind w:right="117"/>
              <w:jc w:val="right"/>
              <w:rPr>
                <w:rFonts w:ascii="楷体"/>
                <w:sz w:val="20"/>
              </w:rPr>
            </w:pPr>
            <w:r>
              <w:rPr>
                <w:rFonts w:ascii="楷体"/>
                <w:w w:val="95"/>
                <w:sz w:val="20"/>
              </w:rPr>
              <w:t>178.1</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shd w:val="clear" w:color="auto" w:fill="F1F1F1"/>
          </w:tcPr>
          <w:p>
            <w:pPr>
              <w:pStyle w:val="TableParagraph"/>
              <w:spacing w:before="56" w:line="231" w:lineRule="exact"/>
              <w:ind w:left="160" w:right="18"/>
              <w:rPr>
                <w:rFonts w:ascii="楷体"/>
                <w:sz w:val="20"/>
              </w:rPr>
            </w:pPr>
            <w:r>
              <w:rPr>
                <w:rFonts w:ascii="楷体"/>
                <w:sz w:val="20"/>
              </w:rPr>
              <w:t>38</w:t>
            </w:r>
          </w:p>
        </w:tc>
        <w:tc>
          <w:tcPr>
            <w:tcW w:w="2721" w:type="dxa"/>
            <w:shd w:val="clear" w:color="auto" w:fill="F1F1F1"/>
          </w:tcPr>
          <w:p>
            <w:pPr>
              <w:pStyle w:val="TableParagraph"/>
              <w:spacing w:before="68" w:line="219" w:lineRule="exact"/>
              <w:ind w:left="300" w:right="180"/>
              <w:rPr>
                <w:rFonts w:ascii="楷体" w:eastAsia="楷体" w:hint="eastAsia"/>
                <w:sz w:val="20"/>
              </w:rPr>
            </w:pPr>
            <w:r>
              <w:rPr>
                <w:rFonts w:ascii="楷体" w:eastAsia="楷体" w:hint="eastAsia"/>
                <w:sz w:val="20"/>
              </w:rPr>
              <w:t>浙江开化农商行</w:t>
            </w:r>
          </w:p>
        </w:tc>
        <w:tc>
          <w:tcPr>
            <w:tcW w:w="847" w:type="dxa"/>
            <w:shd w:val="clear" w:color="auto" w:fill="F1F1F1"/>
          </w:tcPr>
          <w:p>
            <w:pPr>
              <w:pStyle w:val="TableParagraph"/>
              <w:spacing w:before="68" w:line="219" w:lineRule="exact"/>
              <w:ind w:left="200"/>
              <w:jc w:val="left"/>
              <w:rPr>
                <w:rFonts w:ascii="楷体" w:eastAsia="楷体" w:hint="eastAsia"/>
                <w:sz w:val="20"/>
              </w:rPr>
            </w:pPr>
            <w:r>
              <w:rPr>
                <w:rFonts w:ascii="楷体" w:eastAsia="楷体" w:hint="eastAsia"/>
                <w:sz w:val="20"/>
              </w:rPr>
              <w:t>衢州</w:t>
            </w:r>
          </w:p>
        </w:tc>
        <w:tc>
          <w:tcPr>
            <w:tcW w:w="1189" w:type="dxa"/>
            <w:shd w:val="clear" w:color="auto" w:fill="F1F1F1"/>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56" w:line="231" w:lineRule="exact"/>
              <w:ind w:left="341"/>
              <w:jc w:val="left"/>
              <w:rPr>
                <w:rFonts w:ascii="楷体"/>
                <w:sz w:val="20"/>
              </w:rPr>
            </w:pPr>
            <w:r>
              <w:rPr>
                <w:rFonts w:ascii="楷体"/>
                <w:sz w:val="20"/>
              </w:rPr>
              <w:t>2.7</w:t>
            </w:r>
          </w:p>
        </w:tc>
        <w:tc>
          <w:tcPr>
            <w:tcW w:w="1362" w:type="dxa"/>
            <w:shd w:val="clear" w:color="auto" w:fill="F1F1F1"/>
          </w:tcPr>
          <w:p>
            <w:pPr>
              <w:pStyle w:val="TableParagraph"/>
              <w:spacing w:before="68" w:line="219" w:lineRule="exact"/>
              <w:ind w:left="412"/>
              <w:jc w:val="left"/>
              <w:rPr>
                <w:rFonts w:ascii="楷体"/>
                <w:sz w:val="20"/>
              </w:rPr>
            </w:pPr>
            <w:r>
              <w:rPr>
                <w:rFonts w:ascii="楷体"/>
                <w:sz w:val="20"/>
              </w:rPr>
              <w:t>AA-</w:t>
            </w:r>
          </w:p>
        </w:tc>
        <w:tc>
          <w:tcPr>
            <w:tcW w:w="1463" w:type="dxa"/>
            <w:shd w:val="clear" w:color="auto" w:fill="F1F1F1"/>
          </w:tcPr>
          <w:p>
            <w:pPr>
              <w:pStyle w:val="TableParagraph"/>
              <w:spacing w:before="68" w:line="219" w:lineRule="exact"/>
              <w:ind w:right="522"/>
              <w:jc w:val="right"/>
              <w:rPr>
                <w:rFonts w:ascii="楷体"/>
                <w:sz w:val="20"/>
              </w:rPr>
            </w:pPr>
            <w:r>
              <w:rPr>
                <w:rFonts w:ascii="楷体"/>
                <w:w w:val="99"/>
                <w:sz w:val="20"/>
              </w:rPr>
              <w:t>2</w:t>
            </w:r>
          </w:p>
        </w:tc>
        <w:tc>
          <w:tcPr>
            <w:tcW w:w="934" w:type="dxa"/>
            <w:shd w:val="clear" w:color="auto" w:fill="F1F1F1"/>
          </w:tcPr>
          <w:p>
            <w:pPr>
              <w:pStyle w:val="TableParagraph"/>
              <w:spacing w:before="56" w:line="231" w:lineRule="exact"/>
              <w:ind w:right="323"/>
              <w:jc w:val="right"/>
              <w:rPr>
                <w:rFonts w:ascii="楷体"/>
                <w:sz w:val="20"/>
              </w:rPr>
            </w:pPr>
            <w:r>
              <w:rPr>
                <w:rFonts w:ascii="楷体"/>
                <w:w w:val="99"/>
                <w:sz w:val="20"/>
              </w:rPr>
              <w:t>-</w:t>
            </w:r>
          </w:p>
        </w:tc>
        <w:tc>
          <w:tcPr>
            <w:tcW w:w="929" w:type="dxa"/>
            <w:shd w:val="clear" w:color="auto" w:fill="F1F1F1"/>
          </w:tcPr>
          <w:p>
            <w:pPr>
              <w:pStyle w:val="TableParagraph"/>
              <w:spacing w:before="68" w:line="219" w:lineRule="exact"/>
              <w:ind w:right="117"/>
              <w:jc w:val="right"/>
              <w:rPr>
                <w:rFonts w:ascii="楷体"/>
                <w:sz w:val="20"/>
              </w:rPr>
            </w:pPr>
            <w:r>
              <w:rPr>
                <w:rFonts w:ascii="楷体"/>
                <w:w w:val="95"/>
                <w:sz w:val="20"/>
              </w:rPr>
              <w:t>197.4</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tcPr>
          <w:p>
            <w:pPr>
              <w:pStyle w:val="TableParagraph"/>
              <w:spacing w:before="56" w:line="231" w:lineRule="exact"/>
              <w:ind w:left="160" w:right="18"/>
              <w:rPr>
                <w:rFonts w:ascii="楷体"/>
                <w:sz w:val="20"/>
              </w:rPr>
            </w:pPr>
            <w:r>
              <w:rPr>
                <w:rFonts w:ascii="楷体"/>
                <w:sz w:val="20"/>
              </w:rPr>
              <w:t>41</w:t>
            </w:r>
          </w:p>
        </w:tc>
        <w:tc>
          <w:tcPr>
            <w:tcW w:w="2721" w:type="dxa"/>
          </w:tcPr>
          <w:p>
            <w:pPr>
              <w:pStyle w:val="TableParagraph"/>
              <w:spacing w:before="68" w:line="219" w:lineRule="exact"/>
              <w:ind w:left="300" w:right="180"/>
              <w:rPr>
                <w:rFonts w:ascii="楷体" w:eastAsia="楷体" w:hint="eastAsia"/>
                <w:sz w:val="20"/>
              </w:rPr>
            </w:pPr>
            <w:r>
              <w:rPr>
                <w:rFonts w:ascii="楷体" w:eastAsia="楷体" w:hint="eastAsia"/>
                <w:sz w:val="20"/>
              </w:rPr>
              <w:t>浙江松阳农商行</w:t>
            </w:r>
          </w:p>
        </w:tc>
        <w:tc>
          <w:tcPr>
            <w:tcW w:w="847" w:type="dxa"/>
          </w:tcPr>
          <w:p>
            <w:pPr>
              <w:pStyle w:val="TableParagraph"/>
              <w:spacing w:before="68" w:line="219" w:lineRule="exact"/>
              <w:ind w:left="200"/>
              <w:jc w:val="left"/>
              <w:rPr>
                <w:rFonts w:ascii="楷体" w:eastAsia="楷体" w:hint="eastAsia"/>
                <w:sz w:val="20"/>
              </w:rPr>
            </w:pPr>
            <w:r>
              <w:rPr>
                <w:rFonts w:ascii="楷体" w:eastAsia="楷体" w:hint="eastAsia"/>
                <w:sz w:val="20"/>
              </w:rPr>
              <w:t>丽水</w:t>
            </w:r>
          </w:p>
        </w:tc>
        <w:tc>
          <w:tcPr>
            <w:tcW w:w="1189" w:type="dxa"/>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tcPr>
          <w:p>
            <w:pPr>
              <w:pStyle w:val="TableParagraph"/>
              <w:spacing w:before="56" w:line="231" w:lineRule="exact"/>
              <w:ind w:left="341"/>
              <w:jc w:val="left"/>
              <w:rPr>
                <w:rFonts w:ascii="楷体"/>
                <w:sz w:val="20"/>
              </w:rPr>
            </w:pPr>
            <w:r>
              <w:rPr>
                <w:rFonts w:ascii="楷体"/>
                <w:sz w:val="20"/>
              </w:rPr>
              <w:t>2.6</w:t>
            </w:r>
          </w:p>
        </w:tc>
        <w:tc>
          <w:tcPr>
            <w:tcW w:w="1362" w:type="dxa"/>
          </w:tcPr>
          <w:p>
            <w:pPr>
              <w:pStyle w:val="TableParagraph"/>
              <w:spacing w:before="68" w:line="219" w:lineRule="exact"/>
              <w:ind w:left="462"/>
              <w:jc w:val="left"/>
              <w:rPr>
                <w:rFonts w:ascii="楷体"/>
                <w:sz w:val="20"/>
              </w:rPr>
            </w:pPr>
            <w:r>
              <w:rPr>
                <w:rFonts w:ascii="楷体"/>
                <w:sz w:val="20"/>
              </w:rPr>
              <w:t>A+</w:t>
            </w:r>
          </w:p>
        </w:tc>
        <w:tc>
          <w:tcPr>
            <w:tcW w:w="1463" w:type="dxa"/>
          </w:tcPr>
          <w:p>
            <w:pPr>
              <w:pStyle w:val="TableParagraph"/>
              <w:spacing w:before="68" w:line="219" w:lineRule="exact"/>
              <w:ind w:right="522"/>
              <w:jc w:val="right"/>
              <w:rPr>
                <w:rFonts w:ascii="楷体"/>
                <w:sz w:val="20"/>
              </w:rPr>
            </w:pPr>
            <w:r>
              <w:rPr>
                <w:rFonts w:ascii="楷体"/>
                <w:w w:val="99"/>
                <w:sz w:val="20"/>
              </w:rPr>
              <w:t>2</w:t>
            </w:r>
          </w:p>
        </w:tc>
        <w:tc>
          <w:tcPr>
            <w:tcW w:w="934" w:type="dxa"/>
          </w:tcPr>
          <w:p>
            <w:pPr>
              <w:pStyle w:val="TableParagraph"/>
              <w:spacing w:before="56" w:line="231" w:lineRule="exact"/>
              <w:ind w:right="323"/>
              <w:jc w:val="right"/>
              <w:rPr>
                <w:rFonts w:ascii="楷体"/>
                <w:sz w:val="20"/>
              </w:rPr>
            </w:pPr>
            <w:r>
              <w:rPr>
                <w:rFonts w:ascii="楷体"/>
                <w:w w:val="99"/>
                <w:sz w:val="20"/>
              </w:rPr>
              <w:t>-</w:t>
            </w:r>
          </w:p>
        </w:tc>
        <w:tc>
          <w:tcPr>
            <w:tcW w:w="929" w:type="dxa"/>
          </w:tcPr>
          <w:p>
            <w:pPr>
              <w:pStyle w:val="TableParagraph"/>
              <w:spacing w:before="68" w:line="219" w:lineRule="exact"/>
              <w:ind w:right="117"/>
              <w:jc w:val="right"/>
              <w:rPr>
                <w:rFonts w:ascii="楷体"/>
                <w:sz w:val="20"/>
              </w:rPr>
            </w:pPr>
            <w:r>
              <w:rPr>
                <w:rFonts w:ascii="楷体"/>
                <w:w w:val="95"/>
                <w:sz w:val="20"/>
              </w:rPr>
              <w:t>115.2</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shd w:val="clear" w:color="auto" w:fill="F1F1F1"/>
          </w:tcPr>
          <w:p>
            <w:pPr>
              <w:pStyle w:val="TableParagraph"/>
              <w:spacing w:before="56" w:line="231" w:lineRule="exact"/>
              <w:ind w:left="160" w:right="18"/>
              <w:rPr>
                <w:rFonts w:ascii="楷体"/>
                <w:sz w:val="20"/>
              </w:rPr>
            </w:pPr>
            <w:r>
              <w:rPr>
                <w:rFonts w:ascii="楷体"/>
                <w:sz w:val="20"/>
              </w:rPr>
              <w:t>44</w:t>
            </w:r>
          </w:p>
        </w:tc>
        <w:tc>
          <w:tcPr>
            <w:tcW w:w="2721" w:type="dxa"/>
            <w:shd w:val="clear" w:color="auto" w:fill="F1F1F1"/>
          </w:tcPr>
          <w:p>
            <w:pPr>
              <w:pStyle w:val="TableParagraph"/>
              <w:spacing w:before="68" w:line="219" w:lineRule="exact"/>
              <w:ind w:left="297" w:right="180"/>
              <w:rPr>
                <w:rFonts w:ascii="楷体" w:eastAsia="楷体" w:hint="eastAsia"/>
                <w:sz w:val="20"/>
              </w:rPr>
            </w:pPr>
            <w:r>
              <w:rPr>
                <w:rFonts w:ascii="楷体" w:eastAsia="楷体" w:hint="eastAsia"/>
                <w:sz w:val="20"/>
              </w:rPr>
              <w:t>浙江温州洞头农商行</w:t>
            </w:r>
          </w:p>
        </w:tc>
        <w:tc>
          <w:tcPr>
            <w:tcW w:w="847" w:type="dxa"/>
            <w:shd w:val="clear" w:color="auto" w:fill="F1F1F1"/>
          </w:tcPr>
          <w:p>
            <w:pPr>
              <w:pStyle w:val="TableParagraph"/>
              <w:spacing w:before="68" w:line="219" w:lineRule="exact"/>
              <w:ind w:left="200"/>
              <w:jc w:val="left"/>
              <w:rPr>
                <w:rFonts w:ascii="楷体" w:eastAsia="楷体" w:hint="eastAsia"/>
                <w:sz w:val="20"/>
              </w:rPr>
            </w:pPr>
            <w:r>
              <w:rPr>
                <w:rFonts w:ascii="楷体" w:eastAsia="楷体" w:hint="eastAsia"/>
                <w:sz w:val="20"/>
              </w:rPr>
              <w:t>温州</w:t>
            </w:r>
          </w:p>
        </w:tc>
        <w:tc>
          <w:tcPr>
            <w:tcW w:w="1189" w:type="dxa"/>
            <w:shd w:val="clear" w:color="auto" w:fill="F1F1F1"/>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shd w:val="clear" w:color="auto" w:fill="F1F1F1"/>
          </w:tcPr>
          <w:p>
            <w:pPr>
              <w:pStyle w:val="TableParagraph"/>
              <w:spacing w:before="56" w:line="231" w:lineRule="exact"/>
              <w:ind w:left="341"/>
              <w:jc w:val="left"/>
              <w:rPr>
                <w:rFonts w:ascii="楷体"/>
                <w:sz w:val="20"/>
              </w:rPr>
            </w:pPr>
            <w:r>
              <w:rPr>
                <w:rFonts w:ascii="楷体"/>
                <w:sz w:val="20"/>
              </w:rPr>
              <w:t>2.6</w:t>
            </w:r>
          </w:p>
        </w:tc>
        <w:tc>
          <w:tcPr>
            <w:tcW w:w="1362" w:type="dxa"/>
            <w:shd w:val="clear" w:color="auto" w:fill="F1F1F1"/>
          </w:tcPr>
          <w:p>
            <w:pPr>
              <w:pStyle w:val="TableParagraph"/>
              <w:spacing w:before="68" w:line="219" w:lineRule="exact"/>
              <w:ind w:left="513"/>
              <w:jc w:val="left"/>
              <w:rPr>
                <w:rFonts w:ascii="楷体"/>
                <w:sz w:val="20"/>
              </w:rPr>
            </w:pPr>
            <w:r>
              <w:rPr>
                <w:rFonts w:ascii="楷体"/>
                <w:w w:val="99"/>
                <w:sz w:val="20"/>
              </w:rPr>
              <w:t>A</w:t>
            </w:r>
          </w:p>
        </w:tc>
        <w:tc>
          <w:tcPr>
            <w:tcW w:w="1463" w:type="dxa"/>
            <w:shd w:val="clear" w:color="auto" w:fill="F1F1F1"/>
          </w:tcPr>
          <w:p>
            <w:pPr>
              <w:pStyle w:val="TableParagraph"/>
              <w:spacing w:before="68" w:line="219" w:lineRule="exact"/>
              <w:ind w:right="522"/>
              <w:jc w:val="right"/>
              <w:rPr>
                <w:rFonts w:ascii="楷体"/>
                <w:sz w:val="20"/>
              </w:rPr>
            </w:pPr>
            <w:r>
              <w:rPr>
                <w:rFonts w:ascii="楷体"/>
                <w:w w:val="99"/>
                <w:sz w:val="20"/>
              </w:rPr>
              <w:t>2</w:t>
            </w:r>
          </w:p>
        </w:tc>
        <w:tc>
          <w:tcPr>
            <w:tcW w:w="934" w:type="dxa"/>
            <w:shd w:val="clear" w:color="auto" w:fill="F1F1F1"/>
          </w:tcPr>
          <w:p>
            <w:pPr>
              <w:pStyle w:val="TableParagraph"/>
              <w:spacing w:before="56" w:line="231" w:lineRule="exact"/>
              <w:ind w:right="323"/>
              <w:jc w:val="right"/>
              <w:rPr>
                <w:rFonts w:ascii="楷体"/>
                <w:sz w:val="20"/>
              </w:rPr>
            </w:pPr>
            <w:r>
              <w:rPr>
                <w:rFonts w:ascii="楷体"/>
                <w:w w:val="99"/>
                <w:sz w:val="20"/>
              </w:rPr>
              <w:t>-</w:t>
            </w:r>
          </w:p>
        </w:tc>
        <w:tc>
          <w:tcPr>
            <w:tcW w:w="929" w:type="dxa"/>
            <w:shd w:val="clear" w:color="auto" w:fill="F1F1F1"/>
          </w:tcPr>
          <w:p>
            <w:pPr>
              <w:pStyle w:val="TableParagraph"/>
              <w:spacing w:before="68" w:line="219" w:lineRule="exact"/>
              <w:ind w:right="115"/>
              <w:jc w:val="right"/>
              <w:rPr>
                <w:rFonts w:ascii="楷体"/>
                <w:sz w:val="20"/>
              </w:rPr>
            </w:pPr>
            <w:r>
              <w:rPr>
                <w:rFonts w:ascii="楷体"/>
                <w:sz w:val="20"/>
              </w:rPr>
              <w:t>83.8</w:t>
            </w:r>
          </w:p>
        </w:tc>
      </w:tr>
      <w:tr>
        <w:tblPrEx>
          <w:tblW w:w="0" w:type="auto"/>
          <w:jc w:val="left"/>
          <w:tblInd w:w="111" w:type="dxa"/>
          <w:tblLayout w:type="fixed"/>
          <w:tblCellMar>
            <w:top w:w="0" w:type="dxa"/>
            <w:left w:w="0" w:type="dxa"/>
            <w:bottom w:w="0" w:type="dxa"/>
            <w:right w:w="0" w:type="dxa"/>
          </w:tblCellMar>
          <w:tblLook w:val="01E0"/>
        </w:tblPrEx>
        <w:trPr>
          <w:trHeight w:val="307"/>
          <w:jc w:val="left"/>
        </w:trPr>
        <w:tc>
          <w:tcPr>
            <w:tcW w:w="988" w:type="dxa"/>
            <w:tcBorders>
              <w:bottom w:val="single" w:sz="4" w:space="0" w:color="004097"/>
            </w:tcBorders>
          </w:tcPr>
          <w:p>
            <w:pPr>
              <w:pStyle w:val="TableParagraph"/>
              <w:spacing w:before="56" w:line="231" w:lineRule="exact"/>
              <w:ind w:left="160" w:right="18"/>
              <w:rPr>
                <w:rFonts w:ascii="楷体"/>
                <w:sz w:val="20"/>
              </w:rPr>
            </w:pPr>
            <w:r>
              <w:rPr>
                <w:rFonts w:ascii="楷体"/>
                <w:sz w:val="20"/>
              </w:rPr>
              <w:t>56</w:t>
            </w:r>
          </w:p>
        </w:tc>
        <w:tc>
          <w:tcPr>
            <w:tcW w:w="2721" w:type="dxa"/>
            <w:tcBorders>
              <w:bottom w:val="single" w:sz="4" w:space="0" w:color="004097"/>
            </w:tcBorders>
          </w:tcPr>
          <w:p>
            <w:pPr>
              <w:pStyle w:val="TableParagraph"/>
              <w:spacing w:before="68" w:line="219" w:lineRule="exact"/>
              <w:ind w:left="300" w:right="180"/>
              <w:rPr>
                <w:rFonts w:ascii="楷体" w:eastAsia="楷体" w:hint="eastAsia"/>
                <w:sz w:val="20"/>
              </w:rPr>
            </w:pPr>
            <w:r>
              <w:rPr>
                <w:rFonts w:ascii="楷体" w:eastAsia="楷体" w:hint="eastAsia"/>
                <w:sz w:val="20"/>
              </w:rPr>
              <w:t>浙江龙泉农商行</w:t>
            </w:r>
          </w:p>
        </w:tc>
        <w:tc>
          <w:tcPr>
            <w:tcW w:w="847" w:type="dxa"/>
            <w:tcBorders>
              <w:bottom w:val="single" w:sz="4" w:space="0" w:color="004097"/>
            </w:tcBorders>
          </w:tcPr>
          <w:p>
            <w:pPr>
              <w:pStyle w:val="TableParagraph"/>
              <w:spacing w:before="68" w:line="219" w:lineRule="exact"/>
              <w:ind w:left="200"/>
              <w:jc w:val="left"/>
              <w:rPr>
                <w:rFonts w:ascii="楷体" w:eastAsia="楷体" w:hint="eastAsia"/>
                <w:sz w:val="20"/>
              </w:rPr>
            </w:pPr>
            <w:r>
              <w:rPr>
                <w:rFonts w:ascii="楷体" w:eastAsia="楷体" w:hint="eastAsia"/>
                <w:sz w:val="20"/>
              </w:rPr>
              <w:t>丽水</w:t>
            </w:r>
          </w:p>
        </w:tc>
        <w:tc>
          <w:tcPr>
            <w:tcW w:w="1189" w:type="dxa"/>
            <w:tcBorders>
              <w:bottom w:val="single" w:sz="4" w:space="0" w:color="004097"/>
            </w:tcBorders>
          </w:tcPr>
          <w:p>
            <w:pPr>
              <w:pStyle w:val="TableParagraph"/>
              <w:spacing w:before="68" w:line="219" w:lineRule="exact"/>
              <w:ind w:left="225" w:right="323"/>
              <w:rPr>
                <w:rFonts w:ascii="楷体" w:eastAsia="楷体" w:hint="eastAsia"/>
                <w:sz w:val="20"/>
              </w:rPr>
            </w:pPr>
            <w:r>
              <w:rPr>
                <w:rFonts w:ascii="楷体" w:eastAsia="楷体" w:hint="eastAsia"/>
                <w:sz w:val="20"/>
              </w:rPr>
              <w:t>农商行</w:t>
            </w:r>
          </w:p>
        </w:tc>
        <w:tc>
          <w:tcPr>
            <w:tcW w:w="1062" w:type="dxa"/>
            <w:tcBorders>
              <w:bottom w:val="single" w:sz="4" w:space="0" w:color="004097"/>
            </w:tcBorders>
          </w:tcPr>
          <w:p>
            <w:pPr>
              <w:pStyle w:val="TableParagraph"/>
              <w:spacing w:before="56" w:line="231" w:lineRule="exact"/>
              <w:ind w:left="341"/>
              <w:jc w:val="left"/>
              <w:rPr>
                <w:rFonts w:ascii="楷体"/>
                <w:sz w:val="20"/>
              </w:rPr>
            </w:pPr>
            <w:r>
              <w:rPr>
                <w:rFonts w:ascii="楷体"/>
                <w:sz w:val="20"/>
              </w:rPr>
              <w:t>2.4</w:t>
            </w:r>
          </w:p>
        </w:tc>
        <w:tc>
          <w:tcPr>
            <w:tcW w:w="1362" w:type="dxa"/>
            <w:tcBorders>
              <w:bottom w:val="single" w:sz="4" w:space="0" w:color="004097"/>
            </w:tcBorders>
          </w:tcPr>
          <w:p>
            <w:pPr>
              <w:pStyle w:val="TableParagraph"/>
              <w:spacing w:before="68" w:line="219" w:lineRule="exact"/>
              <w:ind w:left="462"/>
              <w:jc w:val="left"/>
              <w:rPr>
                <w:rFonts w:ascii="楷体"/>
                <w:sz w:val="20"/>
              </w:rPr>
            </w:pPr>
            <w:r>
              <w:rPr>
                <w:rFonts w:ascii="楷体"/>
                <w:sz w:val="20"/>
              </w:rPr>
              <w:t>A+</w:t>
            </w:r>
          </w:p>
        </w:tc>
        <w:tc>
          <w:tcPr>
            <w:tcW w:w="1463" w:type="dxa"/>
            <w:tcBorders>
              <w:bottom w:val="single" w:sz="4" w:space="0" w:color="004097"/>
            </w:tcBorders>
          </w:tcPr>
          <w:p>
            <w:pPr>
              <w:pStyle w:val="TableParagraph"/>
              <w:spacing w:before="68" w:line="219" w:lineRule="exact"/>
              <w:ind w:right="522"/>
              <w:jc w:val="right"/>
              <w:rPr>
                <w:rFonts w:ascii="楷体"/>
                <w:sz w:val="20"/>
              </w:rPr>
            </w:pPr>
            <w:r>
              <w:rPr>
                <w:rFonts w:ascii="楷体"/>
                <w:w w:val="99"/>
                <w:sz w:val="20"/>
              </w:rPr>
              <w:t>2</w:t>
            </w:r>
          </w:p>
        </w:tc>
        <w:tc>
          <w:tcPr>
            <w:tcW w:w="934" w:type="dxa"/>
            <w:tcBorders>
              <w:bottom w:val="single" w:sz="4" w:space="0" w:color="004097"/>
            </w:tcBorders>
          </w:tcPr>
          <w:p>
            <w:pPr>
              <w:pStyle w:val="TableParagraph"/>
              <w:spacing w:before="56" w:line="231" w:lineRule="exact"/>
              <w:ind w:right="323"/>
              <w:jc w:val="right"/>
              <w:rPr>
                <w:rFonts w:ascii="楷体"/>
                <w:sz w:val="20"/>
              </w:rPr>
            </w:pPr>
            <w:r>
              <w:rPr>
                <w:rFonts w:ascii="楷体"/>
                <w:w w:val="99"/>
                <w:sz w:val="20"/>
              </w:rPr>
              <w:t>-</w:t>
            </w:r>
          </w:p>
        </w:tc>
        <w:tc>
          <w:tcPr>
            <w:tcW w:w="929" w:type="dxa"/>
            <w:tcBorders>
              <w:bottom w:val="single" w:sz="4" w:space="0" w:color="004097"/>
            </w:tcBorders>
          </w:tcPr>
          <w:p>
            <w:pPr>
              <w:pStyle w:val="TableParagraph"/>
              <w:spacing w:before="68" w:line="219" w:lineRule="exact"/>
              <w:ind w:right="117"/>
              <w:jc w:val="right"/>
              <w:rPr>
                <w:rFonts w:ascii="楷体"/>
                <w:sz w:val="20"/>
              </w:rPr>
            </w:pPr>
            <w:r>
              <w:rPr>
                <w:rFonts w:ascii="楷体"/>
                <w:w w:val="95"/>
                <w:sz w:val="20"/>
              </w:rPr>
              <w:t>139.8</w:t>
            </w:r>
          </w:p>
        </w:tc>
      </w:tr>
    </w:tbl>
    <w:p>
      <w:pPr>
        <w:spacing w:before="0" w:line="217" w:lineRule="exact"/>
        <w:ind w:left="211" w:right="0" w:firstLine="0"/>
        <w:jc w:val="left"/>
        <w:rPr>
          <w:rFonts w:ascii="宋体" w:eastAsia="宋体" w:hint="eastAsia"/>
          <w:sz w:val="17"/>
        </w:rPr>
      </w:pPr>
      <w:r>
        <w:t xml:space="preserve">资料来源： ， </w:t>
      </w:r>
    </w:p>
    <w:p>
      <w:pPr>
        <w:pStyle w:val="BodyText"/>
        <w:rPr>
          <w:rFonts w:ascii="宋体"/>
          <w:sz w:val="20"/>
        </w:rPr>
      </w:pPr>
    </w:p>
    <w:p>
      <w:pPr>
        <w:spacing w:after="0"/>
        <w:rPr>
          <w:rFonts w:ascii="宋体"/>
          <w:sz w:val="20"/>
        </w:rPr>
        <w:sectPr>
          <w:headerReference w:type="default" r:id="rId81"/>
          <w:footerReference w:type="default" r:id="rId82"/>
          <w:pgSz w:w="11910" w:h="16840"/>
          <w:pgMar w:top="1320" w:right="0" w:bottom="660" w:left="180" w:header="708" w:footer="708"/>
          <w:pgNumType w:start="33"/>
          <w:cols w:space="708"/>
        </w:sect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spacing w:before="11"/>
        <w:rPr>
          <w:rFonts w:ascii="宋体"/>
          <w:sz w:val="2"/>
        </w:rPr>
      </w:pPr>
    </w:p>
    <w:p>
      <w:pPr>
        <w:spacing w:before="1"/>
        <w:ind w:left="0" w:right="0" w:firstLine="0"/>
        <w:jc w:val="right"/>
        <w:rPr>
          <w:rFonts w:ascii="仿宋" w:eastAsia="仿宋" w:hint="eastAsia"/>
          <w:sz w:val="2"/>
        </w:rPr>
      </w:pPr>
      <w:r>
        <w:rPr>
          <w:rFonts w:ascii="仿宋" w:eastAsia="仿宋" w:hint="eastAsia"/>
          <w:color w:val="BFBFBF"/>
          <w:sz w:val="2"/>
        </w:rPr>
        <w:t>华福证券</w:t>
      </w:r>
    </w:p>
    <w:p>
      <w:pPr>
        <w:pStyle w:val="BodyText"/>
        <w:spacing w:before="2"/>
        <w:rPr>
          <w:rFonts w:ascii="仿宋"/>
          <w:sz w:val="19"/>
        </w:rPr>
      </w:pPr>
      <w:r>
        <w:br w:type="column"/>
      </w:r>
    </w:p>
    <w:p>
      <w:pPr>
        <w:pStyle w:val="BodyText"/>
        <w:spacing w:before="1" w:line="319" w:lineRule="auto"/>
        <w:ind w:left="1252" w:right="801" w:firstLine="439"/>
        <w:rPr>
          <w:rFonts w:ascii="Arial" w:eastAsia="Arial"/>
        </w:rPr>
      </w:pPr>
      <w:r>
        <w:t xml:space="preserve">可以看出，打分结果排名靠前的基本都是资产规模较大、主体评级较高的城农商行。为了进一步验证模型有效性，我们结合这些城农商行存续次级债 </w:t>
      </w:r>
      <w:r>
        <w:rPr>
          <w:rFonts w:ascii="Arial" w:eastAsia="Arial"/>
        </w:rPr>
        <w:t>2024</w:t>
      </w:r>
    </w:p>
    <w:p>
      <w:pPr>
        <w:pStyle w:val="BodyText"/>
        <w:spacing w:line="319" w:lineRule="auto"/>
        <w:ind w:left="1252" w:right="699"/>
      </w:pPr>
      <w:r>
        <w:rPr>
          <w:spacing w:val="-26"/>
        </w:rPr>
        <w:t xml:space="preserve">年 </w:t>
      </w:r>
      <w:r>
        <w:rPr>
          <w:rFonts w:ascii="Arial" w:eastAsia="Arial" w:hAnsi="Arial"/>
        </w:rPr>
        <w:t xml:space="preserve">2 </w:t>
      </w:r>
      <w:r>
        <w:rPr>
          <w:spacing w:val="-25"/>
        </w:rPr>
        <w:t xml:space="preserve">月 </w:t>
      </w:r>
      <w:r>
        <w:rPr>
          <w:rFonts w:ascii="Arial" w:eastAsia="Arial" w:hAnsi="Arial"/>
        </w:rPr>
        <w:t xml:space="preserve">5 </w:t>
      </w:r>
      <w:r>
        <w:rPr>
          <w:spacing w:val="-5"/>
        </w:rPr>
        <w:t>日估值收益率与打分结果进行回归性分析，可以看出我们构建的打分模</w:t>
      </w:r>
      <w:r>
        <w:rPr>
          <w:spacing w:val="-6"/>
        </w:rPr>
        <w:t>型结果与市场给予的债券估值呈现一个较为明显的相关性。相关系数为</w:t>
      </w:r>
      <w:r>
        <w:rPr>
          <w:rFonts w:ascii="Arial" w:eastAsia="Arial" w:hAnsi="Arial"/>
          <w:spacing w:val="-8"/>
        </w:rPr>
        <w:t>-0.56</w:t>
      </w:r>
      <w:r>
        <w:rPr>
          <w:spacing w:val="-24"/>
        </w:rPr>
        <w:t>，即</w:t>
      </w:r>
      <w:r>
        <w:t>在我们打分模型下得分越高的银行，其次级债估值收益率往往更低，符合逻辑。</w:t>
      </w:r>
      <w:r>
        <w:rPr>
          <w:spacing w:val="-8"/>
          <w:u w:val="single"/>
        </w:rPr>
        <w:t>趋势线右上方代表市场给予该银行次级债估值相对其基本面表现有更高溢价，表示</w:t>
      </w:r>
      <w:r>
        <w:rPr>
          <w:spacing w:val="-201"/>
          <w:u w:val="single"/>
        </w:rPr>
        <w:t>市</w:t>
      </w:r>
      <w:r>
        <w:rPr>
          <w:spacing w:val="-5"/>
          <w:u w:val="single"/>
        </w:rPr>
        <w:t>场对该主体认可偏弱，超过价值中枢，或存在</w:t>
      </w:r>
      <w:r>
        <w:rPr>
          <w:u w:val="single"/>
        </w:rPr>
        <w:t>α</w:t>
      </w:r>
      <w:r>
        <w:rPr>
          <w:spacing w:val="-4"/>
          <w:u w:val="single"/>
        </w:rPr>
        <w:t>投资机会；左下方反之，表示市</w:t>
      </w:r>
      <w:r>
        <w:rPr>
          <w:spacing w:val="-3"/>
          <w:u w:val="single"/>
        </w:rPr>
        <w:t>场认可度相对其基本面更高。</w:t>
      </w:r>
    </w:p>
    <w:p>
      <w:pPr>
        <w:spacing w:after="0" w:line="319" w:lineRule="auto"/>
        <w:sectPr>
          <w:headerReference w:type="default" r:id="rId83"/>
          <w:footerReference w:type="default" r:id="rId84"/>
          <w:type w:val="continuous"/>
          <w:pgSz w:w="11910" w:h="16840"/>
          <w:pgMar w:top="1320" w:right="0" w:bottom="660" w:left="180" w:header="708" w:footer="708"/>
          <w:pgNumType w:start="34"/>
          <w:cols w:num="2" w:space="708" w:equalWidth="0">
            <w:col w:w="1901" w:space="40"/>
            <w:col w:w="9789" w:space="0"/>
          </w:cols>
        </w:sectPr>
      </w:pPr>
    </w:p>
    <w:p>
      <w:pPr>
        <w:pStyle w:val="BodyText"/>
        <w:spacing w:before="6"/>
        <w:rPr>
          <w:sz w:val="21"/>
        </w:rPr>
      </w:pPr>
    </w:p>
    <w:p>
      <w:pPr>
        <w:spacing w:before="76"/>
        <w:ind w:left="2793" w:right="0" w:firstLine="0"/>
        <w:jc w:val="left"/>
        <w:rPr>
          <w:i/>
          <w:sz w:val="17"/>
        </w:rPr>
      </w:pPr>
      <w:r>
        <w:pict>
          <v:shape id="_x0000_s1370" style="width:408.85pt;height:0.1pt;margin-top:19.62pt;margin-left:143.3pt;mso-position-horizontal-relative:page;mso-wrap-distance-left:0;mso-wrap-distance-right:0;position:absolute;z-index:-251594752" coordorigin="2866,392" coordsize="8177,0" path="m2866,392l11042,392e" filled="f" stroked="t" strokecolor="#013e96" strokeweight="0.48pt">
            <v:stroke dashstyle="solid"/>
            <v:path arrowok="t"/>
            <w10:wrap type="topAndBottom"/>
          </v:shape>
        </w:pict>
      </w:r>
      <w:r>
        <w:rPr>
          <w:i/>
          <w:color w:val="004097"/>
          <w:sz w:val="17"/>
        </w:rPr>
        <w:t xml:space="preserve">图表 </w:t>
      </w:r>
      <w:r>
        <w:rPr>
          <w:rFonts w:ascii="Arial" w:eastAsia="Arial"/>
          <w:i/>
          <w:color w:val="004097"/>
          <w:sz w:val="16"/>
        </w:rPr>
        <w:t>12</w:t>
      </w:r>
      <w:r>
        <w:rPr>
          <w:i/>
          <w:color w:val="004097"/>
          <w:sz w:val="17"/>
        </w:rPr>
        <w:t xml:space="preserve">：主体打分 </w:t>
      </w:r>
      <w:r>
        <w:rPr>
          <w:rFonts w:ascii="Arial" w:eastAsia="Arial"/>
          <w:i/>
          <w:color w:val="004097"/>
          <w:sz w:val="16"/>
        </w:rPr>
        <w:t xml:space="preserve">VS </w:t>
      </w:r>
      <w:r>
        <w:rPr>
          <w:i/>
          <w:color w:val="004097"/>
          <w:sz w:val="17"/>
        </w:rPr>
        <w:t>中债估值气泡图</w:t>
      </w:r>
    </w:p>
    <w:p>
      <w:pPr>
        <w:pStyle w:val="BodyText"/>
        <w:spacing w:before="7"/>
        <w:rPr>
          <w:i/>
          <w:sz w:val="9"/>
        </w:rPr>
      </w:pPr>
    </w:p>
    <w:p>
      <w:pPr>
        <w:pStyle w:val="Heading3"/>
        <w:ind w:left="5569" w:firstLine="0"/>
      </w:pPr>
      <w:r>
        <w:rPr>
          <w:color w:val="585858"/>
        </w:rPr>
        <w:t>主体打分(x) vs 中债估值(y)</w:t>
      </w:r>
    </w:p>
    <w:p>
      <w:pPr>
        <w:spacing w:before="42"/>
        <w:ind w:left="3006" w:right="0" w:firstLine="0"/>
        <w:jc w:val="left"/>
        <w:rPr>
          <w:b/>
          <w:sz w:val="18"/>
        </w:rPr>
      </w:pPr>
      <w:r>
        <w:pict>
          <v:group id="_x0000_s1371" style="width:350.15pt;height:170.75pt;margin-top:2.35pt;margin-left:183.69pt;mso-position-horizontal-relative:page;position:absolute;z-index:251723776" coordorigin="3674,47" coordsize="7003,3415">
            <v:shape id="_x0000_s1372" style="width:6986;height:3407;left:3690;position:absolute;top:47" coordorigin="3690,47" coordsize="6986,3407" path="m3690,3454l3690,47m3690,3454l10676,3454e" filled="f" stroked="t" strokecolor="#bebebe" strokeweight="0.75pt">
              <v:stroke dashstyle="solid"/>
              <v:path arrowok="t"/>
            </v:shape>
            <v:shape id="_x0000_s1373" type="#_x0000_t75" style="width:887;height:890;left:8640;position:absolute;top:2545" stroked="f">
              <v:imagedata r:id="rId85" o:title=""/>
            </v:shape>
            <v:shape id="_x0000_s1374" type="#_x0000_t75" style="width:592;height:590;left:7317;position:absolute;top:2720" stroked="f">
              <v:imagedata r:id="rId86" o:title=""/>
            </v:shape>
            <v:shape id="_x0000_s1375" type="#_x0000_t75" style="width:395;height:398;left:8174;position:absolute;top:2725" stroked="f">
              <v:imagedata r:id="rId87" o:title=""/>
            </v:shape>
            <v:shape id="_x0000_s1376" type="#_x0000_t75" style="width:381;height:381;left:4903;position:absolute;top:2367" stroked="f">
              <v:imagedata r:id="rId88" o:title=""/>
            </v:shape>
            <v:shape id="_x0000_s1377" type="#_x0000_t75" style="width:364;height:364;left:5172;position:absolute;top:2497" stroked="f">
              <v:imagedata r:id="rId89" o:title=""/>
            </v:shape>
            <v:shape id="_x0000_s1378" type="#_x0000_t75" style="width:362;height:362;left:6626;position:absolute;top:2622" stroked="f">
              <v:imagedata r:id="rId90" o:title=""/>
            </v:shape>
            <v:shape id="_x0000_s1379" type="#_x0000_t75" style="width:280;height:278;left:6367;position:absolute;top:2341" stroked="f">
              <v:imagedata r:id="rId91" o:title=""/>
            </v:shape>
            <v:shape id="_x0000_s1380" type="#_x0000_t75" style="width:275;height:275;left:5659;position:absolute;top:2596" stroked="f">
              <v:imagedata r:id="rId92" o:title=""/>
            </v:shape>
            <v:shape id="_x0000_s1381" type="#_x0000_t75" style="width:266;height:266;left:7768;position:absolute;top:2785" stroked="f">
              <v:imagedata r:id="rId93" o:title=""/>
            </v:shape>
            <v:shape id="_x0000_s1382" type="#_x0000_t75" style="width:266;height:263;left:6873;position:absolute;top:2543" stroked="f">
              <v:imagedata r:id="rId94" o:title=""/>
            </v:shape>
            <v:shape id="_x0000_s1383" type="#_x0000_t75" style="width:244;height:244;left:7413;position:absolute;top:2555" stroked="f">
              <v:imagedata r:id="rId95" o:title=""/>
            </v:shape>
            <v:shape id="_x0000_s1384" type="#_x0000_t75" style="width:234;height:237;left:6446;position:absolute;top:2610" stroked="f">
              <v:imagedata r:id="rId96" o:title=""/>
            </v:shape>
            <v:shape id="_x0000_s1385" type="#_x0000_t75" style="width:206;height:206;left:6477;position:absolute;top:2651" stroked="f">
              <v:imagedata r:id="rId97" o:title=""/>
            </v:shape>
            <v:shape id="_x0000_s1386" type="#_x0000_t75" style="width:194;height:191;left:6290;position:absolute;top:2514" stroked="f">
              <v:imagedata r:id="rId98" o:title=""/>
            </v:shape>
            <v:shape id="_x0000_s1387" type="#_x0000_t75" style="width:162;height:162;left:7776;position:absolute;top:2804" stroked="f">
              <v:imagedata r:id="rId99" o:title=""/>
            </v:shape>
            <v:shape id="_x0000_s1388" type="#_x0000_t75" style="width:148;height:148;left:7644;position:absolute;top:2629" stroked="f">
              <v:imagedata r:id="rId100" o:title=""/>
            </v:shape>
            <v:shape id="_x0000_s1389" type="#_x0000_t75" style="width:134;height:136;left:5757;position:absolute;top:1998" stroked="f">
              <v:imagedata r:id="rId101" o:title=""/>
            </v:shape>
            <v:shape id="_x0000_s1390" type="#_x0000_t75" style="width:134;height:134;left:4197;position:absolute;top:1955" stroked="f">
              <v:imagedata r:id="rId102" o:title=""/>
            </v:shape>
            <v:shape id="_x0000_s1391" type="#_x0000_t75" style="width:124;height:124;left:7341;position:absolute;top:2617" stroked="f">
              <v:imagedata r:id="rId103" o:title=""/>
            </v:shape>
            <v:shape id="_x0000_s1392" type="#_x0000_t75" style="width:122;height:124;left:6309;position:absolute;top:2684" stroked="f">
              <v:imagedata r:id="rId104" o:title=""/>
            </v:shape>
            <v:shape id="_x0000_s1393" type="#_x0000_t75" style="width:114;height:117;left:5162;position:absolute;top:2209" stroked="f">
              <v:imagedata r:id="rId105" o:title=""/>
            </v:shape>
            <v:shape id="_x0000_s1394" type="#_x0000_t75" style="width:117;height:117;left:4723;position:absolute;top:1933" stroked="f">
              <v:imagedata r:id="rId106" o:title=""/>
            </v:shape>
            <v:shape id="_x0000_s1395" type="#_x0000_t75" style="width:158;height:165;left:5068;position:absolute;top:1686" stroked="f">
              <v:imagedata r:id="rId107" o:title=""/>
            </v:shape>
            <v:shape id="_x0000_s1396" type="#_x0000_t75" style="width:110;height:110;left:5313;position:absolute;top:2219" stroked="f">
              <v:imagedata r:id="rId108" o:title=""/>
            </v:shape>
            <v:shape id="_x0000_s1397" type="#_x0000_t75" style="width:105;height:105;left:4843;position:absolute;top:2027" stroked="f">
              <v:imagedata r:id="rId109" o:title=""/>
            </v:shape>
            <v:shape id="_x0000_s1398" type="#_x0000_t75" style="width:254;height:304;left:6333;position:absolute;top:1940" stroked="f">
              <v:imagedata r:id="rId110" o:title=""/>
            </v:shape>
            <v:shape id="_x0000_s1399" type="#_x0000_t75" style="width:83;height:83;left:6787;position:absolute;top:2085" stroked="f">
              <v:imagedata r:id="rId111" o:title=""/>
            </v:shape>
            <v:shape id="_x0000_s1400" type="#_x0000_t75" style="width:578;height:335;left:5491;position:absolute;top:1952" stroked="f">
              <v:imagedata r:id="rId112" o:title=""/>
            </v:shape>
            <v:shape id="_x0000_s1401" type="#_x0000_t75" style="width:83;height:83;left:6501;position:absolute;top:1285" stroked="f">
              <v:imagedata r:id="rId111" o:title=""/>
            </v:shape>
            <v:shape id="_x0000_s1402" type="#_x0000_t75" style="width:102;height:237;left:5059;position:absolute;top:1921" stroked="f">
              <v:imagedata r:id="rId113" o:title=""/>
            </v:shape>
            <v:shape id="_x0000_s1403" type="#_x0000_t75" style="width:98;height:174;left:3952;position:absolute;top:1266" stroked="f">
              <v:imagedata r:id="rId114" o:title=""/>
            </v:shape>
            <v:shape id="_x0000_s1404" type="#_x0000_t75" style="width:83;height:83;left:5006;position:absolute;top:1110" stroked="f">
              <v:imagedata r:id="rId111" o:title=""/>
            </v:shape>
            <v:shape id="_x0000_s1405" type="#_x0000_t75" style="width:81;height:81;left:6100;position:absolute;top:1439" stroked="f">
              <v:imagedata r:id="rId115" o:title=""/>
            </v:shape>
            <v:shape id="_x0000_s1406" type="#_x0000_t75" style="width:81;height:78;left:4056;position:absolute;top:2159" stroked="f">
              <v:imagedata r:id="rId116" o:title=""/>
            </v:shape>
            <v:shape id="_x0000_s1407" type="#_x0000_t75" style="width:76;height:74;left:5534;position:absolute;top:1312" stroked="f">
              <v:imagedata r:id="rId117" o:title=""/>
            </v:shape>
            <v:shape id="_x0000_s1408" type="#_x0000_t75" style="width:66;height:63;left:8052;position:absolute;top:1963" stroked="f">
              <v:imagedata r:id="rId118" o:title=""/>
            </v:shape>
            <v:shape id="_x0000_s1409" type="#_x0000_t75" style="width:66;height:66;left:6885;position:absolute;top:1352" stroked="f">
              <v:imagedata r:id="rId119" o:title=""/>
            </v:shape>
            <v:shape id="_x0000_s1410" type="#_x0000_t75" style="width:66;height:66;left:4932;position:absolute;top:1849" stroked="f">
              <v:imagedata r:id="rId119" o:title=""/>
            </v:shape>
            <v:shape id="_x0000_s1411" type="#_x0000_t75" style="width:66;height:66;left:4761;position:absolute;top:1067" stroked="f">
              <v:imagedata r:id="rId119" o:title=""/>
            </v:shape>
            <v:shape id="_x0000_s1412" type="#_x0000_t75" style="width:66;height:63;left:4730;position:absolute;top:1363" stroked="f">
              <v:imagedata r:id="rId118" o:title=""/>
            </v:shape>
            <v:shape id="_x0000_s1413" type="#_x0000_t75" style="width:56;height:59;left:4423;position:absolute;top:1972" stroked="f">
              <v:imagedata r:id="rId120" o:title=""/>
            </v:shape>
            <v:shape id="_x0000_s1414" type="#_x0000_t75" style="width:54;height:54;left:5849;position:absolute;top:1091" stroked="f">
              <v:imagedata r:id="rId121" o:title=""/>
            </v:shape>
            <v:shape id="_x0000_s1415" type="#_x0000_t75" style="width:54;height:54;left:5496;position:absolute;top:1113" stroked="f">
              <v:imagedata r:id="rId121" o:title=""/>
            </v:shape>
            <v:shape id="_x0000_s1416" type="#_x0000_t75" style="width:52;height:52;left:5284;position:absolute;top:680" stroked="f">
              <v:imagedata r:id="rId122" o:title=""/>
            </v:shape>
            <v:shape id="_x0000_s1417" type="#_x0000_t75" style="width:54;height:54;left:5162;position:absolute;top:395" stroked="f">
              <v:imagedata r:id="rId121" o:title=""/>
            </v:shape>
            <v:shape id="_x0000_s1418" type="#_x0000_t75" style="width:54;height:54;left:4452;position:absolute;top:1367" stroked="f">
              <v:imagedata r:id="rId121" o:title=""/>
            </v:shape>
            <v:shape id="_x0000_s1419" type="#_x0000_t75" style="width:47;height:47;left:4529;position:absolute;top:582" stroked="f">
              <v:imagedata r:id="rId123" o:title=""/>
            </v:shape>
            <v:shape id="_x0000_s1420" style="width:4491;height:1435;left:5143;position:absolute;top:1557" coordorigin="5144,1558" coordsize="4491,1435" path="m9084,2992l9545,2772,9634,2772m7535,2678l7627,2280,7717,2280m5144,1761l5352,1558m5821,2063l6226,2109,6315,2109e" filled="f" stroked="t" strokecolor="#a6a6a6" strokeweight="0.75pt">
              <v:stroke dashstyle="solid"/>
              <v:path arrowok="t"/>
            </v:shape>
            <v:line id="_x0000_s1421" style="position:absolute" from="3689,1395" to="9084,2981" stroked="t" strokecolor="red" strokeweight="1.5pt">
              <v:stroke dashstyle="dot"/>
            </v:line>
            <v:shape id="_x0000_s1422" type="#_x0000_t202" style="width:743;height:180;left:4990;position:absolute;top:1322" filled="f" stroked="f">
              <v:textbox inset="0,0,0,0">
                <w:txbxContent>
                  <w:p>
                    <w:pPr>
                      <w:spacing w:before="0" w:line="180" w:lineRule="exact"/>
                      <w:ind w:left="0" w:right="0" w:firstLine="0"/>
                      <w:jc w:val="left"/>
                      <w:rPr>
                        <w:b/>
                        <w:sz w:val="18"/>
                      </w:rPr>
                    </w:pPr>
                    <w:r>
                      <w:rPr>
                        <w:b/>
                        <w:color w:val="404040"/>
                        <w:sz w:val="18"/>
                      </w:rPr>
                      <w:t>金华银行</w:t>
                    </w:r>
                  </w:p>
                </w:txbxContent>
              </v:textbox>
            </v:shape>
            <v:shape id="_x0000_s1423" type="#_x0000_t202" style="width:1287;height:180;left:6374;position:absolute;top:2021" filled="f" stroked="f">
              <v:textbox inset="0,0,0,0">
                <w:txbxContent>
                  <w:p>
                    <w:pPr>
                      <w:spacing w:before="0" w:line="180" w:lineRule="exact"/>
                      <w:ind w:left="0" w:right="0" w:firstLine="0"/>
                      <w:jc w:val="left"/>
                      <w:rPr>
                        <w:b/>
                        <w:sz w:val="18"/>
                      </w:rPr>
                    </w:pPr>
                    <w:r>
                      <w:rPr>
                        <w:b/>
                        <w:color w:val="404040"/>
                        <w:sz w:val="18"/>
                      </w:rPr>
                      <w:t>浙江嘉善农商行</w:t>
                    </w:r>
                  </w:p>
                </w:txbxContent>
              </v:textbox>
            </v:shape>
            <v:shape id="_x0000_s1424" type="#_x0000_t202" style="width:1285;height:180;left:7777;position:absolute;top:2192" filled="f" stroked="f">
              <v:textbox inset="0,0,0,0">
                <w:txbxContent>
                  <w:p>
                    <w:pPr>
                      <w:spacing w:before="0" w:line="180" w:lineRule="exact"/>
                      <w:ind w:left="0" w:right="0" w:firstLine="0"/>
                      <w:jc w:val="left"/>
                      <w:rPr>
                        <w:b/>
                        <w:sz w:val="18"/>
                      </w:rPr>
                    </w:pPr>
                    <w:r>
                      <w:rPr>
                        <w:b/>
                        <w:color w:val="404040"/>
                        <w:sz w:val="18"/>
                      </w:rPr>
                      <w:t>宁波鄞州农商行</w:t>
                    </w:r>
                  </w:p>
                </w:txbxContent>
              </v:textbox>
            </v:shape>
            <v:shape id="_x0000_s1425" type="#_x0000_t202" style="width:743;height:180;left:9695;position:absolute;top:2684" filled="f" stroked="f">
              <v:textbox inset="0,0,0,0">
                <w:txbxContent>
                  <w:p>
                    <w:pPr>
                      <w:spacing w:before="0" w:line="180" w:lineRule="exact"/>
                      <w:ind w:left="0" w:right="0" w:firstLine="0"/>
                      <w:jc w:val="left"/>
                      <w:rPr>
                        <w:b/>
                        <w:sz w:val="18"/>
                      </w:rPr>
                    </w:pPr>
                    <w:r>
                      <w:rPr>
                        <w:b/>
                        <w:color w:val="404040"/>
                        <w:sz w:val="18"/>
                      </w:rPr>
                      <w:t>宁波银行</w:t>
                    </w:r>
                  </w:p>
                </w:txbxContent>
              </v:textbox>
            </v:shape>
          </v:group>
        </w:pict>
      </w:r>
      <w:r>
        <w:rPr>
          <w:b/>
          <w:color w:val="585858"/>
          <w:sz w:val="18"/>
        </w:rPr>
        <w:t>7.80</w:t>
      </w:r>
    </w:p>
    <w:p>
      <w:pPr>
        <w:pStyle w:val="BodyText"/>
        <w:rPr>
          <w:b/>
          <w:sz w:val="19"/>
        </w:rPr>
      </w:pPr>
    </w:p>
    <w:p>
      <w:pPr>
        <w:spacing w:before="75"/>
        <w:ind w:left="3006" w:right="0" w:firstLine="0"/>
        <w:jc w:val="left"/>
        <w:rPr>
          <w:b/>
          <w:sz w:val="18"/>
        </w:rPr>
      </w:pPr>
      <w:r>
        <w:rPr>
          <w:b/>
          <w:color w:val="585858"/>
          <w:sz w:val="18"/>
        </w:rPr>
        <w:t>6.80</w:t>
      </w:r>
    </w:p>
    <w:p>
      <w:pPr>
        <w:pStyle w:val="BodyText"/>
        <w:spacing w:before="1"/>
        <w:rPr>
          <w:b/>
          <w:sz w:val="19"/>
        </w:rPr>
      </w:pPr>
    </w:p>
    <w:p>
      <w:pPr>
        <w:spacing w:before="75"/>
        <w:ind w:left="3006" w:right="0" w:firstLine="0"/>
        <w:jc w:val="left"/>
        <w:rPr>
          <w:b/>
          <w:sz w:val="18"/>
        </w:rPr>
      </w:pPr>
      <w:r>
        <w:rPr>
          <w:b/>
          <w:color w:val="585858"/>
          <w:sz w:val="18"/>
        </w:rPr>
        <w:t>5.80</w:t>
      </w:r>
    </w:p>
    <w:p>
      <w:pPr>
        <w:pStyle w:val="BodyText"/>
        <w:rPr>
          <w:b/>
          <w:sz w:val="19"/>
        </w:rPr>
      </w:pPr>
    </w:p>
    <w:p>
      <w:pPr>
        <w:spacing w:before="75"/>
        <w:ind w:left="3006" w:right="0" w:firstLine="0"/>
        <w:jc w:val="left"/>
        <w:rPr>
          <w:b/>
          <w:sz w:val="18"/>
        </w:rPr>
      </w:pPr>
      <w:r>
        <w:rPr>
          <w:b/>
          <w:color w:val="585858"/>
          <w:sz w:val="18"/>
        </w:rPr>
        <w:t>4.80</w:t>
      </w:r>
    </w:p>
    <w:p>
      <w:pPr>
        <w:pStyle w:val="BodyText"/>
        <w:spacing w:before="1"/>
        <w:rPr>
          <w:b/>
          <w:sz w:val="19"/>
        </w:rPr>
      </w:pPr>
    </w:p>
    <w:p>
      <w:pPr>
        <w:spacing w:before="75"/>
        <w:ind w:left="3006" w:right="0" w:firstLine="0"/>
        <w:jc w:val="left"/>
        <w:rPr>
          <w:b/>
          <w:sz w:val="18"/>
        </w:rPr>
      </w:pPr>
      <w:r>
        <w:rPr>
          <w:b/>
          <w:color w:val="585858"/>
          <w:sz w:val="18"/>
        </w:rPr>
        <w:t>3.80</w:t>
      </w:r>
    </w:p>
    <w:p>
      <w:pPr>
        <w:pStyle w:val="BodyText"/>
        <w:spacing w:before="1"/>
        <w:rPr>
          <w:b/>
          <w:sz w:val="19"/>
        </w:rPr>
      </w:pPr>
    </w:p>
    <w:p>
      <w:pPr>
        <w:spacing w:before="74"/>
        <w:ind w:left="3006" w:right="0" w:firstLine="0"/>
        <w:jc w:val="left"/>
        <w:rPr>
          <w:b/>
          <w:sz w:val="18"/>
        </w:rPr>
      </w:pPr>
      <w:r>
        <w:rPr>
          <w:b/>
          <w:color w:val="585858"/>
          <w:sz w:val="18"/>
        </w:rPr>
        <w:t>2.80</w:t>
      </w:r>
    </w:p>
    <w:p>
      <w:pPr>
        <w:pStyle w:val="BodyText"/>
        <w:spacing w:before="1"/>
        <w:rPr>
          <w:b/>
          <w:sz w:val="19"/>
        </w:rPr>
      </w:pPr>
    </w:p>
    <w:p>
      <w:pPr>
        <w:spacing w:before="75" w:line="212" w:lineRule="exact"/>
        <w:ind w:left="3006" w:right="0" w:firstLine="0"/>
        <w:jc w:val="left"/>
        <w:rPr>
          <w:b/>
          <w:sz w:val="18"/>
        </w:rPr>
      </w:pPr>
      <w:r>
        <w:rPr>
          <w:b/>
          <w:color w:val="585858"/>
          <w:sz w:val="18"/>
        </w:rPr>
        <w:t>1.80</w:t>
      </w:r>
    </w:p>
    <w:p>
      <w:pPr>
        <w:tabs>
          <w:tab w:val="left" w:pos="4893"/>
          <w:tab w:val="left" w:pos="6412"/>
          <w:tab w:val="left" w:pos="7931"/>
          <w:tab w:val="left" w:pos="9450"/>
        </w:tabs>
        <w:spacing w:before="0" w:line="212" w:lineRule="exact"/>
        <w:ind w:left="3374" w:right="0" w:firstLine="0"/>
        <w:jc w:val="left"/>
        <w:rPr>
          <w:b/>
          <w:sz w:val="18"/>
        </w:rPr>
      </w:pPr>
      <w:r>
        <w:pict>
          <v:shape id="_x0000_s1426" style="width:408.85pt;height:0.1pt;margin-top:15.93pt;margin-left:143.3pt;mso-position-horizontal-relative:page;mso-wrap-distance-left:0;mso-wrap-distance-right:0;position:absolute;z-index:-251593728" coordorigin="2866,319" coordsize="8177,0" path="m2866,319l11042,319e" filled="f" stroked="t" strokecolor="#013e96" strokeweight="0.48pt">
            <v:stroke dashstyle="solid"/>
            <v:path arrowok="t"/>
            <w10:wrap type="topAndBottom"/>
          </v:shape>
        </w:pict>
      </w:r>
      <w:r>
        <w:rPr>
          <w:b/>
          <w:color w:val="585858"/>
          <w:sz w:val="18"/>
        </w:rPr>
        <w:t>2.1</w:t>
        <w:tab/>
        <w:t>2.6</w:t>
        <w:tab/>
        <w:t>3.1</w:t>
        <w:tab/>
        <w:t>3.6</w:t>
        <w:tab/>
        <w:t>4.1</w:t>
      </w:r>
    </w:p>
    <w:p>
      <w:pPr>
        <w:spacing w:before="14"/>
        <w:ind w:left="2793" w:right="0" w:firstLine="0"/>
        <w:jc w:val="left"/>
        <w:rPr>
          <w:i/>
          <w:sz w:val="17"/>
        </w:rPr>
      </w:pPr>
      <w:r>
        <w:t xml:space="preserve">来源： ， </w:t>
      </w:r>
    </w:p>
    <w:p>
      <w:pPr>
        <w:pStyle w:val="BodyText"/>
        <w:rPr>
          <w:i/>
          <w:sz w:val="20"/>
        </w:rPr>
      </w:pPr>
    </w:p>
    <w:p>
      <w:pPr>
        <w:pStyle w:val="BodyText"/>
        <w:spacing w:before="6"/>
        <w:rPr>
          <w:i/>
          <w:sz w:val="19"/>
        </w:rPr>
      </w:pPr>
    </w:p>
    <w:p>
      <w:pPr>
        <w:pStyle w:val="Heading2"/>
        <w:numPr>
          <w:ilvl w:val="1"/>
          <w:numId w:val="4"/>
        </w:numPr>
        <w:tabs>
          <w:tab w:val="left" w:pos="3755"/>
        </w:tabs>
        <w:spacing w:before="74" w:after="0" w:line="240" w:lineRule="auto"/>
        <w:ind w:left="3754" w:right="0" w:hanging="532"/>
        <w:jc w:val="left"/>
      </w:pPr>
      <w:r>
        <w:rPr>
          <w:color w:val="013E96"/>
        </w:rPr>
        <w:t>主体梳理</w:t>
      </w:r>
    </w:p>
    <w:p>
      <w:pPr>
        <w:spacing w:after="0" w:line="240" w:lineRule="auto"/>
        <w:jc w:val="left"/>
        <w:sectPr>
          <w:headerReference w:type="default" r:id="rId124"/>
          <w:footerReference w:type="default" r:id="rId125"/>
          <w:type w:val="continuous"/>
          <w:pgSz w:w="11910" w:h="16840"/>
          <w:pgMar w:top="1320" w:right="0" w:bottom="660" w:left="180" w:header="708" w:footer="708"/>
          <w:pgNumType w:start="35"/>
          <w:cols w:space="708"/>
        </w:sectPr>
      </w:pPr>
    </w:p>
    <w:p>
      <w:pPr>
        <w:pStyle w:val="BodyText"/>
        <w:spacing w:before="134"/>
        <w:ind w:right="845"/>
        <w:jc w:val="right"/>
      </w:pPr>
      <w:r>
        <w:rPr>
          <w:spacing w:val="-14"/>
        </w:rPr>
        <w:t xml:space="preserve">截至 </w:t>
      </w:r>
      <w:r>
        <w:rPr>
          <w:rFonts w:ascii="Arial" w:eastAsia="Arial"/>
        </w:rPr>
        <w:t>2024</w:t>
      </w:r>
      <w:r>
        <w:rPr>
          <w:rFonts w:ascii="Arial" w:eastAsia="Arial"/>
          <w:spacing w:val="8"/>
        </w:rPr>
        <w:t xml:space="preserve"> </w:t>
      </w:r>
      <w:r>
        <w:rPr>
          <w:spacing w:val="-20"/>
        </w:rPr>
        <w:t xml:space="preserve">年 </w:t>
      </w:r>
      <w:r>
        <w:rPr>
          <w:rFonts w:ascii="Arial" w:eastAsia="Arial"/>
        </w:rPr>
        <w:t>2</w:t>
      </w:r>
      <w:r>
        <w:rPr>
          <w:rFonts w:ascii="Arial" w:eastAsia="Arial"/>
          <w:spacing w:val="8"/>
        </w:rPr>
        <w:t xml:space="preserve"> </w:t>
      </w:r>
      <w:r>
        <w:rPr>
          <w:spacing w:val="-21"/>
        </w:rPr>
        <w:t xml:space="preserve">月 </w:t>
      </w:r>
      <w:r>
        <w:rPr>
          <w:rFonts w:ascii="Arial" w:eastAsia="Arial"/>
        </w:rPr>
        <w:t>5</w:t>
      </w:r>
      <w:r>
        <w:rPr>
          <w:rFonts w:ascii="Arial" w:eastAsia="Arial"/>
          <w:spacing w:val="8"/>
        </w:rPr>
        <w:t xml:space="preserve"> </w:t>
      </w:r>
      <w:r>
        <w:rPr>
          <w:spacing w:val="-5"/>
        </w:rPr>
        <w:t xml:space="preserve">日浙江省仍有存续次级债的城农商行共计有 </w:t>
      </w:r>
      <w:r>
        <w:rPr>
          <w:rFonts w:ascii="Arial" w:eastAsia="Arial"/>
        </w:rPr>
        <w:t>62</w:t>
      </w:r>
      <w:r>
        <w:rPr>
          <w:rFonts w:ascii="Arial" w:eastAsia="Arial"/>
          <w:spacing w:val="8"/>
        </w:rPr>
        <w:t xml:space="preserve"> </w:t>
      </w:r>
      <w:r>
        <w:rPr>
          <w:spacing w:val="-2"/>
        </w:rPr>
        <w:t>家，其</w:t>
      </w:r>
    </w:p>
    <w:p>
      <w:pPr>
        <w:pStyle w:val="BodyText"/>
        <w:spacing w:before="92"/>
        <w:ind w:right="846"/>
        <w:jc w:val="right"/>
      </w:pPr>
      <w:r>
        <w:rPr>
          <w:spacing w:val="-18"/>
        </w:rPr>
        <w:t xml:space="preserve">中 </w:t>
      </w:r>
      <w:r>
        <w:rPr>
          <w:rFonts w:ascii="Arial" w:eastAsia="Arial"/>
        </w:rPr>
        <w:t>12</w:t>
      </w:r>
      <w:r>
        <w:rPr>
          <w:rFonts w:ascii="Arial" w:eastAsia="Arial"/>
          <w:spacing w:val="13"/>
        </w:rPr>
        <w:t xml:space="preserve"> </w:t>
      </w:r>
      <w:r>
        <w:rPr>
          <w:spacing w:val="-1"/>
        </w:rPr>
        <w:t>家为城商行、</w:t>
      </w:r>
      <w:r>
        <w:rPr>
          <w:rFonts w:ascii="Arial" w:eastAsia="Arial"/>
        </w:rPr>
        <w:t>50</w:t>
      </w:r>
      <w:r>
        <w:rPr>
          <w:rFonts w:ascii="Arial" w:eastAsia="Arial"/>
          <w:spacing w:val="10"/>
        </w:rPr>
        <w:t xml:space="preserve"> </w:t>
      </w:r>
      <w:r>
        <w:rPr>
          <w:spacing w:val="-6"/>
        </w:rPr>
        <w:t xml:space="preserve">家为农商行，并且这 </w:t>
      </w:r>
      <w:r>
        <w:rPr>
          <w:rFonts w:ascii="Arial" w:eastAsia="Arial"/>
        </w:rPr>
        <w:t>12</w:t>
      </w:r>
      <w:r>
        <w:rPr>
          <w:rFonts w:ascii="Arial" w:eastAsia="Arial"/>
          <w:spacing w:val="9"/>
        </w:rPr>
        <w:t xml:space="preserve"> </w:t>
      </w:r>
      <w:r>
        <w:rPr>
          <w:spacing w:val="-3"/>
        </w:rPr>
        <w:t>家城商行均为市级城商行，分布</w:t>
      </w:r>
    </w:p>
    <w:p>
      <w:pPr>
        <w:pStyle w:val="BodyText"/>
        <w:spacing w:before="93"/>
        <w:ind w:right="843"/>
        <w:jc w:val="right"/>
      </w:pPr>
      <w:r>
        <w:rPr>
          <w:spacing w:val="-25"/>
        </w:rPr>
        <w:t xml:space="preserve">在 </w:t>
      </w:r>
      <w:r>
        <w:rPr>
          <w:rFonts w:ascii="Arial" w:eastAsia="Arial"/>
        </w:rPr>
        <w:t xml:space="preserve">8 </w:t>
      </w:r>
      <w:r>
        <w:rPr>
          <w:spacing w:val="-8"/>
        </w:rPr>
        <w:t xml:space="preserve">个市。宁波市发次级债城农商行最多、有 </w:t>
      </w:r>
      <w:r>
        <w:rPr>
          <w:rFonts w:ascii="Arial" w:eastAsia="Arial"/>
        </w:rPr>
        <w:t xml:space="preserve">9 </w:t>
      </w:r>
      <w:r>
        <w:rPr>
          <w:spacing w:val="-4"/>
        </w:rPr>
        <w:t>家，宁波银行更是国内系统重要</w:t>
      </w:r>
    </w:p>
    <w:p>
      <w:pPr>
        <w:pStyle w:val="BodyText"/>
        <w:spacing w:before="92"/>
        <w:ind w:right="843"/>
        <w:jc w:val="right"/>
      </w:pPr>
      <w:r>
        <w:rPr>
          <w:spacing w:val="-11"/>
        </w:rPr>
        <w:t xml:space="preserve">性银行中 </w:t>
      </w:r>
      <w:r>
        <w:rPr>
          <w:rFonts w:ascii="Arial" w:eastAsia="Arial"/>
        </w:rPr>
        <w:t>5</w:t>
      </w:r>
      <w:r>
        <w:rPr>
          <w:rFonts w:ascii="Arial" w:eastAsia="Arial"/>
          <w:spacing w:val="-5"/>
        </w:rPr>
        <w:t xml:space="preserve"> </w:t>
      </w:r>
      <w:r>
        <w:rPr>
          <w:spacing w:val="-8"/>
        </w:rPr>
        <w:t xml:space="preserve">家城商行之一；台州市和舟山市较少，分别仅有 </w:t>
      </w:r>
      <w:r>
        <w:rPr>
          <w:rFonts w:ascii="Arial" w:eastAsia="Arial"/>
        </w:rPr>
        <w:t>3</w:t>
      </w:r>
      <w:r>
        <w:rPr>
          <w:rFonts w:ascii="Arial" w:eastAsia="Arial"/>
          <w:spacing w:val="-4"/>
        </w:rPr>
        <w:t xml:space="preserve"> </w:t>
      </w:r>
      <w:r>
        <w:rPr>
          <w:spacing w:val="-17"/>
        </w:rPr>
        <w:t xml:space="preserve">家和 </w:t>
      </w:r>
      <w:r>
        <w:rPr>
          <w:rFonts w:ascii="Arial" w:eastAsia="Arial"/>
        </w:rPr>
        <w:t>2</w:t>
      </w:r>
      <w:r>
        <w:rPr>
          <w:rFonts w:ascii="Arial" w:eastAsia="Arial"/>
          <w:spacing w:val="-5"/>
        </w:rPr>
        <w:t xml:space="preserve"> </w:t>
      </w:r>
      <w:r>
        <w:rPr>
          <w:spacing w:val="-5"/>
        </w:rPr>
        <w:t>家，但台州</w:t>
      </w:r>
    </w:p>
    <w:p>
      <w:pPr>
        <w:pStyle w:val="BodyText"/>
        <w:spacing w:before="93"/>
        <w:ind w:left="3192"/>
      </w:pPr>
      <w:r>
        <w:t xml:space="preserve">市 </w:t>
      </w:r>
      <w:r>
        <w:rPr>
          <w:rFonts w:ascii="Arial" w:eastAsia="Arial"/>
        </w:rPr>
        <w:t xml:space="preserve">3 </w:t>
      </w:r>
      <w:r>
        <w:t>家均为资质相对较好的城商行。</w:t>
      </w:r>
    </w:p>
    <w:p>
      <w:pPr>
        <w:pStyle w:val="BodyText"/>
        <w:spacing w:before="5"/>
        <w:rPr>
          <w:sz w:val="19"/>
        </w:rPr>
      </w:pPr>
    </w:p>
    <w:p>
      <w:pPr>
        <w:pStyle w:val="BodyText"/>
        <w:spacing w:line="319" w:lineRule="auto"/>
        <w:ind w:left="3192" w:right="731" w:firstLine="439"/>
        <w:rPr>
          <w:rFonts w:ascii="Arial" w:eastAsia="Arial"/>
        </w:rPr>
      </w:pPr>
      <w:r>
        <w:t xml:space="preserve">浙江省城农商行仅有三家上市，分别是宁波银行、杭州银行和瑞丰农商行。整体规模相对而言较大，一大半城农商行资产规模在 </w:t>
      </w:r>
      <w:r>
        <w:rPr>
          <w:rFonts w:ascii="Arial" w:eastAsia="Arial"/>
        </w:rPr>
        <w:t xml:space="preserve">500 </w:t>
      </w:r>
      <w:r>
        <w:t xml:space="preserve">亿以上，其中还有 </w:t>
      </w:r>
      <w:r>
        <w:rPr>
          <w:rFonts w:ascii="Arial" w:eastAsia="Arial"/>
        </w:rPr>
        <w:t>14</w:t>
      </w:r>
    </w:p>
    <w:p>
      <w:pPr>
        <w:pStyle w:val="BodyText"/>
        <w:spacing w:line="281" w:lineRule="exact"/>
        <w:ind w:left="3192"/>
      </w:pPr>
      <w:r>
        <w:t xml:space="preserve">家银行资产规模超 </w:t>
      </w:r>
      <w:r>
        <w:rPr>
          <w:rFonts w:ascii="Arial" w:eastAsia="Arial"/>
        </w:rPr>
        <w:t xml:space="preserve">1500 </w:t>
      </w:r>
      <w:r>
        <w:t>亿元。</w:t>
      </w:r>
    </w:p>
    <w:p>
      <w:pPr>
        <w:pStyle w:val="BodyText"/>
        <w:spacing w:before="10"/>
        <w:rPr>
          <w:sz w:val="14"/>
        </w:rPr>
      </w:pPr>
    </w:p>
    <w:p>
      <w:pPr>
        <w:tabs>
          <w:tab w:val="left" w:pos="6015"/>
        </w:tabs>
        <w:spacing w:before="100"/>
        <w:ind w:left="770" w:right="0" w:firstLine="0"/>
        <w:jc w:val="left"/>
        <w:rPr>
          <w:i/>
          <w:sz w:val="17"/>
        </w:rPr>
      </w:pPr>
      <w:r>
        <w:pict>
          <v:shape id="_x0000_s1427" style="width:248.1pt;height:0.1pt;margin-top:20.82pt;margin-left:42.12pt;mso-position-horizontal-relative:page;mso-wrap-distance-left:0;mso-wrap-distance-right:0;position:absolute;z-index:-251591680" coordorigin="842,416" coordsize="4962,0" path="m842,416l5804,416e" filled="f" stroked="t" strokecolor="#013e96" strokeweight="0.48pt">
            <v:stroke dashstyle="solid"/>
            <v:path arrowok="t"/>
            <w10:wrap type="topAndBottom"/>
          </v:shape>
        </w:pict>
      </w:r>
      <w:r>
        <w:pict>
          <v:shape id="_x0000_s1428" style="width:248.25pt;height:0.1pt;margin-top:20.82pt;margin-left:304.39pt;mso-position-horizontal-relative:page;mso-wrap-distance-left:0;mso-wrap-distance-right:0;position:absolute;z-index:-251590656" coordorigin="6088,416" coordsize="4965,0" path="m6088,416l11052,416e" filled="f" stroked="t" strokecolor="#013e96" strokeweight="0.48pt">
            <v:stroke dashstyle="solid"/>
            <v:path arrowok="t"/>
            <w10:wrap type="topAndBottom"/>
          </v:shape>
        </w:pict>
      </w:r>
      <w:r>
        <w:rPr>
          <w:rFonts w:ascii="宋体" w:eastAsia="宋体" w:hint="eastAsia"/>
          <w:color w:val="004097"/>
          <w:w w:val="95"/>
          <w:sz w:val="17"/>
        </w:rPr>
        <w:t>图表</w:t>
      </w:r>
      <w:r>
        <w:rPr>
          <w:rFonts w:ascii="宋体" w:eastAsia="宋体" w:hint="eastAsia"/>
          <w:color w:val="004097"/>
          <w:spacing w:val="-47"/>
          <w:w w:val="95"/>
          <w:sz w:val="17"/>
        </w:rPr>
        <w:t xml:space="preserve"> </w:t>
      </w:r>
      <w:r>
        <w:rPr>
          <w:rFonts w:ascii="Tahoma" w:eastAsia="Tahoma"/>
          <w:i/>
          <w:color w:val="004097"/>
          <w:w w:val="95"/>
          <w:sz w:val="17"/>
        </w:rPr>
        <w:t>13</w:t>
      </w:r>
      <w:r>
        <w:rPr>
          <w:rFonts w:ascii="宋体" w:eastAsia="宋体" w:hint="eastAsia"/>
          <w:color w:val="004097"/>
          <w:w w:val="95"/>
          <w:sz w:val="17"/>
        </w:rPr>
        <w:t>：</w:t>
      </w:r>
      <w:r>
        <w:rPr>
          <w:i/>
          <w:color w:val="004097"/>
          <w:w w:val="95"/>
          <w:sz w:val="17"/>
        </w:rPr>
        <w:t>浙</w:t>
      </w:r>
      <w:r>
        <w:rPr>
          <w:i/>
          <w:color w:val="004097"/>
          <w:spacing w:val="-3"/>
          <w:w w:val="95"/>
          <w:sz w:val="17"/>
        </w:rPr>
        <w:t>江</w:t>
      </w:r>
      <w:r>
        <w:rPr>
          <w:i/>
          <w:color w:val="004097"/>
          <w:w w:val="95"/>
          <w:sz w:val="17"/>
        </w:rPr>
        <w:t>省各地</w:t>
      </w:r>
      <w:r>
        <w:rPr>
          <w:i/>
          <w:color w:val="004097"/>
          <w:spacing w:val="-3"/>
          <w:w w:val="95"/>
          <w:sz w:val="17"/>
        </w:rPr>
        <w:t>级</w:t>
      </w:r>
      <w:r>
        <w:rPr>
          <w:i/>
          <w:color w:val="004097"/>
          <w:w w:val="95"/>
          <w:sz w:val="17"/>
        </w:rPr>
        <w:t>市城</w:t>
      </w:r>
      <w:r>
        <w:rPr>
          <w:i/>
          <w:color w:val="004097"/>
          <w:spacing w:val="-3"/>
          <w:w w:val="95"/>
          <w:sz w:val="17"/>
        </w:rPr>
        <w:t>农</w:t>
      </w:r>
      <w:r>
        <w:rPr>
          <w:i/>
          <w:color w:val="004097"/>
          <w:w w:val="95"/>
          <w:sz w:val="17"/>
        </w:rPr>
        <w:t>行</w:t>
      </w:r>
      <w:r>
        <w:rPr>
          <w:i/>
          <w:color w:val="004097"/>
          <w:spacing w:val="-3"/>
          <w:w w:val="95"/>
          <w:sz w:val="17"/>
        </w:rPr>
        <w:t>分</w:t>
      </w:r>
      <w:r>
        <w:rPr>
          <w:i/>
          <w:color w:val="004097"/>
          <w:w w:val="95"/>
          <w:sz w:val="17"/>
        </w:rPr>
        <w:t>布情况</w:t>
      </w:r>
      <w:r>
        <w:rPr>
          <w:i/>
          <w:color w:val="004097"/>
          <w:spacing w:val="-3"/>
          <w:w w:val="95"/>
          <w:sz w:val="17"/>
        </w:rPr>
        <w:t>（</w:t>
      </w:r>
      <w:r>
        <w:rPr>
          <w:i/>
          <w:color w:val="004097"/>
          <w:w w:val="95"/>
          <w:sz w:val="17"/>
        </w:rPr>
        <w:t>家）</w:t>
        <w:tab/>
      </w:r>
      <w:r>
        <w:rPr>
          <w:rFonts w:ascii="宋体" w:eastAsia="宋体" w:hint="eastAsia"/>
          <w:color w:val="004097"/>
          <w:sz w:val="17"/>
        </w:rPr>
        <w:t>图表</w:t>
      </w:r>
      <w:r>
        <w:rPr>
          <w:rFonts w:ascii="宋体" w:eastAsia="宋体" w:hint="eastAsia"/>
          <w:color w:val="004097"/>
          <w:spacing w:val="-54"/>
          <w:sz w:val="17"/>
        </w:rPr>
        <w:t xml:space="preserve"> </w:t>
      </w:r>
      <w:r>
        <w:rPr>
          <w:rFonts w:ascii="Tahoma" w:eastAsia="Tahoma"/>
          <w:i/>
          <w:color w:val="004097"/>
          <w:sz w:val="17"/>
        </w:rPr>
        <w:t>14</w:t>
      </w:r>
      <w:r>
        <w:rPr>
          <w:rFonts w:ascii="宋体" w:eastAsia="宋体" w:hint="eastAsia"/>
          <w:color w:val="004097"/>
          <w:sz w:val="17"/>
        </w:rPr>
        <w:t>：</w:t>
      </w:r>
      <w:r>
        <w:rPr>
          <w:i/>
          <w:color w:val="004097"/>
          <w:sz w:val="17"/>
        </w:rPr>
        <w:t>浙</w:t>
      </w:r>
      <w:r>
        <w:rPr>
          <w:i/>
          <w:color w:val="004097"/>
          <w:spacing w:val="-3"/>
          <w:sz w:val="17"/>
        </w:rPr>
        <w:t>江</w:t>
      </w:r>
      <w:r>
        <w:rPr>
          <w:i/>
          <w:color w:val="004097"/>
          <w:sz w:val="17"/>
        </w:rPr>
        <w:t>省各地</w:t>
      </w:r>
      <w:r>
        <w:rPr>
          <w:i/>
          <w:color w:val="004097"/>
          <w:spacing w:val="-3"/>
          <w:sz w:val="17"/>
        </w:rPr>
        <w:t>级</w:t>
      </w:r>
      <w:r>
        <w:rPr>
          <w:i/>
          <w:color w:val="004097"/>
          <w:sz w:val="17"/>
        </w:rPr>
        <w:t>市分</w:t>
      </w:r>
      <w:r>
        <w:rPr>
          <w:i/>
          <w:color w:val="004097"/>
          <w:spacing w:val="-3"/>
          <w:sz w:val="17"/>
        </w:rPr>
        <w:t>主</w:t>
      </w:r>
      <w:r>
        <w:rPr>
          <w:i/>
          <w:color w:val="004097"/>
          <w:sz w:val="17"/>
        </w:rPr>
        <w:t>体</w:t>
      </w:r>
      <w:r>
        <w:rPr>
          <w:i/>
          <w:color w:val="004097"/>
          <w:spacing w:val="-3"/>
          <w:sz w:val="17"/>
        </w:rPr>
        <w:t>评</w:t>
      </w:r>
      <w:r>
        <w:rPr>
          <w:i/>
          <w:color w:val="004097"/>
          <w:sz w:val="17"/>
        </w:rPr>
        <w:t>级城农</w:t>
      </w:r>
      <w:r>
        <w:rPr>
          <w:i/>
          <w:color w:val="004097"/>
          <w:spacing w:val="-3"/>
          <w:sz w:val="17"/>
        </w:rPr>
        <w:t>商</w:t>
      </w:r>
      <w:r>
        <w:rPr>
          <w:i/>
          <w:color w:val="004097"/>
          <w:sz w:val="17"/>
        </w:rPr>
        <w:t>行分</w:t>
      </w:r>
      <w:r>
        <w:rPr>
          <w:i/>
          <w:color w:val="004097"/>
          <w:spacing w:val="-3"/>
          <w:sz w:val="17"/>
        </w:rPr>
        <w:t>布</w:t>
      </w:r>
      <w:r>
        <w:rPr>
          <w:i/>
          <w:color w:val="004097"/>
          <w:sz w:val="17"/>
        </w:rPr>
        <w:t>情况</w:t>
      </w:r>
      <w:r>
        <w:rPr>
          <w:i/>
          <w:color w:val="004097"/>
          <w:spacing w:val="-3"/>
          <w:sz w:val="17"/>
        </w:rPr>
        <w:t>（</w:t>
      </w:r>
      <w:r>
        <w:rPr>
          <w:i/>
          <w:color w:val="004097"/>
          <w:sz w:val="17"/>
        </w:rPr>
        <w:t>家）</w:t>
      </w:r>
    </w:p>
    <w:p>
      <w:pPr>
        <w:pStyle w:val="BodyText"/>
        <w:spacing w:before="4"/>
        <w:rPr>
          <w:i/>
          <w:sz w:val="17"/>
        </w:rPr>
      </w:pPr>
    </w:p>
    <w:p>
      <w:pPr>
        <w:spacing w:after="0"/>
        <w:rPr>
          <w:sz w:val="17"/>
        </w:rPr>
        <w:sectPr>
          <w:headerReference w:type="default" r:id="rId126"/>
          <w:footerReference w:type="default" r:id="rId127"/>
          <w:pgSz w:w="11910" w:h="16840"/>
          <w:pgMar w:top="1320" w:right="0" w:bottom="660" w:left="180" w:header="708" w:footer="708"/>
          <w:pgNumType w:start="36"/>
          <w:cols w:space="708"/>
        </w:sectPr>
      </w:pPr>
    </w:p>
    <w:p>
      <w:pPr>
        <w:tabs>
          <w:tab w:val="left" w:pos="3732"/>
        </w:tabs>
        <w:spacing w:before="84"/>
        <w:ind w:left="2324" w:right="0" w:firstLine="0"/>
        <w:jc w:val="left"/>
        <w:rPr>
          <w:sz w:val="16"/>
        </w:rPr>
      </w:pPr>
      <w:r>
        <w:pict>
          <v:rect id="_x0000_s1429" style="width:3.6pt;height:3.6pt;margin-top:7.38pt;margin-left:120.18pt;mso-position-horizontal-relative:page;position:absolute;z-index:251731968" filled="t" fillcolor="#2d75b6" stroked="f">
            <v:fill type="solid"/>
          </v:rect>
        </w:pict>
      </w:r>
      <w:r>
        <w:pict>
          <v:rect id="_x0000_s1430" style="width:3.6pt;height:3.6pt;margin-top:7.38pt;margin-left:190.58pt;mso-position-horizontal-relative:page;position:absolute;z-index:-251589632" filled="t" fillcolor="#7e7e7e" stroked="f">
            <v:fill type="solid"/>
          </v:rect>
        </w:pict>
      </w:r>
      <w:r>
        <w:rPr>
          <w:sz w:val="16"/>
        </w:rPr>
        <w:t>城商行</w:t>
        <w:tab/>
        <w:t>农商行</w:t>
      </w:r>
    </w:p>
    <w:p>
      <w:pPr>
        <w:spacing w:before="23"/>
        <w:ind w:left="800" w:right="0" w:firstLine="0"/>
        <w:jc w:val="left"/>
        <w:rPr>
          <w:sz w:val="16"/>
        </w:rPr>
      </w:pPr>
      <w:r>
        <w:pict>
          <v:group id="_x0000_s1431" style="width:221.2pt;height:97.25pt;margin-top:5.88pt;margin-left:61.03pt;mso-position-horizontal-relative:page;position:absolute;z-index:251730944" coordorigin="1221,118" coordsize="4424,1945">
            <v:rect id="_x0000_s1432" style="width:161;height:386;left:1384;position:absolute;top:1668" filled="t" fillcolor="#2d75b6" stroked="f">
              <v:fill type="solid"/>
            </v:rect>
            <v:rect id="_x0000_s1433" style="width:161;height:1352;left:1384;position:absolute;top:317" filled="t" fillcolor="#7e7e7e" stroked="f">
              <v:fill type="solid"/>
            </v:rect>
            <v:rect id="_x0000_s1434" style="width:161;height:194;left:2179;position:absolute;top:1860" filled="t" fillcolor="#2d75b6" stroked="f">
              <v:fill type="solid"/>
            </v:rect>
            <v:rect id="_x0000_s1435" style="width:161;height:1157;left:2179;position:absolute;top:703" filled="t" fillcolor="#7e7e7e" stroked="f">
              <v:fill type="solid"/>
            </v:rect>
            <v:rect id="_x0000_s1436" style="width:159;height:194;left:2577;position:absolute;top:1860" filled="t" fillcolor="#2d75b6" stroked="f">
              <v:fill type="solid"/>
            </v:rect>
            <v:rect id="_x0000_s1437" style="width:159;height:965;left:2577;position:absolute;top:895" filled="t" fillcolor="#7e7e7e" stroked="f">
              <v:fill type="solid"/>
            </v:rect>
            <v:rect id="_x0000_s1438" style="width:159;height:386;left:2976;position:absolute;top:1668" filled="t" fillcolor="#2d75b6" stroked="f">
              <v:fill type="solid"/>
            </v:rect>
            <v:rect id="_x0000_s1439" style="width:159;height:773;left:2976;position:absolute;top:895" filled="t" fillcolor="#7e7e7e" stroked="f">
              <v:fill type="solid"/>
            </v:rect>
            <v:rect id="_x0000_s1440" style="width:159;height:194;left:3372;position:absolute;top:1860" filled="t" fillcolor="#2d75b6" stroked="f">
              <v:fill type="solid"/>
            </v:rect>
            <v:rect id="_x0000_s1441" style="width:159;height:965;left:3372;position:absolute;top:895" filled="t" fillcolor="#7e7e7e" stroked="f">
              <v:fill type="solid"/>
            </v:rect>
            <v:rect id="_x0000_s1442" style="width:159;height:194;left:3770;position:absolute;top:1860" filled="t" fillcolor="#2d75b6" stroked="f">
              <v:fill type="solid"/>
            </v:rect>
            <v:rect id="_x0000_s1443" style="width:159;height:965;left:3770;position:absolute;top:895" filled="t" fillcolor="#7e7e7e" stroked="f">
              <v:fill type="solid"/>
            </v:rect>
            <v:rect id="_x0000_s1444" style="width:159;height:194;left:4166;position:absolute;top:1860" filled="t" fillcolor="#2d75b6" stroked="f">
              <v:fill type="solid"/>
            </v:rect>
            <v:shape id="_x0000_s1445" style="width:3735;height:1351;left:1783;position:absolute;top:703" coordorigin="1783,704" coordsize="3735,1351" path="m1942,704l1783,704,1783,2054,1942,2054,1942,704m4325,1090l4166,1090,4166,1861,4325,1861,4325,1090m4723,1090l4565,1090,4565,2054,4723,2054,4723,1090m5518,1669l5359,1669,5359,2054,5518,2054,5518,1669e" filled="t" fillcolor="#7e7e7e" stroked="f">
              <v:fill type="solid"/>
              <v:path arrowok="t"/>
            </v:shape>
            <v:shape id="_x0000_s1446" style="width:4417;height:1930;left:1220;position:absolute;top:125" coordorigin="1221,125" coordsize="4417,1930" path="m1266,2054l1266,125m1221,2054l1266,2054m1221,1669l1266,1669m1221,1282l1266,1282m1221,896l1266,896m1221,512l1266,512m1221,125l1266,125m1266,2054l5637,2054m1266,2009l1266,2054m1663,2009l1663,2054m2062,2009l2062,2054m2458,2009l2458,2054m2856,2009l2856,2054m3252,2009l3252,2054m3650,2009l3650,2054m4049,2009l4049,2054m4445,2009l4445,2054m4843,2009l4843,2054m5239,2009l5239,2054m5637,2009l5637,2054e" filled="f" stroked="t" strokecolor="black" strokeweight="0.75pt">
              <v:stroke dashstyle="solid"/>
              <v:path arrowok="t"/>
            </v:shape>
            <v:shape id="_x0000_s1447" type="#_x0000_t202" style="width:101;height:161;left:1426;position:absolute;top:913" filled="f" stroked="f">
              <v:textbox inset="0,0,0,0">
                <w:txbxContent>
                  <w:p>
                    <w:pPr>
                      <w:spacing w:before="0" w:line="161" w:lineRule="exact"/>
                      <w:ind w:left="0" w:right="0" w:firstLine="0"/>
                      <w:jc w:val="left"/>
                      <w:rPr>
                        <w:sz w:val="16"/>
                      </w:rPr>
                    </w:pPr>
                    <w:r>
                      <w:rPr>
                        <w:w w:val="100"/>
                        <w:sz w:val="16"/>
                      </w:rPr>
                      <w:t>7</w:t>
                    </w:r>
                  </w:p>
                </w:txbxContent>
              </v:textbox>
            </v:shape>
            <v:shape id="_x0000_s1448" type="#_x0000_t202" style="width:101;height:162;left:1823;position:absolute;top:1298" filled="f" stroked="f">
              <v:textbox inset="0,0,0,0">
                <w:txbxContent>
                  <w:p>
                    <w:pPr>
                      <w:spacing w:before="0" w:line="161" w:lineRule="exact"/>
                      <w:ind w:left="0" w:right="0" w:firstLine="0"/>
                      <w:jc w:val="left"/>
                      <w:rPr>
                        <w:sz w:val="16"/>
                      </w:rPr>
                    </w:pPr>
                    <w:r>
                      <w:rPr>
                        <w:w w:val="100"/>
                        <w:sz w:val="16"/>
                      </w:rPr>
                      <w:t>7</w:t>
                    </w:r>
                  </w:p>
                </w:txbxContent>
              </v:textbox>
            </v:shape>
            <v:shape id="_x0000_s1449" type="#_x0000_t202" style="width:101;height:161;left:2221;position:absolute;top:1202" filled="f" stroked="f">
              <v:textbox inset="0,0,0,0">
                <w:txbxContent>
                  <w:p>
                    <w:pPr>
                      <w:spacing w:before="0" w:line="161" w:lineRule="exact"/>
                      <w:ind w:left="0" w:right="0" w:firstLine="0"/>
                      <w:jc w:val="left"/>
                      <w:rPr>
                        <w:sz w:val="16"/>
                      </w:rPr>
                    </w:pPr>
                    <w:r>
                      <w:rPr>
                        <w:w w:val="100"/>
                        <w:sz w:val="16"/>
                      </w:rPr>
                      <w:t>6</w:t>
                    </w:r>
                  </w:p>
                </w:txbxContent>
              </v:textbox>
            </v:shape>
            <v:shape id="_x0000_s1450" type="#_x0000_t202" style="width:101;height:162;left:2618;position:absolute;top:1298" filled="f" stroked="f">
              <v:textbox inset="0,0,0,0">
                <w:txbxContent>
                  <w:p>
                    <w:pPr>
                      <w:spacing w:before="0" w:line="161" w:lineRule="exact"/>
                      <w:ind w:left="0" w:right="0" w:firstLine="0"/>
                      <w:jc w:val="left"/>
                      <w:rPr>
                        <w:sz w:val="16"/>
                      </w:rPr>
                    </w:pPr>
                    <w:r>
                      <w:rPr>
                        <w:w w:val="100"/>
                        <w:sz w:val="16"/>
                      </w:rPr>
                      <w:t>5</w:t>
                    </w:r>
                  </w:p>
                </w:txbxContent>
              </v:textbox>
            </v:shape>
            <v:shape id="_x0000_s1451" type="#_x0000_t202" style="width:101;height:161;left:3015;position:absolute;top:1202" filled="f" stroked="f">
              <v:textbox inset="0,0,0,0">
                <w:txbxContent>
                  <w:p>
                    <w:pPr>
                      <w:spacing w:before="0" w:line="161" w:lineRule="exact"/>
                      <w:ind w:left="0" w:right="0" w:firstLine="0"/>
                      <w:jc w:val="left"/>
                      <w:rPr>
                        <w:sz w:val="16"/>
                      </w:rPr>
                    </w:pPr>
                    <w:r>
                      <w:rPr>
                        <w:w w:val="100"/>
                        <w:sz w:val="16"/>
                      </w:rPr>
                      <w:t>4</w:t>
                    </w:r>
                  </w:p>
                </w:txbxContent>
              </v:textbox>
            </v:shape>
            <v:shape id="_x0000_s1452" type="#_x0000_t202" style="width:499;height:162;left:3412;position:absolute;top:1298" filled="f" stroked="f">
              <v:textbox inset="0,0,0,0">
                <w:txbxContent>
                  <w:p>
                    <w:pPr>
                      <w:tabs>
                        <w:tab w:val="left" w:pos="397"/>
                      </w:tabs>
                      <w:spacing w:before="0" w:line="161" w:lineRule="exact"/>
                      <w:ind w:left="0" w:right="0" w:firstLine="0"/>
                      <w:jc w:val="left"/>
                      <w:rPr>
                        <w:sz w:val="16"/>
                      </w:rPr>
                    </w:pPr>
                    <w:r>
                      <w:rPr>
                        <w:sz w:val="16"/>
                      </w:rPr>
                      <w:t>5</w:t>
                      <w:tab/>
                      <w:t>5</w:t>
                    </w:r>
                  </w:p>
                </w:txbxContent>
              </v:textbox>
            </v:shape>
            <v:shape id="_x0000_s1453" type="#_x0000_t202" style="width:101;height:162;left:4207;position:absolute;top:1394" filled="f" stroked="f">
              <v:textbox inset="0,0,0,0">
                <w:txbxContent>
                  <w:p>
                    <w:pPr>
                      <w:spacing w:before="0" w:line="161" w:lineRule="exact"/>
                      <w:ind w:left="0" w:right="0" w:firstLine="0"/>
                      <w:jc w:val="left"/>
                      <w:rPr>
                        <w:sz w:val="16"/>
                      </w:rPr>
                    </w:pPr>
                    <w:r>
                      <w:rPr>
                        <w:w w:val="100"/>
                        <w:sz w:val="16"/>
                      </w:rPr>
                      <w:t>4</w:t>
                    </w:r>
                  </w:p>
                </w:txbxContent>
              </v:textbox>
            </v:shape>
            <v:shape id="_x0000_s1454" type="#_x0000_t202" style="width:101;height:162;left:4605;position:absolute;top:1491" filled="f" stroked="f">
              <v:textbox inset="0,0,0,0">
                <w:txbxContent>
                  <w:p>
                    <w:pPr>
                      <w:spacing w:before="0" w:line="161" w:lineRule="exact"/>
                      <w:ind w:left="0" w:right="0" w:firstLine="0"/>
                      <w:jc w:val="left"/>
                      <w:rPr>
                        <w:sz w:val="16"/>
                      </w:rPr>
                    </w:pPr>
                    <w:r>
                      <w:rPr>
                        <w:w w:val="100"/>
                        <w:sz w:val="16"/>
                      </w:rPr>
                      <w:t>5</w:t>
                    </w:r>
                  </w:p>
                </w:txbxContent>
              </v:textbox>
            </v:shape>
            <v:shape id="_x0000_s1455" type="#_x0000_t202" style="width:101;height:161;left:1426;position:absolute;top:1781" filled="f" stroked="f">
              <v:textbox inset="0,0,0,0">
                <w:txbxContent>
                  <w:p>
                    <w:pPr>
                      <w:spacing w:before="0" w:line="161" w:lineRule="exact"/>
                      <w:ind w:left="0" w:right="0" w:firstLine="0"/>
                      <w:jc w:val="left"/>
                      <w:rPr>
                        <w:sz w:val="16"/>
                      </w:rPr>
                    </w:pPr>
                    <w:r>
                      <w:rPr>
                        <w:w w:val="100"/>
                        <w:sz w:val="16"/>
                      </w:rPr>
                      <w:t>2</w:t>
                    </w:r>
                  </w:p>
                </w:txbxContent>
              </v:textbox>
            </v:shape>
            <v:shape id="_x0000_s1456" type="#_x0000_t202" style="width:101;height:161;left:2221;position:absolute;top:1877" filled="f" stroked="f">
              <v:textbox inset="0,0,0,0">
                <w:txbxContent>
                  <w:p>
                    <w:pPr>
                      <w:spacing w:before="0" w:line="161" w:lineRule="exact"/>
                      <w:ind w:left="0" w:right="0" w:firstLine="0"/>
                      <w:jc w:val="left"/>
                      <w:rPr>
                        <w:sz w:val="16"/>
                      </w:rPr>
                    </w:pPr>
                    <w:r>
                      <w:rPr>
                        <w:w w:val="100"/>
                        <w:sz w:val="16"/>
                      </w:rPr>
                      <w:t>1</w:t>
                    </w:r>
                  </w:p>
                </w:txbxContent>
              </v:textbox>
            </v:shape>
            <v:shape id="_x0000_s1457" type="#_x0000_t202" style="width:101;height:161;left:2618;position:absolute;top:1877" filled="f" stroked="f">
              <v:textbox inset="0,0,0,0">
                <w:txbxContent>
                  <w:p>
                    <w:pPr>
                      <w:spacing w:before="0" w:line="161" w:lineRule="exact"/>
                      <w:ind w:left="0" w:right="0" w:firstLine="0"/>
                      <w:jc w:val="left"/>
                      <w:rPr>
                        <w:sz w:val="16"/>
                      </w:rPr>
                    </w:pPr>
                    <w:r>
                      <w:rPr>
                        <w:w w:val="100"/>
                        <w:sz w:val="16"/>
                      </w:rPr>
                      <w:t>1</w:t>
                    </w:r>
                  </w:p>
                </w:txbxContent>
              </v:textbox>
            </v:shape>
            <v:shape id="_x0000_s1458" type="#_x0000_t202" style="width:101;height:161;left:3015;position:absolute;top:1781" filled="f" stroked="f">
              <v:textbox inset="0,0,0,0">
                <w:txbxContent>
                  <w:p>
                    <w:pPr>
                      <w:spacing w:before="0" w:line="161" w:lineRule="exact"/>
                      <w:ind w:left="0" w:right="0" w:firstLine="0"/>
                      <w:jc w:val="left"/>
                      <w:rPr>
                        <w:sz w:val="16"/>
                      </w:rPr>
                    </w:pPr>
                    <w:r>
                      <w:rPr>
                        <w:w w:val="100"/>
                        <w:sz w:val="16"/>
                      </w:rPr>
                      <w:t>2</w:t>
                    </w:r>
                  </w:p>
                </w:txbxContent>
              </v:textbox>
            </v:shape>
            <v:shape id="_x0000_s1459" type="#_x0000_t202" style="width:498;height:161;left:3412;position:absolute;top:1877" filled="f" stroked="f">
              <v:textbox inset="0,0,0,0">
                <w:txbxContent>
                  <w:p>
                    <w:pPr>
                      <w:tabs>
                        <w:tab w:val="left" w:pos="397"/>
                      </w:tabs>
                      <w:spacing w:before="0" w:line="161" w:lineRule="exact"/>
                      <w:ind w:left="0" w:right="0" w:firstLine="0"/>
                      <w:jc w:val="left"/>
                      <w:rPr>
                        <w:sz w:val="16"/>
                      </w:rPr>
                    </w:pPr>
                    <w:r>
                      <w:rPr>
                        <w:sz w:val="16"/>
                      </w:rPr>
                      <w:t>1</w:t>
                      <w:tab/>
                      <w:t>1</w:t>
                    </w:r>
                  </w:p>
                </w:txbxContent>
              </v:textbox>
            </v:shape>
            <v:shape id="_x0000_s1460" type="#_x0000_t202" style="width:101;height:161;left:4207;position:absolute;top:1877" filled="f" stroked="f">
              <v:textbox inset="0,0,0,0">
                <w:txbxContent>
                  <w:p>
                    <w:pPr>
                      <w:spacing w:before="0" w:line="161" w:lineRule="exact"/>
                      <w:ind w:left="0" w:right="0" w:firstLine="0"/>
                      <w:jc w:val="left"/>
                      <w:rPr>
                        <w:sz w:val="16"/>
                      </w:rPr>
                    </w:pPr>
                    <w:r>
                      <w:rPr>
                        <w:w w:val="100"/>
                        <w:sz w:val="16"/>
                      </w:rPr>
                      <w:t>1</w:t>
                    </w:r>
                  </w:p>
                </w:txbxContent>
              </v:textbox>
            </v:shape>
            <v:shape id="_x0000_s1461" type="#_x0000_t202" style="width:101;height:161;left:5400;position:absolute;top:1781" filled="f" stroked="f">
              <v:textbox inset="0,0,0,0">
                <w:txbxContent>
                  <w:p>
                    <w:pPr>
                      <w:spacing w:before="0" w:line="161" w:lineRule="exact"/>
                      <w:ind w:left="0" w:right="0" w:firstLine="0"/>
                      <w:jc w:val="left"/>
                      <w:rPr>
                        <w:sz w:val="16"/>
                      </w:rPr>
                    </w:pPr>
                    <w:r>
                      <w:rPr>
                        <w:w w:val="100"/>
                        <w:sz w:val="16"/>
                      </w:rPr>
                      <w:t>2</w:t>
                    </w:r>
                  </w:p>
                </w:txbxContent>
              </v:textbox>
            </v:shape>
            <v:shape id="_x0000_s1462" type="#_x0000_t202" style="width:159;height:578;left:4960;position:absolute;top:1476" filled="t" fillcolor="#2d75b6" stroked="f">
              <v:fill type="solid"/>
              <v:textbox inset="0,0,0,0">
                <w:txbxContent>
                  <w:p>
                    <w:pPr>
                      <w:spacing w:before="6" w:line="240" w:lineRule="auto"/>
                      <w:rPr>
                        <w:sz w:val="14"/>
                      </w:rPr>
                    </w:pPr>
                  </w:p>
                  <w:p>
                    <w:pPr>
                      <w:spacing w:before="0"/>
                      <w:ind w:left="41" w:right="0" w:firstLine="0"/>
                      <w:jc w:val="left"/>
                      <w:rPr>
                        <w:sz w:val="16"/>
                      </w:rPr>
                    </w:pPr>
                    <w:r>
                      <w:rPr>
                        <w:w w:val="100"/>
                        <w:sz w:val="16"/>
                      </w:rPr>
                      <w:t>3</w:t>
                    </w:r>
                  </w:p>
                </w:txbxContent>
              </v:textbox>
            </v:shape>
          </v:group>
        </w:pict>
      </w:r>
      <w:r>
        <w:rPr>
          <w:sz w:val="16"/>
        </w:rPr>
        <w:t>10</w:t>
      </w:r>
    </w:p>
    <w:p>
      <w:pPr>
        <w:tabs>
          <w:tab w:val="left" w:pos="2737"/>
          <w:tab w:val="left" w:pos="3466"/>
          <w:tab w:val="left" w:pos="4116"/>
        </w:tabs>
        <w:spacing w:before="78"/>
        <w:ind w:left="2008" w:right="0" w:firstLine="0"/>
        <w:jc w:val="left"/>
        <w:rPr>
          <w:sz w:val="16"/>
        </w:rPr>
      </w:pPr>
      <w:r>
        <w:br w:type="column"/>
      </w:r>
      <w:r>
        <w:rPr>
          <w:sz w:val="16"/>
        </w:rPr>
        <w:t>AAA</w:t>
        <w:tab/>
        <w:t>AA+</w:t>
        <w:tab/>
        <w:t>AA</w:t>
        <w:tab/>
        <w:t>AA-及以下</w:t>
      </w:r>
    </w:p>
    <w:p>
      <w:pPr>
        <w:spacing w:before="2"/>
        <w:ind w:left="800" w:right="0" w:firstLine="0"/>
        <w:jc w:val="left"/>
        <w:rPr>
          <w:sz w:val="16"/>
        </w:rPr>
      </w:pPr>
      <w:r>
        <w:pict>
          <v:group id="_x0000_s1463" style="width:220.5pt;height:99.25pt;margin-top:4.85pt;margin-left:323.27pt;mso-position-horizontal-relative:page;position:absolute;z-index:251732992" coordorigin="6465,97" coordsize="4410,1985">
            <v:rect id="_x0000_s1464" style="width:159;height:197;left:6631;position:absolute;top:1877" filled="t" fillcolor="#244060" stroked="f">
              <v:fill type="solid"/>
            </v:rect>
            <v:rect id="_x0000_s1465" style="width:159;height:394;left:6631;position:absolute;top:1483" filled="t" fillcolor="#375f92" stroked="f">
              <v:fill type="solid"/>
            </v:rect>
            <v:rect id="_x0000_s1466" style="width:159;height:394;left:6631;position:absolute;top:1089" filled="t" fillcolor="#94b3d6" stroked="f">
              <v:fill type="solid"/>
            </v:rect>
            <v:rect id="_x0000_s1467" style="width:159;height:790;left:6631;position:absolute;top:300" filled="t" fillcolor="#7e7e7e" stroked="f">
              <v:fill type="solid"/>
            </v:rect>
            <v:rect id="_x0000_s1468" style="width:159;height:591;left:7423;position:absolute;top:1483" filled="t" fillcolor="#244060" stroked="f">
              <v:fill type="solid"/>
            </v:rect>
            <v:rect id="_x0000_s1469" style="width:159;height:197;left:7423;position:absolute;top:1286" filled="t" fillcolor="#375f92" stroked="f">
              <v:fill type="solid"/>
            </v:rect>
            <v:rect id="_x0000_s1470" style="width:159;height:197;left:7423;position:absolute;top:1089" filled="t" fillcolor="#94b3d6" stroked="f">
              <v:fill type="solid"/>
            </v:rect>
            <v:rect id="_x0000_s1471" style="width:159;height:394;left:7423;position:absolute;top:696" filled="t" fillcolor="#7e7e7e" stroked="f">
              <v:fill type="solid"/>
            </v:rect>
            <v:rect id="_x0000_s1472" style="width:159;height:394;left:10195;position:absolute;top:1680" filled="t" fillcolor="#244060" stroked="f">
              <v:fill type="solid"/>
            </v:rect>
            <v:shape id="_x0000_s1473" style="width:2535;height:591;left:7819;position:absolute;top:1483" coordorigin="7819,1483" coordsize="2535,591" path="m7978,1680l7819,1680,7819,2074,7978,2074,7978,1680m10354,1483l10195,1483,10195,1680,10354,1680,10354,1483e" filled="t" fillcolor="#375f92" stroked="f">
              <v:fill type="solid"/>
              <v:path arrowok="t"/>
            </v:shape>
            <v:rect id="_x0000_s1474" style="width:159;height:394;left:7819;position:absolute;top:1286" filled="t" fillcolor="#94b3d6" stroked="f">
              <v:fill type="solid"/>
            </v:rect>
            <v:rect id="_x0000_s1475" style="width:159;height:394;left:7819;position:absolute;top:893" filled="t" fillcolor="#7e7e7e" stroked="f">
              <v:fill type="solid"/>
            </v:rect>
            <v:rect id="_x0000_s1476" style="width:159;height:394;left:8215;position:absolute;top:1680" filled="t" fillcolor="#375f92" stroked="f">
              <v:fill type="solid"/>
            </v:rect>
            <v:rect id="_x0000_s1477" style="width:159;height:394;left:8215;position:absolute;top:1286" filled="t" fillcolor="#94b3d6" stroked="f">
              <v:fill type="solid"/>
            </v:rect>
            <v:rect id="_x0000_s1478" style="width:159;height:591;left:8215;position:absolute;top:696" filled="t" fillcolor="#7e7e7e" stroked="f">
              <v:fill type="solid"/>
            </v:rect>
            <v:rect id="_x0000_s1479" style="width:159;height:394;left:8611;position:absolute;top:1680" filled="t" fillcolor="#375f92" stroked="f">
              <v:fill type="solid"/>
            </v:rect>
            <v:rect id="_x0000_s1480" style="width:159;height:591;left:8611;position:absolute;top:1089" filled="t" fillcolor="#94b3d6" stroked="f">
              <v:fill type="solid"/>
            </v:rect>
            <v:rect id="_x0000_s1481" style="width:159;height:394;left:9007;position:absolute;top:1680" filled="t" fillcolor="#375f92" stroked="f">
              <v:fill type="solid"/>
            </v:rect>
            <v:rect id="_x0000_s1482" style="width:159;height:788;left:9007;position:absolute;top:893" filled="t" fillcolor="#94b3d6" stroked="f">
              <v:fill type="solid"/>
            </v:rect>
            <v:shape id="_x0000_s1483" style="width:3723;height:1378;left:7027;position:absolute;top:696" coordorigin="7027,696" coordsize="3723,1378" path="m7186,696l7027,696,7027,2074,7186,2074,7186,696m9958,1090l9799,1090,9799,2074,9958,2074,9958,1090m10750,1680l10591,1680,10591,2074,10750,2074,10750,1680e" filled="t" fillcolor="#7e7e7e" stroked="f">
              <v:fill type="solid"/>
              <v:path arrowok="t"/>
            </v:shape>
            <v:shape id="_x0000_s1484" style="width:4402;height:1970;left:6465;position:absolute;top:104" coordorigin="6465,104" coordsize="4402,1970" path="m6511,2074l6511,104m6465,2074l6511,2074m6465,1680l6511,1680m6465,1287l6511,1287m6465,893l6511,893m6465,499l6511,499m6465,104l6511,104m6511,2074l10867,2074m6511,2028l6511,2074m6907,2028l6907,2074m7303,2028l7303,2074m7699,2028l7699,2074m8095,2028l8095,2074m8491,2028l8491,2074m8887,2028l8887,2074m9283,2028l9283,2074m9679,2028l9679,2074m10075,2028l10075,2074m10471,2028l10471,2074m10867,2028l10867,2074e" filled="f" stroked="t" strokecolor="black" strokeweight="0.75pt">
              <v:stroke dashstyle="solid"/>
              <v:path arrowok="t"/>
            </v:shape>
            <v:shape id="_x0000_s1485" type="#_x0000_t202" style="width:101;height:161;left:6670;position:absolute;top:614" filled="f" stroked="f">
              <v:textbox inset="0,0,0,0">
                <w:txbxContent>
                  <w:p>
                    <w:pPr>
                      <w:spacing w:before="0" w:line="161" w:lineRule="exact"/>
                      <w:ind w:left="0" w:right="0" w:firstLine="0"/>
                      <w:jc w:val="left"/>
                      <w:rPr>
                        <w:sz w:val="16"/>
                      </w:rPr>
                    </w:pPr>
                    <w:r>
                      <w:rPr>
                        <w:w w:val="100"/>
                        <w:sz w:val="16"/>
                      </w:rPr>
                      <w:t>4</w:t>
                    </w:r>
                  </w:p>
                </w:txbxContent>
              </v:textbox>
            </v:shape>
            <v:shape id="_x0000_s1486" type="#_x0000_t202" style="width:101;height:161;left:7462;position:absolute;top:812" filled="f" stroked="f">
              <v:textbox inset="0,0,0,0">
                <w:txbxContent>
                  <w:p>
                    <w:pPr>
                      <w:spacing w:before="0" w:line="161" w:lineRule="exact"/>
                      <w:ind w:left="0" w:right="0" w:firstLine="0"/>
                      <w:jc w:val="left"/>
                      <w:rPr>
                        <w:sz w:val="16"/>
                      </w:rPr>
                    </w:pPr>
                    <w:r>
                      <w:rPr>
                        <w:w w:val="100"/>
                        <w:sz w:val="16"/>
                      </w:rPr>
                      <w:t>2</w:t>
                    </w:r>
                  </w:p>
                </w:txbxContent>
              </v:textbox>
            </v:shape>
            <v:shape id="_x0000_s1487" type="#_x0000_t202" style="width:101;height:161;left:8255;position:absolute;top:910" filled="f" stroked="f">
              <v:textbox inset="0,0,0,0">
                <w:txbxContent>
                  <w:p>
                    <w:pPr>
                      <w:spacing w:before="0" w:line="161" w:lineRule="exact"/>
                      <w:ind w:left="0" w:right="0" w:firstLine="0"/>
                      <w:jc w:val="left"/>
                      <w:rPr>
                        <w:sz w:val="16"/>
                      </w:rPr>
                    </w:pPr>
                    <w:r>
                      <w:rPr>
                        <w:w w:val="100"/>
                        <w:sz w:val="16"/>
                      </w:rPr>
                      <w:t>3</w:t>
                    </w:r>
                  </w:p>
                </w:txbxContent>
              </v:textbox>
            </v:shape>
            <v:shape id="_x0000_s1488" type="#_x0000_t202" style="width:101;height:161;left:9047;position:absolute;top:812" filled="f" stroked="f">
              <v:textbox inset="0,0,0,0">
                <w:txbxContent>
                  <w:p>
                    <w:pPr>
                      <w:spacing w:before="0" w:line="161" w:lineRule="exact"/>
                      <w:ind w:left="0" w:right="0" w:firstLine="0"/>
                      <w:jc w:val="left"/>
                      <w:rPr>
                        <w:sz w:val="16"/>
                      </w:rPr>
                    </w:pPr>
                    <w:r>
                      <w:rPr>
                        <w:w w:val="100"/>
                        <w:sz w:val="16"/>
                      </w:rPr>
                      <w:t>0</w:t>
                    </w:r>
                  </w:p>
                </w:txbxContent>
              </v:textbox>
            </v:shape>
            <v:shape id="_x0000_s1489" type="#_x0000_t202" style="width:101;height:161;left:6670;position:absolute;top:1205" filled="f" stroked="f">
              <v:textbox inset="0,0,0,0">
                <w:txbxContent>
                  <w:p>
                    <w:pPr>
                      <w:spacing w:before="0" w:line="161" w:lineRule="exact"/>
                      <w:ind w:left="0" w:right="0" w:firstLine="0"/>
                      <w:jc w:val="left"/>
                      <w:rPr>
                        <w:sz w:val="16"/>
                      </w:rPr>
                    </w:pPr>
                    <w:r>
                      <w:rPr>
                        <w:w w:val="100"/>
                        <w:sz w:val="16"/>
                      </w:rPr>
                      <w:t>2</w:t>
                    </w:r>
                  </w:p>
                </w:txbxContent>
              </v:textbox>
            </v:shape>
            <v:shape id="_x0000_s1490" type="#_x0000_t202" style="width:101;height:161;left:7066;position:absolute;top:1304" filled="f" stroked="f">
              <v:textbox inset="0,0,0,0">
                <w:txbxContent>
                  <w:p>
                    <w:pPr>
                      <w:spacing w:before="0" w:line="161" w:lineRule="exact"/>
                      <w:ind w:left="0" w:right="0" w:firstLine="0"/>
                      <w:jc w:val="left"/>
                      <w:rPr>
                        <w:sz w:val="16"/>
                      </w:rPr>
                    </w:pPr>
                    <w:r>
                      <w:rPr>
                        <w:w w:val="100"/>
                        <w:sz w:val="16"/>
                      </w:rPr>
                      <w:t>7</w:t>
                    </w:r>
                  </w:p>
                </w:txbxContent>
              </v:textbox>
            </v:shape>
            <v:shape id="_x0000_s1491" type="#_x0000_t202" style="width:101;height:358;left:7462;position:absolute;top:1107" filled="f" stroked="f">
              <v:textbox inset="0,0,0,0">
                <w:txbxContent>
                  <w:p>
                    <w:pPr>
                      <w:spacing w:before="0" w:line="179" w:lineRule="exact"/>
                      <w:ind w:left="0" w:right="0" w:firstLine="0"/>
                      <w:jc w:val="left"/>
                      <w:rPr>
                        <w:sz w:val="16"/>
                      </w:rPr>
                    </w:pPr>
                    <w:r>
                      <w:rPr>
                        <w:w w:val="100"/>
                        <w:sz w:val="16"/>
                      </w:rPr>
                      <w:t>1</w:t>
                    </w:r>
                  </w:p>
                  <w:p>
                    <w:pPr>
                      <w:spacing w:before="0" w:line="179" w:lineRule="exact"/>
                      <w:ind w:left="0" w:right="0" w:firstLine="0"/>
                      <w:jc w:val="left"/>
                      <w:rPr>
                        <w:sz w:val="16"/>
                      </w:rPr>
                    </w:pPr>
                    <w:r>
                      <w:rPr>
                        <w:w w:val="100"/>
                        <w:sz w:val="16"/>
                      </w:rPr>
                      <w:t>1</w:t>
                    </w:r>
                  </w:p>
                </w:txbxContent>
              </v:textbox>
            </v:shape>
            <v:shape id="_x0000_s1492" type="#_x0000_t202" style="width:101;height:161;left:7859;position:absolute;top:1008" filled="f" stroked="f">
              <v:textbox inset="0,0,0,0">
                <w:txbxContent>
                  <w:p>
                    <w:pPr>
                      <w:spacing w:before="0" w:line="161" w:lineRule="exact"/>
                      <w:ind w:left="0" w:right="0" w:firstLine="0"/>
                      <w:jc w:val="left"/>
                      <w:rPr>
                        <w:sz w:val="16"/>
                      </w:rPr>
                    </w:pPr>
                    <w:r>
                      <w:rPr>
                        <w:w w:val="100"/>
                        <w:sz w:val="16"/>
                      </w:rPr>
                      <w:t>2</w:t>
                    </w:r>
                  </w:p>
                </w:txbxContent>
              </v:textbox>
            </v:shape>
            <v:shape id="_x0000_s1493" type="#_x0000_t202" style="width:141;height:161;left:8611;position:absolute;top:910" filled="f" stroked="f">
              <v:textbox inset="0,0,0,0">
                <w:txbxContent>
                  <w:p>
                    <w:pPr>
                      <w:spacing w:before="0" w:line="161" w:lineRule="exact"/>
                      <w:ind w:left="0" w:right="0" w:firstLine="0"/>
                      <w:jc w:val="left"/>
                      <w:rPr>
                        <w:sz w:val="16"/>
                      </w:rPr>
                    </w:pPr>
                    <w:r>
                      <w:rPr>
                        <w:spacing w:val="-41"/>
                        <w:w w:val="100"/>
                        <w:sz w:val="16"/>
                        <w:shd w:val="clear" w:color="auto" w:fill="7E7E7E"/>
                      </w:rPr>
                      <w:t xml:space="preserve"> </w:t>
                    </w:r>
                    <w:r>
                      <w:rPr>
                        <w:sz w:val="16"/>
                        <w:shd w:val="clear" w:color="auto" w:fill="7E7E7E"/>
                      </w:rPr>
                      <w:t>1</w:t>
                    </w:r>
                  </w:p>
                </w:txbxContent>
              </v:textbox>
            </v:shape>
            <v:shape id="_x0000_s1494" type="#_x0000_t202" style="width:101;height:161;left:7859;position:absolute;top:1402" filled="f" stroked="f">
              <v:textbox inset="0,0,0,0">
                <w:txbxContent>
                  <w:p>
                    <w:pPr>
                      <w:spacing w:before="0" w:line="161" w:lineRule="exact"/>
                      <w:ind w:left="0" w:right="0" w:firstLine="0"/>
                      <w:jc w:val="left"/>
                      <w:rPr>
                        <w:sz w:val="16"/>
                      </w:rPr>
                    </w:pPr>
                    <w:r>
                      <w:rPr>
                        <w:w w:val="100"/>
                        <w:sz w:val="16"/>
                      </w:rPr>
                      <w:t>2</w:t>
                    </w:r>
                  </w:p>
                </w:txbxContent>
              </v:textbox>
            </v:shape>
            <v:shape id="_x0000_s1495" type="#_x0000_t202" style="width:101;height:161;left:8255;position:absolute;top:1402" filled="f" stroked="f">
              <v:textbox inset="0,0,0,0">
                <w:txbxContent>
                  <w:p>
                    <w:pPr>
                      <w:spacing w:before="0" w:line="161" w:lineRule="exact"/>
                      <w:ind w:left="0" w:right="0" w:firstLine="0"/>
                      <w:jc w:val="left"/>
                      <w:rPr>
                        <w:sz w:val="16"/>
                      </w:rPr>
                    </w:pPr>
                    <w:r>
                      <w:rPr>
                        <w:w w:val="100"/>
                        <w:sz w:val="16"/>
                      </w:rPr>
                      <w:t>2</w:t>
                    </w:r>
                  </w:p>
                </w:txbxContent>
              </v:textbox>
            </v:shape>
            <v:shape id="_x0000_s1496" type="#_x0000_t202" style="width:893;height:358;left:8651;position:absolute;top:1107" filled="f" stroked="f">
              <v:textbox inset="0,0,0,0">
                <w:txbxContent>
                  <w:p>
                    <w:pPr>
                      <w:spacing w:before="0" w:line="129" w:lineRule="exact"/>
                      <w:ind w:left="0" w:right="18" w:firstLine="0"/>
                      <w:jc w:val="right"/>
                      <w:rPr>
                        <w:sz w:val="16"/>
                      </w:rPr>
                    </w:pPr>
                    <w:r>
                      <w:rPr>
                        <w:spacing w:val="-41"/>
                        <w:w w:val="100"/>
                        <w:sz w:val="16"/>
                        <w:shd w:val="clear" w:color="auto" w:fill="7E7E7E"/>
                      </w:rPr>
                      <w:t xml:space="preserve"> </w:t>
                    </w:r>
                    <w:r>
                      <w:rPr>
                        <w:spacing w:val="-1"/>
                        <w:sz w:val="16"/>
                        <w:shd w:val="clear" w:color="auto" w:fill="7E7E7E"/>
                      </w:rPr>
                      <w:t>1</w:t>
                    </w:r>
                  </w:p>
                  <w:p>
                    <w:pPr>
                      <w:tabs>
                        <w:tab w:val="left" w:pos="395"/>
                        <w:tab w:val="left" w:pos="752"/>
                      </w:tabs>
                      <w:spacing w:before="0" w:line="229" w:lineRule="exact"/>
                      <w:ind w:left="0" w:right="0" w:firstLine="0"/>
                      <w:jc w:val="left"/>
                      <w:rPr>
                        <w:sz w:val="16"/>
                      </w:rPr>
                    </w:pPr>
                    <w:r>
                      <w:rPr>
                        <w:sz w:val="16"/>
                      </w:rPr>
                      <w:t>3</w:t>
                      <w:tab/>
                    </w:r>
                    <w:r>
                      <w:rPr>
                        <w:position w:val="10"/>
                        <w:sz w:val="16"/>
                      </w:rPr>
                      <w:t>4</w:t>
                      <w:tab/>
                    </w:r>
                    <w:r>
                      <w:rPr>
                        <w:sz w:val="16"/>
                        <w:shd w:val="clear" w:color="auto" w:fill="94B3D6"/>
                      </w:rPr>
                      <w:t>1</w:t>
                    </w:r>
                  </w:p>
                </w:txbxContent>
              </v:textbox>
            </v:shape>
            <v:shape id="_x0000_s1497" type="#_x0000_t202" style="width:101;height:457;left:6670;position:absolute;top:1599" filled="f" stroked="f">
              <v:textbox inset="0,0,0,0">
                <w:txbxContent>
                  <w:p>
                    <w:pPr>
                      <w:spacing w:before="0" w:line="183" w:lineRule="exact"/>
                      <w:ind w:left="0" w:right="0" w:firstLine="0"/>
                      <w:jc w:val="left"/>
                      <w:rPr>
                        <w:sz w:val="16"/>
                      </w:rPr>
                    </w:pPr>
                    <w:r>
                      <w:rPr>
                        <w:w w:val="100"/>
                        <w:sz w:val="16"/>
                      </w:rPr>
                      <w:t>2</w:t>
                    </w:r>
                  </w:p>
                  <w:p>
                    <w:pPr>
                      <w:spacing w:before="90" w:line="183" w:lineRule="exact"/>
                      <w:ind w:left="0" w:right="0" w:firstLine="0"/>
                      <w:jc w:val="left"/>
                      <w:rPr>
                        <w:sz w:val="16"/>
                      </w:rPr>
                    </w:pPr>
                    <w:r>
                      <w:rPr>
                        <w:w w:val="100"/>
                        <w:sz w:val="16"/>
                      </w:rPr>
                      <w:t>1</w:t>
                    </w:r>
                  </w:p>
                </w:txbxContent>
              </v:textbox>
            </v:shape>
            <v:shape id="_x0000_s1498" type="#_x0000_t202" style="width:101;height:161;left:9839;position:absolute;top:1501" filled="f" stroked="f">
              <v:textbox inset="0,0,0,0">
                <w:txbxContent>
                  <w:p>
                    <w:pPr>
                      <w:spacing w:before="0" w:line="161" w:lineRule="exact"/>
                      <w:ind w:left="0" w:right="0" w:firstLine="0"/>
                      <w:jc w:val="left"/>
                      <w:rPr>
                        <w:sz w:val="16"/>
                      </w:rPr>
                    </w:pPr>
                    <w:r>
                      <w:rPr>
                        <w:w w:val="100"/>
                        <w:sz w:val="16"/>
                      </w:rPr>
                      <w:t>5</w:t>
                    </w:r>
                  </w:p>
                </w:txbxContent>
              </v:textbox>
            </v:shape>
            <v:shape id="_x0000_s1499" type="#_x0000_t202" style="width:101;height:161;left:10235;position:absolute;top:1402" filled="f" stroked="f">
              <v:textbox inset="0,0,0,0">
                <w:txbxContent>
                  <w:p>
                    <w:pPr>
                      <w:spacing w:before="0" w:line="161" w:lineRule="exact"/>
                      <w:ind w:left="0" w:right="0" w:firstLine="0"/>
                      <w:jc w:val="left"/>
                      <w:rPr>
                        <w:sz w:val="16"/>
                      </w:rPr>
                    </w:pPr>
                    <w:r>
                      <w:rPr>
                        <w:w w:val="100"/>
                        <w:sz w:val="16"/>
                      </w:rPr>
                      <w:t>0</w:t>
                    </w:r>
                  </w:p>
                </w:txbxContent>
              </v:textbox>
            </v:shape>
            <v:shape id="_x0000_s1500" type="#_x0000_t202" style="width:101;height:161;left:7462;position:absolute;top:1698" filled="f" stroked="f">
              <v:textbox inset="0,0,0,0">
                <w:txbxContent>
                  <w:p>
                    <w:pPr>
                      <w:spacing w:before="0" w:line="161" w:lineRule="exact"/>
                      <w:ind w:left="0" w:right="0" w:firstLine="0"/>
                      <w:jc w:val="left"/>
                      <w:rPr>
                        <w:sz w:val="16"/>
                      </w:rPr>
                    </w:pPr>
                    <w:r>
                      <w:rPr>
                        <w:w w:val="100"/>
                        <w:sz w:val="16"/>
                      </w:rPr>
                      <w:t>3</w:t>
                    </w:r>
                  </w:p>
                </w:txbxContent>
              </v:textbox>
            </v:shape>
            <v:shape id="_x0000_s1501" type="#_x0000_t202" style="width:1289;height:161;left:7859;position:absolute;top:1796" filled="f" stroked="f">
              <v:textbox inset="0,0,0,0">
                <w:txbxContent>
                  <w:p>
                    <w:pPr>
                      <w:tabs>
                        <w:tab w:val="left" w:pos="395"/>
                        <w:tab w:val="left" w:pos="791"/>
                        <w:tab w:val="left" w:pos="1187"/>
                      </w:tabs>
                      <w:spacing w:before="0" w:line="161" w:lineRule="exact"/>
                      <w:ind w:left="0" w:right="0" w:firstLine="0"/>
                      <w:jc w:val="left"/>
                      <w:rPr>
                        <w:sz w:val="16"/>
                      </w:rPr>
                    </w:pPr>
                    <w:r>
                      <w:rPr>
                        <w:sz w:val="16"/>
                      </w:rPr>
                      <w:t>2</w:t>
                      <w:tab/>
                      <w:t>2</w:t>
                      <w:tab/>
                      <w:t>2</w:t>
                      <w:tab/>
                      <w:t>2</w:t>
                    </w:r>
                  </w:p>
                </w:txbxContent>
              </v:textbox>
            </v:shape>
            <v:shape id="_x0000_s1502" type="#_x0000_t202" style="width:497;height:456;left:10235;position:absolute;top:1501" filled="f" stroked="f">
              <v:textbox inset="0,0,0,0">
                <w:txbxContent>
                  <w:p>
                    <w:pPr>
                      <w:spacing w:before="0" w:line="183" w:lineRule="exact"/>
                      <w:ind w:left="0" w:right="0" w:firstLine="0"/>
                      <w:jc w:val="left"/>
                      <w:rPr>
                        <w:sz w:val="16"/>
                      </w:rPr>
                    </w:pPr>
                    <w:r>
                      <w:rPr>
                        <w:w w:val="100"/>
                        <w:sz w:val="16"/>
                      </w:rPr>
                      <w:t>1</w:t>
                    </w:r>
                  </w:p>
                  <w:p>
                    <w:pPr>
                      <w:tabs>
                        <w:tab w:val="left" w:pos="395"/>
                      </w:tabs>
                      <w:spacing w:before="90" w:line="183" w:lineRule="exact"/>
                      <w:ind w:left="0" w:right="0" w:firstLine="0"/>
                      <w:jc w:val="left"/>
                      <w:rPr>
                        <w:sz w:val="16"/>
                      </w:rPr>
                    </w:pPr>
                    <w:r>
                      <w:rPr>
                        <w:sz w:val="16"/>
                      </w:rPr>
                      <w:t>2</w:t>
                      <w:tab/>
                      <w:t>2</w:t>
                    </w:r>
                  </w:p>
                </w:txbxContent>
              </v:textbox>
            </v:shape>
            <v:shape id="_x0000_s1503" type="#_x0000_t202" style="width:159;height:591;left:9403;position:absolute;top:1483" filled="t" fillcolor="#375f92" stroked="f">
              <v:fill type="solid"/>
              <v:textbox inset="0,0,0,0">
                <w:txbxContent>
                  <w:p>
                    <w:pPr>
                      <w:spacing w:before="0" w:line="240" w:lineRule="auto"/>
                      <w:rPr>
                        <w:sz w:val="15"/>
                      </w:rPr>
                    </w:pPr>
                  </w:p>
                  <w:p>
                    <w:pPr>
                      <w:spacing w:before="0"/>
                      <w:ind w:left="39" w:right="0" w:firstLine="0"/>
                      <w:jc w:val="left"/>
                      <w:rPr>
                        <w:sz w:val="16"/>
                      </w:rPr>
                    </w:pPr>
                    <w:r>
                      <w:rPr>
                        <w:w w:val="100"/>
                        <w:sz w:val="16"/>
                      </w:rPr>
                      <w:t>3</w:t>
                    </w:r>
                  </w:p>
                </w:txbxContent>
              </v:textbox>
            </v:shape>
          </v:group>
        </w:pict>
      </w:r>
      <w:r>
        <w:pict>
          <v:rect id="_x0000_s1504" style="width:3.6pt;height:3.6pt;margin-top:-6.91pt;margin-left:366.61pt;mso-position-horizontal-relative:page;position:absolute;z-index:251734016" filled="t" fillcolor="#244060" stroked="f">
            <v:fill type="solid"/>
          </v:rect>
        </w:pict>
      </w:r>
      <w:r>
        <w:pict>
          <v:rect id="_x0000_s1505" style="width:3.6pt;height:3.6pt;margin-top:-6.91pt;margin-left:403.07pt;mso-position-horizontal-relative:page;position:absolute;z-index:-251588608" filled="t" fillcolor="#375f92" stroked="f">
            <v:fill type="solid"/>
          </v:rect>
        </w:pict>
      </w:r>
      <w:r>
        <w:pict>
          <v:rect id="_x0000_s1506" style="width:3.6pt;height:3.6pt;margin-top:-6.91pt;margin-left:439.54pt;mso-position-horizontal-relative:page;position:absolute;z-index:-251587584" filled="t" fillcolor="#94b3d6" stroked="f">
            <v:fill type="solid"/>
          </v:rect>
        </w:pict>
      </w:r>
      <w:r>
        <w:pict>
          <v:rect id="_x0000_s1507" style="width:3.6pt;height:3.6pt;margin-top:-6.91pt;margin-left:472pt;mso-position-horizontal-relative:page;position:absolute;z-index:-251586560" filled="t" fillcolor="#7e7e7e" stroked="f">
            <v:fill type="solid"/>
          </v:rect>
        </w:pict>
      </w:r>
      <w:r>
        <w:rPr>
          <w:sz w:val="16"/>
        </w:rPr>
        <w:t>10</w:t>
      </w:r>
    </w:p>
    <w:p>
      <w:pPr>
        <w:spacing w:after="0"/>
        <w:jc w:val="left"/>
        <w:rPr>
          <w:sz w:val="16"/>
        </w:rPr>
        <w:sectPr>
          <w:headerReference w:type="default" r:id="rId128"/>
          <w:footerReference w:type="default" r:id="rId129"/>
          <w:type w:val="continuous"/>
          <w:pgSz w:w="11910" w:h="16840"/>
          <w:pgMar w:top="1320" w:right="0" w:bottom="660" w:left="180" w:header="708" w:footer="708"/>
          <w:pgNumType w:start="37"/>
          <w:cols w:num="2" w:space="708" w:equalWidth="0">
            <w:col w:w="4256" w:space="990"/>
            <w:col w:w="6484" w:space="0"/>
          </w:cols>
        </w:sectPr>
      </w:pPr>
    </w:p>
    <w:p>
      <w:pPr>
        <w:pStyle w:val="BodyText"/>
        <w:spacing w:before="2"/>
        <w:rPr>
          <w:sz w:val="14"/>
        </w:rPr>
      </w:pPr>
    </w:p>
    <w:p>
      <w:pPr>
        <w:spacing w:before="0"/>
        <w:ind w:left="880" w:right="0" w:firstLine="0"/>
        <w:jc w:val="left"/>
        <w:rPr>
          <w:sz w:val="16"/>
        </w:rPr>
      </w:pPr>
      <w:r>
        <w:rPr>
          <w:w w:val="100"/>
          <w:sz w:val="16"/>
        </w:rPr>
        <w:t>8</w:t>
      </w:r>
    </w:p>
    <w:p>
      <w:pPr>
        <w:pStyle w:val="BodyText"/>
        <w:spacing w:before="1"/>
        <w:rPr>
          <w:sz w:val="14"/>
        </w:rPr>
      </w:pPr>
    </w:p>
    <w:p>
      <w:pPr>
        <w:spacing w:before="1"/>
        <w:ind w:left="880" w:right="0" w:firstLine="0"/>
        <w:jc w:val="left"/>
        <w:rPr>
          <w:sz w:val="16"/>
        </w:rPr>
      </w:pPr>
      <w:r>
        <w:rPr>
          <w:w w:val="100"/>
          <w:sz w:val="16"/>
        </w:rPr>
        <w:t>6</w:t>
      </w:r>
    </w:p>
    <w:p>
      <w:pPr>
        <w:pStyle w:val="BodyText"/>
        <w:rPr>
          <w:sz w:val="14"/>
        </w:rPr>
      </w:pPr>
    </w:p>
    <w:p>
      <w:pPr>
        <w:spacing w:before="1"/>
        <w:ind w:left="880" w:right="0" w:firstLine="0"/>
        <w:jc w:val="left"/>
        <w:rPr>
          <w:sz w:val="16"/>
        </w:rPr>
      </w:pPr>
      <w:r>
        <w:rPr>
          <w:w w:val="100"/>
          <w:sz w:val="16"/>
        </w:rPr>
        <w:t>4</w:t>
      </w:r>
    </w:p>
    <w:p>
      <w:pPr>
        <w:pStyle w:val="BodyText"/>
        <w:spacing w:before="1"/>
        <w:rPr>
          <w:sz w:val="14"/>
        </w:rPr>
      </w:pPr>
    </w:p>
    <w:p>
      <w:pPr>
        <w:spacing w:before="0"/>
        <w:ind w:left="880" w:right="0" w:firstLine="0"/>
        <w:jc w:val="left"/>
        <w:rPr>
          <w:sz w:val="16"/>
        </w:rPr>
      </w:pPr>
      <w:r>
        <w:rPr>
          <w:w w:val="100"/>
          <w:sz w:val="16"/>
        </w:rPr>
        <w:t>2</w:t>
      </w:r>
    </w:p>
    <w:p>
      <w:pPr>
        <w:pStyle w:val="BodyText"/>
        <w:spacing w:before="2"/>
        <w:rPr>
          <w:sz w:val="14"/>
        </w:rPr>
      </w:pPr>
    </w:p>
    <w:p>
      <w:pPr>
        <w:spacing w:before="0" w:line="200" w:lineRule="exact"/>
        <w:ind w:left="880" w:right="0" w:firstLine="0"/>
        <w:jc w:val="left"/>
        <w:rPr>
          <w:sz w:val="16"/>
        </w:rPr>
      </w:pPr>
      <w:r>
        <w:rPr>
          <w:w w:val="100"/>
          <w:sz w:val="16"/>
        </w:rPr>
        <w:t>0</w:t>
      </w:r>
    </w:p>
    <w:p>
      <w:pPr>
        <w:spacing w:before="0" w:line="200" w:lineRule="exact"/>
        <w:ind w:left="1124" w:right="0" w:firstLine="0"/>
        <w:jc w:val="left"/>
        <w:rPr>
          <w:sz w:val="16"/>
        </w:rPr>
      </w:pPr>
      <w:r>
        <w:rPr>
          <w:spacing w:val="-5"/>
          <w:sz w:val="16"/>
        </w:rPr>
        <w:t>宁波 丽水 杭州 绍兴 金华 嘉兴 湖州 温州 衢州 台州 舟山</w:t>
      </w:r>
    </w:p>
    <w:p>
      <w:pPr>
        <w:pStyle w:val="BodyText"/>
        <w:spacing w:before="8"/>
        <w:rPr>
          <w:sz w:val="12"/>
        </w:rPr>
      </w:pPr>
      <w:r>
        <w:br w:type="column"/>
      </w:r>
    </w:p>
    <w:p>
      <w:pPr>
        <w:spacing w:before="0"/>
        <w:ind w:left="666" w:right="0" w:firstLine="0"/>
        <w:jc w:val="left"/>
        <w:rPr>
          <w:sz w:val="16"/>
        </w:rPr>
      </w:pPr>
      <w:r>
        <w:rPr>
          <w:w w:val="100"/>
          <w:sz w:val="16"/>
        </w:rPr>
        <w:t>8</w:t>
      </w:r>
    </w:p>
    <w:p>
      <w:pPr>
        <w:pStyle w:val="BodyText"/>
        <w:spacing w:before="10"/>
        <w:rPr>
          <w:sz w:val="14"/>
        </w:rPr>
      </w:pPr>
    </w:p>
    <w:p>
      <w:pPr>
        <w:spacing w:before="0"/>
        <w:ind w:left="666" w:right="0" w:firstLine="0"/>
        <w:jc w:val="left"/>
        <w:rPr>
          <w:sz w:val="16"/>
        </w:rPr>
      </w:pPr>
      <w:r>
        <w:rPr>
          <w:w w:val="100"/>
          <w:sz w:val="16"/>
        </w:rPr>
        <w:t>6</w:t>
      </w:r>
    </w:p>
    <w:p>
      <w:pPr>
        <w:pStyle w:val="BodyText"/>
        <w:spacing w:before="9"/>
        <w:rPr>
          <w:sz w:val="14"/>
        </w:rPr>
      </w:pPr>
    </w:p>
    <w:p>
      <w:pPr>
        <w:spacing w:before="0"/>
        <w:ind w:left="666" w:right="0" w:firstLine="0"/>
        <w:jc w:val="left"/>
        <w:rPr>
          <w:sz w:val="16"/>
        </w:rPr>
      </w:pPr>
      <w:r>
        <w:rPr>
          <w:w w:val="100"/>
          <w:sz w:val="16"/>
        </w:rPr>
        <w:t>4</w:t>
      </w:r>
    </w:p>
    <w:p>
      <w:pPr>
        <w:pStyle w:val="BodyText"/>
        <w:spacing w:before="9"/>
        <w:rPr>
          <w:sz w:val="14"/>
        </w:rPr>
      </w:pPr>
    </w:p>
    <w:p>
      <w:pPr>
        <w:spacing w:before="1"/>
        <w:ind w:left="666" w:right="0" w:firstLine="0"/>
        <w:jc w:val="left"/>
        <w:rPr>
          <w:sz w:val="16"/>
        </w:rPr>
      </w:pPr>
      <w:r>
        <w:rPr>
          <w:w w:val="100"/>
          <w:sz w:val="16"/>
        </w:rPr>
        <w:t>2</w:t>
      </w:r>
    </w:p>
    <w:p>
      <w:pPr>
        <w:pStyle w:val="BodyText"/>
        <w:spacing w:before="9"/>
        <w:rPr>
          <w:sz w:val="14"/>
        </w:rPr>
      </w:pPr>
    </w:p>
    <w:p>
      <w:pPr>
        <w:spacing w:before="0" w:line="200" w:lineRule="exact"/>
        <w:ind w:left="666" w:right="0" w:firstLine="0"/>
        <w:jc w:val="left"/>
        <w:rPr>
          <w:sz w:val="16"/>
        </w:rPr>
      </w:pPr>
      <w:r>
        <w:rPr>
          <w:w w:val="100"/>
          <w:sz w:val="16"/>
        </w:rPr>
        <w:t>0</w:t>
      </w:r>
    </w:p>
    <w:p>
      <w:pPr>
        <w:spacing w:before="0" w:line="200" w:lineRule="exact"/>
        <w:ind w:left="910" w:right="0" w:firstLine="0"/>
        <w:jc w:val="left"/>
        <w:rPr>
          <w:sz w:val="16"/>
        </w:rPr>
      </w:pPr>
      <w:r>
        <w:rPr>
          <w:sz w:val="16"/>
        </w:rPr>
        <w:t>宁波 丽水 杭州 绍兴 金华 嘉兴 湖州 温州 衢州 台州 舟山</w:t>
      </w:r>
    </w:p>
    <w:p>
      <w:pPr>
        <w:spacing w:after="0" w:line="200" w:lineRule="exact"/>
        <w:jc w:val="left"/>
        <w:rPr>
          <w:sz w:val="16"/>
        </w:rPr>
        <w:sectPr>
          <w:headerReference w:type="default" r:id="rId130"/>
          <w:footerReference w:type="default" r:id="rId131"/>
          <w:type w:val="continuous"/>
          <w:pgSz w:w="11910" w:h="16840"/>
          <w:pgMar w:top="1320" w:right="0" w:bottom="660" w:left="180" w:header="708" w:footer="708"/>
          <w:pgNumType w:start="38"/>
          <w:cols w:num="2" w:space="708" w:equalWidth="0">
            <w:col w:w="5421" w:space="40"/>
            <w:col w:w="6269" w:space="0"/>
          </w:cols>
        </w:sectPr>
      </w:pPr>
    </w:p>
    <w:p>
      <w:pPr>
        <w:pStyle w:val="BodyText"/>
        <w:spacing w:before="9"/>
        <w:rPr>
          <w:sz w:val="16"/>
        </w:rPr>
      </w:pPr>
    </w:p>
    <w:p>
      <w:pPr>
        <w:tabs>
          <w:tab w:val="left" w:pos="5902"/>
        </w:tabs>
        <w:spacing w:line="20" w:lineRule="exact"/>
        <w:ind w:left="657" w:right="0" w:firstLine="0"/>
        <w:rPr>
          <w:sz w:val="2"/>
        </w:rPr>
      </w:pPr>
      <w:r>
        <w:rPr>
          <w:sz w:val="2"/>
        </w:rPr>
        <w:pict>
          <v:group id="_x0000_i1508" style="width:248.1pt;height:0.5pt;mso-position-horizontal-relative:char;mso-position-vertical-relative:line" coordorigin="0,0" coordsize="4962,10">
            <v:line id="_x0000_s1509" style="position:absolute" from="0,5" to="4962,5" stroked="t" strokecolor="#013e96" strokeweight="0.48pt">
              <v:stroke dashstyle="solid"/>
            </v:line>
            <w10:wrap type="none"/>
          </v:group>
        </w:pict>
      </w:r>
      <w:r>
        <w:rPr>
          <w:sz w:val="2"/>
        </w:rPr>
        <w:tab/>
      </w:r>
      <w:r>
        <w:rPr>
          <w:sz w:val="2"/>
        </w:rPr>
        <w:pict>
          <v:group id="_x0000_i1510" style="width:248.25pt;height:0.5pt;mso-position-horizontal-relative:char;mso-position-vertical-relative:line" coordorigin="0,0" coordsize="4965,10">
            <v:line id="_x0000_s1511" style="position:absolute" from="0,5" to="4964,5" stroked="t" strokecolor="#013e96" strokeweight="0.48pt">
              <v:stroke dashstyle="solid"/>
            </v:line>
            <w10:wrap type="none"/>
          </v:group>
        </w:pict>
      </w:r>
    </w:p>
    <w:p>
      <w:pPr>
        <w:tabs>
          <w:tab w:val="left" w:pos="6015"/>
        </w:tabs>
        <w:spacing w:before="0" w:line="182" w:lineRule="exact"/>
        <w:ind w:left="770" w:right="0" w:firstLine="0"/>
        <w:jc w:val="left"/>
        <w:rPr>
          <w:rFonts w:ascii="宋体" w:eastAsia="宋体" w:hint="eastAsia"/>
          <w:sz w:val="17"/>
        </w:rPr>
      </w:pPr>
      <w:r>
        <w:t xml:space="preserve">来源：  ， </w:t>
        <w:tab/>
        <w:t xml:space="preserve">来源：  ， </w:t>
      </w:r>
    </w:p>
    <w:p>
      <w:pPr>
        <w:pStyle w:val="BodyText"/>
        <w:rPr>
          <w:rFonts w:ascii="宋体"/>
          <w:sz w:val="16"/>
        </w:rPr>
      </w:pPr>
    </w:p>
    <w:p>
      <w:pPr>
        <w:spacing w:after="0"/>
        <w:rPr>
          <w:rFonts w:ascii="宋体"/>
          <w:sz w:val="16"/>
        </w:rPr>
        <w:sectPr>
          <w:headerReference w:type="default" r:id="rId132"/>
          <w:footerReference w:type="default" r:id="rId133"/>
          <w:type w:val="continuous"/>
          <w:pgSz w:w="11910" w:h="16840"/>
          <w:pgMar w:top="1320" w:right="0" w:bottom="660" w:left="180" w:header="708" w:footer="708"/>
          <w:pgNumType w:start="39"/>
          <w:cols w:space="708"/>
        </w:sect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rPr>
          <w:rFonts w:ascii="宋体"/>
          <w:sz w:val="2"/>
        </w:rPr>
      </w:pPr>
    </w:p>
    <w:p>
      <w:pPr>
        <w:pStyle w:val="BodyText"/>
        <w:spacing w:before="11"/>
        <w:rPr>
          <w:rFonts w:ascii="宋体"/>
          <w:sz w:val="2"/>
        </w:rPr>
      </w:pPr>
    </w:p>
    <w:p>
      <w:pPr>
        <w:spacing w:before="1"/>
        <w:ind w:left="0" w:right="0" w:firstLine="0"/>
        <w:jc w:val="right"/>
        <w:rPr>
          <w:rFonts w:ascii="仿宋" w:eastAsia="仿宋" w:hint="eastAsia"/>
          <w:sz w:val="2"/>
        </w:rPr>
      </w:pPr>
      <w:r>
        <w:rPr>
          <w:rFonts w:ascii="仿宋" w:eastAsia="仿宋" w:hint="eastAsia"/>
          <w:color w:val="BFBFBF"/>
          <w:sz w:val="2"/>
        </w:rPr>
        <w:t>华福证券</w:t>
      </w:r>
    </w:p>
    <w:p>
      <w:pPr>
        <w:spacing w:before="76"/>
        <w:ind w:left="1194" w:right="0" w:firstLine="0"/>
        <w:jc w:val="left"/>
        <w:rPr>
          <w:i/>
          <w:sz w:val="17"/>
        </w:rPr>
      </w:pPr>
      <w:r>
        <w:br w:type="column"/>
      </w:r>
      <w:r>
        <w:rPr>
          <w:i/>
          <w:color w:val="004097"/>
          <w:sz w:val="17"/>
        </w:rPr>
        <w:t xml:space="preserve">图表 </w:t>
      </w:r>
      <w:r>
        <w:rPr>
          <w:rFonts w:ascii="Arial" w:eastAsia="Arial"/>
          <w:i/>
          <w:color w:val="004097"/>
          <w:sz w:val="16"/>
        </w:rPr>
        <w:t>15</w:t>
      </w:r>
      <w:r>
        <w:rPr>
          <w:i/>
          <w:color w:val="004097"/>
          <w:sz w:val="17"/>
        </w:rPr>
        <w:t>：浙江省城农行资产规模分布情况（家）</w:t>
      </w:r>
    </w:p>
    <w:p>
      <w:pPr>
        <w:spacing w:after="0"/>
        <w:jc w:val="left"/>
        <w:rPr>
          <w:sz w:val="17"/>
        </w:rPr>
        <w:sectPr>
          <w:headerReference w:type="default" r:id="rId134"/>
          <w:footerReference w:type="default" r:id="rId135"/>
          <w:type w:val="continuous"/>
          <w:pgSz w:w="11910" w:h="16840"/>
          <w:pgMar w:top="1320" w:right="0" w:bottom="660" w:left="180" w:header="708" w:footer="708"/>
          <w:pgNumType w:start="40"/>
          <w:cols w:num="2" w:space="708" w:equalWidth="0">
            <w:col w:w="1901" w:space="40"/>
            <w:col w:w="9789" w:space="0"/>
          </w:cols>
        </w:sectPr>
      </w:pPr>
    </w:p>
    <w:p>
      <w:pPr>
        <w:pStyle w:val="BodyText"/>
        <w:spacing w:before="4"/>
        <w:rPr>
          <w:i/>
          <w:sz w:val="7"/>
        </w:rPr>
      </w:pPr>
    </w:p>
    <w:p>
      <w:pPr>
        <w:pStyle w:val="BodyText"/>
        <w:spacing w:line="20" w:lineRule="exact"/>
        <w:ind w:left="3021"/>
        <w:rPr>
          <w:sz w:val="2"/>
        </w:rPr>
      </w:pPr>
      <w:r>
        <w:rPr>
          <w:sz w:val="2"/>
        </w:rPr>
        <w:pict>
          <v:group id="_x0000_i1512" style="width:382.8pt;height:0.5pt;mso-position-horizontal-relative:char;mso-position-vertical-relative:line" coordorigin="0,0" coordsize="7656,10">
            <v:line id="_x0000_s1513" style="position:absolute" from="0,5" to="7656,5" stroked="t" strokecolor="#013e96" strokeweight="0.48pt">
              <v:stroke dashstyle="solid"/>
            </v:line>
            <w10:wrap type="none"/>
          </v:group>
        </w:pict>
      </w:r>
    </w:p>
    <w:p>
      <w:pPr>
        <w:pStyle w:val="BodyText"/>
        <w:spacing w:before="6"/>
        <w:rPr>
          <w:i/>
          <w:sz w:val="19"/>
        </w:rPr>
      </w:pPr>
    </w:p>
    <w:p>
      <w:pPr>
        <w:tabs>
          <w:tab w:val="left" w:pos="7845"/>
        </w:tabs>
        <w:spacing w:before="79" w:line="166" w:lineRule="exact"/>
        <w:ind w:left="5817" w:right="0" w:firstLine="0"/>
        <w:jc w:val="left"/>
        <w:rPr>
          <w:sz w:val="16"/>
        </w:rPr>
      </w:pPr>
      <w:r>
        <w:pict>
          <v:rect id="_x0000_s1514" style="width:3.6pt;height:3.6pt;margin-top:7.23pt;margin-left:294.79pt;mso-position-horizontal-relative:page;position:absolute;z-index:251738112" filled="t" fillcolor="#2d75b6" stroked="f">
            <v:fill type="solid"/>
          </v:rect>
        </w:pict>
      </w:r>
      <w:r>
        <w:pict>
          <v:rect id="_x0000_s1515" style="width:3.6pt;height:3.6pt;margin-top:7.23pt;margin-left:396.19pt;mso-position-horizontal-relative:page;position:absolute;z-index:-251581440" filled="t" fillcolor="#7e7e7e" stroked="f">
            <v:fill type="solid"/>
          </v:rect>
        </w:pict>
      </w:r>
      <w:r>
        <w:rPr>
          <w:sz w:val="16"/>
        </w:rPr>
        <w:t>城商行</w:t>
        <w:tab/>
        <w:t>农商行</w:t>
      </w:r>
    </w:p>
    <w:p>
      <w:pPr>
        <w:spacing w:before="0" w:line="166" w:lineRule="exact"/>
        <w:ind w:left="3289" w:right="0" w:firstLine="0"/>
        <w:jc w:val="left"/>
        <w:rPr>
          <w:sz w:val="16"/>
        </w:rPr>
      </w:pPr>
      <w:r>
        <w:pict>
          <v:group id="_x0000_s1516" style="width:331.8pt;height:104.45pt;margin-top:2.78pt;margin-left:185.44pt;mso-position-horizontal-relative:page;position:absolute;z-index:251737088" coordorigin="3709,56" coordsize="6636,2089">
            <v:rect id="_x0000_s1517" style="width:471;height:138;left:7399;position:absolute;top:1999" filled="t" fillcolor="#2d75b6" stroked="f">
              <v:fill type="solid"/>
            </v:rect>
            <v:rect id="_x0000_s1518" style="width:468;height:138;left:7869;position:absolute;top:1999" filled="t" fillcolor="#7e7e7e" stroked="f">
              <v:fill type="solid"/>
            </v:rect>
            <v:rect id="_x0000_s1519" style="width:471;height:692;left:9043;position:absolute;top:1445" filled="t" fillcolor="#2d75b6" stroked="f">
              <v:fill type="solid"/>
            </v:rect>
            <v:shape id="_x0000_s1520" style="width:5408;height:1868;left:4576;position:absolute;top:269" coordorigin="4577,269" coordsize="5408,1868" path="m5047,269l4577,269,4577,2137,5047,2137,5047,269m6694,961l6223,961,6223,2137,6694,2137,6694,961m9984,1861l9514,1861,9514,2137,9984,2137,9984,1861e" filled="t" fillcolor="#7e7e7e" stroked="f">
              <v:fill type="solid"/>
              <v:path arrowok="t"/>
            </v:shape>
            <v:shape id="_x0000_s1521" style="width:6628;height:2074;left:3708;position:absolute;top:63" coordorigin="3709,63" coordsize="6628,2074" path="m3755,2137l3755,63m3709,2137l3755,2137m3709,1791l3755,1791m3709,1446l3755,1446m3709,1100l3755,1100m3709,754l3755,754m3709,409l3755,409m3709,63l3755,63m3755,2137l10337,2137m3755,2091l3755,2137m5400,2091l5400,2137m7046,2091l7046,2137m8690,2091l8690,2137m10337,2091l10337,2137e" filled="f" stroked="t" strokecolor="black" strokeweight="0.75pt">
              <v:stroke dashstyle="solid"/>
              <v:path arrowok="t"/>
            </v:shape>
          </v:group>
        </w:pict>
      </w:r>
      <w:r>
        <w:rPr>
          <w:sz w:val="16"/>
        </w:rPr>
        <w:t>30</w:t>
      </w:r>
    </w:p>
    <w:p>
      <w:pPr>
        <w:spacing w:before="140"/>
        <w:ind w:left="3289" w:right="0" w:firstLine="0"/>
        <w:jc w:val="left"/>
        <w:rPr>
          <w:sz w:val="16"/>
        </w:rPr>
      </w:pPr>
      <w:r>
        <w:rPr>
          <w:sz w:val="16"/>
        </w:rPr>
        <w:t>25</w:t>
      </w:r>
    </w:p>
    <w:p>
      <w:pPr>
        <w:spacing w:before="141"/>
        <w:ind w:left="3289" w:right="0" w:firstLine="0"/>
        <w:jc w:val="left"/>
        <w:rPr>
          <w:sz w:val="16"/>
        </w:rPr>
      </w:pPr>
      <w:r>
        <w:rPr>
          <w:sz w:val="16"/>
        </w:rPr>
        <w:t>20</w:t>
      </w:r>
    </w:p>
    <w:p>
      <w:pPr>
        <w:spacing w:before="141"/>
        <w:ind w:left="3289" w:right="0" w:firstLine="0"/>
        <w:jc w:val="left"/>
        <w:rPr>
          <w:sz w:val="16"/>
        </w:rPr>
      </w:pPr>
      <w:r>
        <w:rPr>
          <w:sz w:val="16"/>
        </w:rPr>
        <w:t>15</w:t>
      </w:r>
    </w:p>
    <w:p>
      <w:pPr>
        <w:spacing w:before="141"/>
        <w:ind w:left="3289" w:right="0" w:firstLine="0"/>
        <w:jc w:val="left"/>
        <w:rPr>
          <w:sz w:val="16"/>
        </w:rPr>
      </w:pPr>
      <w:r>
        <w:rPr>
          <w:sz w:val="16"/>
        </w:rPr>
        <w:t>10</w:t>
      </w:r>
    </w:p>
    <w:p>
      <w:pPr>
        <w:spacing w:before="141"/>
        <w:ind w:left="3369" w:right="0" w:firstLine="0"/>
        <w:jc w:val="left"/>
        <w:rPr>
          <w:sz w:val="16"/>
        </w:rPr>
      </w:pPr>
      <w:r>
        <w:rPr>
          <w:w w:val="100"/>
          <w:sz w:val="16"/>
        </w:rPr>
        <w:t>5</w:t>
      </w:r>
    </w:p>
    <w:p>
      <w:pPr>
        <w:spacing w:before="140" w:line="200" w:lineRule="exact"/>
        <w:ind w:left="3369" w:right="0" w:firstLine="0"/>
        <w:jc w:val="left"/>
        <w:rPr>
          <w:sz w:val="16"/>
        </w:rPr>
      </w:pPr>
      <w:r>
        <w:rPr>
          <w:w w:val="100"/>
          <w:sz w:val="16"/>
        </w:rPr>
        <w:t>0</w:t>
      </w:r>
    </w:p>
    <w:p>
      <w:pPr>
        <w:tabs>
          <w:tab w:val="left" w:pos="5564"/>
          <w:tab w:val="left" w:pos="7169"/>
          <w:tab w:val="left" w:pos="8976"/>
        </w:tabs>
        <w:spacing w:before="0" w:line="200" w:lineRule="exact"/>
        <w:ind w:left="4038" w:right="0" w:firstLine="0"/>
        <w:jc w:val="left"/>
        <w:rPr>
          <w:sz w:val="16"/>
        </w:rPr>
      </w:pPr>
      <w:r>
        <w:rPr>
          <w:sz w:val="16"/>
        </w:rPr>
        <w:t>0-500亿元</w:t>
        <w:tab/>
        <w:t>500-1000亿元</w:t>
        <w:tab/>
        <w:t>1000-1500亿元</w:t>
        <w:tab/>
        <w:t>&gt;1500亿元</w:t>
      </w:r>
    </w:p>
    <w:p>
      <w:pPr>
        <w:pStyle w:val="BodyText"/>
        <w:rPr>
          <w:sz w:val="11"/>
        </w:rPr>
      </w:pPr>
      <w:r>
        <w:pict>
          <v:shape id="_x0000_s1522" style="width:382.8pt;height:0.1pt;margin-top:9.25pt;margin-left:160.34pt;mso-position-horizontal-relative:page;mso-wrap-distance-left:0;mso-wrap-distance-right:0;position:absolute;z-index:-251580416" coordorigin="3207,185" coordsize="7656,0" path="m3207,185l10862,185e" filled="f" stroked="t" strokecolor="#013e96" strokeweight="0.48pt">
            <v:stroke dashstyle="solid"/>
            <v:path arrowok="t"/>
            <w10:wrap type="topAndBottom"/>
          </v:shape>
        </w:pict>
      </w:r>
    </w:p>
    <w:p>
      <w:pPr>
        <w:spacing w:before="14"/>
        <w:ind w:left="3134" w:right="0" w:firstLine="0"/>
        <w:jc w:val="left"/>
        <w:rPr>
          <w:i/>
          <w:sz w:val="17"/>
        </w:rPr>
      </w:pPr>
      <w:r>
        <w:t xml:space="preserve">来源： ， </w:t>
      </w:r>
    </w:p>
    <w:p>
      <w:pPr>
        <w:pStyle w:val="BodyText"/>
        <w:spacing w:before="11"/>
        <w:rPr>
          <w:i/>
          <w:sz w:val="20"/>
        </w:rPr>
      </w:pPr>
    </w:p>
    <w:p>
      <w:pPr>
        <w:pStyle w:val="BodyText"/>
        <w:spacing w:before="70" w:line="319" w:lineRule="auto"/>
        <w:ind w:left="3192" w:right="851" w:firstLine="439"/>
      </w:pPr>
      <w:r>
        <w:t>接下来对浙江省内目前存续次级债规模排名前十五的城农商行进行梳理分析。</w:t>
      </w:r>
    </w:p>
    <w:p>
      <w:pPr>
        <w:pStyle w:val="Heading3"/>
        <w:numPr>
          <w:ilvl w:val="2"/>
          <w:numId w:val="1"/>
        </w:numPr>
        <w:tabs>
          <w:tab w:val="left" w:pos="3889"/>
        </w:tabs>
        <w:spacing w:before="143" w:after="0" w:line="240" w:lineRule="auto"/>
        <w:ind w:left="3889" w:right="0" w:hanging="666"/>
        <w:jc w:val="left"/>
      </w:pPr>
      <w:r>
        <w:rPr>
          <w:color w:val="013E96"/>
        </w:rPr>
        <w:t>宁波银行</w:t>
      </w:r>
    </w:p>
    <w:p>
      <w:pPr>
        <w:pStyle w:val="BodyText"/>
        <w:spacing w:before="7"/>
        <w:rPr>
          <w:b/>
          <w:sz w:val="19"/>
        </w:rPr>
      </w:pPr>
    </w:p>
    <w:p>
      <w:pPr>
        <w:spacing w:before="0"/>
        <w:ind w:left="0" w:right="845" w:firstLine="0"/>
        <w:jc w:val="right"/>
        <w:rPr>
          <w:sz w:val="22"/>
        </w:rPr>
      </w:pPr>
      <w:r>
        <w:rPr>
          <w:b/>
          <w:sz w:val="22"/>
        </w:rPr>
        <w:t>宁波银行为无实控人上市银行，分支机构区域覆盖较广。</w:t>
      </w:r>
      <w:r>
        <w:rPr>
          <w:spacing w:val="-13"/>
          <w:sz w:val="22"/>
        </w:rPr>
        <w:t xml:space="preserve">成立于 </w:t>
      </w:r>
      <w:r>
        <w:rPr>
          <w:rFonts w:ascii="Arial" w:eastAsia="Arial"/>
          <w:sz w:val="22"/>
        </w:rPr>
        <w:t>1997</w:t>
      </w:r>
      <w:r>
        <w:rPr>
          <w:rFonts w:ascii="Arial" w:eastAsia="Arial"/>
          <w:spacing w:val="4"/>
          <w:sz w:val="22"/>
        </w:rPr>
        <w:t xml:space="preserve"> </w:t>
      </w:r>
      <w:r>
        <w:rPr>
          <w:sz w:val="22"/>
        </w:rPr>
        <w:t>年，</w:t>
      </w:r>
    </w:p>
    <w:p>
      <w:pPr>
        <w:pStyle w:val="BodyText"/>
        <w:spacing w:before="93"/>
        <w:ind w:right="843"/>
        <w:jc w:val="right"/>
      </w:pPr>
      <w:r>
        <w:rPr>
          <w:spacing w:val="-6"/>
        </w:rPr>
        <w:t xml:space="preserve">总部位于浙江省宁波市，在宁波市 </w:t>
      </w:r>
      <w:r>
        <w:rPr>
          <w:rFonts w:ascii="Arial" w:eastAsia="Arial"/>
        </w:rPr>
        <w:t>17</w:t>
      </w:r>
      <w:r>
        <w:rPr>
          <w:rFonts w:ascii="Arial" w:eastAsia="Arial"/>
          <w:spacing w:val="14"/>
        </w:rPr>
        <w:t xml:space="preserve"> </w:t>
      </w:r>
      <w:r>
        <w:rPr>
          <w:spacing w:val="-7"/>
        </w:rPr>
        <w:t xml:space="preserve">家城市信用合作社和 </w:t>
      </w:r>
      <w:r>
        <w:rPr>
          <w:rFonts w:ascii="Arial" w:eastAsia="Arial"/>
        </w:rPr>
        <w:t>1</w:t>
      </w:r>
      <w:r>
        <w:rPr>
          <w:rFonts w:ascii="Arial" w:eastAsia="Arial"/>
          <w:spacing w:val="13"/>
        </w:rPr>
        <w:t xml:space="preserve"> </w:t>
      </w:r>
      <w:r>
        <w:rPr>
          <w:spacing w:val="-3"/>
        </w:rPr>
        <w:t>家城市信用联社基</w:t>
      </w:r>
    </w:p>
    <w:p>
      <w:pPr>
        <w:pStyle w:val="BodyText"/>
        <w:spacing w:before="93" w:line="319" w:lineRule="auto"/>
        <w:ind w:left="3192" w:right="843"/>
        <w:jc w:val="both"/>
        <w:sectPr>
          <w:headerReference w:type="default" r:id="rId136"/>
          <w:footerReference w:type="default" r:id="rId137"/>
          <w:type w:val="continuous"/>
          <w:pgSz w:w="11910" w:h="16840"/>
          <w:pgMar w:top="1320" w:right="0" w:bottom="660" w:left="180" w:header="708" w:footer="708"/>
          <w:pgNumType w:start="41"/>
          <w:cols w:space="708"/>
        </w:sectPr>
      </w:pPr>
      <w:r>
        <w:rPr>
          <w:spacing w:val="-5"/>
        </w:rPr>
        <w:t>础上组建而成。</w:t>
      </w:r>
      <w:r>
        <w:rPr>
          <w:rFonts w:ascii="Arial" w:eastAsia="Arial"/>
        </w:rPr>
        <w:t>2007</w:t>
      </w:r>
      <w:r>
        <w:rPr>
          <w:rFonts w:ascii="Arial" w:eastAsia="Arial"/>
          <w:spacing w:val="-6"/>
        </w:rPr>
        <w:t xml:space="preserve"> </w:t>
      </w:r>
      <w:r>
        <w:rPr>
          <w:spacing w:val="-27"/>
        </w:rPr>
        <w:t xml:space="preserve">年 </w:t>
      </w:r>
      <w:r>
        <w:rPr>
          <w:rFonts w:ascii="Arial" w:eastAsia="Arial"/>
        </w:rPr>
        <w:t>7</w:t>
      </w:r>
      <w:r>
        <w:rPr>
          <w:rFonts w:ascii="Arial" w:eastAsia="Arial"/>
          <w:spacing w:val="-2"/>
        </w:rPr>
        <w:t xml:space="preserve"> </w:t>
      </w:r>
      <w:r>
        <w:rPr>
          <w:spacing w:val="-9"/>
        </w:rPr>
        <w:t xml:space="preserve">月在深交所挂牌上市，截至 </w:t>
      </w:r>
      <w:r>
        <w:rPr>
          <w:rFonts w:ascii="Arial" w:eastAsia="Arial"/>
        </w:rPr>
        <w:t>2022</w:t>
      </w:r>
      <w:r>
        <w:rPr>
          <w:rFonts w:ascii="Arial" w:eastAsia="Arial"/>
          <w:spacing w:val="-3"/>
        </w:rPr>
        <w:t xml:space="preserve"> </w:t>
      </w:r>
      <w:r>
        <w:rPr>
          <w:spacing w:val="-7"/>
        </w:rPr>
        <w:t>年末，公司无实际控制人和控股股东，第一大股东为由宁波市国资委控股的宁波开发投资集团有限公</w:t>
      </w:r>
    </w:p>
    <w:p>
      <w:pPr>
        <w:pStyle w:val="BodyText"/>
        <w:spacing w:before="93" w:line="319" w:lineRule="auto"/>
        <w:ind w:left="3192" w:right="843"/>
        <w:jc w:val="both"/>
      </w:pPr>
      <w:r>
        <w:rPr>
          <w:spacing w:val="-11"/>
        </w:rPr>
        <w:t>司，持股比例为</w:t>
      </w:r>
      <w:r>
        <w:rPr>
          <w:spacing w:val="-11"/>
        </w:rPr>
        <w:t xml:space="preserve"> </w:t>
      </w:r>
      <w:r>
        <w:rPr>
          <w:rFonts w:ascii="Arial" w:eastAsia="Arial"/>
        </w:rPr>
        <w:t>18.74%</w:t>
      </w:r>
      <w:r>
        <w:rPr>
          <w:spacing w:val="-13"/>
        </w:rPr>
        <w:t xml:space="preserve">。截至 </w:t>
      </w:r>
      <w:r>
        <w:rPr>
          <w:rFonts w:ascii="Arial" w:eastAsia="Arial"/>
        </w:rPr>
        <w:t>2022</w:t>
      </w:r>
      <w:r>
        <w:rPr>
          <w:rFonts w:ascii="Arial" w:eastAsia="Arial"/>
          <w:spacing w:val="-1"/>
        </w:rPr>
        <w:t xml:space="preserve"> </w:t>
      </w:r>
      <w:r>
        <w:rPr>
          <w:spacing w:val="-25"/>
        </w:rPr>
        <w:t xml:space="preserve">年 </w:t>
      </w:r>
      <w:r>
        <w:rPr>
          <w:rFonts w:ascii="Arial" w:eastAsia="Arial"/>
        </w:rPr>
        <w:t>12</w:t>
      </w:r>
      <w:r>
        <w:rPr>
          <w:rFonts w:ascii="Arial" w:eastAsia="Arial"/>
          <w:spacing w:val="-4"/>
        </w:rPr>
        <w:t xml:space="preserve"> </w:t>
      </w:r>
      <w:r>
        <w:rPr>
          <w:spacing w:val="-25"/>
        </w:rPr>
        <w:t xml:space="preserve">月 </w:t>
      </w:r>
      <w:r>
        <w:rPr>
          <w:rFonts w:ascii="Arial" w:eastAsia="Arial"/>
        </w:rPr>
        <w:t>31</w:t>
      </w:r>
      <w:r>
        <w:rPr>
          <w:rFonts w:ascii="Arial" w:eastAsia="Arial"/>
          <w:spacing w:val="-4"/>
        </w:rPr>
        <w:t xml:space="preserve"> </w:t>
      </w:r>
      <w:r>
        <w:rPr>
          <w:spacing w:val="-7"/>
        </w:rPr>
        <w:t xml:space="preserve">日，宁波银行共设有 </w:t>
      </w:r>
      <w:r>
        <w:rPr>
          <w:rFonts w:ascii="Arial" w:eastAsia="Arial"/>
        </w:rPr>
        <w:t>480</w:t>
      </w:r>
      <w:r>
        <w:rPr>
          <w:rFonts w:ascii="Arial" w:eastAsia="Arial"/>
          <w:spacing w:val="-1"/>
        </w:rPr>
        <w:t xml:space="preserve"> </w:t>
      </w:r>
      <w:r>
        <w:t>家分</w:t>
      </w:r>
    </w:p>
    <w:p>
      <w:pPr>
        <w:spacing w:after="0" w:line="319" w:lineRule="auto"/>
        <w:jc w:val="both"/>
        <w:sectPr>
          <w:headerReference w:type="default" r:id="rId138"/>
          <w:footerReference w:type="default" r:id="rId139"/>
          <w:type w:val="nextPage"/>
          <w:pgSz w:w="11910" w:h="16840"/>
          <w:pgMar w:top="1320" w:right="0" w:bottom="660" w:left="180" w:header="708" w:footer="708"/>
          <w:pgNumType w:start="42"/>
          <w:cols w:space="708"/>
          <w:titlePg w:val="0"/>
        </w:sectPr>
      </w:pPr>
    </w:p>
    <w:p>
      <w:pPr>
        <w:pStyle w:val="BodyText"/>
        <w:spacing w:before="134"/>
        <w:ind w:left="3192"/>
      </w:pPr>
      <w:r>
        <w:t>支机构，业务区域覆盖浙江省、江苏省、北京市、上海市、广东省等。</w:t>
      </w:r>
    </w:p>
    <w:p>
      <w:pPr>
        <w:pStyle w:val="BodyText"/>
        <w:spacing w:before="5"/>
        <w:rPr>
          <w:sz w:val="19"/>
        </w:rPr>
      </w:pPr>
    </w:p>
    <w:p>
      <w:pPr>
        <w:spacing w:before="0"/>
        <w:ind w:left="0" w:right="843" w:firstLine="0"/>
        <w:jc w:val="right"/>
        <w:rPr>
          <w:sz w:val="22"/>
        </w:rPr>
      </w:pPr>
      <w:r>
        <w:rPr>
          <w:b/>
          <w:sz w:val="22"/>
        </w:rPr>
        <w:t>同业负债占比偏高，负债端成本边际下降</w:t>
      </w:r>
      <w:r>
        <w:rPr>
          <w:spacing w:val="-13"/>
          <w:sz w:val="22"/>
        </w:rPr>
        <w:t xml:space="preserve">。截至 </w:t>
      </w:r>
      <w:r>
        <w:rPr>
          <w:rFonts w:ascii="Arial" w:eastAsia="Arial"/>
          <w:sz w:val="22"/>
        </w:rPr>
        <w:t>2023</w:t>
      </w:r>
      <w:r>
        <w:rPr>
          <w:rFonts w:ascii="Arial" w:eastAsia="Arial"/>
          <w:spacing w:val="-2"/>
          <w:sz w:val="22"/>
        </w:rPr>
        <w:t xml:space="preserve"> </w:t>
      </w:r>
      <w:r>
        <w:rPr>
          <w:spacing w:val="-26"/>
          <w:sz w:val="22"/>
        </w:rPr>
        <w:t xml:space="preserve">年 </w:t>
      </w:r>
      <w:r>
        <w:rPr>
          <w:rFonts w:ascii="Arial" w:eastAsia="Arial"/>
          <w:sz w:val="22"/>
        </w:rPr>
        <w:t>9</w:t>
      </w:r>
      <w:r>
        <w:rPr>
          <w:rFonts w:ascii="Arial" w:eastAsia="Arial"/>
          <w:spacing w:val="-3"/>
          <w:sz w:val="22"/>
        </w:rPr>
        <w:t xml:space="preserve"> </w:t>
      </w:r>
      <w:r>
        <w:rPr>
          <w:sz w:val="22"/>
        </w:rPr>
        <w:t>月末，宁波银行</w:t>
      </w:r>
    </w:p>
    <w:p>
      <w:pPr>
        <w:pStyle w:val="BodyText"/>
        <w:spacing w:before="92"/>
        <w:ind w:right="846"/>
        <w:jc w:val="right"/>
        <w:rPr>
          <w:rFonts w:ascii="Arial" w:eastAsia="Arial"/>
        </w:rPr>
      </w:pPr>
      <w:r>
        <w:rPr>
          <w:spacing w:val="-5"/>
        </w:rPr>
        <w:t xml:space="preserve">负债总额为 </w:t>
      </w:r>
      <w:r>
        <w:rPr>
          <w:rFonts w:ascii="Arial" w:eastAsia="Arial"/>
        </w:rPr>
        <w:t>2.47</w:t>
      </w:r>
      <w:r>
        <w:rPr>
          <w:rFonts w:ascii="Arial" w:eastAsia="Arial"/>
          <w:spacing w:val="19"/>
        </w:rPr>
        <w:t xml:space="preserve"> </w:t>
      </w:r>
      <w:r>
        <w:rPr>
          <w:spacing w:val="-6"/>
        </w:rPr>
        <w:t xml:space="preserve">万亿元，其中存款总额为 </w:t>
      </w:r>
      <w:r>
        <w:rPr>
          <w:rFonts w:ascii="Arial" w:eastAsia="Arial"/>
        </w:rPr>
        <w:t>1.60</w:t>
      </w:r>
      <w:r>
        <w:rPr>
          <w:rFonts w:ascii="Arial" w:eastAsia="Arial"/>
          <w:spacing w:val="17"/>
        </w:rPr>
        <w:t xml:space="preserve"> </w:t>
      </w:r>
      <w:r>
        <w:t>万亿。</w:t>
      </w:r>
      <w:r>
        <w:rPr>
          <w:b/>
        </w:rPr>
        <w:t>在负债成本方面</w:t>
      </w:r>
      <w:r>
        <w:t>，</w:t>
      </w:r>
      <w:r>
        <w:rPr>
          <w:rFonts w:ascii="Arial" w:eastAsia="Arial"/>
        </w:rPr>
        <w:t>2018-</w:t>
      </w:r>
    </w:p>
    <w:p>
      <w:pPr>
        <w:pStyle w:val="BodyText"/>
        <w:spacing w:before="93"/>
        <w:ind w:right="842"/>
        <w:jc w:val="right"/>
      </w:pPr>
      <w:r>
        <w:rPr>
          <w:rFonts w:ascii="Arial" w:eastAsia="Arial"/>
        </w:rPr>
        <w:t>2022</w:t>
      </w:r>
      <w:r>
        <w:rPr>
          <w:rFonts w:ascii="Arial" w:eastAsia="Arial"/>
          <w:spacing w:val="-3"/>
        </w:rPr>
        <w:t xml:space="preserve"> </w:t>
      </w:r>
      <w:r>
        <w:rPr>
          <w:spacing w:val="-16"/>
        </w:rPr>
        <w:t xml:space="preserve">年，宁波银行的付息负债成本率持续压降，分别为 </w:t>
      </w:r>
      <w:r>
        <w:rPr>
          <w:rFonts w:ascii="Arial" w:eastAsia="Arial"/>
        </w:rPr>
        <w:t>2.47%</w:t>
      </w:r>
      <w:r>
        <w:rPr>
          <w:spacing w:val="-72"/>
        </w:rPr>
        <w:t>、</w:t>
      </w:r>
      <w:r>
        <w:rPr>
          <w:rFonts w:ascii="Arial" w:eastAsia="Arial"/>
        </w:rPr>
        <w:t>2.31%</w:t>
      </w:r>
      <w:r>
        <w:rPr>
          <w:spacing w:val="-72"/>
        </w:rPr>
        <w:t>、</w:t>
      </w:r>
      <w:r>
        <w:rPr>
          <w:rFonts w:ascii="Arial" w:eastAsia="Arial"/>
        </w:rPr>
        <w:t>2.14%</w:t>
      </w:r>
      <w:r>
        <w:t>、</w:t>
      </w:r>
    </w:p>
    <w:p>
      <w:pPr>
        <w:pStyle w:val="BodyText"/>
        <w:spacing w:before="93" w:line="319" w:lineRule="auto"/>
        <w:ind w:left="3192" w:right="840"/>
        <w:jc w:val="both"/>
      </w:pPr>
      <w:r>
        <w:rPr>
          <w:rFonts w:ascii="Arial" w:eastAsia="Arial"/>
        </w:rPr>
        <w:t>2.13%</w:t>
      </w:r>
      <w:r>
        <w:rPr>
          <w:spacing w:val="-5"/>
        </w:rPr>
        <w:t>、</w:t>
      </w:r>
      <w:r>
        <w:rPr>
          <w:rFonts w:ascii="Arial" w:eastAsia="Arial"/>
          <w:spacing w:val="-3"/>
        </w:rPr>
        <w:t>2.05%</w:t>
      </w:r>
      <w:r>
        <w:rPr>
          <w:spacing w:val="-11"/>
        </w:rPr>
        <w:t xml:space="preserve">；净息差分别为 </w:t>
      </w:r>
      <w:r>
        <w:rPr>
          <w:rFonts w:ascii="Arial" w:eastAsia="Arial"/>
        </w:rPr>
        <w:t>1.97%</w:t>
      </w:r>
      <w:r>
        <w:rPr>
          <w:spacing w:val="-5"/>
        </w:rPr>
        <w:t>、</w:t>
      </w:r>
      <w:r>
        <w:rPr>
          <w:rFonts w:ascii="Arial" w:eastAsia="Arial"/>
        </w:rPr>
        <w:t>1.84%</w:t>
      </w:r>
      <w:r>
        <w:rPr>
          <w:spacing w:val="-8"/>
        </w:rPr>
        <w:t>、</w:t>
      </w:r>
      <w:r>
        <w:rPr>
          <w:rFonts w:ascii="Arial" w:eastAsia="Arial"/>
        </w:rPr>
        <w:t>2.30%</w:t>
      </w:r>
      <w:r>
        <w:rPr>
          <w:spacing w:val="-5"/>
        </w:rPr>
        <w:t>、</w:t>
      </w:r>
      <w:r>
        <w:rPr>
          <w:rFonts w:ascii="Arial" w:eastAsia="Arial"/>
        </w:rPr>
        <w:t>2.21%</w:t>
      </w:r>
      <w:r>
        <w:rPr>
          <w:spacing w:val="-5"/>
        </w:rPr>
        <w:t>、</w:t>
      </w:r>
      <w:r>
        <w:rPr>
          <w:rFonts w:ascii="Arial" w:eastAsia="Arial"/>
        </w:rPr>
        <w:t>2.02%</w:t>
      </w:r>
      <w:r>
        <w:t>，负债</w:t>
      </w:r>
      <w:r>
        <w:rPr>
          <w:spacing w:val="-3"/>
        </w:rPr>
        <w:t>端成本的边际下降带来净息差的回升。</w:t>
      </w:r>
      <w:r>
        <w:rPr>
          <w:b/>
        </w:rPr>
        <w:t>在负债结构方面</w:t>
      </w:r>
      <w:r>
        <w:rPr>
          <w:spacing w:val="-13"/>
        </w:rPr>
        <w:t xml:space="preserve">，截至 </w:t>
      </w:r>
      <w:r>
        <w:rPr>
          <w:rFonts w:ascii="Arial" w:eastAsia="Arial"/>
        </w:rPr>
        <w:t xml:space="preserve">2023 </w:t>
      </w:r>
      <w:r>
        <w:rPr>
          <w:spacing w:val="-23"/>
        </w:rPr>
        <w:t xml:space="preserve">年 </w:t>
      </w:r>
      <w:r>
        <w:rPr>
          <w:rFonts w:ascii="Arial" w:eastAsia="Arial"/>
        </w:rPr>
        <w:t xml:space="preserve">9 </w:t>
      </w:r>
      <w:r>
        <w:rPr>
          <w:spacing w:val="-2"/>
        </w:rPr>
        <w:t xml:space="preserve">月末， </w:t>
      </w:r>
      <w:r>
        <w:rPr>
          <w:spacing w:val="10"/>
        </w:rPr>
        <w:t>宁波银行总负债中存款、同业负债、应付债券、向中央银行借款占比分别为</w:t>
      </w:r>
      <w:r>
        <w:rPr>
          <w:rFonts w:ascii="Arial" w:eastAsia="Arial"/>
          <w:spacing w:val="10"/>
        </w:rPr>
        <w:t>60.09%</w:t>
      </w:r>
      <w:r>
        <w:rPr>
          <w:spacing w:val="-24"/>
        </w:rPr>
        <w:t>、</w:t>
      </w:r>
      <w:r>
        <w:rPr>
          <w:rFonts w:ascii="Arial" w:eastAsia="Arial"/>
        </w:rPr>
        <w:t>2.55%</w:t>
      </w:r>
      <w:r>
        <w:rPr>
          <w:spacing w:val="-24"/>
        </w:rPr>
        <w:t>、</w:t>
      </w:r>
      <w:r>
        <w:rPr>
          <w:rFonts w:ascii="Arial" w:eastAsia="Arial"/>
        </w:rPr>
        <w:t>13.37%</w:t>
      </w:r>
      <w:r>
        <w:rPr>
          <w:spacing w:val="-24"/>
        </w:rPr>
        <w:t>、</w:t>
      </w:r>
      <w:r>
        <w:rPr>
          <w:rFonts w:ascii="Arial" w:eastAsia="Arial"/>
        </w:rPr>
        <w:t>2.55%</w:t>
      </w:r>
      <w:r>
        <w:rPr>
          <w:spacing w:val="-24"/>
        </w:rPr>
        <w:t>。</w:t>
      </w:r>
      <w:r>
        <w:rPr>
          <w:rFonts w:ascii="Arial" w:eastAsia="Arial"/>
        </w:rPr>
        <w:t xml:space="preserve">2019-2021 </w:t>
      </w:r>
      <w:r>
        <w:rPr>
          <w:spacing w:val="-6"/>
        </w:rPr>
        <w:t>年存款占比有下降趋势，但近两</w:t>
      </w:r>
      <w:r>
        <w:rPr>
          <w:spacing w:val="-5"/>
        </w:rPr>
        <w:t>年又有所回升。</w:t>
      </w:r>
      <w:r>
        <w:rPr>
          <w:b/>
        </w:rPr>
        <w:t>在存款结构方面，</w:t>
      </w:r>
      <w:r>
        <w:rPr>
          <w:spacing w:val="-11"/>
        </w:rPr>
        <w:t xml:space="preserve">截至 </w:t>
      </w:r>
      <w:r>
        <w:rPr>
          <w:rFonts w:ascii="Arial" w:eastAsia="Arial"/>
        </w:rPr>
        <w:t xml:space="preserve">2022 </w:t>
      </w:r>
      <w:r>
        <w:rPr>
          <w:spacing w:val="-3"/>
        </w:rPr>
        <w:t>年末，公司定期存款、公司活期存</w:t>
      </w:r>
      <w:r>
        <w:rPr>
          <w:spacing w:val="-2"/>
        </w:rPr>
        <w:t xml:space="preserve">款、个人定期存款、个人活期存款的占比分别为 </w:t>
      </w:r>
      <w:r>
        <w:rPr>
          <w:rFonts w:ascii="Arial" w:eastAsia="Arial"/>
        </w:rPr>
        <w:t>43.46%</w:t>
      </w:r>
      <w:r>
        <w:t>、</w:t>
      </w:r>
      <w:r>
        <w:rPr>
          <w:rFonts w:ascii="Arial" w:eastAsia="Arial"/>
        </w:rPr>
        <w:t>29.33%</w:t>
      </w:r>
      <w:r>
        <w:t>、</w:t>
      </w:r>
      <w:r>
        <w:rPr>
          <w:rFonts w:ascii="Arial" w:eastAsia="Arial"/>
        </w:rPr>
        <w:t>15.23%</w:t>
      </w:r>
      <w:r>
        <w:t>、</w:t>
      </w:r>
      <w:r>
        <w:rPr>
          <w:rFonts w:ascii="Arial" w:eastAsia="Arial"/>
        </w:rPr>
        <w:t>6.57%</w:t>
      </w:r>
      <w:r>
        <w:rPr>
          <w:spacing w:val="-3"/>
        </w:rPr>
        <w:t>，资金来源以公司定期存款为主，较为稳定。</w:t>
      </w:r>
    </w:p>
    <w:p>
      <w:pPr>
        <w:spacing w:before="153" w:line="319" w:lineRule="auto"/>
        <w:ind w:left="3192" w:right="845" w:firstLine="442"/>
        <w:jc w:val="both"/>
        <w:rPr>
          <w:sz w:val="22"/>
        </w:rPr>
      </w:pPr>
      <w:r>
        <w:rPr>
          <w:b/>
          <w:spacing w:val="-2"/>
          <w:sz w:val="22"/>
        </w:rPr>
        <w:t>资产端贷款质量较好，金融投资占比较高</w:t>
      </w:r>
      <w:r>
        <w:rPr>
          <w:spacing w:val="-6"/>
          <w:sz w:val="22"/>
        </w:rPr>
        <w:t>。在贷款需求总体较为疲弱的大环</w:t>
      </w:r>
      <w:r>
        <w:rPr>
          <w:spacing w:val="-5"/>
          <w:sz w:val="22"/>
        </w:rPr>
        <w:t xml:space="preserve">境之下，宁波银行持续发力消费信贷，截至 </w:t>
      </w:r>
      <w:r>
        <w:rPr>
          <w:rFonts w:ascii="Arial" w:eastAsia="Arial"/>
          <w:sz w:val="22"/>
        </w:rPr>
        <w:t xml:space="preserve">2023 </w:t>
      </w:r>
      <w:r>
        <w:rPr>
          <w:spacing w:val="-21"/>
          <w:sz w:val="22"/>
        </w:rPr>
        <w:t xml:space="preserve">年 </w:t>
      </w:r>
      <w:r>
        <w:rPr>
          <w:rFonts w:ascii="Arial" w:eastAsia="Arial"/>
          <w:sz w:val="22"/>
        </w:rPr>
        <w:t xml:space="preserve">9 </w:t>
      </w:r>
      <w:r>
        <w:rPr>
          <w:spacing w:val="-3"/>
          <w:sz w:val="22"/>
        </w:rPr>
        <w:t>月末，宁波银行资产总额</w:t>
      </w:r>
    </w:p>
    <w:p>
      <w:pPr>
        <w:pStyle w:val="BodyText"/>
        <w:spacing w:line="319" w:lineRule="auto"/>
        <w:ind w:left="3192" w:right="843"/>
        <w:jc w:val="both"/>
      </w:pPr>
      <w:r>
        <w:rPr>
          <w:spacing w:val="-26"/>
        </w:rPr>
        <w:t xml:space="preserve">为 </w:t>
      </w:r>
      <w:r>
        <w:rPr>
          <w:rFonts w:ascii="Arial" w:eastAsia="Arial"/>
        </w:rPr>
        <w:t xml:space="preserve">2.67 </w:t>
      </w:r>
      <w:r>
        <w:rPr>
          <w:spacing w:val="-11"/>
        </w:rPr>
        <w:t xml:space="preserve">万亿元；其中贷款总额为 </w:t>
      </w:r>
      <w:r>
        <w:rPr>
          <w:rFonts w:ascii="Arial" w:eastAsia="Arial"/>
        </w:rPr>
        <w:t xml:space="preserve">1.18 </w:t>
      </w:r>
      <w:r>
        <w:rPr>
          <w:spacing w:val="-11"/>
        </w:rPr>
        <w:t xml:space="preserve">万亿元；个人贷款为 </w:t>
      </w:r>
      <w:r>
        <w:rPr>
          <w:rFonts w:ascii="Arial" w:eastAsia="Arial"/>
        </w:rPr>
        <w:t xml:space="preserve">0.47 </w:t>
      </w:r>
      <w:r>
        <w:rPr>
          <w:spacing w:val="-6"/>
        </w:rPr>
        <w:t>万亿，占贷款总</w:t>
      </w:r>
      <w:r>
        <w:rPr>
          <w:spacing w:val="-15"/>
        </w:rPr>
        <w:t xml:space="preserve">额比重为 </w:t>
      </w:r>
      <w:r>
        <w:rPr>
          <w:rFonts w:ascii="Arial" w:eastAsia="Arial"/>
        </w:rPr>
        <w:t>38.95%</w:t>
      </w:r>
      <w:r>
        <w:rPr>
          <w:spacing w:val="-10"/>
        </w:rPr>
        <w:t xml:space="preserve">，即将突破 </w:t>
      </w:r>
      <w:r>
        <w:rPr>
          <w:rFonts w:ascii="Arial" w:eastAsia="Arial"/>
        </w:rPr>
        <w:t>40%</w:t>
      </w:r>
      <w:r>
        <w:rPr>
          <w:spacing w:val="-3"/>
        </w:rPr>
        <w:t>。</w:t>
      </w:r>
      <w:r>
        <w:rPr>
          <w:b/>
        </w:rPr>
        <w:t>在资产质量方面，</w:t>
      </w:r>
      <w:r>
        <w:rPr>
          <w:spacing w:val="-3"/>
        </w:rPr>
        <w:t>不良率有所压降，资产质</w:t>
      </w:r>
      <w:r>
        <w:rPr>
          <w:spacing w:val="-10"/>
        </w:rPr>
        <w:t>量稳中向好。</w:t>
      </w:r>
      <w:r>
        <w:rPr>
          <w:rFonts w:ascii="Arial" w:eastAsia="Arial"/>
        </w:rPr>
        <w:t xml:space="preserve">2019 </w:t>
      </w:r>
      <w:r>
        <w:rPr>
          <w:spacing w:val="-27"/>
        </w:rPr>
        <w:t xml:space="preserve">至 </w:t>
      </w:r>
      <w:r>
        <w:rPr>
          <w:rFonts w:ascii="Arial" w:eastAsia="Arial"/>
        </w:rPr>
        <w:t xml:space="preserve">2023 </w:t>
      </w:r>
      <w:r>
        <w:rPr>
          <w:spacing w:val="-27"/>
        </w:rPr>
        <w:t xml:space="preserve">年 </w:t>
      </w:r>
      <w:r>
        <w:rPr>
          <w:rFonts w:ascii="Arial" w:eastAsia="Arial"/>
        </w:rPr>
        <w:t xml:space="preserve">9 </w:t>
      </w:r>
      <w:r>
        <w:rPr>
          <w:spacing w:val="-11"/>
        </w:rPr>
        <w:t xml:space="preserve">月末，宁波银行的不良贷款率分别由 </w:t>
      </w:r>
      <w:r>
        <w:rPr>
          <w:rFonts w:ascii="Arial" w:eastAsia="Arial"/>
        </w:rPr>
        <w:t>0.78%</w:t>
      </w:r>
      <w:r>
        <w:t>下降</w:t>
      </w:r>
      <w:r>
        <w:rPr>
          <w:spacing w:val="-27"/>
        </w:rPr>
        <w:t xml:space="preserve">到 </w:t>
      </w:r>
      <w:r>
        <w:rPr>
          <w:rFonts w:ascii="Arial" w:eastAsia="Arial"/>
          <w:spacing w:val="-6"/>
        </w:rPr>
        <w:t>0.76%</w:t>
      </w:r>
      <w:r>
        <w:rPr>
          <w:spacing w:val="-8"/>
        </w:rPr>
        <w:t xml:space="preserve">，关注类贷款占比也由 </w:t>
      </w:r>
      <w:r>
        <w:rPr>
          <w:rFonts w:ascii="Arial" w:eastAsia="Arial"/>
        </w:rPr>
        <w:t>0.74%</w:t>
      </w:r>
      <w:r>
        <w:rPr>
          <w:spacing w:val="-15"/>
        </w:rPr>
        <w:t xml:space="preserve">下降至 </w:t>
      </w:r>
      <w:r>
        <w:rPr>
          <w:rFonts w:ascii="Arial" w:eastAsia="Arial"/>
        </w:rPr>
        <w:t>0.54%</w:t>
      </w:r>
      <w:r>
        <w:rPr>
          <w:spacing w:val="-27"/>
        </w:rPr>
        <w:t>。</w:t>
      </w:r>
      <w:r>
        <w:rPr>
          <w:rFonts w:ascii="Arial" w:eastAsia="Arial"/>
        </w:rPr>
        <w:t xml:space="preserve">2019-2022 </w:t>
      </w:r>
      <w:r>
        <w:rPr>
          <w:spacing w:val="-7"/>
        </w:rPr>
        <w:t>年，公司的不</w:t>
      </w:r>
      <w:r>
        <w:rPr>
          <w:spacing w:val="-10"/>
        </w:rPr>
        <w:t xml:space="preserve">良贷款覆盖率始终保持 </w:t>
      </w:r>
      <w:r>
        <w:rPr>
          <w:rFonts w:ascii="Arial" w:eastAsia="Arial"/>
        </w:rPr>
        <w:t>500%</w:t>
      </w:r>
      <w:r>
        <w:t>以上。</w:t>
      </w:r>
    </w:p>
    <w:p>
      <w:pPr>
        <w:spacing w:after="0" w:line="319" w:lineRule="auto"/>
        <w:jc w:val="both"/>
        <w:sectPr>
          <w:headerReference w:type="default" r:id="rId140"/>
          <w:footerReference w:type="default" r:id="rId141"/>
          <w:pgSz w:w="11910" w:h="16840"/>
          <w:pgMar w:top="1320" w:right="0" w:bottom="660" w:left="180" w:header="708" w:footer="708"/>
          <w:pgNumType w:start="43"/>
          <w:cols w:space="708"/>
        </w:sect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spacing w:before="0"/>
        <w:ind w:left="0" w:right="0" w:firstLine="0"/>
        <w:jc w:val="right"/>
        <w:rPr>
          <w:rFonts w:ascii="仿宋" w:eastAsia="仿宋" w:hint="eastAsia"/>
          <w:sz w:val="2"/>
        </w:rPr>
      </w:pPr>
      <w:r>
        <w:rPr>
          <w:rFonts w:ascii="仿宋" w:eastAsia="仿宋" w:hint="eastAsia"/>
          <w:color w:val="BFBFBF"/>
          <w:sz w:val="2"/>
        </w:rPr>
        <w:t>华福证券</w:t>
      </w:r>
    </w:p>
    <w:p>
      <w:pPr>
        <w:pStyle w:val="BodyText"/>
        <w:spacing w:before="153" w:line="319" w:lineRule="auto"/>
        <w:ind w:left="1252" w:right="843" w:firstLine="439"/>
        <w:jc w:val="both"/>
      </w:pPr>
      <w:r>
        <w:br w:type="column"/>
      </w:r>
      <w:r>
        <w:rPr>
          <w:spacing w:val="-18"/>
        </w:rPr>
        <w:t xml:space="preserve">截至 </w:t>
      </w:r>
      <w:r>
        <w:rPr>
          <w:rFonts w:ascii="Arial" w:eastAsia="Arial"/>
        </w:rPr>
        <w:t xml:space="preserve">2024 </w:t>
      </w:r>
      <w:r>
        <w:rPr>
          <w:spacing w:val="-27"/>
        </w:rPr>
        <w:t xml:space="preserve">年 </w:t>
      </w:r>
      <w:r>
        <w:rPr>
          <w:rFonts w:ascii="Arial" w:eastAsia="Arial"/>
        </w:rPr>
        <w:t xml:space="preserve">2 </w:t>
      </w:r>
      <w:r>
        <w:rPr>
          <w:spacing w:val="-27"/>
        </w:rPr>
        <w:t xml:space="preserve">月 </w:t>
      </w:r>
      <w:r>
        <w:rPr>
          <w:rFonts w:ascii="Arial" w:eastAsia="Arial"/>
        </w:rPr>
        <w:t xml:space="preserve">5 </w:t>
      </w:r>
      <w:r>
        <w:rPr>
          <w:spacing w:val="-11"/>
        </w:rPr>
        <w:t xml:space="preserve">日，宁波银行共存续次级债 </w:t>
      </w:r>
      <w:r>
        <w:rPr>
          <w:rFonts w:ascii="Arial" w:eastAsia="Arial"/>
        </w:rPr>
        <w:t xml:space="preserve">615 </w:t>
      </w:r>
      <w:r>
        <w:rPr>
          <w:spacing w:val="-9"/>
        </w:rPr>
        <w:t xml:space="preserve">亿元，分别为 </w:t>
      </w:r>
      <w:r>
        <w:rPr>
          <w:rFonts w:ascii="Arial" w:eastAsia="Arial"/>
        </w:rPr>
        <w:t xml:space="preserve">5 </w:t>
      </w:r>
      <w:r>
        <w:rPr>
          <w:spacing w:val="-3"/>
        </w:rPr>
        <w:t>只二级</w:t>
      </w:r>
      <w:r>
        <w:rPr>
          <w:spacing w:val="-2"/>
        </w:rPr>
        <w:t>资本债、</w:t>
      </w:r>
      <w:r>
        <w:rPr>
          <w:rFonts w:ascii="Arial" w:eastAsia="Arial"/>
        </w:rPr>
        <w:t xml:space="preserve">1 </w:t>
      </w:r>
      <w:r>
        <w:rPr>
          <w:spacing w:val="-8"/>
        </w:rPr>
        <w:t xml:space="preserve">只永续债，债项隐含评级均为 </w:t>
      </w:r>
      <w:r>
        <w:rPr>
          <w:rFonts w:ascii="Arial" w:eastAsia="Arial"/>
        </w:rPr>
        <w:t>AA+</w:t>
      </w:r>
      <w:r>
        <w:rPr>
          <w:spacing w:val="-11"/>
        </w:rPr>
        <w:t xml:space="preserve">级别，其中 </w:t>
      </w:r>
      <w:r>
        <w:rPr>
          <w:rFonts w:ascii="Arial" w:eastAsia="Arial"/>
        </w:rPr>
        <w:t xml:space="preserve">4 </w:t>
      </w:r>
      <w:r>
        <w:rPr>
          <w:spacing w:val="-4"/>
        </w:rPr>
        <w:t>只债券规模较大、超</w:t>
      </w:r>
      <w:r>
        <w:rPr>
          <w:rFonts w:ascii="Arial" w:eastAsia="Arial"/>
          <w:spacing w:val="-4"/>
        </w:rPr>
        <w:t xml:space="preserve">100 </w:t>
      </w:r>
      <w:r>
        <w:rPr>
          <w:spacing w:val="-8"/>
        </w:rPr>
        <w:t xml:space="preserve">亿元，剩余期限在 </w:t>
      </w:r>
      <w:r>
        <w:rPr>
          <w:rFonts w:ascii="Arial" w:eastAsia="Arial"/>
        </w:rPr>
        <w:t xml:space="preserve">0-5 </w:t>
      </w:r>
      <w:r>
        <w:rPr>
          <w:spacing w:val="-1"/>
        </w:rPr>
        <w:t>年间不等。</w:t>
      </w:r>
    </w:p>
    <w:p>
      <w:pPr>
        <w:spacing w:after="0" w:line="319" w:lineRule="auto"/>
        <w:jc w:val="both"/>
        <w:sectPr>
          <w:headerReference w:type="default" r:id="rId142"/>
          <w:footerReference w:type="default" r:id="rId143"/>
          <w:type w:val="continuous"/>
          <w:pgSz w:w="11910" w:h="16840"/>
          <w:pgMar w:top="1320" w:right="0" w:bottom="660" w:left="180" w:header="708" w:footer="708"/>
          <w:pgNumType w:start="44"/>
          <w:cols w:num="2" w:space="708" w:equalWidth="0">
            <w:col w:w="1901" w:space="40"/>
            <w:col w:w="9789" w:space="0"/>
          </w:cols>
        </w:sectPr>
      </w:pPr>
    </w:p>
    <w:p>
      <w:pPr>
        <w:pStyle w:val="BodyText"/>
        <w:spacing w:before="12"/>
        <w:rPr>
          <w:sz w:val="19"/>
        </w:rPr>
      </w:pPr>
    </w:p>
    <w:p>
      <w:pPr>
        <w:spacing w:before="76"/>
        <w:ind w:left="160" w:right="0" w:firstLine="0"/>
        <w:jc w:val="left"/>
        <w:rPr>
          <w:i/>
          <w:sz w:val="17"/>
        </w:rPr>
      </w:pPr>
      <w:r>
        <w:pict>
          <v:group id="_x0000_s1523" style="width:577pt;height:1pt;margin-top:19.26pt;margin-left:11.64pt;mso-position-horizontal-relative:page;position:absolute;z-index:251739136" coordorigin="233,385" coordsize="11540,20">
            <v:shape id="_x0000_s1524" style="width:11319;height:2;left:340;position:absolute;top:399" coordorigin="341,400" coordsize="11319,0" path="m341,400l1680,400m1680,400l1690,400m1690,400l3065,400m3065,400l3075,400m3075,400l4343,400m4343,400l4352,400m4352,400l5562,400m5562,400l5571,400m5571,400l6611,400m6611,400l6621,400m6621,400l7744,400m7744,400l7753,400m7753,400l8738,400m8738,400l8748,400m8748,400l9588,400m9588,400l9597,400m9597,400l10579,400m10579,400l10588,400m10588,400l11659,400e" filled="f" stroked="t" strokecolor="#dfdfdf" strokeweight="0.48pt">
              <v:stroke dashstyle="solid"/>
              <v:path arrowok="t"/>
            </v:shape>
            <v:line id="_x0000_s1525" style="position:absolute" from="233,390" to="11748,390" stroked="t" strokecolor="#013e96" strokeweight="0.48pt">
              <v:stroke dashstyle="solid"/>
            </v:line>
            <v:shape id="_x0000_s1526" style="width:24;height:10;left:11748;position:absolute;top:385" coordorigin="11748,385" coordsize="24,10" path="m11758,385l11748,385,11748,395,11758,395,11758,385m11762,385l11758,385,11758,395,11762,395,11762,385m11772,385l11762,385,11762,395,11772,395,11772,385e" filled="t" fillcolor="#013e96" stroked="f">
              <v:fill type="solid"/>
              <v:path arrowok="t"/>
            </v:shape>
          </v:group>
        </w:pict>
      </w:r>
      <w:r>
        <w:rPr>
          <w:i/>
          <w:color w:val="004097"/>
          <w:sz w:val="17"/>
        </w:rPr>
        <w:t xml:space="preserve">图表 </w:t>
      </w:r>
      <w:r>
        <w:rPr>
          <w:rFonts w:ascii="Arial" w:eastAsia="Arial"/>
          <w:i/>
          <w:color w:val="004097"/>
          <w:sz w:val="16"/>
        </w:rPr>
        <w:t>16</w:t>
      </w:r>
      <w:r>
        <w:rPr>
          <w:i/>
          <w:color w:val="004097"/>
          <w:sz w:val="17"/>
        </w:rPr>
        <w:t>：宁波银行次级债存续情况</w:t>
      </w:r>
    </w:p>
    <w:p>
      <w:pPr>
        <w:pStyle w:val="BodyText"/>
        <w:spacing w:before="11"/>
        <w:rPr>
          <w:i/>
          <w:sz w:val="7"/>
        </w:rPr>
      </w:pPr>
    </w:p>
    <w:tbl>
      <w:tblPr>
        <w:tblStyle w:val="TableNormal4"/>
        <w:tblW w:w="0" w:type="auto"/>
        <w:jc w:val="left"/>
        <w:tblInd w:w="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5"/>
        <w:gridCol w:w="1409"/>
        <w:gridCol w:w="1234"/>
        <w:gridCol w:w="1243"/>
        <w:gridCol w:w="1017"/>
        <w:gridCol w:w="1166"/>
        <w:gridCol w:w="994"/>
        <w:gridCol w:w="832"/>
        <w:gridCol w:w="1024"/>
        <w:gridCol w:w="1057"/>
      </w:tblGrid>
      <w:tr>
        <w:tblPrEx>
          <w:tblW w:w="0" w:type="auto"/>
          <w:jc w:val="left"/>
          <w:tblInd w:w="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9"/>
          <w:jc w:val="left"/>
        </w:trPr>
        <w:tc>
          <w:tcPr>
            <w:tcW w:w="1345" w:type="dxa"/>
          </w:tcPr>
          <w:p>
            <w:pPr>
              <w:pStyle w:val="TableParagraph"/>
              <w:spacing w:before="52"/>
              <w:ind w:left="88" w:right="94"/>
              <w:rPr>
                <w:rFonts w:ascii="楷体" w:eastAsia="楷体" w:hint="eastAsia"/>
                <w:b/>
                <w:sz w:val="18"/>
              </w:rPr>
            </w:pPr>
            <w:r>
              <w:rPr>
                <w:rFonts w:ascii="楷体" w:eastAsia="楷体" w:hint="eastAsia"/>
                <w:b/>
                <w:sz w:val="18"/>
              </w:rPr>
              <w:t>债券代码</w:t>
            </w:r>
          </w:p>
        </w:tc>
        <w:tc>
          <w:tcPr>
            <w:tcW w:w="1409" w:type="dxa"/>
          </w:tcPr>
          <w:p>
            <w:pPr>
              <w:pStyle w:val="TableParagraph"/>
              <w:spacing w:before="52"/>
              <w:ind w:left="325"/>
              <w:jc w:val="left"/>
              <w:rPr>
                <w:rFonts w:ascii="楷体" w:eastAsia="楷体" w:hint="eastAsia"/>
                <w:b/>
                <w:sz w:val="18"/>
              </w:rPr>
            </w:pPr>
            <w:r>
              <w:rPr>
                <w:rFonts w:ascii="楷体" w:eastAsia="楷体" w:hint="eastAsia"/>
                <w:b/>
                <w:sz w:val="18"/>
              </w:rPr>
              <w:t>债券简称</w:t>
            </w:r>
          </w:p>
        </w:tc>
        <w:tc>
          <w:tcPr>
            <w:tcW w:w="1234" w:type="dxa"/>
          </w:tcPr>
          <w:p>
            <w:pPr>
              <w:pStyle w:val="TableParagraph"/>
              <w:spacing w:before="52"/>
              <w:ind w:left="125" w:right="144"/>
              <w:rPr>
                <w:rFonts w:ascii="楷体" w:eastAsia="楷体" w:hint="eastAsia"/>
                <w:b/>
                <w:sz w:val="18"/>
              </w:rPr>
            </w:pPr>
            <w:r>
              <w:rPr>
                <w:rFonts w:ascii="楷体" w:eastAsia="楷体" w:hint="eastAsia"/>
                <w:b/>
                <w:sz w:val="18"/>
              </w:rPr>
              <w:t>起息日</w:t>
            </w:r>
          </w:p>
        </w:tc>
        <w:tc>
          <w:tcPr>
            <w:tcW w:w="1243" w:type="dxa"/>
          </w:tcPr>
          <w:p>
            <w:pPr>
              <w:pStyle w:val="TableParagraph"/>
              <w:spacing w:before="52"/>
              <w:ind w:left="139" w:right="140"/>
              <w:rPr>
                <w:rFonts w:ascii="楷体" w:eastAsia="楷体" w:hint="eastAsia"/>
                <w:b/>
                <w:sz w:val="18"/>
              </w:rPr>
            </w:pPr>
            <w:r>
              <w:rPr>
                <w:rFonts w:ascii="楷体" w:eastAsia="楷体" w:hint="eastAsia"/>
                <w:b/>
                <w:sz w:val="18"/>
              </w:rPr>
              <w:t>到期日</w:t>
            </w:r>
          </w:p>
        </w:tc>
        <w:tc>
          <w:tcPr>
            <w:tcW w:w="1017" w:type="dxa"/>
          </w:tcPr>
          <w:p>
            <w:pPr>
              <w:pStyle w:val="TableParagraph"/>
              <w:spacing w:before="52"/>
              <w:ind w:left="132" w:right="121"/>
              <w:rPr>
                <w:rFonts w:ascii="楷体" w:eastAsia="楷体" w:hint="eastAsia"/>
                <w:b/>
                <w:sz w:val="18"/>
              </w:rPr>
            </w:pPr>
            <w:r>
              <w:rPr>
                <w:rFonts w:ascii="楷体" w:eastAsia="楷体" w:hint="eastAsia"/>
                <w:b/>
                <w:sz w:val="18"/>
              </w:rPr>
              <w:t>票面利率</w:t>
            </w:r>
          </w:p>
        </w:tc>
        <w:tc>
          <w:tcPr>
            <w:tcW w:w="1166" w:type="dxa"/>
          </w:tcPr>
          <w:p>
            <w:pPr>
              <w:pStyle w:val="TableParagraph"/>
              <w:spacing w:before="52"/>
              <w:ind w:left="223"/>
              <w:jc w:val="left"/>
              <w:rPr>
                <w:rFonts w:ascii="楷体" w:eastAsia="楷体" w:hint="eastAsia"/>
                <w:b/>
                <w:sz w:val="18"/>
              </w:rPr>
            </w:pPr>
            <w:r>
              <w:rPr>
                <w:rFonts w:ascii="楷体" w:eastAsia="楷体" w:hint="eastAsia"/>
                <w:b/>
                <w:sz w:val="18"/>
              </w:rPr>
              <w:t>债券类型</w:t>
            </w:r>
          </w:p>
        </w:tc>
        <w:tc>
          <w:tcPr>
            <w:tcW w:w="994" w:type="dxa"/>
          </w:tcPr>
          <w:p>
            <w:pPr>
              <w:pStyle w:val="TableParagraph"/>
              <w:spacing w:before="52"/>
              <w:ind w:left="104" w:right="127"/>
              <w:rPr>
                <w:rFonts w:ascii="楷体" w:eastAsia="楷体" w:hint="eastAsia"/>
                <w:b/>
                <w:sz w:val="18"/>
              </w:rPr>
            </w:pPr>
            <w:r>
              <w:rPr>
                <w:rFonts w:ascii="楷体" w:eastAsia="楷体" w:hint="eastAsia"/>
                <w:b/>
                <w:sz w:val="18"/>
              </w:rPr>
              <w:t>截止日余</w:t>
            </w:r>
          </w:p>
        </w:tc>
        <w:tc>
          <w:tcPr>
            <w:tcW w:w="832" w:type="dxa"/>
          </w:tcPr>
          <w:p>
            <w:pPr>
              <w:pStyle w:val="TableParagraph"/>
              <w:spacing w:before="52"/>
              <w:ind w:left="121" w:right="128"/>
              <w:rPr>
                <w:rFonts w:ascii="楷体" w:eastAsia="楷体" w:hint="eastAsia"/>
                <w:b/>
                <w:sz w:val="18"/>
              </w:rPr>
            </w:pPr>
            <w:r>
              <w:rPr>
                <w:rFonts w:ascii="楷体" w:eastAsia="楷体" w:hint="eastAsia"/>
                <w:b/>
                <w:sz w:val="18"/>
              </w:rPr>
              <w:t>剩余期</w:t>
            </w:r>
          </w:p>
        </w:tc>
        <w:tc>
          <w:tcPr>
            <w:tcW w:w="1024" w:type="dxa"/>
          </w:tcPr>
          <w:p>
            <w:pPr>
              <w:pStyle w:val="TableParagraph"/>
              <w:spacing w:before="52"/>
              <w:ind w:left="122" w:right="139"/>
              <w:rPr>
                <w:rFonts w:ascii="楷体" w:eastAsia="楷体" w:hint="eastAsia"/>
                <w:b/>
                <w:sz w:val="18"/>
              </w:rPr>
            </w:pPr>
            <w:r>
              <w:rPr>
                <w:rFonts w:ascii="楷体" w:eastAsia="楷体" w:hint="eastAsia"/>
                <w:b/>
                <w:sz w:val="18"/>
              </w:rPr>
              <w:t>中债债项</w:t>
            </w:r>
          </w:p>
        </w:tc>
        <w:tc>
          <w:tcPr>
            <w:tcW w:w="1057" w:type="dxa"/>
          </w:tcPr>
          <w:p>
            <w:pPr>
              <w:pStyle w:val="TableParagraph"/>
              <w:spacing w:before="52"/>
              <w:ind w:left="133" w:right="161"/>
              <w:rPr>
                <w:rFonts w:ascii="楷体" w:eastAsia="楷体" w:hint="eastAsia"/>
                <w:b/>
                <w:sz w:val="18"/>
              </w:rPr>
            </w:pPr>
            <w:r>
              <w:rPr>
                <w:rFonts w:ascii="楷体" w:eastAsia="楷体" w:hint="eastAsia"/>
                <w:b/>
                <w:sz w:val="18"/>
              </w:rPr>
              <w:t>估值收益</w:t>
            </w:r>
          </w:p>
        </w:tc>
      </w:tr>
      <w:tr>
        <w:tblPrEx>
          <w:tblW w:w="0" w:type="auto"/>
          <w:jc w:val="left"/>
          <w:tblInd w:w="168" w:type="dxa"/>
          <w:tblLayout w:type="fixed"/>
          <w:tblCellMar>
            <w:top w:w="0" w:type="dxa"/>
            <w:left w:w="0" w:type="dxa"/>
            <w:bottom w:w="0" w:type="dxa"/>
            <w:right w:w="0" w:type="dxa"/>
          </w:tblCellMar>
          <w:tblLook w:val="01E0"/>
        </w:tblPrEx>
        <w:trPr>
          <w:trHeight w:val="315"/>
          <w:jc w:val="left"/>
        </w:trPr>
        <w:tc>
          <w:tcPr>
            <w:tcW w:w="1345" w:type="dxa"/>
            <w:tcBorders>
              <w:bottom w:val="single" w:sz="4" w:space="0" w:color="013E96"/>
            </w:tcBorders>
          </w:tcPr>
          <w:p>
            <w:pPr>
              <w:pStyle w:val="TableParagraph"/>
              <w:jc w:val="left"/>
              <w:rPr>
                <w:rFonts w:ascii="Times New Roman"/>
                <w:sz w:val="20"/>
              </w:rPr>
            </w:pPr>
          </w:p>
        </w:tc>
        <w:tc>
          <w:tcPr>
            <w:tcW w:w="1409" w:type="dxa"/>
            <w:tcBorders>
              <w:bottom w:val="single" w:sz="4" w:space="0" w:color="013E96"/>
            </w:tcBorders>
          </w:tcPr>
          <w:p>
            <w:pPr>
              <w:pStyle w:val="TableParagraph"/>
              <w:jc w:val="left"/>
              <w:rPr>
                <w:rFonts w:ascii="Times New Roman"/>
                <w:sz w:val="20"/>
              </w:rPr>
            </w:pPr>
          </w:p>
        </w:tc>
        <w:tc>
          <w:tcPr>
            <w:tcW w:w="1234" w:type="dxa"/>
            <w:tcBorders>
              <w:bottom w:val="single" w:sz="4" w:space="0" w:color="013E96"/>
            </w:tcBorders>
          </w:tcPr>
          <w:p>
            <w:pPr>
              <w:pStyle w:val="TableParagraph"/>
              <w:jc w:val="left"/>
              <w:rPr>
                <w:rFonts w:ascii="Times New Roman"/>
                <w:sz w:val="20"/>
              </w:rPr>
            </w:pPr>
          </w:p>
        </w:tc>
        <w:tc>
          <w:tcPr>
            <w:tcW w:w="1243" w:type="dxa"/>
            <w:tcBorders>
              <w:bottom w:val="single" w:sz="4" w:space="0" w:color="013E96"/>
            </w:tcBorders>
          </w:tcPr>
          <w:p>
            <w:pPr>
              <w:pStyle w:val="TableParagraph"/>
              <w:jc w:val="left"/>
              <w:rPr>
                <w:rFonts w:ascii="Times New Roman"/>
                <w:sz w:val="20"/>
              </w:rPr>
            </w:pPr>
          </w:p>
        </w:tc>
        <w:tc>
          <w:tcPr>
            <w:tcW w:w="1017" w:type="dxa"/>
            <w:tcBorders>
              <w:bottom w:val="single" w:sz="4" w:space="0" w:color="013E96"/>
            </w:tcBorders>
          </w:tcPr>
          <w:p>
            <w:pPr>
              <w:pStyle w:val="TableParagraph"/>
              <w:spacing w:before="45"/>
              <w:ind w:left="132" w:right="120"/>
              <w:rPr>
                <w:rFonts w:ascii="楷体" w:eastAsia="楷体" w:hint="eastAsia"/>
                <w:b/>
                <w:sz w:val="18"/>
              </w:rPr>
            </w:pPr>
            <w:r>
              <w:rPr>
                <w:rFonts w:ascii="楷体" w:eastAsia="楷体" w:hint="eastAsia"/>
                <w:b/>
                <w:sz w:val="18"/>
              </w:rPr>
              <w:t>（</w:t>
            </w:r>
            <w:r>
              <w:rPr>
                <w:b/>
                <w:sz w:val="18"/>
              </w:rPr>
              <w:t>%</w:t>
            </w:r>
            <w:r>
              <w:rPr>
                <w:rFonts w:ascii="楷体" w:eastAsia="楷体" w:hint="eastAsia"/>
                <w:b/>
                <w:sz w:val="18"/>
              </w:rPr>
              <w:t>）</w:t>
            </w:r>
          </w:p>
        </w:tc>
        <w:tc>
          <w:tcPr>
            <w:tcW w:w="1166" w:type="dxa"/>
            <w:tcBorders>
              <w:bottom w:val="single" w:sz="4" w:space="0" w:color="013E96"/>
            </w:tcBorders>
          </w:tcPr>
          <w:p>
            <w:pPr>
              <w:pStyle w:val="TableParagraph"/>
              <w:jc w:val="left"/>
              <w:rPr>
                <w:rFonts w:ascii="Times New Roman"/>
                <w:sz w:val="20"/>
              </w:rPr>
            </w:pPr>
          </w:p>
        </w:tc>
        <w:tc>
          <w:tcPr>
            <w:tcW w:w="994" w:type="dxa"/>
            <w:tcBorders>
              <w:bottom w:val="single" w:sz="4" w:space="0" w:color="013E96"/>
            </w:tcBorders>
          </w:tcPr>
          <w:p>
            <w:pPr>
              <w:pStyle w:val="TableParagraph"/>
              <w:spacing w:before="45"/>
              <w:ind w:left="104" w:right="126"/>
              <w:rPr>
                <w:b/>
                <w:sz w:val="18"/>
              </w:rPr>
            </w:pPr>
            <w:r>
              <w:rPr>
                <w:rFonts w:ascii="楷体" w:eastAsia="楷体" w:hint="eastAsia"/>
                <w:b/>
                <w:sz w:val="18"/>
              </w:rPr>
              <w:t>额</w:t>
            </w:r>
            <w:r>
              <w:rPr>
                <w:b/>
                <w:sz w:val="18"/>
              </w:rPr>
              <w:t>(</w:t>
            </w:r>
            <w:r>
              <w:rPr>
                <w:rFonts w:ascii="楷体" w:eastAsia="楷体" w:hint="eastAsia"/>
                <w:b/>
                <w:sz w:val="18"/>
              </w:rPr>
              <w:t>亿元</w:t>
            </w:r>
            <w:r>
              <w:rPr>
                <w:b/>
                <w:sz w:val="18"/>
              </w:rPr>
              <w:t>)</w:t>
            </w:r>
          </w:p>
        </w:tc>
        <w:tc>
          <w:tcPr>
            <w:tcW w:w="832" w:type="dxa"/>
            <w:tcBorders>
              <w:bottom w:val="single" w:sz="4" w:space="0" w:color="013E96"/>
            </w:tcBorders>
          </w:tcPr>
          <w:p>
            <w:pPr>
              <w:pStyle w:val="TableParagraph"/>
              <w:spacing w:before="45"/>
              <w:ind w:left="121" w:right="123"/>
              <w:rPr>
                <w:b/>
                <w:sz w:val="18"/>
              </w:rPr>
            </w:pPr>
            <w:r>
              <w:rPr>
                <w:rFonts w:ascii="楷体" w:eastAsia="楷体" w:hint="eastAsia"/>
                <w:b/>
                <w:sz w:val="18"/>
              </w:rPr>
              <w:t>限</w:t>
            </w:r>
            <w:r>
              <w:rPr>
                <w:b/>
                <w:sz w:val="18"/>
              </w:rPr>
              <w:t>(</w:t>
            </w:r>
            <w:r>
              <w:rPr>
                <w:rFonts w:ascii="楷体" w:eastAsia="楷体" w:hint="eastAsia"/>
                <w:b/>
                <w:sz w:val="18"/>
              </w:rPr>
              <w:t>年</w:t>
            </w:r>
            <w:r>
              <w:rPr>
                <w:b/>
                <w:sz w:val="18"/>
              </w:rPr>
              <w:t>)</w:t>
            </w:r>
          </w:p>
        </w:tc>
        <w:tc>
          <w:tcPr>
            <w:tcW w:w="1024" w:type="dxa"/>
            <w:tcBorders>
              <w:bottom w:val="single" w:sz="4" w:space="0" w:color="013E96"/>
            </w:tcBorders>
          </w:tcPr>
          <w:p>
            <w:pPr>
              <w:pStyle w:val="TableParagraph"/>
              <w:spacing w:before="45"/>
              <w:ind w:left="122" w:right="139"/>
              <w:rPr>
                <w:rFonts w:ascii="楷体" w:eastAsia="楷体" w:hint="eastAsia"/>
                <w:b/>
                <w:sz w:val="18"/>
              </w:rPr>
            </w:pPr>
            <w:r>
              <w:rPr>
                <w:rFonts w:ascii="楷体" w:eastAsia="楷体" w:hint="eastAsia"/>
                <w:b/>
                <w:sz w:val="18"/>
              </w:rPr>
              <w:t>隐含评级</w:t>
            </w:r>
          </w:p>
        </w:tc>
        <w:tc>
          <w:tcPr>
            <w:tcW w:w="1057" w:type="dxa"/>
            <w:tcBorders>
              <w:bottom w:val="single" w:sz="4" w:space="0" w:color="013E96"/>
            </w:tcBorders>
          </w:tcPr>
          <w:p>
            <w:pPr>
              <w:pStyle w:val="TableParagraph"/>
              <w:spacing w:before="45"/>
              <w:ind w:left="133" w:right="161"/>
              <w:rPr>
                <w:rFonts w:ascii="楷体" w:eastAsia="楷体" w:hint="eastAsia"/>
                <w:b/>
                <w:sz w:val="18"/>
              </w:rPr>
            </w:pPr>
            <w:r>
              <w:rPr>
                <w:rFonts w:ascii="楷体" w:eastAsia="楷体" w:hint="eastAsia"/>
                <w:b/>
                <w:sz w:val="18"/>
              </w:rPr>
              <w:t>率（</w:t>
            </w:r>
            <w:r>
              <w:rPr>
                <w:b/>
                <w:sz w:val="18"/>
              </w:rPr>
              <w:t>%</w:t>
            </w:r>
            <w:r>
              <w:rPr>
                <w:rFonts w:ascii="楷体" w:eastAsia="楷体" w:hint="eastAsia"/>
                <w:b/>
                <w:sz w:val="18"/>
              </w:rPr>
              <w:t>）</w:t>
            </w:r>
          </w:p>
        </w:tc>
      </w:tr>
      <w:tr>
        <w:tblPrEx>
          <w:tblW w:w="0" w:type="auto"/>
          <w:jc w:val="left"/>
          <w:tblInd w:w="168" w:type="dxa"/>
          <w:tblLayout w:type="fixed"/>
          <w:tblCellMar>
            <w:top w:w="0" w:type="dxa"/>
            <w:left w:w="0" w:type="dxa"/>
            <w:bottom w:w="0" w:type="dxa"/>
            <w:right w:w="0" w:type="dxa"/>
          </w:tblCellMar>
          <w:tblLook w:val="01E0"/>
        </w:tblPrEx>
        <w:trPr>
          <w:trHeight w:val="624"/>
          <w:jc w:val="left"/>
        </w:trPr>
        <w:tc>
          <w:tcPr>
            <w:tcW w:w="1345"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89" w:right="94"/>
              <w:rPr>
                <w:sz w:val="18"/>
              </w:rPr>
            </w:pPr>
            <w:r>
              <w:rPr>
                <w:sz w:val="18"/>
              </w:rPr>
              <w:t>092280033.IB</w:t>
            </w:r>
          </w:p>
        </w:tc>
        <w:tc>
          <w:tcPr>
            <w:tcW w:w="1409" w:type="dxa"/>
            <w:tcBorders>
              <w:top w:val="single" w:sz="4" w:space="0" w:color="013E96"/>
            </w:tcBorders>
            <w:shd w:val="clear" w:color="auto" w:fill="F1F1F1"/>
          </w:tcPr>
          <w:p>
            <w:pPr>
              <w:pStyle w:val="TableParagraph"/>
              <w:spacing w:before="40"/>
              <w:ind w:left="114"/>
              <w:jc w:val="left"/>
              <w:rPr>
                <w:rFonts w:ascii="楷体" w:eastAsia="楷体" w:hint="eastAsia"/>
                <w:sz w:val="18"/>
              </w:rPr>
            </w:pPr>
            <w:r>
              <w:rPr>
                <w:sz w:val="18"/>
              </w:rPr>
              <w:t xml:space="preserve">22 </w:t>
            </w:r>
            <w:r>
              <w:rPr>
                <w:rFonts w:ascii="楷体" w:eastAsia="楷体" w:hint="eastAsia"/>
                <w:sz w:val="18"/>
              </w:rPr>
              <w:t>宁波银行二</w:t>
            </w:r>
          </w:p>
          <w:p>
            <w:pPr>
              <w:pStyle w:val="TableParagraph"/>
              <w:spacing w:before="82"/>
              <w:ind w:left="205"/>
              <w:jc w:val="left"/>
              <w:rPr>
                <w:sz w:val="18"/>
              </w:rPr>
            </w:pPr>
            <w:r>
              <w:rPr>
                <w:rFonts w:ascii="楷体" w:eastAsia="楷体" w:hint="eastAsia"/>
                <w:sz w:val="18"/>
              </w:rPr>
              <w:t xml:space="preserve">级资本债 </w:t>
            </w:r>
            <w:r>
              <w:rPr>
                <w:sz w:val="18"/>
              </w:rPr>
              <w:t>01</w:t>
            </w:r>
          </w:p>
        </w:tc>
        <w:tc>
          <w:tcPr>
            <w:tcW w:w="1234"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128" w:right="144"/>
              <w:rPr>
                <w:sz w:val="18"/>
              </w:rPr>
            </w:pPr>
            <w:r>
              <w:rPr>
                <w:sz w:val="18"/>
              </w:rPr>
              <w:t>2022-08-04</w:t>
            </w:r>
          </w:p>
        </w:tc>
        <w:tc>
          <w:tcPr>
            <w:tcW w:w="1243"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141" w:right="140"/>
              <w:rPr>
                <w:sz w:val="18"/>
              </w:rPr>
            </w:pPr>
            <w:r>
              <w:rPr>
                <w:sz w:val="18"/>
              </w:rPr>
              <w:t>2032-08-04</w:t>
            </w:r>
          </w:p>
        </w:tc>
        <w:tc>
          <w:tcPr>
            <w:tcW w:w="1017"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132" w:right="120"/>
              <w:rPr>
                <w:sz w:val="18"/>
              </w:rPr>
            </w:pPr>
            <w:r>
              <w:rPr>
                <w:sz w:val="18"/>
              </w:rPr>
              <w:t>3.24</w:t>
            </w:r>
          </w:p>
        </w:tc>
        <w:tc>
          <w:tcPr>
            <w:tcW w:w="1166" w:type="dxa"/>
            <w:tcBorders>
              <w:top w:val="single" w:sz="4" w:space="0" w:color="013E96"/>
            </w:tcBorders>
            <w:shd w:val="clear" w:color="auto" w:fill="F1F1F1"/>
          </w:tcPr>
          <w:p>
            <w:pPr>
              <w:pStyle w:val="TableParagraph"/>
              <w:spacing w:before="40"/>
              <w:ind w:left="135"/>
              <w:jc w:val="left"/>
              <w:rPr>
                <w:rFonts w:ascii="楷体" w:eastAsia="楷体" w:hint="eastAsia"/>
                <w:sz w:val="18"/>
              </w:rPr>
            </w:pPr>
            <w:r>
              <w:rPr>
                <w:rFonts w:ascii="楷体" w:eastAsia="楷体" w:hint="eastAsia"/>
                <w:sz w:val="18"/>
              </w:rPr>
              <w:t>商业银行二</w:t>
            </w:r>
          </w:p>
          <w:p>
            <w:pPr>
              <w:pStyle w:val="TableParagraph"/>
              <w:spacing w:before="82"/>
              <w:ind w:left="226"/>
              <w:jc w:val="left"/>
              <w:rPr>
                <w:rFonts w:ascii="楷体" w:eastAsia="楷体" w:hint="eastAsia"/>
                <w:sz w:val="18"/>
              </w:rPr>
            </w:pPr>
            <w:r>
              <w:rPr>
                <w:rFonts w:ascii="楷体" w:eastAsia="楷体" w:hint="eastAsia"/>
                <w:sz w:val="18"/>
              </w:rPr>
              <w:t>级资本债</w:t>
            </w:r>
          </w:p>
        </w:tc>
        <w:tc>
          <w:tcPr>
            <w:tcW w:w="994"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104" w:right="125"/>
              <w:rPr>
                <w:sz w:val="18"/>
              </w:rPr>
            </w:pPr>
            <w:r>
              <w:rPr>
                <w:sz w:val="18"/>
              </w:rPr>
              <w:t>220.00</w:t>
            </w:r>
          </w:p>
        </w:tc>
        <w:tc>
          <w:tcPr>
            <w:tcW w:w="832"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121" w:right="125"/>
              <w:rPr>
                <w:sz w:val="18"/>
              </w:rPr>
            </w:pPr>
            <w:r>
              <w:rPr>
                <w:sz w:val="18"/>
              </w:rPr>
              <w:t>3.49</w:t>
            </w:r>
          </w:p>
        </w:tc>
        <w:tc>
          <w:tcPr>
            <w:tcW w:w="1024"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119" w:right="139"/>
              <w:rPr>
                <w:sz w:val="18"/>
              </w:rPr>
            </w:pPr>
            <w:r>
              <w:rPr>
                <w:sz w:val="18"/>
              </w:rPr>
              <w:t>AA+</w:t>
            </w:r>
          </w:p>
        </w:tc>
        <w:tc>
          <w:tcPr>
            <w:tcW w:w="1057" w:type="dxa"/>
            <w:tcBorders>
              <w:top w:val="single" w:sz="4" w:space="0" w:color="013E96"/>
            </w:tcBorders>
            <w:shd w:val="clear" w:color="auto" w:fill="F1F1F1"/>
          </w:tcPr>
          <w:p>
            <w:pPr>
              <w:pStyle w:val="TableParagraph"/>
              <w:spacing w:before="5"/>
              <w:jc w:val="left"/>
              <w:rPr>
                <w:rFonts w:ascii="楷体"/>
                <w:i/>
                <w:sz w:val="28"/>
              </w:rPr>
            </w:pPr>
          </w:p>
          <w:p>
            <w:pPr>
              <w:pStyle w:val="TableParagraph"/>
              <w:ind w:left="132" w:right="161"/>
              <w:rPr>
                <w:sz w:val="18"/>
              </w:rPr>
            </w:pPr>
            <w:r>
              <w:rPr>
                <w:sz w:val="18"/>
              </w:rPr>
              <w:t>2.72</w:t>
            </w:r>
          </w:p>
        </w:tc>
      </w:tr>
      <w:tr>
        <w:tblPrEx>
          <w:tblW w:w="0" w:type="auto"/>
          <w:jc w:val="left"/>
          <w:tblInd w:w="168" w:type="dxa"/>
          <w:tblLayout w:type="fixed"/>
          <w:tblCellMar>
            <w:top w:w="0" w:type="dxa"/>
            <w:left w:w="0" w:type="dxa"/>
            <w:bottom w:w="0" w:type="dxa"/>
            <w:right w:w="0" w:type="dxa"/>
          </w:tblCellMar>
          <w:tblLook w:val="01E0"/>
        </w:tblPrEx>
        <w:trPr>
          <w:trHeight w:val="623"/>
          <w:jc w:val="left"/>
        </w:trPr>
        <w:tc>
          <w:tcPr>
            <w:tcW w:w="1345" w:type="dxa"/>
          </w:tcPr>
          <w:p>
            <w:pPr>
              <w:pStyle w:val="TableParagraph"/>
              <w:spacing w:before="5"/>
              <w:jc w:val="left"/>
              <w:rPr>
                <w:rFonts w:ascii="楷体"/>
                <w:i/>
                <w:sz w:val="28"/>
              </w:rPr>
            </w:pPr>
          </w:p>
          <w:p>
            <w:pPr>
              <w:pStyle w:val="TableParagraph"/>
              <w:ind w:left="89" w:right="94"/>
              <w:rPr>
                <w:sz w:val="18"/>
              </w:rPr>
            </w:pPr>
            <w:r>
              <w:rPr>
                <w:sz w:val="18"/>
              </w:rPr>
              <w:t>242300001.IB</w:t>
            </w:r>
          </w:p>
        </w:tc>
        <w:tc>
          <w:tcPr>
            <w:tcW w:w="1409" w:type="dxa"/>
          </w:tcPr>
          <w:p>
            <w:pPr>
              <w:pStyle w:val="TableParagraph"/>
              <w:spacing w:before="40"/>
              <w:ind w:left="94" w:right="124"/>
              <w:rPr>
                <w:rFonts w:ascii="楷体" w:eastAsia="楷体" w:hint="eastAsia"/>
                <w:sz w:val="18"/>
              </w:rPr>
            </w:pPr>
            <w:r>
              <w:rPr>
                <w:sz w:val="18"/>
              </w:rPr>
              <w:t xml:space="preserve">23 </w:t>
            </w:r>
            <w:r>
              <w:rPr>
                <w:rFonts w:ascii="楷体" w:eastAsia="楷体" w:hint="eastAsia"/>
                <w:sz w:val="18"/>
              </w:rPr>
              <w:t>宁波银行永</w:t>
            </w:r>
          </w:p>
          <w:p>
            <w:pPr>
              <w:pStyle w:val="TableParagraph"/>
              <w:spacing w:before="82"/>
              <w:ind w:left="94" w:right="122"/>
              <w:rPr>
                <w:sz w:val="18"/>
              </w:rPr>
            </w:pPr>
            <w:r>
              <w:rPr>
                <w:rFonts w:ascii="楷体" w:eastAsia="楷体" w:hint="eastAsia"/>
                <w:sz w:val="18"/>
              </w:rPr>
              <w:t xml:space="preserve">续债 </w:t>
            </w:r>
            <w:r>
              <w:rPr>
                <w:sz w:val="18"/>
              </w:rPr>
              <w:t>01</w:t>
            </w:r>
          </w:p>
        </w:tc>
        <w:tc>
          <w:tcPr>
            <w:tcW w:w="1234" w:type="dxa"/>
          </w:tcPr>
          <w:p>
            <w:pPr>
              <w:pStyle w:val="TableParagraph"/>
              <w:spacing w:before="5"/>
              <w:jc w:val="left"/>
              <w:rPr>
                <w:rFonts w:ascii="楷体"/>
                <w:i/>
                <w:sz w:val="28"/>
              </w:rPr>
            </w:pPr>
          </w:p>
          <w:p>
            <w:pPr>
              <w:pStyle w:val="TableParagraph"/>
              <w:ind w:left="128" w:right="144"/>
              <w:rPr>
                <w:sz w:val="18"/>
              </w:rPr>
            </w:pPr>
            <w:r>
              <w:rPr>
                <w:sz w:val="18"/>
              </w:rPr>
              <w:t>2023-07-10</w:t>
            </w:r>
          </w:p>
        </w:tc>
        <w:tc>
          <w:tcPr>
            <w:tcW w:w="1243" w:type="dxa"/>
          </w:tcPr>
          <w:p>
            <w:pPr>
              <w:pStyle w:val="TableParagraph"/>
              <w:spacing w:before="5"/>
              <w:jc w:val="left"/>
              <w:rPr>
                <w:rFonts w:ascii="楷体"/>
                <w:i/>
                <w:sz w:val="28"/>
              </w:rPr>
            </w:pPr>
          </w:p>
          <w:p>
            <w:pPr>
              <w:pStyle w:val="TableParagraph"/>
              <w:ind w:left="141" w:right="140"/>
              <w:rPr>
                <w:sz w:val="18"/>
              </w:rPr>
            </w:pPr>
            <w:r>
              <w:rPr>
                <w:sz w:val="18"/>
              </w:rPr>
              <w:t>2028-07-10</w:t>
            </w:r>
          </w:p>
        </w:tc>
        <w:tc>
          <w:tcPr>
            <w:tcW w:w="1017" w:type="dxa"/>
          </w:tcPr>
          <w:p>
            <w:pPr>
              <w:pStyle w:val="TableParagraph"/>
              <w:spacing w:before="5"/>
              <w:jc w:val="left"/>
              <w:rPr>
                <w:rFonts w:ascii="楷体"/>
                <w:i/>
                <w:sz w:val="28"/>
              </w:rPr>
            </w:pPr>
          </w:p>
          <w:p>
            <w:pPr>
              <w:pStyle w:val="TableParagraph"/>
              <w:ind w:left="132" w:right="121"/>
              <w:rPr>
                <w:sz w:val="18"/>
              </w:rPr>
            </w:pPr>
            <w:r>
              <w:rPr>
                <w:sz w:val="18"/>
              </w:rPr>
              <w:t>3.45</w:t>
            </w:r>
          </w:p>
        </w:tc>
        <w:tc>
          <w:tcPr>
            <w:tcW w:w="1166" w:type="dxa"/>
          </w:tcPr>
          <w:p>
            <w:pPr>
              <w:pStyle w:val="TableParagraph"/>
              <w:spacing w:before="40"/>
              <w:ind w:left="115" w:right="111"/>
              <w:rPr>
                <w:rFonts w:ascii="楷体" w:eastAsia="楷体" w:hint="eastAsia"/>
                <w:sz w:val="18"/>
              </w:rPr>
            </w:pPr>
            <w:r>
              <w:rPr>
                <w:rFonts w:ascii="楷体" w:eastAsia="楷体" w:hint="eastAsia"/>
                <w:sz w:val="18"/>
              </w:rPr>
              <w:t>商业银行永</w:t>
            </w:r>
          </w:p>
          <w:p>
            <w:pPr>
              <w:pStyle w:val="TableParagraph"/>
              <w:spacing w:before="82"/>
              <w:ind w:left="115" w:right="109"/>
              <w:rPr>
                <w:rFonts w:ascii="楷体" w:eastAsia="楷体" w:hint="eastAsia"/>
                <w:sz w:val="18"/>
              </w:rPr>
            </w:pPr>
            <w:r>
              <w:rPr>
                <w:rFonts w:ascii="楷体" w:eastAsia="楷体" w:hint="eastAsia"/>
                <w:sz w:val="18"/>
              </w:rPr>
              <w:t>续债</w:t>
            </w:r>
          </w:p>
        </w:tc>
        <w:tc>
          <w:tcPr>
            <w:tcW w:w="994" w:type="dxa"/>
          </w:tcPr>
          <w:p>
            <w:pPr>
              <w:pStyle w:val="TableParagraph"/>
              <w:spacing w:before="5"/>
              <w:jc w:val="left"/>
              <w:rPr>
                <w:rFonts w:ascii="楷体"/>
                <w:i/>
                <w:sz w:val="28"/>
              </w:rPr>
            </w:pPr>
          </w:p>
          <w:p>
            <w:pPr>
              <w:pStyle w:val="TableParagraph"/>
              <w:ind w:left="104" w:right="125"/>
              <w:rPr>
                <w:sz w:val="18"/>
              </w:rPr>
            </w:pPr>
            <w:r>
              <w:rPr>
                <w:sz w:val="18"/>
              </w:rPr>
              <w:t>100.00</w:t>
            </w:r>
          </w:p>
        </w:tc>
        <w:tc>
          <w:tcPr>
            <w:tcW w:w="832" w:type="dxa"/>
          </w:tcPr>
          <w:p>
            <w:pPr>
              <w:pStyle w:val="TableParagraph"/>
              <w:spacing w:before="5"/>
              <w:jc w:val="left"/>
              <w:rPr>
                <w:rFonts w:ascii="楷体"/>
                <w:i/>
                <w:sz w:val="28"/>
              </w:rPr>
            </w:pPr>
          </w:p>
          <w:p>
            <w:pPr>
              <w:pStyle w:val="TableParagraph"/>
              <w:ind w:left="121" w:right="126"/>
              <w:rPr>
                <w:sz w:val="18"/>
              </w:rPr>
            </w:pPr>
            <w:r>
              <w:rPr>
                <w:sz w:val="18"/>
              </w:rPr>
              <w:t>4.43</w:t>
            </w:r>
          </w:p>
        </w:tc>
        <w:tc>
          <w:tcPr>
            <w:tcW w:w="1024" w:type="dxa"/>
          </w:tcPr>
          <w:p>
            <w:pPr>
              <w:pStyle w:val="TableParagraph"/>
              <w:spacing w:before="5"/>
              <w:jc w:val="left"/>
              <w:rPr>
                <w:rFonts w:ascii="楷体"/>
                <w:i/>
                <w:sz w:val="28"/>
              </w:rPr>
            </w:pPr>
          </w:p>
          <w:p>
            <w:pPr>
              <w:pStyle w:val="TableParagraph"/>
              <w:ind w:left="119" w:right="139"/>
              <w:rPr>
                <w:sz w:val="18"/>
              </w:rPr>
            </w:pPr>
            <w:r>
              <w:rPr>
                <w:sz w:val="18"/>
              </w:rPr>
              <w:t>AA+</w:t>
            </w:r>
          </w:p>
        </w:tc>
        <w:tc>
          <w:tcPr>
            <w:tcW w:w="1057" w:type="dxa"/>
          </w:tcPr>
          <w:p>
            <w:pPr>
              <w:pStyle w:val="TableParagraph"/>
              <w:spacing w:before="5"/>
              <w:jc w:val="left"/>
              <w:rPr>
                <w:rFonts w:ascii="楷体"/>
                <w:i/>
                <w:sz w:val="28"/>
              </w:rPr>
            </w:pPr>
          </w:p>
          <w:p>
            <w:pPr>
              <w:pStyle w:val="TableParagraph"/>
              <w:ind w:left="132" w:right="161"/>
              <w:rPr>
                <w:sz w:val="18"/>
              </w:rPr>
            </w:pPr>
            <w:r>
              <w:rPr>
                <w:sz w:val="18"/>
              </w:rPr>
              <w:t>2.84</w:t>
            </w:r>
          </w:p>
        </w:tc>
      </w:tr>
      <w:tr>
        <w:tblPrEx>
          <w:tblW w:w="0" w:type="auto"/>
          <w:jc w:val="left"/>
          <w:tblInd w:w="168" w:type="dxa"/>
          <w:tblLayout w:type="fixed"/>
          <w:tblCellMar>
            <w:top w:w="0" w:type="dxa"/>
            <w:left w:w="0" w:type="dxa"/>
            <w:bottom w:w="0" w:type="dxa"/>
            <w:right w:w="0" w:type="dxa"/>
          </w:tblCellMar>
          <w:tblLook w:val="01E0"/>
        </w:tblPrEx>
        <w:trPr>
          <w:trHeight w:val="624"/>
          <w:jc w:val="left"/>
        </w:trPr>
        <w:tc>
          <w:tcPr>
            <w:tcW w:w="1345" w:type="dxa"/>
            <w:shd w:val="clear" w:color="auto" w:fill="F1F1F1"/>
          </w:tcPr>
          <w:p>
            <w:pPr>
              <w:pStyle w:val="TableParagraph"/>
              <w:spacing w:before="5"/>
              <w:jc w:val="left"/>
              <w:rPr>
                <w:rFonts w:ascii="楷体"/>
                <w:i/>
                <w:sz w:val="28"/>
              </w:rPr>
            </w:pPr>
          </w:p>
          <w:p>
            <w:pPr>
              <w:pStyle w:val="TableParagraph"/>
              <w:ind w:left="89" w:right="91"/>
              <w:rPr>
                <w:sz w:val="18"/>
              </w:rPr>
            </w:pPr>
            <w:r>
              <w:rPr>
                <w:sz w:val="18"/>
              </w:rPr>
              <w:t>2020044.IB</w:t>
            </w:r>
          </w:p>
        </w:tc>
        <w:tc>
          <w:tcPr>
            <w:tcW w:w="1409" w:type="dxa"/>
            <w:shd w:val="clear" w:color="auto" w:fill="F1F1F1"/>
          </w:tcPr>
          <w:p>
            <w:pPr>
              <w:pStyle w:val="TableParagraph"/>
              <w:spacing w:before="40"/>
              <w:ind w:left="94" w:right="124"/>
              <w:rPr>
                <w:rFonts w:ascii="楷体" w:eastAsia="楷体" w:hint="eastAsia"/>
                <w:sz w:val="18"/>
              </w:rPr>
            </w:pPr>
            <w:r>
              <w:rPr>
                <w:sz w:val="18"/>
              </w:rPr>
              <w:t xml:space="preserve">20 </w:t>
            </w:r>
            <w:r>
              <w:rPr>
                <w:rFonts w:ascii="楷体" w:eastAsia="楷体" w:hint="eastAsia"/>
                <w:sz w:val="18"/>
              </w:rPr>
              <w:t>宁波银行二</w:t>
            </w:r>
          </w:p>
          <w:p>
            <w:pPr>
              <w:pStyle w:val="TableParagraph"/>
              <w:spacing w:before="82"/>
              <w:ind w:right="34"/>
              <w:rPr>
                <w:rFonts w:ascii="楷体" w:eastAsia="楷体" w:hint="eastAsia"/>
                <w:sz w:val="18"/>
              </w:rPr>
            </w:pPr>
            <w:r>
              <w:rPr>
                <w:rFonts w:ascii="楷体" w:eastAsia="楷体" w:hint="eastAsia"/>
                <w:sz w:val="18"/>
              </w:rPr>
              <w:t>级</w:t>
            </w:r>
          </w:p>
        </w:tc>
        <w:tc>
          <w:tcPr>
            <w:tcW w:w="1234" w:type="dxa"/>
            <w:shd w:val="clear" w:color="auto" w:fill="F1F1F1"/>
          </w:tcPr>
          <w:p>
            <w:pPr>
              <w:pStyle w:val="TableParagraph"/>
              <w:spacing w:before="5"/>
              <w:jc w:val="left"/>
              <w:rPr>
                <w:rFonts w:ascii="楷体"/>
                <w:i/>
                <w:sz w:val="28"/>
              </w:rPr>
            </w:pPr>
          </w:p>
          <w:p>
            <w:pPr>
              <w:pStyle w:val="TableParagraph"/>
              <w:ind w:left="128" w:right="144"/>
              <w:rPr>
                <w:sz w:val="18"/>
              </w:rPr>
            </w:pPr>
            <w:r>
              <w:rPr>
                <w:sz w:val="18"/>
              </w:rPr>
              <w:t>2020-08-10</w:t>
            </w:r>
          </w:p>
        </w:tc>
        <w:tc>
          <w:tcPr>
            <w:tcW w:w="1243" w:type="dxa"/>
            <w:shd w:val="clear" w:color="auto" w:fill="F1F1F1"/>
          </w:tcPr>
          <w:p>
            <w:pPr>
              <w:pStyle w:val="TableParagraph"/>
              <w:spacing w:before="5"/>
              <w:jc w:val="left"/>
              <w:rPr>
                <w:rFonts w:ascii="楷体"/>
                <w:i/>
                <w:sz w:val="28"/>
              </w:rPr>
            </w:pPr>
          </w:p>
          <w:p>
            <w:pPr>
              <w:pStyle w:val="TableParagraph"/>
              <w:ind w:left="141" w:right="140"/>
              <w:rPr>
                <w:sz w:val="18"/>
              </w:rPr>
            </w:pPr>
            <w:r>
              <w:rPr>
                <w:sz w:val="18"/>
              </w:rPr>
              <w:t>2030-08-10</w:t>
            </w:r>
          </w:p>
        </w:tc>
        <w:tc>
          <w:tcPr>
            <w:tcW w:w="1017" w:type="dxa"/>
            <w:shd w:val="clear" w:color="auto" w:fill="F1F1F1"/>
          </w:tcPr>
          <w:p>
            <w:pPr>
              <w:pStyle w:val="TableParagraph"/>
              <w:spacing w:before="5"/>
              <w:jc w:val="left"/>
              <w:rPr>
                <w:rFonts w:ascii="楷体"/>
                <w:i/>
                <w:sz w:val="28"/>
              </w:rPr>
            </w:pPr>
          </w:p>
          <w:p>
            <w:pPr>
              <w:pStyle w:val="TableParagraph"/>
              <w:ind w:left="132" w:right="121"/>
              <w:rPr>
                <w:sz w:val="18"/>
              </w:rPr>
            </w:pPr>
            <w:r>
              <w:rPr>
                <w:sz w:val="18"/>
              </w:rPr>
              <w:t>4.10</w:t>
            </w:r>
          </w:p>
        </w:tc>
        <w:tc>
          <w:tcPr>
            <w:tcW w:w="1166" w:type="dxa"/>
            <w:shd w:val="clear" w:color="auto" w:fill="F1F1F1"/>
          </w:tcPr>
          <w:p>
            <w:pPr>
              <w:pStyle w:val="TableParagraph"/>
              <w:spacing w:before="40"/>
              <w:ind w:left="135"/>
              <w:jc w:val="left"/>
              <w:rPr>
                <w:rFonts w:ascii="楷体" w:eastAsia="楷体" w:hint="eastAsia"/>
                <w:sz w:val="18"/>
              </w:rPr>
            </w:pPr>
            <w:r>
              <w:rPr>
                <w:rFonts w:ascii="楷体" w:eastAsia="楷体" w:hint="eastAsia"/>
                <w:sz w:val="18"/>
              </w:rPr>
              <w:t>商业银行二</w:t>
            </w:r>
          </w:p>
          <w:p>
            <w:pPr>
              <w:pStyle w:val="TableParagraph"/>
              <w:spacing w:before="82"/>
              <w:ind w:left="226"/>
              <w:jc w:val="left"/>
              <w:rPr>
                <w:rFonts w:ascii="楷体" w:eastAsia="楷体" w:hint="eastAsia"/>
                <w:sz w:val="18"/>
              </w:rPr>
            </w:pPr>
            <w:r>
              <w:rPr>
                <w:rFonts w:ascii="楷体" w:eastAsia="楷体" w:hint="eastAsia"/>
                <w:sz w:val="18"/>
              </w:rPr>
              <w:t>级资本债</w:t>
            </w:r>
          </w:p>
        </w:tc>
        <w:tc>
          <w:tcPr>
            <w:tcW w:w="994" w:type="dxa"/>
            <w:shd w:val="clear" w:color="auto" w:fill="F1F1F1"/>
          </w:tcPr>
          <w:p>
            <w:pPr>
              <w:pStyle w:val="TableParagraph"/>
              <w:spacing w:before="5"/>
              <w:jc w:val="left"/>
              <w:rPr>
                <w:rFonts w:ascii="楷体"/>
                <w:i/>
                <w:sz w:val="28"/>
              </w:rPr>
            </w:pPr>
          </w:p>
          <w:p>
            <w:pPr>
              <w:pStyle w:val="TableParagraph"/>
              <w:ind w:left="104" w:right="125"/>
              <w:rPr>
                <w:sz w:val="18"/>
              </w:rPr>
            </w:pPr>
            <w:r>
              <w:rPr>
                <w:sz w:val="18"/>
              </w:rPr>
              <w:t>100.00</w:t>
            </w:r>
          </w:p>
        </w:tc>
        <w:tc>
          <w:tcPr>
            <w:tcW w:w="832" w:type="dxa"/>
            <w:shd w:val="clear" w:color="auto" w:fill="F1F1F1"/>
          </w:tcPr>
          <w:p>
            <w:pPr>
              <w:pStyle w:val="TableParagraph"/>
              <w:spacing w:before="5"/>
              <w:jc w:val="left"/>
              <w:rPr>
                <w:rFonts w:ascii="楷体"/>
                <w:i/>
                <w:sz w:val="28"/>
              </w:rPr>
            </w:pPr>
          </w:p>
          <w:p>
            <w:pPr>
              <w:pStyle w:val="TableParagraph"/>
              <w:ind w:left="121" w:right="126"/>
              <w:rPr>
                <w:sz w:val="18"/>
              </w:rPr>
            </w:pPr>
            <w:r>
              <w:rPr>
                <w:sz w:val="18"/>
              </w:rPr>
              <w:t>1.51</w:t>
            </w:r>
          </w:p>
        </w:tc>
        <w:tc>
          <w:tcPr>
            <w:tcW w:w="1024" w:type="dxa"/>
            <w:shd w:val="clear" w:color="auto" w:fill="F1F1F1"/>
          </w:tcPr>
          <w:p>
            <w:pPr>
              <w:pStyle w:val="TableParagraph"/>
              <w:spacing w:before="5"/>
              <w:jc w:val="left"/>
              <w:rPr>
                <w:rFonts w:ascii="楷体"/>
                <w:i/>
                <w:sz w:val="28"/>
              </w:rPr>
            </w:pPr>
          </w:p>
          <w:p>
            <w:pPr>
              <w:pStyle w:val="TableParagraph"/>
              <w:ind w:left="119" w:right="139"/>
              <w:rPr>
                <w:sz w:val="18"/>
              </w:rPr>
            </w:pPr>
            <w:r>
              <w:rPr>
                <w:sz w:val="18"/>
              </w:rPr>
              <w:t>AA+</w:t>
            </w:r>
          </w:p>
        </w:tc>
        <w:tc>
          <w:tcPr>
            <w:tcW w:w="1057" w:type="dxa"/>
            <w:shd w:val="clear" w:color="auto" w:fill="F1F1F1"/>
          </w:tcPr>
          <w:p>
            <w:pPr>
              <w:pStyle w:val="TableParagraph"/>
              <w:spacing w:before="5"/>
              <w:jc w:val="left"/>
              <w:rPr>
                <w:rFonts w:ascii="楷体"/>
                <w:i/>
                <w:sz w:val="28"/>
              </w:rPr>
            </w:pPr>
          </w:p>
          <w:p>
            <w:pPr>
              <w:pStyle w:val="TableParagraph"/>
              <w:ind w:left="132" w:right="161"/>
              <w:rPr>
                <w:sz w:val="18"/>
              </w:rPr>
            </w:pPr>
            <w:r>
              <w:rPr>
                <w:sz w:val="18"/>
              </w:rPr>
              <w:t>2.55</w:t>
            </w:r>
          </w:p>
        </w:tc>
      </w:tr>
      <w:tr>
        <w:tblPrEx>
          <w:tblW w:w="0" w:type="auto"/>
          <w:jc w:val="left"/>
          <w:tblInd w:w="168" w:type="dxa"/>
          <w:tblLayout w:type="fixed"/>
          <w:tblCellMar>
            <w:top w:w="0" w:type="dxa"/>
            <w:left w:w="0" w:type="dxa"/>
            <w:bottom w:w="0" w:type="dxa"/>
            <w:right w:w="0" w:type="dxa"/>
          </w:tblCellMar>
          <w:tblLook w:val="01E0"/>
        </w:tblPrEx>
        <w:trPr>
          <w:trHeight w:val="623"/>
          <w:jc w:val="left"/>
        </w:trPr>
        <w:tc>
          <w:tcPr>
            <w:tcW w:w="1345" w:type="dxa"/>
          </w:tcPr>
          <w:p>
            <w:pPr>
              <w:pStyle w:val="TableParagraph"/>
              <w:spacing w:before="5"/>
              <w:jc w:val="left"/>
              <w:rPr>
                <w:rFonts w:ascii="楷体"/>
                <w:i/>
                <w:sz w:val="28"/>
              </w:rPr>
            </w:pPr>
          </w:p>
          <w:p>
            <w:pPr>
              <w:pStyle w:val="TableParagraph"/>
              <w:ind w:left="89" w:right="91"/>
              <w:rPr>
                <w:sz w:val="18"/>
              </w:rPr>
            </w:pPr>
            <w:r>
              <w:rPr>
                <w:sz w:val="18"/>
              </w:rPr>
              <w:t>1920046.IB</w:t>
            </w:r>
          </w:p>
        </w:tc>
        <w:tc>
          <w:tcPr>
            <w:tcW w:w="1409" w:type="dxa"/>
          </w:tcPr>
          <w:p>
            <w:pPr>
              <w:pStyle w:val="TableParagraph"/>
              <w:spacing w:before="41"/>
              <w:ind w:left="94" w:right="124"/>
              <w:rPr>
                <w:rFonts w:ascii="楷体" w:eastAsia="楷体" w:hint="eastAsia"/>
                <w:sz w:val="18"/>
              </w:rPr>
            </w:pPr>
            <w:r>
              <w:rPr>
                <w:sz w:val="18"/>
              </w:rPr>
              <w:t xml:space="preserve">19 </w:t>
            </w:r>
            <w:r>
              <w:rPr>
                <w:rFonts w:ascii="楷体" w:eastAsia="楷体" w:hint="eastAsia"/>
                <w:sz w:val="18"/>
              </w:rPr>
              <w:t>宁波银行二</w:t>
            </w:r>
          </w:p>
          <w:p>
            <w:pPr>
              <w:pStyle w:val="TableParagraph"/>
              <w:spacing w:before="81"/>
              <w:ind w:right="34"/>
              <w:rPr>
                <w:rFonts w:ascii="楷体" w:eastAsia="楷体" w:hint="eastAsia"/>
                <w:sz w:val="18"/>
              </w:rPr>
            </w:pPr>
            <w:r>
              <w:rPr>
                <w:rFonts w:ascii="楷体" w:eastAsia="楷体" w:hint="eastAsia"/>
                <w:sz w:val="18"/>
              </w:rPr>
              <w:t>级</w:t>
            </w:r>
          </w:p>
        </w:tc>
        <w:tc>
          <w:tcPr>
            <w:tcW w:w="1234" w:type="dxa"/>
          </w:tcPr>
          <w:p>
            <w:pPr>
              <w:pStyle w:val="TableParagraph"/>
              <w:spacing w:before="5"/>
              <w:jc w:val="left"/>
              <w:rPr>
                <w:rFonts w:ascii="楷体"/>
                <w:i/>
                <w:sz w:val="28"/>
              </w:rPr>
            </w:pPr>
          </w:p>
          <w:p>
            <w:pPr>
              <w:pStyle w:val="TableParagraph"/>
              <w:ind w:left="128" w:right="144"/>
              <w:rPr>
                <w:sz w:val="18"/>
              </w:rPr>
            </w:pPr>
            <w:r>
              <w:rPr>
                <w:sz w:val="18"/>
              </w:rPr>
              <w:t>2019-07-12</w:t>
            </w:r>
          </w:p>
        </w:tc>
        <w:tc>
          <w:tcPr>
            <w:tcW w:w="1243" w:type="dxa"/>
          </w:tcPr>
          <w:p>
            <w:pPr>
              <w:pStyle w:val="TableParagraph"/>
              <w:spacing w:before="5"/>
              <w:jc w:val="left"/>
              <w:rPr>
                <w:rFonts w:ascii="楷体"/>
                <w:i/>
                <w:sz w:val="28"/>
              </w:rPr>
            </w:pPr>
          </w:p>
          <w:p>
            <w:pPr>
              <w:pStyle w:val="TableParagraph"/>
              <w:ind w:left="141" w:right="140"/>
              <w:rPr>
                <w:sz w:val="18"/>
              </w:rPr>
            </w:pPr>
            <w:r>
              <w:rPr>
                <w:sz w:val="18"/>
              </w:rPr>
              <w:t>2029-07-12</w:t>
            </w:r>
          </w:p>
        </w:tc>
        <w:tc>
          <w:tcPr>
            <w:tcW w:w="1017" w:type="dxa"/>
          </w:tcPr>
          <w:p>
            <w:pPr>
              <w:pStyle w:val="TableParagraph"/>
              <w:spacing w:before="5"/>
              <w:jc w:val="left"/>
              <w:rPr>
                <w:rFonts w:ascii="楷体"/>
                <w:i/>
                <w:sz w:val="28"/>
              </w:rPr>
            </w:pPr>
          </w:p>
          <w:p>
            <w:pPr>
              <w:pStyle w:val="TableParagraph"/>
              <w:ind w:left="132" w:right="121"/>
              <w:rPr>
                <w:sz w:val="18"/>
              </w:rPr>
            </w:pPr>
            <w:r>
              <w:rPr>
                <w:sz w:val="18"/>
              </w:rPr>
              <w:t>4.40</w:t>
            </w:r>
          </w:p>
        </w:tc>
        <w:tc>
          <w:tcPr>
            <w:tcW w:w="1166" w:type="dxa"/>
          </w:tcPr>
          <w:p>
            <w:pPr>
              <w:pStyle w:val="TableParagraph"/>
              <w:spacing w:before="41"/>
              <w:ind w:left="135"/>
              <w:jc w:val="left"/>
              <w:rPr>
                <w:rFonts w:ascii="楷体" w:eastAsia="楷体" w:hint="eastAsia"/>
                <w:sz w:val="18"/>
              </w:rPr>
            </w:pPr>
            <w:r>
              <w:rPr>
                <w:rFonts w:ascii="楷体" w:eastAsia="楷体" w:hint="eastAsia"/>
                <w:sz w:val="18"/>
              </w:rPr>
              <w:t>商业银行二</w:t>
            </w:r>
          </w:p>
          <w:p>
            <w:pPr>
              <w:pStyle w:val="TableParagraph"/>
              <w:spacing w:before="81"/>
              <w:ind w:left="226"/>
              <w:jc w:val="left"/>
              <w:rPr>
                <w:rFonts w:ascii="楷体" w:eastAsia="楷体" w:hint="eastAsia"/>
                <w:sz w:val="18"/>
              </w:rPr>
            </w:pPr>
            <w:r>
              <w:rPr>
                <w:rFonts w:ascii="楷体" w:eastAsia="楷体" w:hint="eastAsia"/>
                <w:sz w:val="18"/>
              </w:rPr>
              <w:t>级资本债</w:t>
            </w:r>
          </w:p>
        </w:tc>
        <w:tc>
          <w:tcPr>
            <w:tcW w:w="994" w:type="dxa"/>
          </w:tcPr>
          <w:p>
            <w:pPr>
              <w:pStyle w:val="TableParagraph"/>
              <w:spacing w:before="5"/>
              <w:jc w:val="left"/>
              <w:rPr>
                <w:rFonts w:ascii="楷体"/>
                <w:i/>
                <w:sz w:val="28"/>
              </w:rPr>
            </w:pPr>
          </w:p>
          <w:p>
            <w:pPr>
              <w:pStyle w:val="TableParagraph"/>
              <w:ind w:left="104" w:right="125"/>
              <w:rPr>
                <w:sz w:val="18"/>
              </w:rPr>
            </w:pPr>
            <w:r>
              <w:rPr>
                <w:sz w:val="18"/>
              </w:rPr>
              <w:t>100.00</w:t>
            </w:r>
          </w:p>
        </w:tc>
        <w:tc>
          <w:tcPr>
            <w:tcW w:w="832" w:type="dxa"/>
          </w:tcPr>
          <w:p>
            <w:pPr>
              <w:pStyle w:val="TableParagraph"/>
              <w:spacing w:before="5"/>
              <w:jc w:val="left"/>
              <w:rPr>
                <w:rFonts w:ascii="楷体"/>
                <w:i/>
                <w:sz w:val="28"/>
              </w:rPr>
            </w:pPr>
          </w:p>
          <w:p>
            <w:pPr>
              <w:pStyle w:val="TableParagraph"/>
              <w:ind w:left="121" w:right="126"/>
              <w:rPr>
                <w:sz w:val="18"/>
              </w:rPr>
            </w:pPr>
            <w:r>
              <w:rPr>
                <w:sz w:val="18"/>
              </w:rPr>
              <w:t>0.43</w:t>
            </w:r>
          </w:p>
        </w:tc>
        <w:tc>
          <w:tcPr>
            <w:tcW w:w="1024" w:type="dxa"/>
          </w:tcPr>
          <w:p>
            <w:pPr>
              <w:pStyle w:val="TableParagraph"/>
              <w:spacing w:before="5"/>
              <w:jc w:val="left"/>
              <w:rPr>
                <w:rFonts w:ascii="楷体"/>
                <w:i/>
                <w:sz w:val="28"/>
              </w:rPr>
            </w:pPr>
          </w:p>
          <w:p>
            <w:pPr>
              <w:pStyle w:val="TableParagraph"/>
              <w:ind w:left="119" w:right="139"/>
              <w:rPr>
                <w:sz w:val="18"/>
              </w:rPr>
            </w:pPr>
            <w:r>
              <w:rPr>
                <w:sz w:val="18"/>
              </w:rPr>
              <w:t>AA+</w:t>
            </w:r>
          </w:p>
        </w:tc>
        <w:tc>
          <w:tcPr>
            <w:tcW w:w="1057" w:type="dxa"/>
          </w:tcPr>
          <w:p>
            <w:pPr>
              <w:pStyle w:val="TableParagraph"/>
              <w:spacing w:before="5"/>
              <w:jc w:val="left"/>
              <w:rPr>
                <w:rFonts w:ascii="楷体"/>
                <w:i/>
                <w:sz w:val="28"/>
              </w:rPr>
            </w:pPr>
          </w:p>
          <w:p>
            <w:pPr>
              <w:pStyle w:val="TableParagraph"/>
              <w:ind w:left="132" w:right="161"/>
              <w:rPr>
                <w:sz w:val="18"/>
              </w:rPr>
            </w:pPr>
            <w:r>
              <w:rPr>
                <w:sz w:val="18"/>
              </w:rPr>
              <w:t>2.48</w:t>
            </w:r>
          </w:p>
        </w:tc>
      </w:tr>
      <w:tr>
        <w:tblPrEx>
          <w:tblW w:w="0" w:type="auto"/>
          <w:jc w:val="left"/>
          <w:tblInd w:w="168" w:type="dxa"/>
          <w:tblLayout w:type="fixed"/>
          <w:tblCellMar>
            <w:top w:w="0" w:type="dxa"/>
            <w:left w:w="0" w:type="dxa"/>
            <w:bottom w:w="0" w:type="dxa"/>
            <w:right w:w="0" w:type="dxa"/>
          </w:tblCellMar>
          <w:tblLook w:val="01E0"/>
        </w:tblPrEx>
        <w:trPr>
          <w:trHeight w:val="623"/>
          <w:jc w:val="left"/>
        </w:trPr>
        <w:tc>
          <w:tcPr>
            <w:tcW w:w="1345" w:type="dxa"/>
            <w:shd w:val="clear" w:color="auto" w:fill="F1F1F1"/>
          </w:tcPr>
          <w:p>
            <w:pPr>
              <w:pStyle w:val="TableParagraph"/>
              <w:spacing w:before="5"/>
              <w:jc w:val="left"/>
              <w:rPr>
                <w:rFonts w:ascii="楷体"/>
                <w:i/>
                <w:sz w:val="28"/>
              </w:rPr>
            </w:pPr>
          </w:p>
          <w:p>
            <w:pPr>
              <w:pStyle w:val="TableParagraph"/>
              <w:ind w:left="89" w:right="91"/>
              <w:rPr>
                <w:sz w:val="18"/>
              </w:rPr>
            </w:pPr>
            <w:r>
              <w:rPr>
                <w:sz w:val="18"/>
              </w:rPr>
              <w:t>2120047.IB</w:t>
            </w:r>
          </w:p>
        </w:tc>
        <w:tc>
          <w:tcPr>
            <w:tcW w:w="1409" w:type="dxa"/>
            <w:shd w:val="clear" w:color="auto" w:fill="F1F1F1"/>
          </w:tcPr>
          <w:p>
            <w:pPr>
              <w:pStyle w:val="TableParagraph"/>
              <w:spacing w:before="41"/>
              <w:ind w:left="94" w:right="124"/>
              <w:rPr>
                <w:rFonts w:ascii="楷体" w:eastAsia="楷体" w:hint="eastAsia"/>
                <w:sz w:val="18"/>
              </w:rPr>
            </w:pPr>
            <w:r>
              <w:rPr>
                <w:sz w:val="18"/>
              </w:rPr>
              <w:t xml:space="preserve">21 </w:t>
            </w:r>
            <w:r>
              <w:rPr>
                <w:rFonts w:ascii="楷体" w:eastAsia="楷体" w:hint="eastAsia"/>
                <w:sz w:val="18"/>
              </w:rPr>
              <w:t>宁波银行二</w:t>
            </w:r>
          </w:p>
          <w:p>
            <w:pPr>
              <w:pStyle w:val="TableParagraph"/>
              <w:spacing w:before="81"/>
              <w:ind w:left="94" w:right="124"/>
              <w:rPr>
                <w:sz w:val="18"/>
              </w:rPr>
            </w:pPr>
            <w:r>
              <w:rPr>
                <w:rFonts w:ascii="楷体" w:eastAsia="楷体" w:hint="eastAsia"/>
                <w:sz w:val="18"/>
              </w:rPr>
              <w:t xml:space="preserve">级 </w:t>
            </w:r>
            <w:r>
              <w:rPr>
                <w:sz w:val="18"/>
              </w:rPr>
              <w:t>01</w:t>
            </w:r>
          </w:p>
        </w:tc>
        <w:tc>
          <w:tcPr>
            <w:tcW w:w="1234" w:type="dxa"/>
            <w:shd w:val="clear" w:color="auto" w:fill="F1F1F1"/>
          </w:tcPr>
          <w:p>
            <w:pPr>
              <w:pStyle w:val="TableParagraph"/>
              <w:spacing w:before="5"/>
              <w:jc w:val="left"/>
              <w:rPr>
                <w:rFonts w:ascii="楷体"/>
                <w:i/>
                <w:sz w:val="28"/>
              </w:rPr>
            </w:pPr>
          </w:p>
          <w:p>
            <w:pPr>
              <w:pStyle w:val="TableParagraph"/>
              <w:ind w:left="128" w:right="144"/>
              <w:rPr>
                <w:sz w:val="18"/>
              </w:rPr>
            </w:pPr>
            <w:r>
              <w:rPr>
                <w:sz w:val="18"/>
              </w:rPr>
              <w:t>2021-06-07</w:t>
            </w:r>
          </w:p>
        </w:tc>
        <w:tc>
          <w:tcPr>
            <w:tcW w:w="1243" w:type="dxa"/>
            <w:shd w:val="clear" w:color="auto" w:fill="F1F1F1"/>
          </w:tcPr>
          <w:p>
            <w:pPr>
              <w:pStyle w:val="TableParagraph"/>
              <w:spacing w:before="5"/>
              <w:jc w:val="left"/>
              <w:rPr>
                <w:rFonts w:ascii="楷体"/>
                <w:i/>
                <w:sz w:val="28"/>
              </w:rPr>
            </w:pPr>
          </w:p>
          <w:p>
            <w:pPr>
              <w:pStyle w:val="TableParagraph"/>
              <w:ind w:left="141" w:right="140"/>
              <w:rPr>
                <w:sz w:val="18"/>
              </w:rPr>
            </w:pPr>
            <w:r>
              <w:rPr>
                <w:sz w:val="18"/>
              </w:rPr>
              <w:t>2031-06-07</w:t>
            </w:r>
          </w:p>
        </w:tc>
        <w:tc>
          <w:tcPr>
            <w:tcW w:w="1017" w:type="dxa"/>
            <w:shd w:val="clear" w:color="auto" w:fill="F1F1F1"/>
          </w:tcPr>
          <w:p>
            <w:pPr>
              <w:pStyle w:val="TableParagraph"/>
              <w:spacing w:before="5"/>
              <w:jc w:val="left"/>
              <w:rPr>
                <w:rFonts w:ascii="楷体"/>
                <w:i/>
                <w:sz w:val="28"/>
              </w:rPr>
            </w:pPr>
          </w:p>
          <w:p>
            <w:pPr>
              <w:pStyle w:val="TableParagraph"/>
              <w:ind w:left="132" w:right="121"/>
              <w:rPr>
                <w:sz w:val="18"/>
              </w:rPr>
            </w:pPr>
            <w:r>
              <w:rPr>
                <w:sz w:val="18"/>
              </w:rPr>
              <w:t>3.87</w:t>
            </w:r>
          </w:p>
        </w:tc>
        <w:tc>
          <w:tcPr>
            <w:tcW w:w="1166" w:type="dxa"/>
            <w:shd w:val="clear" w:color="auto" w:fill="F1F1F1"/>
          </w:tcPr>
          <w:p>
            <w:pPr>
              <w:pStyle w:val="TableParagraph"/>
              <w:spacing w:before="41"/>
              <w:ind w:left="135"/>
              <w:jc w:val="left"/>
              <w:rPr>
                <w:rFonts w:ascii="楷体" w:eastAsia="楷体" w:hint="eastAsia"/>
                <w:sz w:val="18"/>
              </w:rPr>
            </w:pPr>
            <w:r>
              <w:rPr>
                <w:rFonts w:ascii="楷体" w:eastAsia="楷体" w:hint="eastAsia"/>
                <w:sz w:val="18"/>
              </w:rPr>
              <w:t>商业银行二</w:t>
            </w:r>
          </w:p>
          <w:p>
            <w:pPr>
              <w:pStyle w:val="TableParagraph"/>
              <w:spacing w:before="81"/>
              <w:ind w:left="226"/>
              <w:jc w:val="left"/>
              <w:rPr>
                <w:rFonts w:ascii="楷体" w:eastAsia="楷体" w:hint="eastAsia"/>
                <w:sz w:val="18"/>
              </w:rPr>
            </w:pPr>
            <w:r>
              <w:rPr>
                <w:rFonts w:ascii="楷体" w:eastAsia="楷体" w:hint="eastAsia"/>
                <w:sz w:val="18"/>
              </w:rPr>
              <w:t>级资本债</w:t>
            </w:r>
          </w:p>
        </w:tc>
        <w:tc>
          <w:tcPr>
            <w:tcW w:w="994" w:type="dxa"/>
            <w:shd w:val="clear" w:color="auto" w:fill="F1F1F1"/>
          </w:tcPr>
          <w:p>
            <w:pPr>
              <w:pStyle w:val="TableParagraph"/>
              <w:spacing w:before="5"/>
              <w:jc w:val="left"/>
              <w:rPr>
                <w:rFonts w:ascii="楷体"/>
                <w:i/>
                <w:sz w:val="28"/>
              </w:rPr>
            </w:pPr>
          </w:p>
          <w:p>
            <w:pPr>
              <w:pStyle w:val="TableParagraph"/>
              <w:ind w:left="103" w:right="127"/>
              <w:rPr>
                <w:sz w:val="18"/>
              </w:rPr>
            </w:pPr>
            <w:r>
              <w:rPr>
                <w:sz w:val="18"/>
              </w:rPr>
              <w:t>60.00</w:t>
            </w:r>
          </w:p>
        </w:tc>
        <w:tc>
          <w:tcPr>
            <w:tcW w:w="832" w:type="dxa"/>
            <w:shd w:val="clear" w:color="auto" w:fill="F1F1F1"/>
          </w:tcPr>
          <w:p>
            <w:pPr>
              <w:pStyle w:val="TableParagraph"/>
              <w:spacing w:before="5"/>
              <w:jc w:val="left"/>
              <w:rPr>
                <w:rFonts w:ascii="楷体"/>
                <w:i/>
                <w:sz w:val="28"/>
              </w:rPr>
            </w:pPr>
          </w:p>
          <w:p>
            <w:pPr>
              <w:pStyle w:val="TableParagraph"/>
              <w:ind w:left="121" w:right="126"/>
              <w:rPr>
                <w:sz w:val="18"/>
              </w:rPr>
            </w:pPr>
            <w:r>
              <w:rPr>
                <w:sz w:val="18"/>
              </w:rPr>
              <w:t>2.34</w:t>
            </w:r>
          </w:p>
        </w:tc>
        <w:tc>
          <w:tcPr>
            <w:tcW w:w="1024" w:type="dxa"/>
            <w:shd w:val="clear" w:color="auto" w:fill="F1F1F1"/>
          </w:tcPr>
          <w:p>
            <w:pPr>
              <w:pStyle w:val="TableParagraph"/>
              <w:spacing w:before="5"/>
              <w:jc w:val="left"/>
              <w:rPr>
                <w:rFonts w:ascii="楷体"/>
                <w:i/>
                <w:sz w:val="28"/>
              </w:rPr>
            </w:pPr>
          </w:p>
          <w:p>
            <w:pPr>
              <w:pStyle w:val="TableParagraph"/>
              <w:ind w:left="119" w:right="139"/>
              <w:rPr>
                <w:sz w:val="18"/>
              </w:rPr>
            </w:pPr>
            <w:r>
              <w:rPr>
                <w:sz w:val="18"/>
              </w:rPr>
              <w:t>AA+</w:t>
            </w:r>
          </w:p>
        </w:tc>
        <w:tc>
          <w:tcPr>
            <w:tcW w:w="1057" w:type="dxa"/>
            <w:shd w:val="clear" w:color="auto" w:fill="F1F1F1"/>
          </w:tcPr>
          <w:p>
            <w:pPr>
              <w:pStyle w:val="TableParagraph"/>
              <w:spacing w:before="5"/>
              <w:jc w:val="left"/>
              <w:rPr>
                <w:rFonts w:ascii="楷体"/>
                <w:i/>
                <w:sz w:val="28"/>
              </w:rPr>
            </w:pPr>
          </w:p>
          <w:p>
            <w:pPr>
              <w:pStyle w:val="TableParagraph"/>
              <w:ind w:left="132" w:right="161"/>
              <w:rPr>
                <w:sz w:val="18"/>
              </w:rPr>
            </w:pPr>
            <w:r>
              <w:rPr>
                <w:sz w:val="18"/>
              </w:rPr>
              <w:t>2.63</w:t>
            </w:r>
          </w:p>
        </w:tc>
      </w:tr>
      <w:tr>
        <w:tblPrEx>
          <w:tblW w:w="0" w:type="auto"/>
          <w:jc w:val="left"/>
          <w:tblInd w:w="168" w:type="dxa"/>
          <w:tblLayout w:type="fixed"/>
          <w:tblCellMar>
            <w:top w:w="0" w:type="dxa"/>
            <w:left w:w="0" w:type="dxa"/>
            <w:bottom w:w="0" w:type="dxa"/>
            <w:right w:w="0" w:type="dxa"/>
          </w:tblCellMar>
          <w:tblLook w:val="01E0"/>
        </w:tblPrEx>
        <w:trPr>
          <w:trHeight w:val="628"/>
          <w:jc w:val="left"/>
        </w:trPr>
        <w:tc>
          <w:tcPr>
            <w:tcW w:w="1345" w:type="dxa"/>
          </w:tcPr>
          <w:p>
            <w:pPr>
              <w:pStyle w:val="TableParagraph"/>
              <w:spacing w:before="5"/>
              <w:jc w:val="left"/>
              <w:rPr>
                <w:rFonts w:ascii="楷体"/>
                <w:i/>
                <w:sz w:val="28"/>
              </w:rPr>
            </w:pPr>
          </w:p>
          <w:p>
            <w:pPr>
              <w:pStyle w:val="TableParagraph"/>
              <w:ind w:left="89" w:right="91"/>
              <w:rPr>
                <w:sz w:val="18"/>
              </w:rPr>
            </w:pPr>
            <w:r>
              <w:rPr>
                <w:sz w:val="18"/>
              </w:rPr>
              <w:t>2120062.IB</w:t>
            </w:r>
          </w:p>
        </w:tc>
        <w:tc>
          <w:tcPr>
            <w:tcW w:w="1409" w:type="dxa"/>
          </w:tcPr>
          <w:p>
            <w:pPr>
              <w:pStyle w:val="TableParagraph"/>
              <w:spacing w:before="41"/>
              <w:ind w:left="94" w:right="124"/>
              <w:rPr>
                <w:rFonts w:ascii="楷体" w:eastAsia="楷体" w:hint="eastAsia"/>
                <w:sz w:val="18"/>
              </w:rPr>
            </w:pPr>
            <w:r>
              <w:rPr>
                <w:sz w:val="18"/>
              </w:rPr>
              <w:t xml:space="preserve">21 </w:t>
            </w:r>
            <w:r>
              <w:rPr>
                <w:rFonts w:ascii="楷体" w:eastAsia="楷体" w:hint="eastAsia"/>
                <w:sz w:val="18"/>
              </w:rPr>
              <w:t>宁波银行二</w:t>
            </w:r>
          </w:p>
          <w:p>
            <w:pPr>
              <w:pStyle w:val="TableParagraph"/>
              <w:spacing w:before="81"/>
              <w:ind w:left="94" w:right="124"/>
              <w:rPr>
                <w:sz w:val="18"/>
              </w:rPr>
            </w:pPr>
            <w:r>
              <w:rPr>
                <w:rFonts w:ascii="楷体" w:eastAsia="楷体" w:hint="eastAsia"/>
                <w:sz w:val="18"/>
              </w:rPr>
              <w:t xml:space="preserve">级 </w:t>
            </w:r>
            <w:r>
              <w:rPr>
                <w:sz w:val="18"/>
              </w:rPr>
              <w:t>02</w:t>
            </w:r>
          </w:p>
        </w:tc>
        <w:tc>
          <w:tcPr>
            <w:tcW w:w="1234" w:type="dxa"/>
          </w:tcPr>
          <w:p>
            <w:pPr>
              <w:pStyle w:val="TableParagraph"/>
              <w:spacing w:before="5"/>
              <w:jc w:val="left"/>
              <w:rPr>
                <w:rFonts w:ascii="楷体"/>
                <w:i/>
                <w:sz w:val="28"/>
              </w:rPr>
            </w:pPr>
          </w:p>
          <w:p>
            <w:pPr>
              <w:pStyle w:val="TableParagraph"/>
              <w:ind w:left="128" w:right="144"/>
              <w:rPr>
                <w:sz w:val="18"/>
              </w:rPr>
            </w:pPr>
            <w:r>
              <w:rPr>
                <w:sz w:val="18"/>
              </w:rPr>
              <w:t>2021-07-12</w:t>
            </w:r>
          </w:p>
        </w:tc>
        <w:tc>
          <w:tcPr>
            <w:tcW w:w="1243" w:type="dxa"/>
          </w:tcPr>
          <w:p>
            <w:pPr>
              <w:pStyle w:val="TableParagraph"/>
              <w:spacing w:before="5"/>
              <w:jc w:val="left"/>
              <w:rPr>
                <w:rFonts w:ascii="楷体"/>
                <w:i/>
                <w:sz w:val="28"/>
              </w:rPr>
            </w:pPr>
          </w:p>
          <w:p>
            <w:pPr>
              <w:pStyle w:val="TableParagraph"/>
              <w:ind w:left="141" w:right="140"/>
              <w:rPr>
                <w:sz w:val="18"/>
              </w:rPr>
            </w:pPr>
            <w:r>
              <w:rPr>
                <w:sz w:val="18"/>
              </w:rPr>
              <w:t>2031-07-12</w:t>
            </w:r>
          </w:p>
        </w:tc>
        <w:tc>
          <w:tcPr>
            <w:tcW w:w="1017" w:type="dxa"/>
          </w:tcPr>
          <w:p>
            <w:pPr>
              <w:pStyle w:val="TableParagraph"/>
              <w:spacing w:before="5"/>
              <w:jc w:val="left"/>
              <w:rPr>
                <w:rFonts w:ascii="楷体"/>
                <w:i/>
                <w:sz w:val="28"/>
              </w:rPr>
            </w:pPr>
          </w:p>
          <w:p>
            <w:pPr>
              <w:pStyle w:val="TableParagraph"/>
              <w:ind w:left="132" w:right="121"/>
              <w:rPr>
                <w:sz w:val="18"/>
              </w:rPr>
            </w:pPr>
            <w:r>
              <w:rPr>
                <w:sz w:val="18"/>
              </w:rPr>
              <w:t>3.68</w:t>
            </w:r>
          </w:p>
        </w:tc>
        <w:tc>
          <w:tcPr>
            <w:tcW w:w="1166" w:type="dxa"/>
          </w:tcPr>
          <w:p>
            <w:pPr>
              <w:pStyle w:val="TableParagraph"/>
              <w:spacing w:before="41"/>
              <w:ind w:left="135"/>
              <w:jc w:val="left"/>
              <w:rPr>
                <w:rFonts w:ascii="楷体" w:eastAsia="楷体" w:hint="eastAsia"/>
                <w:sz w:val="18"/>
              </w:rPr>
            </w:pPr>
            <w:r>
              <w:rPr>
                <w:rFonts w:ascii="楷体" w:eastAsia="楷体" w:hint="eastAsia"/>
                <w:sz w:val="18"/>
              </w:rPr>
              <w:t>商业银行二</w:t>
            </w:r>
          </w:p>
          <w:p>
            <w:pPr>
              <w:pStyle w:val="TableParagraph"/>
              <w:spacing w:before="81"/>
              <w:ind w:left="226"/>
              <w:jc w:val="left"/>
              <w:rPr>
                <w:rFonts w:ascii="楷体" w:eastAsia="楷体" w:hint="eastAsia"/>
                <w:sz w:val="18"/>
              </w:rPr>
            </w:pPr>
            <w:r>
              <w:rPr>
                <w:rFonts w:ascii="楷体" w:eastAsia="楷体" w:hint="eastAsia"/>
                <w:sz w:val="18"/>
              </w:rPr>
              <w:t>级资本债</w:t>
            </w:r>
          </w:p>
        </w:tc>
        <w:tc>
          <w:tcPr>
            <w:tcW w:w="994" w:type="dxa"/>
          </w:tcPr>
          <w:p>
            <w:pPr>
              <w:pStyle w:val="TableParagraph"/>
              <w:spacing w:before="5"/>
              <w:jc w:val="left"/>
              <w:rPr>
                <w:rFonts w:ascii="楷体"/>
                <w:i/>
                <w:sz w:val="28"/>
              </w:rPr>
            </w:pPr>
          </w:p>
          <w:p>
            <w:pPr>
              <w:pStyle w:val="TableParagraph"/>
              <w:ind w:left="103" w:right="127"/>
              <w:rPr>
                <w:sz w:val="18"/>
              </w:rPr>
            </w:pPr>
            <w:r>
              <w:rPr>
                <w:sz w:val="18"/>
              </w:rPr>
              <w:t>35.00</w:t>
            </w:r>
          </w:p>
        </w:tc>
        <w:tc>
          <w:tcPr>
            <w:tcW w:w="832" w:type="dxa"/>
          </w:tcPr>
          <w:p>
            <w:pPr>
              <w:pStyle w:val="TableParagraph"/>
              <w:spacing w:before="5"/>
              <w:jc w:val="left"/>
              <w:rPr>
                <w:rFonts w:ascii="楷体"/>
                <w:i/>
                <w:sz w:val="28"/>
              </w:rPr>
            </w:pPr>
          </w:p>
          <w:p>
            <w:pPr>
              <w:pStyle w:val="TableParagraph"/>
              <w:ind w:left="121" w:right="126"/>
              <w:rPr>
                <w:sz w:val="18"/>
              </w:rPr>
            </w:pPr>
            <w:r>
              <w:rPr>
                <w:sz w:val="18"/>
              </w:rPr>
              <w:t>2.43</w:t>
            </w:r>
          </w:p>
        </w:tc>
        <w:tc>
          <w:tcPr>
            <w:tcW w:w="1024" w:type="dxa"/>
          </w:tcPr>
          <w:p>
            <w:pPr>
              <w:pStyle w:val="TableParagraph"/>
              <w:spacing w:before="5"/>
              <w:jc w:val="left"/>
              <w:rPr>
                <w:rFonts w:ascii="楷体"/>
                <w:i/>
                <w:sz w:val="28"/>
              </w:rPr>
            </w:pPr>
          </w:p>
          <w:p>
            <w:pPr>
              <w:pStyle w:val="TableParagraph"/>
              <w:ind w:left="119" w:right="139"/>
              <w:rPr>
                <w:sz w:val="18"/>
              </w:rPr>
            </w:pPr>
            <w:r>
              <w:rPr>
                <w:sz w:val="18"/>
              </w:rPr>
              <w:t>AA+</w:t>
            </w:r>
          </w:p>
        </w:tc>
        <w:tc>
          <w:tcPr>
            <w:tcW w:w="1057" w:type="dxa"/>
          </w:tcPr>
          <w:p>
            <w:pPr>
              <w:pStyle w:val="TableParagraph"/>
              <w:spacing w:before="5"/>
              <w:jc w:val="left"/>
              <w:rPr>
                <w:rFonts w:ascii="楷体"/>
                <w:i/>
                <w:sz w:val="28"/>
              </w:rPr>
            </w:pPr>
          </w:p>
          <w:p>
            <w:pPr>
              <w:pStyle w:val="TableParagraph"/>
              <w:ind w:left="132" w:right="161"/>
              <w:rPr>
                <w:sz w:val="18"/>
              </w:rPr>
            </w:pPr>
            <w:r>
              <w:rPr>
                <w:sz w:val="18"/>
              </w:rPr>
              <w:t>2.64</w:t>
            </w:r>
          </w:p>
        </w:tc>
      </w:tr>
    </w:tbl>
    <w:p>
      <w:pPr>
        <w:pStyle w:val="BodyText"/>
        <w:spacing w:line="20" w:lineRule="exact"/>
        <w:ind w:left="47"/>
        <w:rPr>
          <w:sz w:val="2"/>
        </w:rPr>
      </w:pPr>
      <w:r>
        <w:rPr>
          <w:sz w:val="2"/>
        </w:rPr>
        <w:pict>
          <v:group id="_x0000_i1527" style="width:577pt;height:0.5pt;mso-position-horizontal-relative:char;mso-position-vertical-relative:line" coordorigin="0,0" coordsize="11540,10">
            <v:line id="_x0000_s1528" style="position:absolute" from="0,5" to="11515,5" stroked="t" strokecolor="#013e96" strokeweight="0.48pt">
              <v:stroke dashstyle="solid"/>
            </v:line>
            <v:rect id="_x0000_s1529" style="width:10;height:10;left:11515;position:absolute" filled="t" fillcolor="#013e96" stroked="f">
              <v:fill type="solid"/>
            </v:rect>
            <v:rect id="_x0000_s1530" style="width:5;height:10;left:11524;position:absolute" filled="t" fillcolor="#013e96" stroked="f">
              <v:fill type="solid"/>
            </v:rect>
            <v:rect id="_x0000_s1531" style="width:10;height:10;left:11529;position:absolute" filled="t" fillcolor="#013e96" stroked="f">
              <v:fill type="solid"/>
            </v:rect>
            <w10:wrap type="none"/>
          </v:group>
        </w:pict>
      </w:r>
    </w:p>
    <w:p>
      <w:pPr>
        <w:spacing w:before="29"/>
        <w:ind w:left="160" w:right="0" w:firstLine="0"/>
        <w:jc w:val="left"/>
        <w:rPr>
          <w:i/>
          <w:sz w:val="17"/>
        </w:rPr>
      </w:pPr>
      <w:r>
        <w:t xml:space="preserve">来源： ， iFind， </w:t>
      </w:r>
    </w:p>
    <w:p>
      <w:pPr>
        <w:spacing w:after="0"/>
        <w:jc w:val="left"/>
        <w:rPr>
          <w:sz w:val="17"/>
        </w:rPr>
        <w:sectPr>
          <w:headerReference w:type="default" r:id="rId144"/>
          <w:footerReference w:type="default" r:id="rId145"/>
          <w:type w:val="continuous"/>
          <w:pgSz w:w="11910" w:h="16840"/>
          <w:pgMar w:top="1320" w:right="0" w:bottom="660" w:left="180" w:header="708" w:footer="708"/>
          <w:pgNumType w:start="45"/>
          <w:cols w:space="708"/>
        </w:sectPr>
      </w:pPr>
    </w:p>
    <w:p>
      <w:pPr>
        <w:pStyle w:val="Heading3"/>
        <w:numPr>
          <w:ilvl w:val="2"/>
          <w:numId w:val="1"/>
        </w:numPr>
        <w:tabs>
          <w:tab w:val="left" w:pos="3889"/>
        </w:tabs>
        <w:spacing w:before="59" w:after="0" w:line="240" w:lineRule="auto"/>
        <w:ind w:left="3889" w:right="0" w:hanging="666"/>
        <w:jc w:val="left"/>
      </w:pPr>
      <w:r>
        <w:rPr>
          <w:color w:val="013E96"/>
        </w:rPr>
        <w:t>杭州银行</w:t>
      </w:r>
    </w:p>
    <w:p>
      <w:pPr>
        <w:pStyle w:val="BodyText"/>
        <w:spacing w:before="8"/>
        <w:rPr>
          <w:b/>
          <w:sz w:val="19"/>
        </w:rPr>
      </w:pPr>
    </w:p>
    <w:p>
      <w:pPr>
        <w:spacing w:before="0"/>
        <w:ind w:left="0" w:right="848" w:firstLine="0"/>
        <w:jc w:val="right"/>
        <w:rPr>
          <w:sz w:val="22"/>
        </w:rPr>
      </w:pPr>
      <w:r>
        <w:rPr>
          <w:b/>
          <w:sz w:val="22"/>
        </w:rPr>
        <w:t>杭州银行为国有控股上市银行。</w:t>
      </w:r>
      <w:r>
        <w:rPr>
          <w:spacing w:val="-14"/>
          <w:sz w:val="22"/>
        </w:rPr>
        <w:t xml:space="preserve">成立于 </w:t>
      </w:r>
      <w:r>
        <w:rPr>
          <w:rFonts w:ascii="Arial" w:eastAsia="Arial"/>
          <w:sz w:val="22"/>
        </w:rPr>
        <w:t>1996</w:t>
      </w:r>
      <w:r>
        <w:rPr>
          <w:rFonts w:ascii="Arial" w:eastAsia="Arial"/>
          <w:spacing w:val="-1"/>
          <w:sz w:val="22"/>
        </w:rPr>
        <w:t xml:space="preserve"> </w:t>
      </w:r>
      <w:r>
        <w:rPr>
          <w:spacing w:val="-24"/>
          <w:sz w:val="22"/>
        </w:rPr>
        <w:t xml:space="preserve">年 </w:t>
      </w:r>
      <w:r>
        <w:rPr>
          <w:rFonts w:ascii="Arial" w:eastAsia="Arial"/>
          <w:sz w:val="22"/>
        </w:rPr>
        <w:t>9</w:t>
      </w:r>
      <w:r>
        <w:rPr>
          <w:rFonts w:ascii="Arial" w:eastAsia="Arial"/>
          <w:spacing w:val="-1"/>
          <w:sz w:val="22"/>
        </w:rPr>
        <w:t xml:space="preserve"> </w:t>
      </w:r>
      <w:r>
        <w:rPr>
          <w:spacing w:val="-3"/>
          <w:sz w:val="22"/>
        </w:rPr>
        <w:t>月，总部位于杭州，由杭</w:t>
      </w:r>
    </w:p>
    <w:p>
      <w:pPr>
        <w:pStyle w:val="BodyText"/>
        <w:spacing w:before="92"/>
        <w:ind w:right="842"/>
        <w:jc w:val="right"/>
      </w:pPr>
      <w:r>
        <w:rPr>
          <w:spacing w:val="-18"/>
        </w:rPr>
        <w:t xml:space="preserve">州市 </w:t>
      </w:r>
      <w:r>
        <w:rPr>
          <w:rFonts w:ascii="Arial" w:eastAsia="Arial"/>
        </w:rPr>
        <w:t>33</w:t>
      </w:r>
      <w:r>
        <w:rPr>
          <w:rFonts w:ascii="Arial" w:eastAsia="Arial"/>
          <w:spacing w:val="-4"/>
        </w:rPr>
        <w:t xml:space="preserve"> </w:t>
      </w:r>
      <w:r>
        <w:rPr>
          <w:spacing w:val="-10"/>
        </w:rPr>
        <w:t xml:space="preserve">家城市信用社和 </w:t>
      </w:r>
      <w:r>
        <w:rPr>
          <w:rFonts w:ascii="Arial" w:eastAsia="Arial"/>
        </w:rPr>
        <w:t>9</w:t>
      </w:r>
      <w:r>
        <w:rPr>
          <w:rFonts w:ascii="Arial" w:eastAsia="Arial"/>
          <w:spacing w:val="-3"/>
        </w:rPr>
        <w:t xml:space="preserve"> </w:t>
      </w:r>
      <w:r>
        <w:rPr>
          <w:spacing w:val="-7"/>
        </w:rPr>
        <w:t xml:space="preserve">家信用联合社直属办事处组建而成，于 </w:t>
      </w:r>
      <w:r>
        <w:rPr>
          <w:rFonts w:ascii="Arial" w:eastAsia="Arial"/>
        </w:rPr>
        <w:t>2016</w:t>
      </w:r>
      <w:r>
        <w:rPr>
          <w:rFonts w:ascii="Arial" w:eastAsia="Arial"/>
          <w:spacing w:val="-5"/>
        </w:rPr>
        <w:t xml:space="preserve"> </w:t>
      </w:r>
      <w:r>
        <w:rPr>
          <w:spacing w:val="-28"/>
        </w:rPr>
        <w:t xml:space="preserve">年 </w:t>
      </w:r>
      <w:r>
        <w:rPr>
          <w:rFonts w:ascii="Arial" w:eastAsia="Arial"/>
        </w:rPr>
        <w:t>10</w:t>
      </w:r>
      <w:r>
        <w:rPr>
          <w:rFonts w:ascii="Arial" w:eastAsia="Arial"/>
          <w:spacing w:val="-4"/>
        </w:rPr>
        <w:t xml:space="preserve"> </w:t>
      </w:r>
      <w:r>
        <w:t>月</w:t>
      </w:r>
    </w:p>
    <w:p>
      <w:pPr>
        <w:pStyle w:val="BodyText"/>
        <w:spacing w:before="93" w:line="319" w:lineRule="auto"/>
        <w:ind w:left="3192" w:right="843"/>
        <w:jc w:val="both"/>
      </w:pPr>
      <w:r>
        <w:rPr>
          <w:spacing w:val="-6"/>
        </w:rPr>
        <w:t xml:space="preserve">在上交所上市。截至 </w:t>
      </w:r>
      <w:r>
        <w:rPr>
          <w:rFonts w:ascii="Arial" w:eastAsia="Arial"/>
        </w:rPr>
        <w:t xml:space="preserve">2023 </w:t>
      </w:r>
      <w:r>
        <w:rPr>
          <w:spacing w:val="-22"/>
        </w:rPr>
        <w:t xml:space="preserve">年 </w:t>
      </w:r>
      <w:r>
        <w:rPr>
          <w:rFonts w:ascii="Arial" w:eastAsia="Arial"/>
        </w:rPr>
        <w:t xml:space="preserve">9 </w:t>
      </w:r>
      <w:r>
        <w:rPr>
          <w:spacing w:val="-3"/>
        </w:rPr>
        <w:t>月，公司无实际控制人和控股股东，第一大股东</w:t>
      </w:r>
      <w:r>
        <w:rPr>
          <w:spacing w:val="-12"/>
        </w:rPr>
        <w:t xml:space="preserve">为杭州市财政局，持股比例为 </w:t>
      </w:r>
      <w:r>
        <w:rPr>
          <w:rFonts w:ascii="Arial" w:eastAsia="Arial"/>
          <w:spacing w:val="-4"/>
        </w:rPr>
        <w:t>11.86%</w:t>
      </w:r>
      <w:r>
        <w:rPr>
          <w:spacing w:val="-18"/>
        </w:rPr>
        <w:t xml:space="preserve">。目前，杭州银行拥有 </w:t>
      </w:r>
      <w:r>
        <w:rPr>
          <w:rFonts w:ascii="Arial" w:eastAsia="Arial"/>
        </w:rPr>
        <w:t xml:space="preserve">200 </w:t>
      </w:r>
      <w:r>
        <w:rPr>
          <w:spacing w:val="-2"/>
        </w:rPr>
        <w:t xml:space="preserve">余家分支机构， </w:t>
      </w:r>
      <w:r>
        <w:rPr>
          <w:spacing w:val="-3"/>
        </w:rPr>
        <w:t>网点覆盖长三角、珠三角、环渤海湾等发达经济圈。</w:t>
      </w:r>
    </w:p>
    <w:p>
      <w:pPr>
        <w:spacing w:before="155"/>
        <w:ind w:left="3634" w:right="0" w:firstLine="0"/>
        <w:jc w:val="both"/>
        <w:rPr>
          <w:sz w:val="22"/>
        </w:rPr>
      </w:pPr>
      <w:r>
        <w:rPr>
          <w:b/>
          <w:sz w:val="22"/>
        </w:rPr>
        <w:t>存款以对公存款为主，同业负债占比上升</w:t>
      </w:r>
      <w:r>
        <w:rPr>
          <w:sz w:val="22"/>
        </w:rPr>
        <w:t xml:space="preserve">。截止 </w:t>
      </w:r>
      <w:r>
        <w:rPr>
          <w:rFonts w:ascii="Arial" w:eastAsia="Arial"/>
          <w:sz w:val="22"/>
        </w:rPr>
        <w:t xml:space="preserve">2023 </w:t>
      </w:r>
      <w:r>
        <w:rPr>
          <w:sz w:val="22"/>
        </w:rPr>
        <w:t xml:space="preserve">年 </w:t>
      </w:r>
      <w:r>
        <w:rPr>
          <w:rFonts w:ascii="Arial" w:eastAsia="Arial"/>
          <w:sz w:val="22"/>
        </w:rPr>
        <w:t xml:space="preserve">9 </w:t>
      </w:r>
      <w:r>
        <w:rPr>
          <w:sz w:val="22"/>
        </w:rPr>
        <w:t>月末，杭州银行</w:t>
      </w:r>
    </w:p>
    <w:p>
      <w:pPr>
        <w:pStyle w:val="BodyText"/>
        <w:spacing w:before="92" w:line="319" w:lineRule="auto"/>
        <w:ind w:left="3192" w:right="624"/>
      </w:pPr>
      <w:r>
        <w:rPr>
          <w:spacing w:val="-10"/>
        </w:rPr>
        <w:t xml:space="preserve">负债总额为 </w:t>
      </w:r>
      <w:r>
        <w:rPr>
          <w:rFonts w:ascii="Arial" w:eastAsia="Arial"/>
        </w:rPr>
        <w:t xml:space="preserve">1.68 </w:t>
      </w:r>
      <w:r>
        <w:rPr>
          <w:spacing w:val="-8"/>
        </w:rPr>
        <w:t xml:space="preserve">万亿，其中存款总额为 </w:t>
      </w:r>
      <w:r>
        <w:rPr>
          <w:rFonts w:ascii="Arial" w:eastAsia="Arial"/>
        </w:rPr>
        <w:t xml:space="preserve">1.03 </w:t>
      </w:r>
      <w:r>
        <w:rPr>
          <w:spacing w:val="-2"/>
        </w:rPr>
        <w:t>万亿。</w:t>
      </w:r>
      <w:r>
        <w:rPr>
          <w:b/>
        </w:rPr>
        <w:t>在负债成本方面</w:t>
      </w:r>
      <w:r>
        <w:rPr>
          <w:spacing w:val="-2"/>
        </w:rPr>
        <w:t>，杭州银行</w:t>
      </w:r>
      <w:r>
        <w:rPr>
          <w:w w:val="100"/>
        </w:rPr>
        <w:t>的</w:t>
      </w:r>
      <w:r>
        <w:rPr>
          <w:spacing w:val="-11"/>
          <w:w w:val="100"/>
        </w:rPr>
        <w:t>付息负债成本呈现持续下降趋势，</w:t>
      </w:r>
      <w:r>
        <w:rPr>
          <w:rFonts w:ascii="Arial" w:eastAsia="Arial"/>
          <w:spacing w:val="-1"/>
          <w:w w:val="100"/>
        </w:rPr>
        <w:t>2</w:t>
      </w:r>
      <w:r>
        <w:rPr>
          <w:rFonts w:ascii="Arial" w:eastAsia="Arial"/>
          <w:spacing w:val="-3"/>
          <w:w w:val="100"/>
        </w:rPr>
        <w:t>0</w:t>
      </w:r>
      <w:r>
        <w:rPr>
          <w:rFonts w:ascii="Arial" w:eastAsia="Arial"/>
          <w:spacing w:val="-1"/>
          <w:w w:val="100"/>
        </w:rPr>
        <w:t>18</w:t>
      </w:r>
      <w:r>
        <w:rPr>
          <w:rFonts w:ascii="Arial" w:eastAsia="Arial"/>
          <w:w w:val="100"/>
        </w:rPr>
        <w:t>-</w:t>
      </w:r>
      <w:r>
        <w:rPr>
          <w:rFonts w:ascii="Arial" w:eastAsia="Arial"/>
          <w:spacing w:val="-1"/>
          <w:w w:val="100"/>
        </w:rPr>
        <w:t>202</w:t>
      </w:r>
      <w:r>
        <w:rPr>
          <w:rFonts w:ascii="Arial" w:eastAsia="Arial"/>
          <w:w w:val="100"/>
        </w:rPr>
        <w:t>2</w:t>
      </w:r>
      <w:r>
        <w:rPr>
          <w:rFonts w:ascii="Arial" w:eastAsia="Arial"/>
        </w:rPr>
        <w:t xml:space="preserve"> </w:t>
      </w:r>
      <w:r>
        <w:rPr>
          <w:spacing w:val="-15"/>
          <w:w w:val="100"/>
        </w:rPr>
        <w:t>年，成本率由</w:t>
      </w:r>
      <w:r>
        <w:rPr>
          <w:rFonts w:ascii="Arial" w:eastAsia="Arial"/>
          <w:spacing w:val="-1"/>
          <w:w w:val="100"/>
        </w:rPr>
        <w:t>2</w:t>
      </w:r>
      <w:r>
        <w:rPr>
          <w:rFonts w:ascii="Arial" w:eastAsia="Arial"/>
          <w:spacing w:val="1"/>
          <w:w w:val="100"/>
        </w:rPr>
        <w:t>.</w:t>
      </w:r>
      <w:r>
        <w:rPr>
          <w:rFonts w:ascii="Arial" w:eastAsia="Arial"/>
          <w:spacing w:val="-1"/>
          <w:w w:val="100"/>
        </w:rPr>
        <w:t>8</w:t>
      </w:r>
      <w:r>
        <w:rPr>
          <w:rFonts w:ascii="Arial" w:eastAsia="Arial"/>
          <w:spacing w:val="-3"/>
          <w:w w:val="100"/>
        </w:rPr>
        <w:t>0</w:t>
      </w:r>
      <w:r>
        <w:rPr>
          <w:rFonts w:ascii="Arial" w:eastAsia="Arial"/>
          <w:w w:val="100"/>
        </w:rPr>
        <w:t>%</w:t>
      </w:r>
      <w:r>
        <w:rPr>
          <w:spacing w:val="9"/>
          <w:w w:val="100"/>
        </w:rPr>
        <w:t>下降至</w:t>
      </w:r>
      <w:r>
        <w:rPr>
          <w:rFonts w:ascii="Arial" w:eastAsia="Arial"/>
          <w:spacing w:val="-1"/>
          <w:w w:val="100"/>
        </w:rPr>
        <w:t>2</w:t>
      </w:r>
      <w:r>
        <w:rPr>
          <w:rFonts w:ascii="Arial" w:eastAsia="Arial"/>
          <w:spacing w:val="-2"/>
          <w:w w:val="100"/>
        </w:rPr>
        <w:t>.</w:t>
      </w:r>
      <w:r>
        <w:rPr>
          <w:rFonts w:ascii="Arial" w:eastAsia="Arial"/>
          <w:spacing w:val="-1"/>
          <w:w w:val="100"/>
        </w:rPr>
        <w:t>32</w:t>
      </w:r>
      <w:r>
        <w:rPr>
          <w:rFonts w:ascii="Arial" w:eastAsia="Arial"/>
          <w:w w:val="100"/>
        </w:rPr>
        <w:t>%</w:t>
      </w:r>
      <w:r>
        <w:rPr>
          <w:w w:val="100"/>
        </w:rPr>
        <w:t>，</w:t>
      </w:r>
      <w:r>
        <w:t>净</w:t>
      </w:r>
      <w:r>
        <w:rPr>
          <w:spacing w:val="-8"/>
        </w:rPr>
        <w:t xml:space="preserve">息差有所收窄，由 </w:t>
      </w:r>
      <w:r>
        <w:rPr>
          <w:rFonts w:ascii="Arial" w:eastAsia="Arial"/>
        </w:rPr>
        <w:t>1.71%</w:t>
      </w:r>
      <w:r>
        <w:rPr>
          <w:spacing w:val="-15"/>
        </w:rPr>
        <w:t xml:space="preserve">下降到 </w:t>
      </w:r>
      <w:r>
        <w:rPr>
          <w:rFonts w:ascii="Arial" w:eastAsia="Arial"/>
        </w:rPr>
        <w:t>1.69%</w:t>
      </w:r>
      <w:r>
        <w:rPr>
          <w:spacing w:val="-8"/>
        </w:rPr>
        <w:t>。</w:t>
      </w:r>
      <w:r>
        <w:rPr>
          <w:b/>
        </w:rPr>
        <w:t>在负债结构方面</w:t>
      </w:r>
      <w:r>
        <w:rPr>
          <w:spacing w:val="-14"/>
        </w:rPr>
        <w:t xml:space="preserve">，截至 </w:t>
      </w:r>
      <w:r>
        <w:rPr>
          <w:rFonts w:ascii="Arial" w:eastAsia="Arial"/>
        </w:rPr>
        <w:t xml:space="preserve">2023 </w:t>
      </w:r>
      <w:r>
        <w:rPr>
          <w:spacing w:val="-26"/>
        </w:rPr>
        <w:t xml:space="preserve">年 </w:t>
      </w:r>
      <w:r>
        <w:rPr>
          <w:rFonts w:ascii="Arial" w:eastAsia="Arial"/>
        </w:rPr>
        <w:t xml:space="preserve">9 </w:t>
      </w:r>
      <w:r>
        <w:rPr>
          <w:spacing w:val="-9"/>
        </w:rPr>
        <w:t>月末，</w:t>
      </w:r>
      <w:r>
        <w:rPr>
          <w:spacing w:val="-6"/>
        </w:rPr>
        <w:t xml:space="preserve">杭州银行总负债中存款和应付债券占比最高，分别为 </w:t>
      </w:r>
      <w:r>
        <w:rPr>
          <w:rFonts w:ascii="Arial" w:eastAsia="Arial"/>
        </w:rPr>
        <w:t>57.29%</w:t>
      </w:r>
      <w:r>
        <w:rPr>
          <w:spacing w:val="-12"/>
        </w:rPr>
        <w:t xml:space="preserve">和 </w:t>
      </w:r>
      <w:r>
        <w:rPr>
          <w:rFonts w:ascii="Arial" w:eastAsia="Arial"/>
          <w:spacing w:val="-5"/>
        </w:rPr>
        <w:t>16.63%</w:t>
      </w:r>
      <w:r>
        <w:rPr>
          <w:spacing w:val="-9"/>
        </w:rPr>
        <w:t>，近两年</w:t>
      </w:r>
      <w:r>
        <w:rPr>
          <w:spacing w:val="-3"/>
        </w:rPr>
        <w:t>存款占比有下降趋势，同业负债占比有所增加。</w:t>
      </w:r>
    </w:p>
    <w:p>
      <w:pPr>
        <w:spacing w:after="0" w:line="319" w:lineRule="auto"/>
        <w:sectPr>
          <w:headerReference w:type="default" r:id="rId146"/>
          <w:footerReference w:type="default" r:id="rId147"/>
          <w:pgSz w:w="11910" w:h="16840"/>
          <w:pgMar w:top="1320" w:right="0" w:bottom="660" w:left="180" w:header="708" w:footer="708"/>
          <w:pgNumType w:start="46"/>
          <w:cols w:space="708"/>
        </w:sect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spacing w:before="13"/>
        <w:ind w:left="0" w:right="0" w:firstLine="0"/>
        <w:jc w:val="right"/>
        <w:rPr>
          <w:rFonts w:ascii="仿宋" w:eastAsia="仿宋" w:hint="eastAsia"/>
          <w:sz w:val="2"/>
        </w:rPr>
      </w:pPr>
      <w:r>
        <w:rPr>
          <w:rFonts w:ascii="仿宋" w:eastAsia="仿宋" w:hint="eastAsia"/>
          <w:color w:val="BFBFBF"/>
          <w:sz w:val="2"/>
        </w:rPr>
        <w:t>华福证券</w:t>
      </w:r>
    </w:p>
    <w:p>
      <w:pPr>
        <w:spacing w:before="154"/>
        <w:ind w:left="1694" w:right="0" w:firstLine="0"/>
        <w:jc w:val="left"/>
        <w:rPr>
          <w:sz w:val="22"/>
        </w:rPr>
      </w:pPr>
      <w:r>
        <w:br w:type="column"/>
      </w:r>
      <w:r>
        <w:rPr>
          <w:b/>
          <w:sz w:val="22"/>
        </w:rPr>
        <w:t>资产端贷款质量较好，金融投资占比较高</w:t>
      </w:r>
      <w:r>
        <w:rPr>
          <w:spacing w:val="-13"/>
          <w:sz w:val="22"/>
        </w:rPr>
        <w:t xml:space="preserve">。截至 </w:t>
      </w:r>
      <w:r>
        <w:rPr>
          <w:rFonts w:ascii="Arial" w:eastAsia="Arial"/>
          <w:sz w:val="22"/>
        </w:rPr>
        <w:t>2023</w:t>
      </w:r>
      <w:r>
        <w:rPr>
          <w:rFonts w:ascii="Arial" w:eastAsia="Arial"/>
          <w:spacing w:val="-2"/>
          <w:sz w:val="22"/>
        </w:rPr>
        <w:t xml:space="preserve"> </w:t>
      </w:r>
      <w:r>
        <w:rPr>
          <w:spacing w:val="-26"/>
          <w:sz w:val="22"/>
        </w:rPr>
        <w:t xml:space="preserve">年 </w:t>
      </w:r>
      <w:r>
        <w:rPr>
          <w:rFonts w:ascii="Arial" w:eastAsia="Arial"/>
          <w:sz w:val="22"/>
        </w:rPr>
        <w:t>9</w:t>
      </w:r>
      <w:r>
        <w:rPr>
          <w:rFonts w:ascii="Arial" w:eastAsia="Arial"/>
          <w:spacing w:val="-3"/>
          <w:sz w:val="22"/>
        </w:rPr>
        <w:t xml:space="preserve"> </w:t>
      </w:r>
      <w:r>
        <w:rPr>
          <w:sz w:val="22"/>
        </w:rPr>
        <w:t>月末，杭州银行</w:t>
      </w:r>
    </w:p>
    <w:p>
      <w:pPr>
        <w:pStyle w:val="BodyText"/>
        <w:spacing w:before="93" w:line="319" w:lineRule="auto"/>
        <w:ind w:left="1252" w:right="735"/>
        <w:rPr>
          <w:rFonts w:ascii="Arial" w:eastAsia="Arial"/>
        </w:rPr>
      </w:pPr>
      <w:r>
        <w:rPr>
          <w:spacing w:val="-9"/>
        </w:rPr>
        <w:t xml:space="preserve">资产总额为 </w:t>
      </w:r>
      <w:r>
        <w:rPr>
          <w:rFonts w:ascii="Arial" w:eastAsia="Arial"/>
        </w:rPr>
        <w:t>1.79</w:t>
      </w:r>
      <w:r>
        <w:rPr>
          <w:rFonts w:ascii="Arial" w:eastAsia="Arial"/>
          <w:spacing w:val="-3"/>
        </w:rPr>
        <w:t xml:space="preserve"> </w:t>
      </w:r>
      <w:r>
        <w:rPr>
          <w:spacing w:val="-7"/>
        </w:rPr>
        <w:t xml:space="preserve">万亿元；其中贷款总额为 </w:t>
      </w:r>
      <w:r>
        <w:rPr>
          <w:rFonts w:ascii="Arial" w:eastAsia="Arial"/>
        </w:rPr>
        <w:t>0.75</w:t>
      </w:r>
      <w:r>
        <w:rPr>
          <w:rFonts w:ascii="Arial" w:eastAsia="Arial"/>
          <w:spacing w:val="-5"/>
        </w:rPr>
        <w:t xml:space="preserve"> </w:t>
      </w:r>
      <w:r>
        <w:rPr>
          <w:spacing w:val="-7"/>
        </w:rPr>
        <w:t xml:space="preserve">万亿元；公司贷款为 </w:t>
      </w:r>
      <w:r>
        <w:rPr>
          <w:rFonts w:ascii="Arial" w:eastAsia="Arial"/>
        </w:rPr>
        <w:t>0.52</w:t>
      </w:r>
      <w:r>
        <w:rPr>
          <w:rFonts w:ascii="Arial" w:eastAsia="Arial"/>
          <w:spacing w:val="-2"/>
        </w:rPr>
        <w:t xml:space="preserve"> </w:t>
      </w:r>
      <w:r>
        <w:t xml:space="preserve">万亿， </w:t>
      </w:r>
      <w:r>
        <w:rPr>
          <w:spacing w:val="-5"/>
        </w:rPr>
        <w:t xml:space="preserve">占贷款总额比重为 </w:t>
      </w:r>
      <w:r>
        <w:rPr>
          <w:rFonts w:ascii="Arial" w:eastAsia="Arial"/>
        </w:rPr>
        <w:t>65.92%</w:t>
      </w:r>
      <w:r>
        <w:rPr>
          <w:spacing w:val="-5"/>
        </w:rPr>
        <w:t xml:space="preserve">，其中房地产业占公司贷款比仅为 </w:t>
      </w:r>
      <w:r>
        <w:rPr>
          <w:rFonts w:ascii="Arial" w:eastAsia="Arial"/>
        </w:rPr>
        <w:t>7.52%</w:t>
      </w:r>
      <w:r>
        <w:rPr>
          <w:spacing w:val="-3"/>
        </w:rPr>
        <w:t>。</w:t>
      </w:r>
      <w:r>
        <w:rPr>
          <w:b/>
        </w:rPr>
        <w:t>在资产质</w:t>
      </w:r>
      <w:r>
        <w:rPr>
          <w:b/>
          <w:spacing w:val="-2"/>
        </w:rPr>
        <w:t>量方面，</w:t>
      </w:r>
      <w:r>
        <w:rPr>
          <w:spacing w:val="-5"/>
        </w:rPr>
        <w:t>不良率有较大幅度的下降，资产质量稳中向好。杭州银行的不良贷款率</w:t>
      </w:r>
      <w:r>
        <w:rPr>
          <w:rFonts w:ascii="Arial" w:eastAsia="Arial"/>
          <w:spacing w:val="-5"/>
        </w:rPr>
        <w:t>2019</w:t>
      </w:r>
      <w:r>
        <w:rPr>
          <w:rFonts w:ascii="Arial" w:eastAsia="Arial"/>
          <w:spacing w:val="-3"/>
        </w:rPr>
        <w:t xml:space="preserve"> </w:t>
      </w:r>
      <w:r>
        <w:rPr>
          <w:spacing w:val="-18"/>
        </w:rPr>
        <w:t xml:space="preserve">年为 </w:t>
      </w:r>
      <w:r>
        <w:rPr>
          <w:rFonts w:ascii="Arial" w:eastAsia="Arial"/>
          <w:spacing w:val="-6"/>
        </w:rPr>
        <w:t>1.34%</w:t>
      </w:r>
      <w:r>
        <w:rPr>
          <w:spacing w:val="-6"/>
        </w:rPr>
        <w:t>，</w:t>
      </w:r>
      <w:r>
        <w:rPr>
          <w:rFonts w:ascii="Arial" w:eastAsia="Arial"/>
          <w:spacing w:val="-6"/>
        </w:rPr>
        <w:t>2023Q3</w:t>
      </w:r>
      <w:r>
        <w:rPr>
          <w:rFonts w:ascii="Arial" w:eastAsia="Arial"/>
          <w:spacing w:val="-3"/>
        </w:rPr>
        <w:t xml:space="preserve"> </w:t>
      </w:r>
      <w:r>
        <w:rPr>
          <w:spacing w:val="-12"/>
        </w:rPr>
        <w:t xml:space="preserve">就下降到 </w:t>
      </w:r>
      <w:r>
        <w:rPr>
          <w:rFonts w:ascii="Arial" w:eastAsia="Arial"/>
          <w:spacing w:val="-10"/>
        </w:rPr>
        <w:t>0.76%</w:t>
      </w:r>
      <w:r>
        <w:rPr>
          <w:spacing w:val="-13"/>
        </w:rPr>
        <w:t xml:space="preserve">；拨备覆盖率逐年升高，从 </w:t>
      </w:r>
      <w:r>
        <w:rPr>
          <w:rFonts w:ascii="Arial" w:eastAsia="Arial"/>
        </w:rPr>
        <w:t>316.71%</w:t>
      </w:r>
    </w:p>
    <w:p>
      <w:pPr>
        <w:pStyle w:val="BodyText"/>
        <w:spacing w:line="319" w:lineRule="auto"/>
        <w:ind w:left="1252" w:right="842"/>
        <w:jc w:val="both"/>
      </w:pPr>
      <w:r>
        <w:rPr>
          <w:spacing w:val="-14"/>
        </w:rPr>
        <w:t xml:space="preserve">上升至 </w:t>
      </w:r>
      <w:r>
        <w:rPr>
          <w:rFonts w:ascii="Arial" w:eastAsia="Arial"/>
        </w:rPr>
        <w:t>569.52%</w:t>
      </w:r>
      <w:r>
        <w:rPr>
          <w:spacing w:val="-8"/>
        </w:rPr>
        <w:t>。</w:t>
      </w:r>
      <w:r>
        <w:rPr>
          <w:b/>
        </w:rPr>
        <w:t>在资产结构方面</w:t>
      </w:r>
      <w:r>
        <w:rPr>
          <w:spacing w:val="-8"/>
        </w:rPr>
        <w:t xml:space="preserve">，金融投资占比大幅提升。截至 </w:t>
      </w:r>
      <w:r>
        <w:rPr>
          <w:rFonts w:ascii="Arial" w:eastAsia="Arial"/>
        </w:rPr>
        <w:t xml:space="preserve">2023 </w:t>
      </w:r>
      <w:r>
        <w:rPr>
          <w:spacing w:val="-27"/>
        </w:rPr>
        <w:t xml:space="preserve">年 </w:t>
      </w:r>
      <w:r>
        <w:rPr>
          <w:rFonts w:ascii="Arial" w:eastAsia="Arial"/>
        </w:rPr>
        <w:t xml:space="preserve">9 </w:t>
      </w:r>
      <w:r>
        <w:t>月</w:t>
      </w:r>
      <w:r>
        <w:rPr>
          <w:spacing w:val="-17"/>
        </w:rPr>
        <w:t>末，金融投资、发放贷款分别为</w:t>
      </w:r>
      <w:r>
        <w:rPr>
          <w:rFonts w:ascii="Arial" w:eastAsia="Arial"/>
        </w:rPr>
        <w:t xml:space="preserve">0.84 </w:t>
      </w:r>
      <w:r>
        <w:rPr>
          <w:spacing w:val="-37"/>
        </w:rPr>
        <w:t>万亿、</w:t>
      </w:r>
      <w:r>
        <w:rPr>
          <w:rFonts w:ascii="Arial" w:eastAsia="Arial"/>
        </w:rPr>
        <w:t xml:space="preserve">0.75 </w:t>
      </w:r>
      <w:r>
        <w:rPr>
          <w:spacing w:val="-10"/>
        </w:rPr>
        <w:t>万亿，占总资产比分别为</w:t>
      </w:r>
      <w:r>
        <w:rPr>
          <w:rFonts w:ascii="Arial" w:eastAsia="Arial"/>
          <w:spacing w:val="-5"/>
        </w:rPr>
        <w:t>47.11%</w:t>
      </w:r>
      <w:r>
        <w:t>、</w:t>
      </w:r>
      <w:r>
        <w:rPr>
          <w:rFonts w:ascii="Arial" w:eastAsia="Arial"/>
        </w:rPr>
        <w:t>42.02%</w:t>
      </w:r>
      <w:r>
        <w:t>。</w:t>
      </w:r>
    </w:p>
    <w:p>
      <w:pPr>
        <w:pStyle w:val="BodyText"/>
        <w:spacing w:before="153" w:line="319" w:lineRule="auto"/>
        <w:ind w:left="1252" w:right="845" w:firstLine="439"/>
        <w:jc w:val="both"/>
      </w:pPr>
      <w:r>
        <w:rPr>
          <w:spacing w:val="-18"/>
        </w:rPr>
        <w:t xml:space="preserve">截至 </w:t>
      </w:r>
      <w:r>
        <w:rPr>
          <w:rFonts w:ascii="Arial" w:eastAsia="Arial"/>
        </w:rPr>
        <w:t xml:space="preserve">2024 </w:t>
      </w:r>
      <w:r>
        <w:rPr>
          <w:spacing w:val="-27"/>
        </w:rPr>
        <w:t xml:space="preserve">年 </w:t>
      </w:r>
      <w:r>
        <w:rPr>
          <w:rFonts w:ascii="Arial" w:eastAsia="Arial"/>
        </w:rPr>
        <w:t xml:space="preserve">2 </w:t>
      </w:r>
      <w:r>
        <w:rPr>
          <w:spacing w:val="-27"/>
        </w:rPr>
        <w:t xml:space="preserve">月 </w:t>
      </w:r>
      <w:r>
        <w:rPr>
          <w:rFonts w:ascii="Arial" w:eastAsia="Arial"/>
        </w:rPr>
        <w:t xml:space="preserve">5 </w:t>
      </w:r>
      <w:r>
        <w:rPr>
          <w:spacing w:val="-9"/>
        </w:rPr>
        <w:t xml:space="preserve">日，杭州银行共存续次级债 </w:t>
      </w:r>
      <w:r>
        <w:rPr>
          <w:rFonts w:ascii="Arial" w:eastAsia="Arial"/>
        </w:rPr>
        <w:t xml:space="preserve">270 </w:t>
      </w:r>
      <w:r>
        <w:rPr>
          <w:spacing w:val="-11"/>
        </w:rPr>
        <w:t xml:space="preserve">亿元，分别为 </w:t>
      </w:r>
      <w:r>
        <w:rPr>
          <w:rFonts w:ascii="Arial" w:eastAsia="Arial"/>
        </w:rPr>
        <w:t xml:space="preserve">2 </w:t>
      </w:r>
      <w:r>
        <w:rPr>
          <w:spacing w:val="-2"/>
        </w:rPr>
        <w:t>只二级</w:t>
      </w:r>
      <w:r>
        <w:rPr>
          <w:spacing w:val="-4"/>
        </w:rPr>
        <w:t>资本债、</w:t>
      </w:r>
      <w:r>
        <w:rPr>
          <w:rFonts w:ascii="Arial" w:eastAsia="Arial"/>
        </w:rPr>
        <w:t xml:space="preserve">1 </w:t>
      </w:r>
      <w:r>
        <w:rPr>
          <w:spacing w:val="-8"/>
        </w:rPr>
        <w:t xml:space="preserve">只永续债，债项隐含评级均为 </w:t>
      </w:r>
      <w:r>
        <w:rPr>
          <w:rFonts w:ascii="Arial" w:eastAsia="Arial"/>
        </w:rPr>
        <w:t>AA+</w:t>
      </w:r>
      <w:r>
        <w:rPr>
          <w:spacing w:val="-12"/>
        </w:rPr>
        <w:t xml:space="preserve">级别，其中 </w:t>
      </w:r>
      <w:r>
        <w:rPr>
          <w:rFonts w:ascii="Arial" w:eastAsia="Arial"/>
        </w:rPr>
        <w:t xml:space="preserve">2 </w:t>
      </w:r>
      <w:r>
        <w:rPr>
          <w:spacing w:val="-3"/>
        </w:rPr>
        <w:t>只二级资本债的规模</w:t>
      </w:r>
      <w:r>
        <w:rPr>
          <w:spacing w:val="-20"/>
        </w:rPr>
        <w:t xml:space="preserve">为 </w:t>
      </w:r>
      <w:r>
        <w:rPr>
          <w:rFonts w:ascii="Arial" w:eastAsia="Arial"/>
        </w:rPr>
        <w:t xml:space="preserve">100 </w:t>
      </w:r>
      <w:r>
        <w:t>亿元，</w:t>
      </w:r>
      <w:r>
        <w:rPr>
          <w:rFonts w:ascii="Arial" w:eastAsia="Arial"/>
        </w:rPr>
        <w:t xml:space="preserve">1 </w:t>
      </w:r>
      <w:r>
        <w:rPr>
          <w:spacing w:val="-7"/>
        </w:rPr>
        <w:t xml:space="preserve">只永续债的规模为 </w:t>
      </w:r>
      <w:r>
        <w:rPr>
          <w:rFonts w:ascii="Arial" w:eastAsia="Arial"/>
        </w:rPr>
        <w:t xml:space="preserve">70 </w:t>
      </w:r>
      <w:r>
        <w:rPr>
          <w:spacing w:val="-3"/>
        </w:rPr>
        <w:t>亿元，剩余期限在除永续债不到一年，另</w:t>
      </w:r>
    </w:p>
    <w:p>
      <w:pPr>
        <w:pStyle w:val="BodyText"/>
        <w:spacing w:line="280" w:lineRule="exact"/>
        <w:ind w:left="1252"/>
        <w:jc w:val="both"/>
      </w:pPr>
      <w:r>
        <w:t xml:space="preserve">外两只均剩余 </w:t>
      </w:r>
      <w:r>
        <w:rPr>
          <w:rFonts w:ascii="Arial" w:eastAsia="Arial"/>
        </w:rPr>
        <w:t xml:space="preserve">5 </w:t>
      </w:r>
      <w:r>
        <w:t>年以上。</w:t>
      </w:r>
    </w:p>
    <w:p>
      <w:pPr>
        <w:spacing w:after="0" w:line="280" w:lineRule="exact"/>
        <w:jc w:val="both"/>
        <w:sectPr>
          <w:headerReference w:type="default" r:id="rId148"/>
          <w:footerReference w:type="default" r:id="rId149"/>
          <w:type w:val="continuous"/>
          <w:pgSz w:w="11910" w:h="16840"/>
          <w:pgMar w:top="1320" w:right="0" w:bottom="660" w:left="180" w:header="708" w:footer="708"/>
          <w:pgNumType w:start="47"/>
          <w:cols w:num="2" w:space="708" w:equalWidth="0">
            <w:col w:w="1901" w:space="40"/>
            <w:col w:w="9789" w:space="0"/>
          </w:cols>
        </w:sectPr>
      </w:pPr>
    </w:p>
    <w:p>
      <w:pPr>
        <w:pStyle w:val="BodyText"/>
        <w:spacing w:before="1"/>
        <w:rPr>
          <w:sz w:val="27"/>
        </w:rPr>
      </w:pPr>
    </w:p>
    <w:p>
      <w:pPr>
        <w:spacing w:before="76"/>
        <w:ind w:left="160" w:right="0" w:firstLine="0"/>
        <w:jc w:val="left"/>
        <w:rPr>
          <w:i/>
          <w:sz w:val="17"/>
        </w:rPr>
      </w:pPr>
      <w:r>
        <w:pict>
          <v:group id="_x0000_s1532" style="width:577pt;height:1pt;margin-top:19.38pt;margin-left:11.64pt;mso-position-horizontal-relative:page;position:absolute;z-index:251740160" coordorigin="233,388" coordsize="11540,20">
            <v:shape id="_x0000_s1533" style="width:11319;height:2;left:340;position:absolute;top:402" coordorigin="341,402" coordsize="11319,0" path="m341,402l1680,402m1680,402l1690,402m1690,402l3065,402m3065,402l3075,402m3075,402l4343,402m4343,402l4352,402m4352,402l5562,402m5562,402l5571,402m5571,402l6611,402m6611,402l6621,402m6621,402l7744,402m7744,402l7753,402m7753,402l8738,402m8738,402l8748,402m8748,402l9588,402m9588,402l9597,402m9597,402l10579,402m10579,402l10588,402m10588,402l11659,402e" filled="f" stroked="t" strokecolor="#dfdfdf" strokeweight="0.48pt">
              <v:stroke dashstyle="solid"/>
              <v:path arrowok="t"/>
            </v:shape>
            <v:line id="_x0000_s1534" style="position:absolute" from="233,392" to="11748,392" stroked="t" strokecolor="#013e96" strokeweight="0.48pt">
              <v:stroke dashstyle="solid"/>
            </v:line>
            <v:shape id="_x0000_s1535" style="width:24;height:10;left:11748;position:absolute;top:387" coordorigin="11748,388" coordsize="24,10" path="m11758,388l11748,388,11748,397,11758,397,11758,388m11762,388l11758,388,11758,397,11762,397,11762,388m11772,388l11762,388,11762,397,11772,397,11772,388e" filled="t" fillcolor="#013e96" stroked="f">
              <v:fill type="solid"/>
              <v:path arrowok="t"/>
            </v:shape>
          </v:group>
        </w:pict>
      </w:r>
      <w:r>
        <w:rPr>
          <w:i/>
          <w:color w:val="004097"/>
          <w:sz w:val="17"/>
        </w:rPr>
        <w:t xml:space="preserve">图表 </w:t>
      </w:r>
      <w:r>
        <w:rPr>
          <w:rFonts w:ascii="Arial" w:eastAsia="Arial"/>
          <w:i/>
          <w:color w:val="004097"/>
          <w:sz w:val="16"/>
        </w:rPr>
        <w:t>17</w:t>
      </w:r>
      <w:r>
        <w:rPr>
          <w:i/>
          <w:color w:val="004097"/>
          <w:sz w:val="17"/>
        </w:rPr>
        <w:t>：杭州银行次级债存续情况</w:t>
      </w:r>
    </w:p>
    <w:p>
      <w:pPr>
        <w:pStyle w:val="BodyText"/>
        <w:spacing w:before="1"/>
        <w:rPr>
          <w:i/>
          <w:sz w:val="8"/>
        </w:rPr>
      </w:pPr>
    </w:p>
    <w:tbl>
      <w:tblPr>
        <w:tblStyle w:val="TableNormal5"/>
        <w:tblW w:w="0" w:type="auto"/>
        <w:jc w:val="left"/>
        <w:tblInd w:w="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5"/>
        <w:gridCol w:w="1409"/>
        <w:gridCol w:w="1234"/>
        <w:gridCol w:w="1243"/>
        <w:gridCol w:w="1017"/>
        <w:gridCol w:w="1166"/>
        <w:gridCol w:w="994"/>
        <w:gridCol w:w="832"/>
        <w:gridCol w:w="1024"/>
        <w:gridCol w:w="1057"/>
      </w:tblGrid>
      <w:tr>
        <w:tblPrEx>
          <w:tblW w:w="0" w:type="auto"/>
          <w:jc w:val="left"/>
          <w:tblInd w:w="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8"/>
          <w:jc w:val="left"/>
        </w:trPr>
        <w:tc>
          <w:tcPr>
            <w:tcW w:w="1345" w:type="dxa"/>
          </w:tcPr>
          <w:p>
            <w:pPr>
              <w:pStyle w:val="TableParagraph"/>
              <w:spacing w:before="51"/>
              <w:ind w:left="88" w:right="94"/>
              <w:rPr>
                <w:rFonts w:ascii="楷体" w:eastAsia="楷体" w:hint="eastAsia"/>
                <w:b/>
                <w:sz w:val="18"/>
              </w:rPr>
            </w:pPr>
            <w:r>
              <w:rPr>
                <w:rFonts w:ascii="楷体" w:eastAsia="楷体" w:hint="eastAsia"/>
                <w:b/>
                <w:sz w:val="18"/>
              </w:rPr>
              <w:t>债券代码</w:t>
            </w:r>
          </w:p>
        </w:tc>
        <w:tc>
          <w:tcPr>
            <w:tcW w:w="1409" w:type="dxa"/>
          </w:tcPr>
          <w:p>
            <w:pPr>
              <w:pStyle w:val="TableParagraph"/>
              <w:spacing w:before="51"/>
              <w:ind w:left="91" w:right="124"/>
              <w:rPr>
                <w:rFonts w:ascii="楷体" w:eastAsia="楷体" w:hint="eastAsia"/>
                <w:b/>
                <w:sz w:val="18"/>
              </w:rPr>
            </w:pPr>
            <w:r>
              <w:rPr>
                <w:rFonts w:ascii="楷体" w:eastAsia="楷体" w:hint="eastAsia"/>
                <w:b/>
                <w:sz w:val="18"/>
              </w:rPr>
              <w:t>债券简称</w:t>
            </w:r>
          </w:p>
        </w:tc>
        <w:tc>
          <w:tcPr>
            <w:tcW w:w="1234" w:type="dxa"/>
          </w:tcPr>
          <w:p>
            <w:pPr>
              <w:pStyle w:val="TableParagraph"/>
              <w:spacing w:before="51"/>
              <w:ind w:left="125" w:right="144"/>
              <w:rPr>
                <w:rFonts w:ascii="楷体" w:eastAsia="楷体" w:hint="eastAsia"/>
                <w:b/>
                <w:sz w:val="18"/>
              </w:rPr>
            </w:pPr>
            <w:r>
              <w:rPr>
                <w:rFonts w:ascii="楷体" w:eastAsia="楷体" w:hint="eastAsia"/>
                <w:b/>
                <w:sz w:val="18"/>
              </w:rPr>
              <w:t>起息日</w:t>
            </w:r>
          </w:p>
        </w:tc>
        <w:tc>
          <w:tcPr>
            <w:tcW w:w="1243" w:type="dxa"/>
          </w:tcPr>
          <w:p>
            <w:pPr>
              <w:pStyle w:val="TableParagraph"/>
              <w:spacing w:before="51"/>
              <w:ind w:left="139" w:right="140"/>
              <w:rPr>
                <w:rFonts w:ascii="楷体" w:eastAsia="楷体" w:hint="eastAsia"/>
                <w:b/>
                <w:sz w:val="18"/>
              </w:rPr>
            </w:pPr>
            <w:r>
              <w:rPr>
                <w:rFonts w:ascii="楷体" w:eastAsia="楷体" w:hint="eastAsia"/>
                <w:b/>
                <w:sz w:val="18"/>
              </w:rPr>
              <w:t>到期日</w:t>
            </w:r>
          </w:p>
        </w:tc>
        <w:tc>
          <w:tcPr>
            <w:tcW w:w="1017" w:type="dxa"/>
          </w:tcPr>
          <w:p>
            <w:pPr>
              <w:pStyle w:val="TableParagraph"/>
              <w:spacing w:before="51"/>
              <w:ind w:left="132" w:right="121"/>
              <w:rPr>
                <w:rFonts w:ascii="楷体" w:eastAsia="楷体" w:hint="eastAsia"/>
                <w:b/>
                <w:sz w:val="18"/>
              </w:rPr>
            </w:pPr>
            <w:r>
              <w:rPr>
                <w:rFonts w:ascii="楷体" w:eastAsia="楷体" w:hint="eastAsia"/>
                <w:b/>
                <w:sz w:val="18"/>
              </w:rPr>
              <w:t>票面利率</w:t>
            </w:r>
          </w:p>
        </w:tc>
        <w:tc>
          <w:tcPr>
            <w:tcW w:w="1166" w:type="dxa"/>
          </w:tcPr>
          <w:p>
            <w:pPr>
              <w:pStyle w:val="TableParagraph"/>
              <w:spacing w:before="51"/>
              <w:ind w:left="114" w:right="111"/>
              <w:rPr>
                <w:rFonts w:ascii="楷体" w:eastAsia="楷体" w:hint="eastAsia"/>
                <w:b/>
                <w:sz w:val="18"/>
              </w:rPr>
            </w:pPr>
            <w:r>
              <w:rPr>
                <w:rFonts w:ascii="楷体" w:eastAsia="楷体" w:hint="eastAsia"/>
                <w:b/>
                <w:sz w:val="18"/>
              </w:rPr>
              <w:t>债券类型</w:t>
            </w:r>
          </w:p>
        </w:tc>
        <w:tc>
          <w:tcPr>
            <w:tcW w:w="994" w:type="dxa"/>
          </w:tcPr>
          <w:p>
            <w:pPr>
              <w:pStyle w:val="TableParagraph"/>
              <w:spacing w:before="51"/>
              <w:ind w:left="104" w:right="127"/>
              <w:rPr>
                <w:rFonts w:ascii="楷体" w:eastAsia="楷体" w:hint="eastAsia"/>
                <w:b/>
                <w:sz w:val="18"/>
              </w:rPr>
            </w:pPr>
            <w:r>
              <w:rPr>
                <w:rFonts w:ascii="楷体" w:eastAsia="楷体" w:hint="eastAsia"/>
                <w:b/>
                <w:sz w:val="18"/>
              </w:rPr>
              <w:t>截止日余</w:t>
            </w:r>
          </w:p>
        </w:tc>
        <w:tc>
          <w:tcPr>
            <w:tcW w:w="832" w:type="dxa"/>
          </w:tcPr>
          <w:p>
            <w:pPr>
              <w:pStyle w:val="TableParagraph"/>
              <w:spacing w:before="51"/>
              <w:ind w:left="121" w:right="128"/>
              <w:rPr>
                <w:rFonts w:ascii="楷体" w:eastAsia="楷体" w:hint="eastAsia"/>
                <w:b/>
                <w:sz w:val="18"/>
              </w:rPr>
            </w:pPr>
            <w:r>
              <w:rPr>
                <w:rFonts w:ascii="楷体" w:eastAsia="楷体" w:hint="eastAsia"/>
                <w:b/>
                <w:sz w:val="18"/>
              </w:rPr>
              <w:t>剩余期</w:t>
            </w:r>
          </w:p>
        </w:tc>
        <w:tc>
          <w:tcPr>
            <w:tcW w:w="1024" w:type="dxa"/>
          </w:tcPr>
          <w:p>
            <w:pPr>
              <w:pStyle w:val="TableParagraph"/>
              <w:spacing w:before="51"/>
              <w:ind w:left="122" w:right="139"/>
              <w:rPr>
                <w:rFonts w:ascii="楷体" w:eastAsia="楷体" w:hint="eastAsia"/>
                <w:b/>
                <w:sz w:val="18"/>
              </w:rPr>
            </w:pPr>
            <w:r>
              <w:rPr>
                <w:rFonts w:ascii="楷体" w:eastAsia="楷体" w:hint="eastAsia"/>
                <w:b/>
                <w:sz w:val="18"/>
              </w:rPr>
              <w:t>中债债项</w:t>
            </w:r>
          </w:p>
        </w:tc>
        <w:tc>
          <w:tcPr>
            <w:tcW w:w="1057" w:type="dxa"/>
          </w:tcPr>
          <w:p>
            <w:pPr>
              <w:pStyle w:val="TableParagraph"/>
              <w:spacing w:before="51"/>
              <w:ind w:left="133" w:right="161"/>
              <w:rPr>
                <w:rFonts w:ascii="楷体" w:eastAsia="楷体" w:hint="eastAsia"/>
                <w:b/>
                <w:sz w:val="18"/>
              </w:rPr>
            </w:pPr>
            <w:r>
              <w:rPr>
                <w:rFonts w:ascii="楷体" w:eastAsia="楷体" w:hint="eastAsia"/>
                <w:b/>
                <w:sz w:val="18"/>
              </w:rPr>
              <w:t>估值收益</w:t>
            </w:r>
          </w:p>
        </w:tc>
      </w:tr>
      <w:tr>
        <w:tblPrEx>
          <w:tblW w:w="0" w:type="auto"/>
          <w:jc w:val="left"/>
          <w:tblInd w:w="168" w:type="dxa"/>
          <w:tblLayout w:type="fixed"/>
          <w:tblCellMar>
            <w:top w:w="0" w:type="dxa"/>
            <w:left w:w="0" w:type="dxa"/>
            <w:bottom w:w="0" w:type="dxa"/>
            <w:right w:w="0" w:type="dxa"/>
          </w:tblCellMar>
          <w:tblLook w:val="01E0"/>
        </w:tblPrEx>
        <w:trPr>
          <w:trHeight w:val="315"/>
          <w:jc w:val="left"/>
        </w:trPr>
        <w:tc>
          <w:tcPr>
            <w:tcW w:w="1345" w:type="dxa"/>
            <w:tcBorders>
              <w:bottom w:val="single" w:sz="4" w:space="0" w:color="013E96"/>
            </w:tcBorders>
          </w:tcPr>
          <w:p>
            <w:pPr>
              <w:pStyle w:val="TableParagraph"/>
              <w:jc w:val="left"/>
              <w:rPr>
                <w:rFonts w:ascii="Times New Roman"/>
                <w:sz w:val="20"/>
              </w:rPr>
            </w:pPr>
          </w:p>
        </w:tc>
        <w:tc>
          <w:tcPr>
            <w:tcW w:w="1409" w:type="dxa"/>
            <w:tcBorders>
              <w:bottom w:val="single" w:sz="4" w:space="0" w:color="013E96"/>
            </w:tcBorders>
          </w:tcPr>
          <w:p>
            <w:pPr>
              <w:pStyle w:val="TableParagraph"/>
              <w:jc w:val="left"/>
              <w:rPr>
                <w:rFonts w:ascii="Times New Roman"/>
                <w:sz w:val="20"/>
              </w:rPr>
            </w:pPr>
          </w:p>
        </w:tc>
        <w:tc>
          <w:tcPr>
            <w:tcW w:w="1234" w:type="dxa"/>
            <w:tcBorders>
              <w:bottom w:val="single" w:sz="4" w:space="0" w:color="013E96"/>
            </w:tcBorders>
          </w:tcPr>
          <w:p>
            <w:pPr>
              <w:pStyle w:val="TableParagraph"/>
              <w:jc w:val="left"/>
              <w:rPr>
                <w:rFonts w:ascii="Times New Roman"/>
                <w:sz w:val="20"/>
              </w:rPr>
            </w:pPr>
          </w:p>
        </w:tc>
        <w:tc>
          <w:tcPr>
            <w:tcW w:w="1243" w:type="dxa"/>
            <w:tcBorders>
              <w:bottom w:val="single" w:sz="4" w:space="0" w:color="013E96"/>
            </w:tcBorders>
          </w:tcPr>
          <w:p>
            <w:pPr>
              <w:pStyle w:val="TableParagraph"/>
              <w:jc w:val="left"/>
              <w:rPr>
                <w:rFonts w:ascii="Times New Roman"/>
                <w:sz w:val="20"/>
              </w:rPr>
            </w:pPr>
          </w:p>
        </w:tc>
        <w:tc>
          <w:tcPr>
            <w:tcW w:w="1017" w:type="dxa"/>
            <w:tcBorders>
              <w:bottom w:val="single" w:sz="4" w:space="0" w:color="013E96"/>
            </w:tcBorders>
          </w:tcPr>
          <w:p>
            <w:pPr>
              <w:pStyle w:val="TableParagraph"/>
              <w:spacing w:before="45"/>
              <w:ind w:left="132" w:right="120"/>
              <w:rPr>
                <w:rFonts w:ascii="楷体" w:eastAsia="楷体" w:hint="eastAsia"/>
                <w:b/>
                <w:sz w:val="18"/>
              </w:rPr>
            </w:pPr>
            <w:r>
              <w:rPr>
                <w:rFonts w:ascii="楷体" w:eastAsia="楷体" w:hint="eastAsia"/>
                <w:b/>
                <w:sz w:val="18"/>
              </w:rPr>
              <w:t>（</w:t>
            </w:r>
            <w:r>
              <w:rPr>
                <w:b/>
                <w:sz w:val="18"/>
              </w:rPr>
              <w:t>%</w:t>
            </w:r>
            <w:r>
              <w:rPr>
                <w:rFonts w:ascii="楷体" w:eastAsia="楷体" w:hint="eastAsia"/>
                <w:b/>
                <w:sz w:val="18"/>
              </w:rPr>
              <w:t>）</w:t>
            </w:r>
          </w:p>
        </w:tc>
        <w:tc>
          <w:tcPr>
            <w:tcW w:w="1166" w:type="dxa"/>
            <w:tcBorders>
              <w:bottom w:val="single" w:sz="4" w:space="0" w:color="013E96"/>
            </w:tcBorders>
          </w:tcPr>
          <w:p>
            <w:pPr>
              <w:pStyle w:val="TableParagraph"/>
              <w:jc w:val="left"/>
              <w:rPr>
                <w:rFonts w:ascii="Times New Roman"/>
                <w:sz w:val="20"/>
              </w:rPr>
            </w:pPr>
          </w:p>
        </w:tc>
        <w:tc>
          <w:tcPr>
            <w:tcW w:w="994" w:type="dxa"/>
            <w:tcBorders>
              <w:bottom w:val="single" w:sz="4" w:space="0" w:color="013E96"/>
            </w:tcBorders>
          </w:tcPr>
          <w:p>
            <w:pPr>
              <w:pStyle w:val="TableParagraph"/>
              <w:spacing w:before="45"/>
              <w:ind w:left="104" w:right="126"/>
              <w:rPr>
                <w:b/>
                <w:sz w:val="18"/>
              </w:rPr>
            </w:pPr>
            <w:r>
              <w:rPr>
                <w:rFonts w:ascii="楷体" w:eastAsia="楷体" w:hint="eastAsia"/>
                <w:b/>
                <w:sz w:val="18"/>
              </w:rPr>
              <w:t>额</w:t>
            </w:r>
            <w:r>
              <w:rPr>
                <w:b/>
                <w:sz w:val="18"/>
              </w:rPr>
              <w:t>(</w:t>
            </w:r>
            <w:r>
              <w:rPr>
                <w:rFonts w:ascii="楷体" w:eastAsia="楷体" w:hint="eastAsia"/>
                <w:b/>
                <w:sz w:val="18"/>
              </w:rPr>
              <w:t>亿元</w:t>
            </w:r>
            <w:r>
              <w:rPr>
                <w:b/>
                <w:sz w:val="18"/>
              </w:rPr>
              <w:t>)</w:t>
            </w:r>
          </w:p>
        </w:tc>
        <w:tc>
          <w:tcPr>
            <w:tcW w:w="832" w:type="dxa"/>
            <w:tcBorders>
              <w:bottom w:val="single" w:sz="4" w:space="0" w:color="013E96"/>
            </w:tcBorders>
          </w:tcPr>
          <w:p>
            <w:pPr>
              <w:pStyle w:val="TableParagraph"/>
              <w:spacing w:before="45"/>
              <w:ind w:left="121" w:right="123"/>
              <w:rPr>
                <w:b/>
                <w:sz w:val="18"/>
              </w:rPr>
            </w:pPr>
            <w:r>
              <w:rPr>
                <w:rFonts w:ascii="楷体" w:eastAsia="楷体" w:hint="eastAsia"/>
                <w:b/>
                <w:sz w:val="18"/>
              </w:rPr>
              <w:t>限</w:t>
            </w:r>
            <w:r>
              <w:rPr>
                <w:b/>
                <w:sz w:val="18"/>
              </w:rPr>
              <w:t>(</w:t>
            </w:r>
            <w:r>
              <w:rPr>
                <w:rFonts w:ascii="楷体" w:eastAsia="楷体" w:hint="eastAsia"/>
                <w:b/>
                <w:sz w:val="18"/>
              </w:rPr>
              <w:t>年</w:t>
            </w:r>
            <w:r>
              <w:rPr>
                <w:b/>
                <w:sz w:val="18"/>
              </w:rPr>
              <w:t>)</w:t>
            </w:r>
          </w:p>
        </w:tc>
        <w:tc>
          <w:tcPr>
            <w:tcW w:w="1024" w:type="dxa"/>
            <w:tcBorders>
              <w:bottom w:val="single" w:sz="4" w:space="0" w:color="013E96"/>
            </w:tcBorders>
          </w:tcPr>
          <w:p>
            <w:pPr>
              <w:pStyle w:val="TableParagraph"/>
              <w:spacing w:before="45"/>
              <w:ind w:left="122" w:right="139"/>
              <w:rPr>
                <w:rFonts w:ascii="楷体" w:eastAsia="楷体" w:hint="eastAsia"/>
                <w:b/>
                <w:sz w:val="18"/>
              </w:rPr>
            </w:pPr>
            <w:r>
              <w:rPr>
                <w:rFonts w:ascii="楷体" w:eastAsia="楷体" w:hint="eastAsia"/>
                <w:b/>
                <w:sz w:val="18"/>
              </w:rPr>
              <w:t>隐含评级</w:t>
            </w:r>
          </w:p>
        </w:tc>
        <w:tc>
          <w:tcPr>
            <w:tcW w:w="1057" w:type="dxa"/>
            <w:tcBorders>
              <w:bottom w:val="single" w:sz="4" w:space="0" w:color="013E96"/>
            </w:tcBorders>
          </w:tcPr>
          <w:p>
            <w:pPr>
              <w:pStyle w:val="TableParagraph"/>
              <w:spacing w:before="45"/>
              <w:ind w:left="133" w:right="161"/>
              <w:rPr>
                <w:rFonts w:ascii="楷体" w:eastAsia="楷体" w:hint="eastAsia"/>
                <w:b/>
                <w:sz w:val="18"/>
              </w:rPr>
            </w:pPr>
            <w:r>
              <w:rPr>
                <w:rFonts w:ascii="楷体" w:eastAsia="楷体" w:hint="eastAsia"/>
                <w:b/>
                <w:sz w:val="18"/>
              </w:rPr>
              <w:t>率（</w:t>
            </w:r>
            <w:r>
              <w:rPr>
                <w:b/>
                <w:sz w:val="18"/>
              </w:rPr>
              <w:t>%</w:t>
            </w:r>
            <w:r>
              <w:rPr>
                <w:rFonts w:ascii="楷体" w:eastAsia="楷体" w:hint="eastAsia"/>
                <w:b/>
                <w:sz w:val="18"/>
              </w:rPr>
              <w:t>）</w:t>
            </w:r>
          </w:p>
        </w:tc>
      </w:tr>
      <w:tr>
        <w:tblPrEx>
          <w:tblW w:w="0" w:type="auto"/>
          <w:jc w:val="left"/>
          <w:tblInd w:w="168" w:type="dxa"/>
          <w:tblLayout w:type="fixed"/>
          <w:tblCellMar>
            <w:top w:w="0" w:type="dxa"/>
            <w:left w:w="0" w:type="dxa"/>
            <w:bottom w:w="0" w:type="dxa"/>
            <w:right w:w="0" w:type="dxa"/>
          </w:tblCellMar>
          <w:tblLook w:val="01E0"/>
        </w:tblPrEx>
        <w:trPr>
          <w:trHeight w:val="320"/>
          <w:jc w:val="left"/>
        </w:trPr>
        <w:tc>
          <w:tcPr>
            <w:tcW w:w="1345" w:type="dxa"/>
            <w:tcBorders>
              <w:top w:val="single" w:sz="4" w:space="0" w:color="013E96"/>
            </w:tcBorders>
            <w:shd w:val="clear" w:color="auto" w:fill="F1F1F1"/>
          </w:tcPr>
          <w:p>
            <w:pPr>
              <w:pStyle w:val="TableParagraph"/>
              <w:spacing w:before="54"/>
              <w:ind w:left="89" w:right="91"/>
              <w:rPr>
                <w:sz w:val="18"/>
              </w:rPr>
            </w:pPr>
            <w:r>
              <w:rPr>
                <w:sz w:val="18"/>
              </w:rPr>
              <w:t>1920039.IB</w:t>
            </w:r>
          </w:p>
        </w:tc>
        <w:tc>
          <w:tcPr>
            <w:tcW w:w="1409" w:type="dxa"/>
            <w:tcBorders>
              <w:top w:val="single" w:sz="4" w:space="0" w:color="013E96"/>
            </w:tcBorders>
            <w:shd w:val="clear" w:color="auto" w:fill="F1F1F1"/>
          </w:tcPr>
          <w:p>
            <w:pPr>
              <w:pStyle w:val="TableParagraph"/>
              <w:spacing w:before="43"/>
              <w:ind w:left="94" w:right="124"/>
              <w:rPr>
                <w:rFonts w:ascii="楷体" w:eastAsia="楷体" w:hint="eastAsia"/>
                <w:sz w:val="18"/>
              </w:rPr>
            </w:pPr>
            <w:r>
              <w:rPr>
                <w:sz w:val="18"/>
              </w:rPr>
              <w:t xml:space="preserve">19 </w:t>
            </w:r>
            <w:r>
              <w:rPr>
                <w:rFonts w:ascii="楷体" w:eastAsia="楷体" w:hint="eastAsia"/>
                <w:sz w:val="18"/>
              </w:rPr>
              <w:t>杭州银行二</w:t>
            </w:r>
          </w:p>
        </w:tc>
        <w:tc>
          <w:tcPr>
            <w:tcW w:w="1234" w:type="dxa"/>
            <w:tcBorders>
              <w:top w:val="single" w:sz="4" w:space="0" w:color="013E96"/>
            </w:tcBorders>
            <w:shd w:val="clear" w:color="auto" w:fill="F1F1F1"/>
          </w:tcPr>
          <w:p>
            <w:pPr>
              <w:pStyle w:val="TableParagraph"/>
              <w:spacing w:before="54"/>
              <w:ind w:left="128" w:right="144"/>
              <w:rPr>
                <w:sz w:val="18"/>
              </w:rPr>
            </w:pPr>
            <w:r>
              <w:rPr>
                <w:sz w:val="18"/>
              </w:rPr>
              <w:t>2019-05-30</w:t>
            </w:r>
          </w:p>
        </w:tc>
        <w:tc>
          <w:tcPr>
            <w:tcW w:w="1243" w:type="dxa"/>
            <w:tcBorders>
              <w:top w:val="single" w:sz="4" w:space="0" w:color="013E96"/>
            </w:tcBorders>
            <w:shd w:val="clear" w:color="auto" w:fill="F1F1F1"/>
          </w:tcPr>
          <w:p>
            <w:pPr>
              <w:pStyle w:val="TableParagraph"/>
              <w:spacing w:before="54"/>
              <w:ind w:left="141" w:right="140"/>
              <w:rPr>
                <w:sz w:val="18"/>
              </w:rPr>
            </w:pPr>
            <w:r>
              <w:rPr>
                <w:sz w:val="18"/>
              </w:rPr>
              <w:t>2029-05-30</w:t>
            </w:r>
          </w:p>
        </w:tc>
        <w:tc>
          <w:tcPr>
            <w:tcW w:w="1017" w:type="dxa"/>
            <w:tcBorders>
              <w:top w:val="single" w:sz="4" w:space="0" w:color="013E96"/>
            </w:tcBorders>
            <w:shd w:val="clear" w:color="auto" w:fill="F1F1F1"/>
          </w:tcPr>
          <w:p>
            <w:pPr>
              <w:pStyle w:val="TableParagraph"/>
              <w:spacing w:before="54"/>
              <w:ind w:left="132" w:right="121"/>
              <w:rPr>
                <w:sz w:val="18"/>
              </w:rPr>
            </w:pPr>
            <w:r>
              <w:rPr>
                <w:sz w:val="18"/>
              </w:rPr>
              <w:t>4.6</w:t>
            </w:r>
          </w:p>
        </w:tc>
        <w:tc>
          <w:tcPr>
            <w:tcW w:w="1166" w:type="dxa"/>
            <w:tcBorders>
              <w:top w:val="single" w:sz="4" w:space="0" w:color="013E96"/>
            </w:tcBorders>
            <w:shd w:val="clear" w:color="auto" w:fill="F1F1F1"/>
          </w:tcPr>
          <w:p>
            <w:pPr>
              <w:pStyle w:val="TableParagraph"/>
              <w:spacing w:before="43"/>
              <w:ind w:left="115" w:right="111"/>
              <w:rPr>
                <w:rFonts w:ascii="楷体" w:eastAsia="楷体" w:hint="eastAsia"/>
                <w:sz w:val="18"/>
              </w:rPr>
            </w:pPr>
            <w:r>
              <w:rPr>
                <w:rFonts w:ascii="楷体" w:eastAsia="楷体" w:hint="eastAsia"/>
                <w:sz w:val="18"/>
              </w:rPr>
              <w:t>商业银行二</w:t>
            </w:r>
          </w:p>
        </w:tc>
        <w:tc>
          <w:tcPr>
            <w:tcW w:w="994" w:type="dxa"/>
            <w:tcBorders>
              <w:top w:val="single" w:sz="4" w:space="0" w:color="013E96"/>
            </w:tcBorders>
            <w:shd w:val="clear" w:color="auto" w:fill="F1F1F1"/>
          </w:tcPr>
          <w:p>
            <w:pPr>
              <w:pStyle w:val="TableParagraph"/>
              <w:spacing w:before="54"/>
              <w:ind w:left="104" w:right="125"/>
              <w:rPr>
                <w:sz w:val="18"/>
              </w:rPr>
            </w:pPr>
            <w:r>
              <w:rPr>
                <w:sz w:val="18"/>
              </w:rPr>
              <w:t>100.00</w:t>
            </w:r>
          </w:p>
        </w:tc>
        <w:tc>
          <w:tcPr>
            <w:tcW w:w="832" w:type="dxa"/>
            <w:tcBorders>
              <w:top w:val="single" w:sz="4" w:space="0" w:color="013E96"/>
            </w:tcBorders>
            <w:shd w:val="clear" w:color="auto" w:fill="F1F1F1"/>
          </w:tcPr>
          <w:p>
            <w:pPr>
              <w:pStyle w:val="TableParagraph"/>
              <w:spacing w:before="54"/>
              <w:ind w:left="121" w:right="126"/>
              <w:rPr>
                <w:sz w:val="18"/>
              </w:rPr>
            </w:pPr>
            <w:r>
              <w:rPr>
                <w:sz w:val="18"/>
              </w:rPr>
              <w:t>0.31</w:t>
            </w:r>
          </w:p>
        </w:tc>
        <w:tc>
          <w:tcPr>
            <w:tcW w:w="1024" w:type="dxa"/>
            <w:tcBorders>
              <w:top w:val="single" w:sz="4" w:space="0" w:color="013E96"/>
            </w:tcBorders>
            <w:shd w:val="clear" w:color="auto" w:fill="F1F1F1"/>
          </w:tcPr>
          <w:p>
            <w:pPr>
              <w:pStyle w:val="TableParagraph"/>
              <w:spacing w:before="54"/>
              <w:ind w:left="119" w:right="139"/>
              <w:rPr>
                <w:sz w:val="18"/>
              </w:rPr>
            </w:pPr>
            <w:r>
              <w:rPr>
                <w:sz w:val="18"/>
              </w:rPr>
              <w:t>AA+</w:t>
            </w:r>
          </w:p>
        </w:tc>
        <w:tc>
          <w:tcPr>
            <w:tcW w:w="1057" w:type="dxa"/>
            <w:tcBorders>
              <w:top w:val="single" w:sz="4" w:space="0" w:color="013E96"/>
            </w:tcBorders>
            <w:shd w:val="clear" w:color="auto" w:fill="F1F1F1"/>
          </w:tcPr>
          <w:p>
            <w:pPr>
              <w:pStyle w:val="TableParagraph"/>
              <w:spacing w:before="54"/>
              <w:ind w:left="132" w:right="161"/>
              <w:rPr>
                <w:sz w:val="18"/>
              </w:rPr>
            </w:pPr>
            <w:r>
              <w:rPr>
                <w:sz w:val="18"/>
              </w:rPr>
              <w:t>2.47</w:t>
            </w:r>
          </w:p>
        </w:tc>
      </w:tr>
      <w:tr>
        <w:tblPrEx>
          <w:tblW w:w="0" w:type="auto"/>
          <w:jc w:val="left"/>
          <w:tblInd w:w="168" w:type="dxa"/>
          <w:tblLayout w:type="fixed"/>
          <w:tblCellMar>
            <w:top w:w="0" w:type="dxa"/>
            <w:left w:w="0" w:type="dxa"/>
            <w:bottom w:w="0" w:type="dxa"/>
            <w:right w:w="0" w:type="dxa"/>
          </w:tblCellMar>
          <w:tblLook w:val="01E0"/>
        </w:tblPrEx>
        <w:trPr>
          <w:trHeight w:val="305"/>
          <w:jc w:val="left"/>
        </w:trPr>
        <w:tc>
          <w:tcPr>
            <w:tcW w:w="1345" w:type="dxa"/>
            <w:shd w:val="clear" w:color="auto" w:fill="F1F1F1"/>
          </w:tcPr>
          <w:p>
            <w:pPr>
              <w:pStyle w:val="TableParagraph"/>
              <w:jc w:val="left"/>
              <w:rPr>
                <w:rFonts w:ascii="Times New Roman"/>
                <w:sz w:val="20"/>
              </w:rPr>
            </w:pPr>
          </w:p>
        </w:tc>
        <w:tc>
          <w:tcPr>
            <w:tcW w:w="1409" w:type="dxa"/>
            <w:shd w:val="clear" w:color="auto" w:fill="F1F1F1"/>
          </w:tcPr>
          <w:p>
            <w:pPr>
              <w:pStyle w:val="TableParagraph"/>
              <w:spacing w:before="34"/>
              <w:ind w:right="34"/>
              <w:rPr>
                <w:rFonts w:ascii="楷体" w:eastAsia="楷体" w:hint="eastAsia"/>
                <w:sz w:val="18"/>
              </w:rPr>
            </w:pPr>
            <w:r>
              <w:rPr>
                <w:rFonts w:ascii="楷体" w:eastAsia="楷体" w:hint="eastAsia"/>
                <w:sz w:val="18"/>
              </w:rPr>
              <w:t>级</w:t>
            </w:r>
          </w:p>
        </w:tc>
        <w:tc>
          <w:tcPr>
            <w:tcW w:w="1234" w:type="dxa"/>
            <w:shd w:val="clear" w:color="auto" w:fill="F1F1F1"/>
          </w:tcPr>
          <w:p>
            <w:pPr>
              <w:pStyle w:val="TableParagraph"/>
              <w:jc w:val="left"/>
              <w:rPr>
                <w:rFonts w:ascii="Times New Roman"/>
                <w:sz w:val="20"/>
              </w:rPr>
            </w:pPr>
          </w:p>
        </w:tc>
        <w:tc>
          <w:tcPr>
            <w:tcW w:w="1243" w:type="dxa"/>
            <w:shd w:val="clear" w:color="auto" w:fill="F1F1F1"/>
          </w:tcPr>
          <w:p>
            <w:pPr>
              <w:pStyle w:val="TableParagraph"/>
              <w:jc w:val="left"/>
              <w:rPr>
                <w:rFonts w:ascii="Times New Roman"/>
                <w:sz w:val="20"/>
              </w:rPr>
            </w:pPr>
          </w:p>
        </w:tc>
        <w:tc>
          <w:tcPr>
            <w:tcW w:w="1017" w:type="dxa"/>
            <w:shd w:val="clear" w:color="auto" w:fill="F1F1F1"/>
          </w:tcPr>
          <w:p>
            <w:pPr>
              <w:pStyle w:val="TableParagraph"/>
              <w:jc w:val="left"/>
              <w:rPr>
                <w:rFonts w:ascii="Times New Roman"/>
                <w:sz w:val="20"/>
              </w:rPr>
            </w:pPr>
          </w:p>
        </w:tc>
        <w:tc>
          <w:tcPr>
            <w:tcW w:w="1166" w:type="dxa"/>
            <w:shd w:val="clear" w:color="auto" w:fill="F1F1F1"/>
          </w:tcPr>
          <w:p>
            <w:pPr>
              <w:pStyle w:val="TableParagraph"/>
              <w:spacing w:before="34"/>
              <w:ind w:left="115" w:right="109"/>
              <w:rPr>
                <w:rFonts w:ascii="楷体" w:eastAsia="楷体" w:hint="eastAsia"/>
                <w:sz w:val="18"/>
              </w:rPr>
            </w:pPr>
            <w:r>
              <w:rPr>
                <w:rFonts w:ascii="楷体" w:eastAsia="楷体" w:hint="eastAsia"/>
                <w:sz w:val="18"/>
              </w:rPr>
              <w:t>级资本债</w:t>
            </w:r>
          </w:p>
        </w:tc>
        <w:tc>
          <w:tcPr>
            <w:tcW w:w="994" w:type="dxa"/>
            <w:shd w:val="clear" w:color="auto" w:fill="F1F1F1"/>
          </w:tcPr>
          <w:p>
            <w:pPr>
              <w:pStyle w:val="TableParagraph"/>
              <w:jc w:val="left"/>
              <w:rPr>
                <w:rFonts w:ascii="Times New Roman"/>
                <w:sz w:val="20"/>
              </w:rPr>
            </w:pPr>
          </w:p>
        </w:tc>
        <w:tc>
          <w:tcPr>
            <w:tcW w:w="832" w:type="dxa"/>
            <w:shd w:val="clear" w:color="auto" w:fill="F1F1F1"/>
          </w:tcPr>
          <w:p>
            <w:pPr>
              <w:pStyle w:val="TableParagraph"/>
              <w:jc w:val="left"/>
              <w:rPr>
                <w:rFonts w:ascii="Times New Roman"/>
                <w:sz w:val="20"/>
              </w:rPr>
            </w:pPr>
          </w:p>
        </w:tc>
        <w:tc>
          <w:tcPr>
            <w:tcW w:w="1024" w:type="dxa"/>
            <w:shd w:val="clear" w:color="auto" w:fill="F1F1F1"/>
          </w:tcPr>
          <w:p>
            <w:pPr>
              <w:pStyle w:val="TableParagraph"/>
              <w:jc w:val="left"/>
              <w:rPr>
                <w:rFonts w:ascii="Times New Roman"/>
                <w:sz w:val="20"/>
              </w:rPr>
            </w:pPr>
          </w:p>
        </w:tc>
        <w:tc>
          <w:tcPr>
            <w:tcW w:w="1057" w:type="dxa"/>
            <w:shd w:val="clear" w:color="auto" w:fill="F1F1F1"/>
          </w:tcPr>
          <w:p>
            <w:pPr>
              <w:pStyle w:val="TableParagraph"/>
              <w:jc w:val="left"/>
              <w:rPr>
                <w:rFonts w:ascii="Times New Roman"/>
                <w:sz w:val="20"/>
              </w:rPr>
            </w:pPr>
          </w:p>
        </w:tc>
      </w:tr>
      <w:tr>
        <w:tblPrEx>
          <w:tblW w:w="0" w:type="auto"/>
          <w:jc w:val="left"/>
          <w:tblInd w:w="168" w:type="dxa"/>
          <w:tblLayout w:type="fixed"/>
          <w:tblCellMar>
            <w:top w:w="0" w:type="dxa"/>
            <w:left w:w="0" w:type="dxa"/>
            <w:bottom w:w="0" w:type="dxa"/>
            <w:right w:w="0" w:type="dxa"/>
          </w:tblCellMar>
          <w:tblLook w:val="01E0"/>
        </w:tblPrEx>
        <w:trPr>
          <w:trHeight w:val="623"/>
          <w:jc w:val="left"/>
        </w:trPr>
        <w:tc>
          <w:tcPr>
            <w:tcW w:w="1345" w:type="dxa"/>
          </w:tcPr>
          <w:p>
            <w:pPr>
              <w:pStyle w:val="TableParagraph"/>
              <w:spacing w:before="52"/>
              <w:ind w:left="89" w:right="94"/>
              <w:rPr>
                <w:sz w:val="18"/>
              </w:rPr>
            </w:pPr>
            <w:r>
              <w:rPr>
                <w:sz w:val="18"/>
              </w:rPr>
              <w:t>092280098.IB</w:t>
            </w:r>
          </w:p>
        </w:tc>
        <w:tc>
          <w:tcPr>
            <w:tcW w:w="1409" w:type="dxa"/>
          </w:tcPr>
          <w:p>
            <w:pPr>
              <w:pStyle w:val="TableParagraph"/>
              <w:spacing w:before="40"/>
              <w:ind w:left="114"/>
              <w:jc w:val="left"/>
              <w:rPr>
                <w:rFonts w:ascii="楷体" w:eastAsia="楷体" w:hint="eastAsia"/>
                <w:sz w:val="18"/>
              </w:rPr>
            </w:pPr>
            <w:r>
              <w:rPr>
                <w:sz w:val="18"/>
              </w:rPr>
              <w:t xml:space="preserve">22 </w:t>
            </w:r>
            <w:r>
              <w:rPr>
                <w:rFonts w:ascii="楷体" w:eastAsia="楷体" w:hint="eastAsia"/>
                <w:sz w:val="18"/>
              </w:rPr>
              <w:t>杭州银行二</w:t>
            </w:r>
          </w:p>
          <w:p>
            <w:pPr>
              <w:pStyle w:val="TableParagraph"/>
              <w:spacing w:before="82"/>
              <w:ind w:left="205"/>
              <w:jc w:val="left"/>
              <w:rPr>
                <w:sz w:val="18"/>
              </w:rPr>
            </w:pPr>
            <w:r>
              <w:rPr>
                <w:rFonts w:ascii="楷体" w:eastAsia="楷体" w:hint="eastAsia"/>
                <w:sz w:val="18"/>
              </w:rPr>
              <w:t xml:space="preserve">级资本债 </w:t>
            </w:r>
            <w:r>
              <w:rPr>
                <w:sz w:val="18"/>
              </w:rPr>
              <w:t>01</w:t>
            </w:r>
          </w:p>
        </w:tc>
        <w:tc>
          <w:tcPr>
            <w:tcW w:w="1234" w:type="dxa"/>
          </w:tcPr>
          <w:p>
            <w:pPr>
              <w:pStyle w:val="TableParagraph"/>
              <w:spacing w:before="52"/>
              <w:ind w:left="128" w:right="144"/>
              <w:rPr>
                <w:sz w:val="18"/>
              </w:rPr>
            </w:pPr>
            <w:r>
              <w:rPr>
                <w:sz w:val="18"/>
              </w:rPr>
              <w:t>2022-09-29</w:t>
            </w:r>
          </w:p>
        </w:tc>
        <w:tc>
          <w:tcPr>
            <w:tcW w:w="1243" w:type="dxa"/>
          </w:tcPr>
          <w:p>
            <w:pPr>
              <w:pStyle w:val="TableParagraph"/>
              <w:spacing w:before="52"/>
              <w:ind w:left="141" w:right="140"/>
              <w:rPr>
                <w:sz w:val="18"/>
              </w:rPr>
            </w:pPr>
            <w:r>
              <w:rPr>
                <w:sz w:val="18"/>
              </w:rPr>
              <w:t>2032-09-29</w:t>
            </w:r>
          </w:p>
        </w:tc>
        <w:tc>
          <w:tcPr>
            <w:tcW w:w="1017" w:type="dxa"/>
          </w:tcPr>
          <w:p>
            <w:pPr>
              <w:pStyle w:val="TableParagraph"/>
              <w:spacing w:before="52"/>
              <w:ind w:left="132" w:right="121"/>
              <w:rPr>
                <w:sz w:val="18"/>
              </w:rPr>
            </w:pPr>
            <w:r>
              <w:rPr>
                <w:sz w:val="18"/>
              </w:rPr>
              <w:t>3.15</w:t>
            </w:r>
          </w:p>
        </w:tc>
        <w:tc>
          <w:tcPr>
            <w:tcW w:w="1166" w:type="dxa"/>
          </w:tcPr>
          <w:p>
            <w:pPr>
              <w:pStyle w:val="TableParagraph"/>
              <w:spacing w:before="40"/>
              <w:ind w:left="135"/>
              <w:jc w:val="left"/>
              <w:rPr>
                <w:rFonts w:ascii="楷体" w:eastAsia="楷体" w:hint="eastAsia"/>
                <w:sz w:val="18"/>
              </w:rPr>
            </w:pPr>
            <w:r>
              <w:rPr>
                <w:rFonts w:ascii="楷体" w:eastAsia="楷体" w:hint="eastAsia"/>
                <w:sz w:val="18"/>
              </w:rPr>
              <w:t>商业银行二</w:t>
            </w:r>
          </w:p>
          <w:p>
            <w:pPr>
              <w:pStyle w:val="TableParagraph"/>
              <w:spacing w:before="82"/>
              <w:ind w:left="226"/>
              <w:jc w:val="left"/>
              <w:rPr>
                <w:rFonts w:ascii="楷体" w:eastAsia="楷体" w:hint="eastAsia"/>
                <w:sz w:val="18"/>
              </w:rPr>
            </w:pPr>
            <w:r>
              <w:rPr>
                <w:rFonts w:ascii="楷体" w:eastAsia="楷体" w:hint="eastAsia"/>
                <w:sz w:val="18"/>
              </w:rPr>
              <w:t>级资本债</w:t>
            </w:r>
          </w:p>
        </w:tc>
        <w:tc>
          <w:tcPr>
            <w:tcW w:w="994" w:type="dxa"/>
          </w:tcPr>
          <w:p>
            <w:pPr>
              <w:pStyle w:val="TableParagraph"/>
              <w:spacing w:before="52"/>
              <w:ind w:left="104" w:right="125"/>
              <w:rPr>
                <w:sz w:val="18"/>
              </w:rPr>
            </w:pPr>
            <w:r>
              <w:rPr>
                <w:sz w:val="18"/>
              </w:rPr>
              <w:t>100.00</w:t>
            </w:r>
          </w:p>
        </w:tc>
        <w:tc>
          <w:tcPr>
            <w:tcW w:w="832" w:type="dxa"/>
          </w:tcPr>
          <w:p>
            <w:pPr>
              <w:pStyle w:val="TableParagraph"/>
              <w:spacing w:before="52"/>
              <w:ind w:left="121" w:right="126"/>
              <w:rPr>
                <w:sz w:val="18"/>
              </w:rPr>
            </w:pPr>
            <w:r>
              <w:rPr>
                <w:sz w:val="18"/>
              </w:rPr>
              <w:t>3.65</w:t>
            </w:r>
          </w:p>
        </w:tc>
        <w:tc>
          <w:tcPr>
            <w:tcW w:w="1024" w:type="dxa"/>
          </w:tcPr>
          <w:p>
            <w:pPr>
              <w:pStyle w:val="TableParagraph"/>
              <w:spacing w:before="52"/>
              <w:ind w:left="119" w:right="139"/>
              <w:rPr>
                <w:sz w:val="18"/>
              </w:rPr>
            </w:pPr>
            <w:r>
              <w:rPr>
                <w:sz w:val="18"/>
              </w:rPr>
              <w:t>AA+</w:t>
            </w:r>
          </w:p>
        </w:tc>
        <w:tc>
          <w:tcPr>
            <w:tcW w:w="1057" w:type="dxa"/>
          </w:tcPr>
          <w:p>
            <w:pPr>
              <w:pStyle w:val="TableParagraph"/>
              <w:spacing w:before="52"/>
              <w:ind w:left="132" w:right="161"/>
              <w:rPr>
                <w:sz w:val="18"/>
              </w:rPr>
            </w:pPr>
            <w:r>
              <w:rPr>
                <w:sz w:val="18"/>
              </w:rPr>
              <w:t>2.72</w:t>
            </w:r>
          </w:p>
        </w:tc>
      </w:tr>
      <w:tr>
        <w:tblPrEx>
          <w:tblW w:w="0" w:type="auto"/>
          <w:jc w:val="left"/>
          <w:tblInd w:w="168" w:type="dxa"/>
          <w:tblLayout w:type="fixed"/>
          <w:tblCellMar>
            <w:top w:w="0" w:type="dxa"/>
            <w:left w:w="0" w:type="dxa"/>
            <w:bottom w:w="0" w:type="dxa"/>
            <w:right w:w="0" w:type="dxa"/>
          </w:tblCellMar>
          <w:tblLook w:val="01E0"/>
        </w:tblPrEx>
        <w:trPr>
          <w:trHeight w:val="318"/>
          <w:jc w:val="left"/>
        </w:trPr>
        <w:tc>
          <w:tcPr>
            <w:tcW w:w="1345" w:type="dxa"/>
            <w:shd w:val="clear" w:color="auto" w:fill="F1F1F1"/>
          </w:tcPr>
          <w:p>
            <w:pPr>
              <w:pStyle w:val="TableParagraph"/>
              <w:spacing w:before="52"/>
              <w:ind w:left="89" w:right="91"/>
              <w:rPr>
                <w:sz w:val="18"/>
              </w:rPr>
            </w:pPr>
            <w:r>
              <w:rPr>
                <w:sz w:val="18"/>
              </w:rPr>
              <w:t>2020002.IB</w:t>
            </w:r>
          </w:p>
        </w:tc>
        <w:tc>
          <w:tcPr>
            <w:tcW w:w="1409" w:type="dxa"/>
            <w:shd w:val="clear" w:color="auto" w:fill="F1F1F1"/>
          </w:tcPr>
          <w:p>
            <w:pPr>
              <w:pStyle w:val="TableParagraph"/>
              <w:spacing w:before="40"/>
              <w:ind w:left="94" w:right="124"/>
              <w:rPr>
                <w:rFonts w:ascii="楷体" w:eastAsia="楷体" w:hint="eastAsia"/>
                <w:sz w:val="18"/>
              </w:rPr>
            </w:pPr>
            <w:r>
              <w:rPr>
                <w:sz w:val="18"/>
              </w:rPr>
              <w:t xml:space="preserve">20 </w:t>
            </w:r>
            <w:r>
              <w:rPr>
                <w:rFonts w:ascii="楷体" w:eastAsia="楷体" w:hint="eastAsia"/>
                <w:sz w:val="18"/>
              </w:rPr>
              <w:t>杭州银行永</w:t>
            </w:r>
          </w:p>
        </w:tc>
        <w:tc>
          <w:tcPr>
            <w:tcW w:w="1234" w:type="dxa"/>
            <w:shd w:val="clear" w:color="auto" w:fill="F1F1F1"/>
          </w:tcPr>
          <w:p>
            <w:pPr>
              <w:pStyle w:val="TableParagraph"/>
              <w:spacing w:before="52"/>
              <w:ind w:left="128" w:right="144"/>
              <w:rPr>
                <w:sz w:val="18"/>
              </w:rPr>
            </w:pPr>
            <w:r>
              <w:rPr>
                <w:sz w:val="18"/>
              </w:rPr>
              <w:t>2020-01-17</w:t>
            </w:r>
          </w:p>
        </w:tc>
        <w:tc>
          <w:tcPr>
            <w:tcW w:w="1243" w:type="dxa"/>
            <w:shd w:val="clear" w:color="auto" w:fill="F1F1F1"/>
          </w:tcPr>
          <w:p>
            <w:pPr>
              <w:pStyle w:val="TableParagraph"/>
              <w:spacing w:before="52"/>
              <w:ind w:left="141" w:right="140"/>
              <w:rPr>
                <w:sz w:val="18"/>
              </w:rPr>
            </w:pPr>
            <w:r>
              <w:rPr>
                <w:sz w:val="18"/>
              </w:rPr>
              <w:t>2025-01-17</w:t>
            </w:r>
          </w:p>
        </w:tc>
        <w:tc>
          <w:tcPr>
            <w:tcW w:w="1017" w:type="dxa"/>
            <w:shd w:val="clear" w:color="auto" w:fill="F1F1F1"/>
          </w:tcPr>
          <w:p>
            <w:pPr>
              <w:pStyle w:val="TableParagraph"/>
              <w:spacing w:before="52"/>
              <w:ind w:left="132" w:right="121"/>
              <w:rPr>
                <w:sz w:val="18"/>
              </w:rPr>
            </w:pPr>
            <w:r>
              <w:rPr>
                <w:sz w:val="18"/>
              </w:rPr>
              <w:t>4.1</w:t>
            </w:r>
          </w:p>
        </w:tc>
        <w:tc>
          <w:tcPr>
            <w:tcW w:w="1166" w:type="dxa"/>
            <w:shd w:val="clear" w:color="auto" w:fill="F1F1F1"/>
          </w:tcPr>
          <w:p>
            <w:pPr>
              <w:pStyle w:val="TableParagraph"/>
              <w:spacing w:before="40"/>
              <w:ind w:left="115" w:right="111"/>
              <w:rPr>
                <w:rFonts w:ascii="楷体" w:eastAsia="楷体" w:hint="eastAsia"/>
                <w:sz w:val="18"/>
              </w:rPr>
            </w:pPr>
            <w:r>
              <w:rPr>
                <w:rFonts w:ascii="楷体" w:eastAsia="楷体" w:hint="eastAsia"/>
                <w:sz w:val="18"/>
              </w:rPr>
              <w:t>商业银行永</w:t>
            </w:r>
          </w:p>
        </w:tc>
        <w:tc>
          <w:tcPr>
            <w:tcW w:w="994" w:type="dxa"/>
            <w:shd w:val="clear" w:color="auto" w:fill="F1F1F1"/>
          </w:tcPr>
          <w:p>
            <w:pPr>
              <w:pStyle w:val="TableParagraph"/>
              <w:spacing w:before="52"/>
              <w:ind w:left="103" w:right="127"/>
              <w:rPr>
                <w:sz w:val="18"/>
              </w:rPr>
            </w:pPr>
            <w:r>
              <w:rPr>
                <w:sz w:val="18"/>
              </w:rPr>
              <w:t>70.00</w:t>
            </w:r>
          </w:p>
        </w:tc>
        <w:tc>
          <w:tcPr>
            <w:tcW w:w="832" w:type="dxa"/>
            <w:shd w:val="clear" w:color="auto" w:fill="F1F1F1"/>
          </w:tcPr>
          <w:p>
            <w:pPr>
              <w:pStyle w:val="TableParagraph"/>
              <w:spacing w:before="52"/>
              <w:ind w:left="121" w:right="126"/>
              <w:rPr>
                <w:sz w:val="18"/>
              </w:rPr>
            </w:pPr>
            <w:r>
              <w:rPr>
                <w:sz w:val="18"/>
              </w:rPr>
              <w:t>0.95</w:t>
            </w:r>
          </w:p>
        </w:tc>
        <w:tc>
          <w:tcPr>
            <w:tcW w:w="1024" w:type="dxa"/>
            <w:shd w:val="clear" w:color="auto" w:fill="F1F1F1"/>
          </w:tcPr>
          <w:p>
            <w:pPr>
              <w:pStyle w:val="TableParagraph"/>
              <w:spacing w:before="52"/>
              <w:ind w:left="119" w:right="139"/>
              <w:rPr>
                <w:sz w:val="18"/>
              </w:rPr>
            </w:pPr>
            <w:r>
              <w:rPr>
                <w:sz w:val="18"/>
              </w:rPr>
              <w:t>AA+</w:t>
            </w:r>
          </w:p>
        </w:tc>
        <w:tc>
          <w:tcPr>
            <w:tcW w:w="1057" w:type="dxa"/>
            <w:shd w:val="clear" w:color="auto" w:fill="F1F1F1"/>
          </w:tcPr>
          <w:p>
            <w:pPr>
              <w:pStyle w:val="TableParagraph"/>
              <w:spacing w:before="52"/>
              <w:ind w:left="132" w:right="161"/>
              <w:rPr>
                <w:sz w:val="18"/>
              </w:rPr>
            </w:pPr>
            <w:r>
              <w:rPr>
                <w:sz w:val="18"/>
              </w:rPr>
              <w:t>2.59</w:t>
            </w:r>
          </w:p>
        </w:tc>
      </w:tr>
      <w:tr>
        <w:tblPrEx>
          <w:tblW w:w="0" w:type="auto"/>
          <w:jc w:val="left"/>
          <w:tblInd w:w="168" w:type="dxa"/>
          <w:tblLayout w:type="fixed"/>
          <w:tblCellMar>
            <w:top w:w="0" w:type="dxa"/>
            <w:left w:w="0" w:type="dxa"/>
            <w:bottom w:w="0" w:type="dxa"/>
            <w:right w:w="0" w:type="dxa"/>
          </w:tblCellMar>
          <w:tblLook w:val="01E0"/>
        </w:tblPrEx>
        <w:trPr>
          <w:trHeight w:val="310"/>
          <w:jc w:val="left"/>
        </w:trPr>
        <w:tc>
          <w:tcPr>
            <w:tcW w:w="1345" w:type="dxa"/>
            <w:shd w:val="clear" w:color="auto" w:fill="F1F1F1"/>
          </w:tcPr>
          <w:p>
            <w:pPr>
              <w:pStyle w:val="TableParagraph"/>
              <w:jc w:val="left"/>
              <w:rPr>
                <w:rFonts w:ascii="Times New Roman"/>
                <w:sz w:val="20"/>
              </w:rPr>
            </w:pPr>
          </w:p>
        </w:tc>
        <w:tc>
          <w:tcPr>
            <w:tcW w:w="1409" w:type="dxa"/>
            <w:shd w:val="clear" w:color="auto" w:fill="F1F1F1"/>
          </w:tcPr>
          <w:p>
            <w:pPr>
              <w:pStyle w:val="TableParagraph"/>
              <w:spacing w:before="34"/>
              <w:ind w:left="94" w:right="124"/>
              <w:rPr>
                <w:rFonts w:ascii="楷体" w:eastAsia="楷体" w:hint="eastAsia"/>
                <w:sz w:val="18"/>
              </w:rPr>
            </w:pPr>
            <w:r>
              <w:rPr>
                <w:rFonts w:ascii="楷体" w:eastAsia="楷体" w:hint="eastAsia"/>
                <w:sz w:val="18"/>
              </w:rPr>
              <w:t>续债</w:t>
            </w:r>
          </w:p>
        </w:tc>
        <w:tc>
          <w:tcPr>
            <w:tcW w:w="1234" w:type="dxa"/>
            <w:shd w:val="clear" w:color="auto" w:fill="F1F1F1"/>
          </w:tcPr>
          <w:p>
            <w:pPr>
              <w:pStyle w:val="TableParagraph"/>
              <w:jc w:val="left"/>
              <w:rPr>
                <w:rFonts w:ascii="Times New Roman"/>
                <w:sz w:val="20"/>
              </w:rPr>
            </w:pPr>
          </w:p>
        </w:tc>
        <w:tc>
          <w:tcPr>
            <w:tcW w:w="1243" w:type="dxa"/>
            <w:shd w:val="clear" w:color="auto" w:fill="F1F1F1"/>
          </w:tcPr>
          <w:p>
            <w:pPr>
              <w:pStyle w:val="TableParagraph"/>
              <w:jc w:val="left"/>
              <w:rPr>
                <w:rFonts w:ascii="Times New Roman"/>
                <w:sz w:val="20"/>
              </w:rPr>
            </w:pPr>
          </w:p>
        </w:tc>
        <w:tc>
          <w:tcPr>
            <w:tcW w:w="1017" w:type="dxa"/>
            <w:shd w:val="clear" w:color="auto" w:fill="F1F1F1"/>
          </w:tcPr>
          <w:p>
            <w:pPr>
              <w:pStyle w:val="TableParagraph"/>
              <w:jc w:val="left"/>
              <w:rPr>
                <w:rFonts w:ascii="Times New Roman"/>
                <w:sz w:val="20"/>
              </w:rPr>
            </w:pPr>
          </w:p>
        </w:tc>
        <w:tc>
          <w:tcPr>
            <w:tcW w:w="1166" w:type="dxa"/>
            <w:shd w:val="clear" w:color="auto" w:fill="F1F1F1"/>
          </w:tcPr>
          <w:p>
            <w:pPr>
              <w:pStyle w:val="TableParagraph"/>
              <w:spacing w:before="34"/>
              <w:ind w:left="115" w:right="109"/>
              <w:rPr>
                <w:rFonts w:ascii="楷体" w:eastAsia="楷体" w:hint="eastAsia"/>
                <w:sz w:val="18"/>
              </w:rPr>
            </w:pPr>
            <w:r>
              <w:rPr>
                <w:rFonts w:ascii="楷体" w:eastAsia="楷体" w:hint="eastAsia"/>
                <w:sz w:val="18"/>
              </w:rPr>
              <w:t>续债</w:t>
            </w:r>
          </w:p>
        </w:tc>
        <w:tc>
          <w:tcPr>
            <w:tcW w:w="994" w:type="dxa"/>
            <w:shd w:val="clear" w:color="auto" w:fill="F1F1F1"/>
          </w:tcPr>
          <w:p>
            <w:pPr>
              <w:pStyle w:val="TableParagraph"/>
              <w:jc w:val="left"/>
              <w:rPr>
                <w:rFonts w:ascii="Times New Roman"/>
                <w:sz w:val="20"/>
              </w:rPr>
            </w:pPr>
          </w:p>
        </w:tc>
        <w:tc>
          <w:tcPr>
            <w:tcW w:w="832" w:type="dxa"/>
            <w:shd w:val="clear" w:color="auto" w:fill="F1F1F1"/>
          </w:tcPr>
          <w:p>
            <w:pPr>
              <w:pStyle w:val="TableParagraph"/>
              <w:jc w:val="left"/>
              <w:rPr>
                <w:rFonts w:ascii="Times New Roman"/>
                <w:sz w:val="20"/>
              </w:rPr>
            </w:pPr>
          </w:p>
        </w:tc>
        <w:tc>
          <w:tcPr>
            <w:tcW w:w="1024" w:type="dxa"/>
            <w:shd w:val="clear" w:color="auto" w:fill="F1F1F1"/>
          </w:tcPr>
          <w:p>
            <w:pPr>
              <w:pStyle w:val="TableParagraph"/>
              <w:jc w:val="left"/>
              <w:rPr>
                <w:rFonts w:ascii="Times New Roman"/>
                <w:sz w:val="20"/>
              </w:rPr>
            </w:pPr>
          </w:p>
        </w:tc>
        <w:tc>
          <w:tcPr>
            <w:tcW w:w="1057" w:type="dxa"/>
            <w:shd w:val="clear" w:color="auto" w:fill="F1F1F1"/>
          </w:tcPr>
          <w:p>
            <w:pPr>
              <w:pStyle w:val="TableParagraph"/>
              <w:jc w:val="left"/>
              <w:rPr>
                <w:rFonts w:ascii="Times New Roman"/>
                <w:sz w:val="20"/>
              </w:rPr>
            </w:pPr>
          </w:p>
        </w:tc>
      </w:tr>
    </w:tbl>
    <w:p>
      <w:pPr>
        <w:pStyle w:val="BodyText"/>
        <w:spacing w:line="20" w:lineRule="exact"/>
        <w:ind w:left="47"/>
        <w:rPr>
          <w:sz w:val="2"/>
        </w:rPr>
      </w:pPr>
      <w:r>
        <w:rPr>
          <w:sz w:val="2"/>
        </w:rPr>
        <w:pict>
          <v:group id="_x0000_i1536" style="width:577pt;height:0.5pt;mso-position-horizontal-relative:char;mso-position-vertical-relative:line" coordorigin="0,0" coordsize="11540,10">
            <v:line id="_x0000_s1537" style="position:absolute" from="0,5" to="11515,5" stroked="t" strokecolor="#013e96" strokeweight="0.48pt">
              <v:stroke dashstyle="solid"/>
            </v:line>
            <v:rect id="_x0000_s1538" style="width:10;height:10;left:11515;position:absolute" filled="t" fillcolor="#013e96" stroked="f">
              <v:fill type="solid"/>
            </v:rect>
            <v:rect id="_x0000_s1539" style="width:5;height:10;left:11524;position:absolute" filled="t" fillcolor="#013e96" stroked="f">
              <v:fill type="solid"/>
            </v:rect>
            <v:rect id="_x0000_s1540" style="width:10;height:10;left:11529;position:absolute" filled="t" fillcolor="#013e96" stroked="f">
              <v:fill type="solid"/>
            </v:rect>
            <w10:wrap type="none"/>
          </v:group>
        </w:pict>
      </w:r>
    </w:p>
    <w:p>
      <w:pPr>
        <w:spacing w:before="28"/>
        <w:ind w:left="160" w:right="0" w:firstLine="0"/>
        <w:jc w:val="left"/>
        <w:rPr>
          <w:i/>
          <w:sz w:val="17"/>
        </w:rPr>
      </w:pPr>
      <w:r>
        <w:t xml:space="preserve">来源： ， iFind， </w:t>
      </w:r>
    </w:p>
    <w:p>
      <w:pPr>
        <w:pStyle w:val="BodyText"/>
        <w:rPr>
          <w:i/>
          <w:sz w:val="20"/>
        </w:rPr>
      </w:pPr>
    </w:p>
    <w:p>
      <w:pPr>
        <w:pStyle w:val="BodyText"/>
        <w:rPr>
          <w:i/>
          <w:sz w:val="20"/>
        </w:rPr>
      </w:pPr>
    </w:p>
    <w:p>
      <w:pPr>
        <w:pStyle w:val="BodyText"/>
        <w:spacing w:before="4"/>
        <w:rPr>
          <w:i/>
          <w:sz w:val="21"/>
        </w:rPr>
      </w:pPr>
    </w:p>
    <w:p>
      <w:pPr>
        <w:pStyle w:val="Heading3"/>
        <w:numPr>
          <w:ilvl w:val="2"/>
          <w:numId w:val="1"/>
        </w:numPr>
        <w:tabs>
          <w:tab w:val="left" w:pos="3889"/>
        </w:tabs>
        <w:spacing w:before="70" w:after="0" w:line="240" w:lineRule="auto"/>
        <w:ind w:left="3889" w:right="0" w:hanging="666"/>
        <w:jc w:val="left"/>
      </w:pPr>
      <w:r>
        <w:rPr>
          <w:color w:val="013E96"/>
        </w:rPr>
        <w:t>杭州联合农商行</w:t>
      </w:r>
    </w:p>
    <w:p>
      <w:pPr>
        <w:spacing w:after="0" w:line="240" w:lineRule="auto"/>
        <w:jc w:val="lef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0" w:history="1">
        <w:r>
          <w:rPr>
            <w:rFonts w:ascii="SimSun" w:eastAsia="SimSun" w:hAnsi="SimSun" w:cs="SimSun"/>
            <w:b/>
            <w:bCs/>
            <w:color w:val="0000EE"/>
            <w:sz w:val="30"/>
            <w:szCs w:val="30"/>
            <w:u w:val="single" w:color="0000EE"/>
          </w:rPr>
          <w:t>https://d.book118.com/665242033102011124</w:t>
        </w:r>
      </w:hyperlink>
    </w:p>
    <w:p>
      <w:pPr>
        <w:spacing w:after="0" w:line="240" w:lineRule="auto"/>
        <w:jc w:val="left"/>
      </w:pPr>
    </w:p>
    <w:sectPr>
      <w:headerReference w:type="default" r:id="rId151"/>
      <w:footerReference w:type="default" r:id="rId152"/>
      <w:type w:val="continuous"/>
      <w:pgSz w:w="11910" w:h="16840"/>
      <w:pgMar w:top="1320" w:right="0" w:bottom="660" w:left="180" w:header="708" w:footer="708"/>
      <w:pgNumType w:start="4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Tahoma">
    <w:altName w:val="Tahoma"/>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21C1"/>
    <w:multiLevelType w:val="hybridMultilevel"/>
    <w:tmpl w:val="00000000"/>
    <w:lvl w:ilvl="0">
      <w:start w:val="1"/>
      <w:numFmt w:val="decimal"/>
      <w:lvlText w:val="%1"/>
      <w:lvlJc w:val="left"/>
      <w:pPr>
        <w:ind w:left="3562" w:hanging="339"/>
        <w:jc w:val="right"/>
      </w:pPr>
      <w:rPr>
        <w:rFonts w:hint="default"/>
        <w:b/>
        <w:bCs/>
        <w:w w:val="99"/>
        <w:lang w:val="zh-CN" w:eastAsia="zh-CN" w:bidi="zh-CN"/>
      </w:rPr>
    </w:lvl>
    <w:lvl w:ilvl="1">
      <w:start w:val="1"/>
      <w:numFmt w:val="decimal"/>
      <w:lvlText w:val="%1.%2"/>
      <w:lvlJc w:val="left"/>
      <w:pPr>
        <w:ind w:left="3685" w:hanging="462"/>
        <w:jc w:val="left"/>
      </w:pPr>
      <w:rPr>
        <w:rFonts w:ascii="Arial" w:eastAsia="Arial" w:hAnsi="Arial" w:cs="Arial" w:hint="default"/>
        <w:b/>
        <w:bCs/>
        <w:color w:val="013E96"/>
        <w:w w:val="100"/>
        <w:sz w:val="28"/>
        <w:szCs w:val="28"/>
        <w:lang w:val="zh-CN" w:eastAsia="zh-CN" w:bidi="zh-CN"/>
      </w:rPr>
    </w:lvl>
    <w:lvl w:ilvl="2">
      <w:start w:val="1"/>
      <w:numFmt w:val="decimal"/>
      <w:lvlText w:val="%1.%2.%3"/>
      <w:lvlJc w:val="left"/>
      <w:pPr>
        <w:ind w:left="3889" w:hanging="666"/>
        <w:jc w:val="left"/>
      </w:pPr>
      <w:rPr>
        <w:rFonts w:ascii="楷体" w:eastAsia="楷体" w:hAnsi="楷体" w:cs="楷体" w:hint="default"/>
        <w:b/>
        <w:bCs/>
        <w:color w:val="013E96"/>
        <w:w w:val="99"/>
        <w:sz w:val="22"/>
        <w:szCs w:val="22"/>
        <w:lang w:val="zh-CN" w:eastAsia="zh-CN" w:bidi="zh-CN"/>
      </w:rPr>
    </w:lvl>
    <w:lvl w:ilvl="3">
      <w:start w:val="0"/>
      <w:numFmt w:val="bullet"/>
      <w:lvlText w:val="•"/>
      <w:lvlJc w:val="left"/>
      <w:pPr>
        <w:ind w:left="3880" w:hanging="666"/>
      </w:pPr>
      <w:rPr>
        <w:rFonts w:hint="default"/>
        <w:lang w:val="zh-CN" w:eastAsia="zh-CN" w:bidi="zh-CN"/>
      </w:rPr>
    </w:lvl>
    <w:lvl w:ilvl="4">
      <w:start w:val="0"/>
      <w:numFmt w:val="bullet"/>
      <w:lvlText w:val="•"/>
      <w:lvlJc w:val="left"/>
      <w:pPr>
        <w:ind w:left="5000" w:hanging="666"/>
      </w:pPr>
      <w:rPr>
        <w:rFonts w:hint="default"/>
        <w:lang w:val="zh-CN" w:eastAsia="zh-CN" w:bidi="zh-CN"/>
      </w:rPr>
    </w:lvl>
    <w:lvl w:ilvl="5">
      <w:start w:val="0"/>
      <w:numFmt w:val="bullet"/>
      <w:lvlText w:val="•"/>
      <w:lvlJc w:val="left"/>
      <w:pPr>
        <w:ind w:left="6121" w:hanging="666"/>
      </w:pPr>
      <w:rPr>
        <w:rFonts w:hint="default"/>
        <w:lang w:val="zh-CN" w:eastAsia="zh-CN" w:bidi="zh-CN"/>
      </w:rPr>
    </w:lvl>
    <w:lvl w:ilvl="6">
      <w:start w:val="0"/>
      <w:numFmt w:val="bullet"/>
      <w:lvlText w:val="•"/>
      <w:lvlJc w:val="left"/>
      <w:pPr>
        <w:ind w:left="7242" w:hanging="666"/>
      </w:pPr>
      <w:rPr>
        <w:rFonts w:hint="default"/>
        <w:lang w:val="zh-CN" w:eastAsia="zh-CN" w:bidi="zh-CN"/>
      </w:rPr>
    </w:lvl>
    <w:lvl w:ilvl="7">
      <w:start w:val="0"/>
      <w:numFmt w:val="bullet"/>
      <w:lvlText w:val="•"/>
      <w:lvlJc w:val="left"/>
      <w:pPr>
        <w:ind w:left="8363" w:hanging="666"/>
      </w:pPr>
      <w:rPr>
        <w:rFonts w:hint="default"/>
        <w:lang w:val="zh-CN" w:eastAsia="zh-CN" w:bidi="zh-CN"/>
      </w:rPr>
    </w:lvl>
    <w:lvl w:ilvl="8">
      <w:start w:val="0"/>
      <w:numFmt w:val="bullet"/>
      <w:lvlText w:val="•"/>
      <w:lvlJc w:val="left"/>
      <w:pPr>
        <w:ind w:left="9484" w:hanging="666"/>
      </w:pPr>
      <w:rPr>
        <w:rFonts w:hint="default"/>
        <w:lang w:val="zh-CN" w:eastAsia="zh-CN" w:bidi="zh-CN"/>
      </w:rPr>
    </w:lvl>
  </w:abstractNum>
  <w:abstractNum w:abstractNumId="1">
    <w:nsid w:val="349187F0"/>
    <w:multiLevelType w:val="hybridMultilevel"/>
    <w:tmpl w:val="00000000"/>
    <w:lvl w:ilvl="0">
      <w:start w:val="1"/>
      <w:numFmt w:val="decimal"/>
      <w:lvlText w:val="%1"/>
      <w:lvlJc w:val="left"/>
      <w:pPr>
        <w:ind w:left="3562" w:hanging="339"/>
        <w:jc w:val="right"/>
      </w:pPr>
      <w:rPr>
        <w:rFonts w:hint="default"/>
        <w:b/>
        <w:bCs/>
        <w:w w:val="99"/>
        <w:lang w:val="zh-CN" w:eastAsia="zh-CN" w:bidi="zh-CN"/>
      </w:rPr>
    </w:lvl>
    <w:lvl w:ilvl="1">
      <w:start w:val="1"/>
      <w:numFmt w:val="decimal"/>
      <w:lvlText w:val="%1.%2"/>
      <w:lvlJc w:val="left"/>
      <w:pPr>
        <w:ind w:left="3685" w:hanging="462"/>
        <w:jc w:val="left"/>
      </w:pPr>
      <w:rPr>
        <w:rFonts w:ascii="Arial" w:eastAsia="Arial" w:hAnsi="Arial" w:cs="Arial" w:hint="default"/>
        <w:b/>
        <w:bCs/>
        <w:color w:val="013E96"/>
        <w:w w:val="100"/>
        <w:sz w:val="28"/>
        <w:szCs w:val="28"/>
        <w:lang w:val="zh-CN" w:eastAsia="zh-CN" w:bidi="zh-CN"/>
      </w:rPr>
    </w:lvl>
    <w:lvl w:ilvl="2">
      <w:start w:val="1"/>
      <w:numFmt w:val="decimal"/>
      <w:lvlText w:val="%1.%2.%3"/>
      <w:lvlJc w:val="left"/>
      <w:pPr>
        <w:ind w:left="3889" w:hanging="666"/>
        <w:jc w:val="left"/>
      </w:pPr>
      <w:rPr>
        <w:rFonts w:ascii="楷体" w:eastAsia="楷体" w:hAnsi="楷体" w:cs="楷体" w:hint="default"/>
        <w:b/>
        <w:bCs/>
        <w:color w:val="013E96"/>
        <w:w w:val="99"/>
        <w:sz w:val="22"/>
        <w:szCs w:val="22"/>
        <w:lang w:val="zh-CN" w:eastAsia="zh-CN" w:bidi="zh-CN"/>
      </w:rPr>
    </w:lvl>
    <w:lvl w:ilvl="3">
      <w:start w:val="0"/>
      <w:numFmt w:val="bullet"/>
      <w:lvlText w:val="•"/>
      <w:lvlJc w:val="left"/>
      <w:pPr>
        <w:ind w:left="3880" w:hanging="666"/>
      </w:pPr>
      <w:rPr>
        <w:rFonts w:hint="default"/>
        <w:lang w:val="zh-CN" w:eastAsia="zh-CN" w:bidi="zh-CN"/>
      </w:rPr>
    </w:lvl>
    <w:lvl w:ilvl="4">
      <w:start w:val="0"/>
      <w:numFmt w:val="bullet"/>
      <w:lvlText w:val="•"/>
      <w:lvlJc w:val="left"/>
      <w:pPr>
        <w:ind w:left="5000" w:hanging="666"/>
      </w:pPr>
      <w:rPr>
        <w:rFonts w:hint="default"/>
        <w:lang w:val="zh-CN" w:eastAsia="zh-CN" w:bidi="zh-CN"/>
      </w:rPr>
    </w:lvl>
    <w:lvl w:ilvl="5">
      <w:start w:val="0"/>
      <w:numFmt w:val="bullet"/>
      <w:lvlText w:val="•"/>
      <w:lvlJc w:val="left"/>
      <w:pPr>
        <w:ind w:left="6121" w:hanging="666"/>
      </w:pPr>
      <w:rPr>
        <w:rFonts w:hint="default"/>
        <w:lang w:val="zh-CN" w:eastAsia="zh-CN" w:bidi="zh-CN"/>
      </w:rPr>
    </w:lvl>
    <w:lvl w:ilvl="6">
      <w:start w:val="0"/>
      <w:numFmt w:val="bullet"/>
      <w:lvlText w:val="•"/>
      <w:lvlJc w:val="left"/>
      <w:pPr>
        <w:ind w:left="7242" w:hanging="666"/>
      </w:pPr>
      <w:rPr>
        <w:rFonts w:hint="default"/>
        <w:lang w:val="zh-CN" w:eastAsia="zh-CN" w:bidi="zh-CN"/>
      </w:rPr>
    </w:lvl>
    <w:lvl w:ilvl="7">
      <w:start w:val="0"/>
      <w:numFmt w:val="bullet"/>
      <w:lvlText w:val="•"/>
      <w:lvlJc w:val="left"/>
      <w:pPr>
        <w:ind w:left="8363" w:hanging="666"/>
      </w:pPr>
      <w:rPr>
        <w:rFonts w:hint="default"/>
        <w:lang w:val="zh-CN" w:eastAsia="zh-CN" w:bidi="zh-CN"/>
      </w:rPr>
    </w:lvl>
    <w:lvl w:ilvl="8">
      <w:start w:val="0"/>
      <w:numFmt w:val="bullet"/>
      <w:lvlText w:val="•"/>
      <w:lvlJc w:val="left"/>
      <w:pPr>
        <w:ind w:left="9484" w:hanging="666"/>
      </w:pPr>
      <w:rPr>
        <w:rFonts w:hint="default"/>
        <w:lang w:val="zh-CN" w:eastAsia="zh-CN" w:bidi="zh-CN"/>
      </w:rPr>
    </w:lvl>
  </w:abstractNum>
  <w:abstractNum w:abstractNumId="2">
    <w:nsid w:val="39ADE75C"/>
    <w:multiLevelType w:val="hybridMultilevel"/>
    <w:tmpl w:val="00000000"/>
    <w:lvl w:ilvl="0">
      <w:start w:val="1"/>
      <w:numFmt w:val="decimal"/>
      <w:lvlText w:val="%1"/>
      <w:lvlJc w:val="left"/>
      <w:pPr>
        <w:ind w:left="3562" w:hanging="339"/>
        <w:jc w:val="right"/>
      </w:pPr>
      <w:rPr>
        <w:rFonts w:hint="default"/>
        <w:b/>
        <w:bCs/>
        <w:w w:val="99"/>
        <w:lang w:val="zh-CN" w:eastAsia="zh-CN" w:bidi="zh-CN"/>
      </w:rPr>
    </w:lvl>
    <w:lvl w:ilvl="1">
      <w:start w:val="1"/>
      <w:numFmt w:val="decimal"/>
      <w:lvlText w:val="%1.%2"/>
      <w:lvlJc w:val="left"/>
      <w:pPr>
        <w:ind w:left="3685" w:hanging="462"/>
        <w:jc w:val="left"/>
      </w:pPr>
      <w:rPr>
        <w:rFonts w:ascii="Arial" w:eastAsia="Arial" w:hAnsi="Arial" w:cs="Arial" w:hint="default"/>
        <w:b/>
        <w:bCs/>
        <w:color w:val="013E96"/>
        <w:w w:val="100"/>
        <w:sz w:val="28"/>
        <w:szCs w:val="28"/>
        <w:lang w:val="zh-CN" w:eastAsia="zh-CN" w:bidi="zh-CN"/>
      </w:rPr>
    </w:lvl>
    <w:lvl w:ilvl="2">
      <w:start w:val="1"/>
      <w:numFmt w:val="decimal"/>
      <w:lvlText w:val="%1.%2.%3"/>
      <w:lvlJc w:val="left"/>
      <w:pPr>
        <w:ind w:left="3889" w:hanging="666"/>
        <w:jc w:val="left"/>
      </w:pPr>
      <w:rPr>
        <w:rFonts w:ascii="楷体" w:eastAsia="楷体" w:hAnsi="楷体" w:cs="楷体" w:hint="default"/>
        <w:b/>
        <w:bCs/>
        <w:color w:val="013E96"/>
        <w:w w:val="99"/>
        <w:sz w:val="22"/>
        <w:szCs w:val="22"/>
        <w:lang w:val="zh-CN" w:eastAsia="zh-CN" w:bidi="zh-CN"/>
      </w:rPr>
    </w:lvl>
    <w:lvl w:ilvl="3">
      <w:start w:val="0"/>
      <w:numFmt w:val="bullet"/>
      <w:lvlText w:val="•"/>
      <w:lvlJc w:val="left"/>
      <w:pPr>
        <w:ind w:left="3880" w:hanging="666"/>
      </w:pPr>
      <w:rPr>
        <w:rFonts w:hint="default"/>
        <w:lang w:val="zh-CN" w:eastAsia="zh-CN" w:bidi="zh-CN"/>
      </w:rPr>
    </w:lvl>
    <w:lvl w:ilvl="4">
      <w:start w:val="0"/>
      <w:numFmt w:val="bullet"/>
      <w:lvlText w:val="•"/>
      <w:lvlJc w:val="left"/>
      <w:pPr>
        <w:ind w:left="5000" w:hanging="666"/>
      </w:pPr>
      <w:rPr>
        <w:rFonts w:hint="default"/>
        <w:lang w:val="zh-CN" w:eastAsia="zh-CN" w:bidi="zh-CN"/>
      </w:rPr>
    </w:lvl>
    <w:lvl w:ilvl="5">
      <w:start w:val="0"/>
      <w:numFmt w:val="bullet"/>
      <w:lvlText w:val="•"/>
      <w:lvlJc w:val="left"/>
      <w:pPr>
        <w:ind w:left="6121" w:hanging="666"/>
      </w:pPr>
      <w:rPr>
        <w:rFonts w:hint="default"/>
        <w:lang w:val="zh-CN" w:eastAsia="zh-CN" w:bidi="zh-CN"/>
      </w:rPr>
    </w:lvl>
    <w:lvl w:ilvl="6">
      <w:start w:val="0"/>
      <w:numFmt w:val="bullet"/>
      <w:lvlText w:val="•"/>
      <w:lvlJc w:val="left"/>
      <w:pPr>
        <w:ind w:left="7242" w:hanging="666"/>
      </w:pPr>
      <w:rPr>
        <w:rFonts w:hint="default"/>
        <w:lang w:val="zh-CN" w:eastAsia="zh-CN" w:bidi="zh-CN"/>
      </w:rPr>
    </w:lvl>
    <w:lvl w:ilvl="7">
      <w:start w:val="0"/>
      <w:numFmt w:val="bullet"/>
      <w:lvlText w:val="•"/>
      <w:lvlJc w:val="left"/>
      <w:pPr>
        <w:ind w:left="8363" w:hanging="666"/>
      </w:pPr>
      <w:rPr>
        <w:rFonts w:hint="default"/>
        <w:lang w:val="zh-CN" w:eastAsia="zh-CN" w:bidi="zh-CN"/>
      </w:rPr>
    </w:lvl>
    <w:lvl w:ilvl="8">
      <w:start w:val="0"/>
      <w:numFmt w:val="bullet"/>
      <w:lvlText w:val="•"/>
      <w:lvlJc w:val="left"/>
      <w:pPr>
        <w:ind w:left="9484" w:hanging="666"/>
      </w:pPr>
      <w:rPr>
        <w:rFonts w:hint="default"/>
        <w:lang w:val="zh-CN" w:eastAsia="zh-CN" w:bidi="zh-CN"/>
      </w:rPr>
    </w:lvl>
  </w:abstractNum>
  <w:abstractNum w:abstractNumId="3">
    <w:nsid w:val="5D60CB0A"/>
    <w:multiLevelType w:val="hybridMultilevel"/>
    <w:tmpl w:val="00000000"/>
    <w:lvl w:ilvl="0">
      <w:start w:val="1"/>
      <w:numFmt w:val="decimal"/>
      <w:lvlText w:val="%1"/>
      <w:lvlJc w:val="left"/>
      <w:pPr>
        <w:ind w:left="3562" w:hanging="339"/>
        <w:jc w:val="right"/>
      </w:pPr>
      <w:rPr>
        <w:rFonts w:hint="default"/>
        <w:b/>
        <w:bCs/>
        <w:w w:val="99"/>
        <w:lang w:val="zh-CN" w:eastAsia="zh-CN" w:bidi="zh-CN"/>
      </w:rPr>
    </w:lvl>
    <w:lvl w:ilvl="1">
      <w:start w:val="1"/>
      <w:numFmt w:val="decimal"/>
      <w:lvlText w:val="%1.%2"/>
      <w:lvlJc w:val="left"/>
      <w:pPr>
        <w:ind w:left="3685" w:hanging="462"/>
        <w:jc w:val="left"/>
      </w:pPr>
      <w:rPr>
        <w:rFonts w:ascii="Arial" w:eastAsia="Arial" w:hAnsi="Arial" w:cs="Arial" w:hint="default"/>
        <w:b/>
        <w:bCs/>
        <w:color w:val="013E96"/>
        <w:w w:val="100"/>
        <w:sz w:val="28"/>
        <w:szCs w:val="28"/>
        <w:lang w:val="zh-CN" w:eastAsia="zh-CN" w:bidi="zh-CN"/>
      </w:rPr>
    </w:lvl>
    <w:lvl w:ilvl="2">
      <w:start w:val="1"/>
      <w:numFmt w:val="decimal"/>
      <w:lvlText w:val="%1.%2.%3"/>
      <w:lvlJc w:val="left"/>
      <w:pPr>
        <w:ind w:left="3889" w:hanging="666"/>
        <w:jc w:val="left"/>
      </w:pPr>
      <w:rPr>
        <w:rFonts w:ascii="楷体" w:eastAsia="楷体" w:hAnsi="楷体" w:cs="楷体" w:hint="default"/>
        <w:b/>
        <w:bCs/>
        <w:color w:val="013E96"/>
        <w:w w:val="99"/>
        <w:sz w:val="22"/>
        <w:szCs w:val="22"/>
        <w:lang w:val="zh-CN" w:eastAsia="zh-CN" w:bidi="zh-CN"/>
      </w:rPr>
    </w:lvl>
    <w:lvl w:ilvl="3">
      <w:start w:val="0"/>
      <w:numFmt w:val="bullet"/>
      <w:lvlText w:val="•"/>
      <w:lvlJc w:val="left"/>
      <w:pPr>
        <w:ind w:left="3880" w:hanging="666"/>
      </w:pPr>
      <w:rPr>
        <w:rFonts w:hint="default"/>
        <w:lang w:val="zh-CN" w:eastAsia="zh-CN" w:bidi="zh-CN"/>
      </w:rPr>
    </w:lvl>
    <w:lvl w:ilvl="4">
      <w:start w:val="0"/>
      <w:numFmt w:val="bullet"/>
      <w:lvlText w:val="•"/>
      <w:lvlJc w:val="left"/>
      <w:pPr>
        <w:ind w:left="5000" w:hanging="666"/>
      </w:pPr>
      <w:rPr>
        <w:rFonts w:hint="default"/>
        <w:lang w:val="zh-CN" w:eastAsia="zh-CN" w:bidi="zh-CN"/>
      </w:rPr>
    </w:lvl>
    <w:lvl w:ilvl="5">
      <w:start w:val="0"/>
      <w:numFmt w:val="bullet"/>
      <w:lvlText w:val="•"/>
      <w:lvlJc w:val="left"/>
      <w:pPr>
        <w:ind w:left="6121" w:hanging="666"/>
      </w:pPr>
      <w:rPr>
        <w:rFonts w:hint="default"/>
        <w:lang w:val="zh-CN" w:eastAsia="zh-CN" w:bidi="zh-CN"/>
      </w:rPr>
    </w:lvl>
    <w:lvl w:ilvl="6">
      <w:start w:val="0"/>
      <w:numFmt w:val="bullet"/>
      <w:lvlText w:val="•"/>
      <w:lvlJc w:val="left"/>
      <w:pPr>
        <w:ind w:left="7242" w:hanging="666"/>
      </w:pPr>
      <w:rPr>
        <w:rFonts w:hint="default"/>
        <w:lang w:val="zh-CN" w:eastAsia="zh-CN" w:bidi="zh-CN"/>
      </w:rPr>
    </w:lvl>
    <w:lvl w:ilvl="7">
      <w:start w:val="0"/>
      <w:numFmt w:val="bullet"/>
      <w:lvlText w:val="•"/>
      <w:lvlJc w:val="left"/>
      <w:pPr>
        <w:ind w:left="8363" w:hanging="666"/>
      </w:pPr>
      <w:rPr>
        <w:rFonts w:hint="default"/>
        <w:lang w:val="zh-CN" w:eastAsia="zh-CN" w:bidi="zh-CN"/>
      </w:rPr>
    </w:lvl>
    <w:lvl w:ilvl="8">
      <w:start w:val="0"/>
      <w:numFmt w:val="bullet"/>
      <w:lvlText w:val="•"/>
      <w:lvlJc w:val="left"/>
      <w:pPr>
        <w:ind w:left="9484" w:hanging="666"/>
      </w:pPr>
      <w:rPr>
        <w:rFonts w:hint="default"/>
        <w:lang w:val="zh-CN" w:eastAsia="zh-CN" w:bidi="zh-CN"/>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zh-CN" w:eastAsia="zh-CN" w:bidi="zh-CN"/>
    </w:rPr>
  </w:style>
  <w:style w:type="paragraph" w:styleId="Heading1">
    <w:name w:val="heading 1"/>
    <w:basedOn w:val="Normal"/>
    <w:uiPriority w:val="1"/>
    <w:qFormat/>
    <w:pPr>
      <w:spacing w:before="1"/>
      <w:ind w:left="3562" w:hanging="340"/>
      <w:outlineLvl w:val="0"/>
    </w:pPr>
    <w:rPr>
      <w:rFonts w:ascii="楷体" w:eastAsia="楷体" w:hAnsi="楷体" w:cs="楷体"/>
      <w:b/>
      <w:bCs/>
      <w:sz w:val="32"/>
      <w:szCs w:val="32"/>
      <w:lang w:val="zh-CN" w:eastAsia="zh-CN" w:bidi="zh-CN"/>
    </w:rPr>
  </w:style>
  <w:style w:type="paragraph" w:styleId="Heading2">
    <w:name w:val="heading 2"/>
    <w:basedOn w:val="Normal"/>
    <w:uiPriority w:val="1"/>
    <w:qFormat/>
    <w:pPr>
      <w:ind w:left="3754" w:hanging="532"/>
      <w:outlineLvl w:val="1"/>
    </w:pPr>
    <w:rPr>
      <w:rFonts w:ascii="楷体" w:eastAsia="楷体" w:hAnsi="楷体" w:cs="楷体"/>
      <w:b/>
      <w:bCs/>
      <w:sz w:val="28"/>
      <w:szCs w:val="28"/>
      <w:lang w:val="zh-CN" w:eastAsia="zh-CN" w:bidi="zh-CN"/>
    </w:rPr>
  </w:style>
  <w:style w:type="paragraph" w:styleId="Heading3">
    <w:name w:val="heading 3"/>
    <w:basedOn w:val="Normal"/>
    <w:uiPriority w:val="1"/>
    <w:qFormat/>
    <w:pPr>
      <w:spacing w:before="70"/>
      <w:ind w:left="3889" w:hanging="666"/>
      <w:outlineLvl w:val="2"/>
    </w:pPr>
    <w:rPr>
      <w:rFonts w:ascii="楷体" w:eastAsia="楷体" w:hAnsi="楷体" w:cs="楷体"/>
      <w:b/>
      <w:bCs/>
      <w:sz w:val="22"/>
      <w:szCs w:val="22"/>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22"/>
      <w:szCs w:val="22"/>
      <w:lang w:val="zh-CN" w:eastAsia="zh-CN" w:bidi="zh-CN"/>
    </w:rPr>
  </w:style>
  <w:style w:type="paragraph" w:styleId="ListParagraph">
    <w:name w:val="List Paragraph"/>
    <w:basedOn w:val="Normal"/>
    <w:uiPriority w:val="1"/>
    <w:qFormat/>
    <w:pPr>
      <w:ind w:left="3889" w:hanging="666"/>
    </w:pPr>
    <w:rPr>
      <w:rFonts w:ascii="楷体" w:eastAsia="楷体" w:hAnsi="楷体" w:cs="楷体"/>
      <w:lang w:val="zh-CN" w:eastAsia="zh-CN" w:bidi="zh-CN"/>
    </w:rPr>
  </w:style>
  <w:style w:type="paragraph" w:customStyle="1" w:styleId="TableParagraph">
    <w:name w:val="Table Paragraph"/>
    <w:basedOn w:val="Normal"/>
    <w:uiPriority w:val="1"/>
    <w:qFormat/>
    <w:pPr>
      <w:jc w:val="center"/>
    </w:pPr>
    <w:rPr>
      <w:rFonts w:ascii="Arial" w:eastAsia="Arial" w:hAnsi="Arial" w:cs="Arial"/>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00" Type="http://schemas.openxmlformats.org/officeDocument/2006/relationships/image" Target="media/image29.png" /><Relationship Id="rId101" Type="http://schemas.openxmlformats.org/officeDocument/2006/relationships/image" Target="media/image30.png" /><Relationship Id="rId102" Type="http://schemas.openxmlformats.org/officeDocument/2006/relationships/image" Target="media/image31.png" /><Relationship Id="rId103" Type="http://schemas.openxmlformats.org/officeDocument/2006/relationships/image" Target="media/image32.png" /><Relationship Id="rId104" Type="http://schemas.openxmlformats.org/officeDocument/2006/relationships/image" Target="media/image33.png" /><Relationship Id="rId105" Type="http://schemas.openxmlformats.org/officeDocument/2006/relationships/image" Target="media/image34.png" /><Relationship Id="rId106" Type="http://schemas.openxmlformats.org/officeDocument/2006/relationships/image" Target="media/image35.png" /><Relationship Id="rId107" Type="http://schemas.openxmlformats.org/officeDocument/2006/relationships/image" Target="media/image36.png" /><Relationship Id="rId108" Type="http://schemas.openxmlformats.org/officeDocument/2006/relationships/image" Target="media/image37.png" /><Relationship Id="rId109" Type="http://schemas.openxmlformats.org/officeDocument/2006/relationships/image" Target="media/image38.png" /><Relationship Id="rId11" Type="http://schemas.openxmlformats.org/officeDocument/2006/relationships/image" Target="media/image4.png" /><Relationship Id="rId110" Type="http://schemas.openxmlformats.org/officeDocument/2006/relationships/image" Target="media/image39.png" /><Relationship Id="rId111" Type="http://schemas.openxmlformats.org/officeDocument/2006/relationships/image" Target="media/image40.png" /><Relationship Id="rId112" Type="http://schemas.openxmlformats.org/officeDocument/2006/relationships/image" Target="media/image41.png" /><Relationship Id="rId113" Type="http://schemas.openxmlformats.org/officeDocument/2006/relationships/image" Target="media/image42.png" /><Relationship Id="rId114" Type="http://schemas.openxmlformats.org/officeDocument/2006/relationships/image" Target="media/image43.png" /><Relationship Id="rId115" Type="http://schemas.openxmlformats.org/officeDocument/2006/relationships/image" Target="media/image44.png" /><Relationship Id="rId116" Type="http://schemas.openxmlformats.org/officeDocument/2006/relationships/image" Target="media/image45.png" /><Relationship Id="rId117" Type="http://schemas.openxmlformats.org/officeDocument/2006/relationships/image" Target="media/image46.png" /><Relationship Id="rId118" Type="http://schemas.openxmlformats.org/officeDocument/2006/relationships/image" Target="media/image47.png" /><Relationship Id="rId119" Type="http://schemas.openxmlformats.org/officeDocument/2006/relationships/image" Target="media/image48.png" /><Relationship Id="rId12" Type="http://schemas.openxmlformats.org/officeDocument/2006/relationships/image" Target="media/image5.png" /><Relationship Id="rId120" Type="http://schemas.openxmlformats.org/officeDocument/2006/relationships/image" Target="media/image49.png" /><Relationship Id="rId121" Type="http://schemas.openxmlformats.org/officeDocument/2006/relationships/image" Target="media/image50.png" /><Relationship Id="rId122" Type="http://schemas.openxmlformats.org/officeDocument/2006/relationships/image" Target="media/image51.png" /><Relationship Id="rId123" Type="http://schemas.openxmlformats.org/officeDocument/2006/relationships/image" Target="media/image52.png" /><Relationship Id="rId124" Type="http://schemas.openxmlformats.org/officeDocument/2006/relationships/header" Target="header35.xml" /><Relationship Id="rId125" Type="http://schemas.openxmlformats.org/officeDocument/2006/relationships/footer" Target="footer35.xml" /><Relationship Id="rId126" Type="http://schemas.openxmlformats.org/officeDocument/2006/relationships/header" Target="header36.xml" /><Relationship Id="rId127" Type="http://schemas.openxmlformats.org/officeDocument/2006/relationships/footer" Target="footer36.xml" /><Relationship Id="rId128" Type="http://schemas.openxmlformats.org/officeDocument/2006/relationships/header" Target="header37.xml" /><Relationship Id="rId129" Type="http://schemas.openxmlformats.org/officeDocument/2006/relationships/footer" Target="footer37.xml" /><Relationship Id="rId13" Type="http://schemas.openxmlformats.org/officeDocument/2006/relationships/image" Target="media/image6.png" /><Relationship Id="rId130" Type="http://schemas.openxmlformats.org/officeDocument/2006/relationships/header" Target="header38.xml" /><Relationship Id="rId131" Type="http://schemas.openxmlformats.org/officeDocument/2006/relationships/footer" Target="footer38.xml" /><Relationship Id="rId132" Type="http://schemas.openxmlformats.org/officeDocument/2006/relationships/header" Target="header39.xml" /><Relationship Id="rId133" Type="http://schemas.openxmlformats.org/officeDocument/2006/relationships/footer" Target="footer39.xml" /><Relationship Id="rId134" Type="http://schemas.openxmlformats.org/officeDocument/2006/relationships/header" Target="header40.xml" /><Relationship Id="rId135" Type="http://schemas.openxmlformats.org/officeDocument/2006/relationships/footer" Target="footer40.xml" /><Relationship Id="rId136" Type="http://schemas.openxmlformats.org/officeDocument/2006/relationships/header" Target="header41.xml" /><Relationship Id="rId137" Type="http://schemas.openxmlformats.org/officeDocument/2006/relationships/footer" Target="footer41.xml" /><Relationship Id="rId138" Type="http://schemas.openxmlformats.org/officeDocument/2006/relationships/header" Target="header42.xml" /><Relationship Id="rId139" Type="http://schemas.openxmlformats.org/officeDocument/2006/relationships/footer" Target="footer42.xml" /><Relationship Id="rId14" Type="http://schemas.openxmlformats.org/officeDocument/2006/relationships/image" Target="media/image7.png" /><Relationship Id="rId140" Type="http://schemas.openxmlformats.org/officeDocument/2006/relationships/header" Target="header43.xml" /><Relationship Id="rId141" Type="http://schemas.openxmlformats.org/officeDocument/2006/relationships/footer" Target="footer43.xml" /><Relationship Id="rId142" Type="http://schemas.openxmlformats.org/officeDocument/2006/relationships/header" Target="header44.xml" /><Relationship Id="rId143" Type="http://schemas.openxmlformats.org/officeDocument/2006/relationships/footer" Target="footer44.xml" /><Relationship Id="rId144" Type="http://schemas.openxmlformats.org/officeDocument/2006/relationships/header" Target="header45.xml" /><Relationship Id="rId145" Type="http://schemas.openxmlformats.org/officeDocument/2006/relationships/footer" Target="footer45.xml" /><Relationship Id="rId146" Type="http://schemas.openxmlformats.org/officeDocument/2006/relationships/header" Target="header46.xml" /><Relationship Id="rId147" Type="http://schemas.openxmlformats.org/officeDocument/2006/relationships/footer" Target="footer46.xml" /><Relationship Id="rId148" Type="http://schemas.openxmlformats.org/officeDocument/2006/relationships/header" Target="header47.xml" /><Relationship Id="rId149" Type="http://schemas.openxmlformats.org/officeDocument/2006/relationships/footer" Target="footer47.xml" /><Relationship Id="rId15" Type="http://schemas.openxmlformats.org/officeDocument/2006/relationships/image" Target="media/image8.png" /><Relationship Id="rId150" Type="http://schemas.openxmlformats.org/officeDocument/2006/relationships/hyperlink" Target="https://d.book118.com/665242033102011124" TargetMode="External" /><Relationship Id="rId151" Type="http://schemas.openxmlformats.org/officeDocument/2006/relationships/header" Target="header48.xml" /><Relationship Id="rId152" Type="http://schemas.openxmlformats.org/officeDocument/2006/relationships/footer" Target="footer48.xml" /><Relationship Id="rId153" Type="http://schemas.openxmlformats.org/officeDocument/2006/relationships/theme" Target="theme/theme1.xml" /><Relationship Id="rId154" Type="http://schemas.openxmlformats.org/officeDocument/2006/relationships/numbering" Target="numbering.xml" /><Relationship Id="rId155" Type="http://schemas.openxmlformats.org/officeDocument/2006/relationships/styles" Target="styles.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9.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header" Target="header13.xml" /><Relationship Id="rId4" Type="http://schemas.openxmlformats.org/officeDocument/2006/relationships/header" Target="header1.xml" /><Relationship Id="rId40" Type="http://schemas.openxmlformats.org/officeDocument/2006/relationships/footer" Target="footer13.xml" /><Relationship Id="rId41" Type="http://schemas.openxmlformats.org/officeDocument/2006/relationships/header" Target="header14.xml" /><Relationship Id="rId42" Type="http://schemas.openxmlformats.org/officeDocument/2006/relationships/footer" Target="footer14.xml"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image" Target="media/image12.png"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footer" Target="footer1.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header" Target="header19.xml" /><Relationship Id="rId53" Type="http://schemas.openxmlformats.org/officeDocument/2006/relationships/footer" Target="footer19.xml"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header" Target="header21.xml" /><Relationship Id="rId57" Type="http://schemas.openxmlformats.org/officeDocument/2006/relationships/footer" Target="footer21.xml" /><Relationship Id="rId58" Type="http://schemas.openxmlformats.org/officeDocument/2006/relationships/header" Target="header22.xml" /><Relationship Id="rId59" Type="http://schemas.openxmlformats.org/officeDocument/2006/relationships/footer" Target="footer22.xml" /><Relationship Id="rId6" Type="http://schemas.openxmlformats.org/officeDocument/2006/relationships/header" Target="header2.xml" /><Relationship Id="rId60" Type="http://schemas.openxmlformats.org/officeDocument/2006/relationships/header" Target="header23.xml" /><Relationship Id="rId61" Type="http://schemas.openxmlformats.org/officeDocument/2006/relationships/footer" Target="footer23.xml" /><Relationship Id="rId62" Type="http://schemas.openxmlformats.org/officeDocument/2006/relationships/image" Target="media/image13.png" /><Relationship Id="rId63" Type="http://schemas.openxmlformats.org/officeDocument/2006/relationships/header" Target="header24.xml" /><Relationship Id="rId64" Type="http://schemas.openxmlformats.org/officeDocument/2006/relationships/footer" Target="footer24.xml" /><Relationship Id="rId65" Type="http://schemas.openxmlformats.org/officeDocument/2006/relationships/header" Target="header25.xml" /><Relationship Id="rId66" Type="http://schemas.openxmlformats.org/officeDocument/2006/relationships/footer" Target="footer25.xml" /><Relationship Id="rId67" Type="http://schemas.openxmlformats.org/officeDocument/2006/relationships/header" Target="header26.xml" /><Relationship Id="rId68" Type="http://schemas.openxmlformats.org/officeDocument/2006/relationships/footer" Target="footer26.xml" /><Relationship Id="rId69" Type="http://schemas.openxmlformats.org/officeDocument/2006/relationships/header" Target="header27.xml" /><Relationship Id="rId7" Type="http://schemas.openxmlformats.org/officeDocument/2006/relationships/footer" Target="footer2.xml" /><Relationship Id="rId70" Type="http://schemas.openxmlformats.org/officeDocument/2006/relationships/footer" Target="footer27.xml" /><Relationship Id="rId71" Type="http://schemas.openxmlformats.org/officeDocument/2006/relationships/header" Target="header28.xml" /><Relationship Id="rId72" Type="http://schemas.openxmlformats.org/officeDocument/2006/relationships/footer" Target="footer28.xml" /><Relationship Id="rId73" Type="http://schemas.openxmlformats.org/officeDocument/2006/relationships/header" Target="header29.xml" /><Relationship Id="rId74" Type="http://schemas.openxmlformats.org/officeDocument/2006/relationships/footer" Target="footer29.xml" /><Relationship Id="rId75" Type="http://schemas.openxmlformats.org/officeDocument/2006/relationships/header" Target="header30.xml" /><Relationship Id="rId76" Type="http://schemas.openxmlformats.org/officeDocument/2006/relationships/footer" Target="footer30.xml" /><Relationship Id="rId77" Type="http://schemas.openxmlformats.org/officeDocument/2006/relationships/header" Target="header31.xml" /><Relationship Id="rId78" Type="http://schemas.openxmlformats.org/officeDocument/2006/relationships/footer" Target="footer31.xml" /><Relationship Id="rId79" Type="http://schemas.openxmlformats.org/officeDocument/2006/relationships/header" Target="header32.xml" /><Relationship Id="rId8" Type="http://schemas.openxmlformats.org/officeDocument/2006/relationships/image" Target="media/image1.png" /><Relationship Id="rId80" Type="http://schemas.openxmlformats.org/officeDocument/2006/relationships/footer" Target="footer32.xml" /><Relationship Id="rId81" Type="http://schemas.openxmlformats.org/officeDocument/2006/relationships/header" Target="header33.xml" /><Relationship Id="rId82" Type="http://schemas.openxmlformats.org/officeDocument/2006/relationships/footer" Target="footer33.xml" /><Relationship Id="rId83" Type="http://schemas.openxmlformats.org/officeDocument/2006/relationships/header" Target="header34.xml" /><Relationship Id="rId84" Type="http://schemas.openxmlformats.org/officeDocument/2006/relationships/footer" Target="footer34.xml" /><Relationship Id="rId85" Type="http://schemas.openxmlformats.org/officeDocument/2006/relationships/image" Target="media/image14.png" /><Relationship Id="rId86" Type="http://schemas.openxmlformats.org/officeDocument/2006/relationships/image" Target="media/image15.png" /><Relationship Id="rId87" Type="http://schemas.openxmlformats.org/officeDocument/2006/relationships/image" Target="media/image16.png" /><Relationship Id="rId88" Type="http://schemas.openxmlformats.org/officeDocument/2006/relationships/image" Target="media/image17.png" /><Relationship Id="rId89" Type="http://schemas.openxmlformats.org/officeDocument/2006/relationships/image" Target="media/image18.png" /><Relationship Id="rId9" Type="http://schemas.openxmlformats.org/officeDocument/2006/relationships/image" Target="media/image2.png" /><Relationship Id="rId90" Type="http://schemas.openxmlformats.org/officeDocument/2006/relationships/image" Target="media/image19.png" /><Relationship Id="rId91" Type="http://schemas.openxmlformats.org/officeDocument/2006/relationships/image" Target="media/image20.png" /><Relationship Id="rId92" Type="http://schemas.openxmlformats.org/officeDocument/2006/relationships/image" Target="media/image21.png" /><Relationship Id="rId93" Type="http://schemas.openxmlformats.org/officeDocument/2006/relationships/image" Target="media/image22.png" /><Relationship Id="rId94" Type="http://schemas.openxmlformats.org/officeDocument/2006/relationships/image" Target="media/image23.png" /><Relationship Id="rId95" Type="http://schemas.openxmlformats.org/officeDocument/2006/relationships/image" Target="media/image24.png" /><Relationship Id="rId96" Type="http://schemas.openxmlformats.org/officeDocument/2006/relationships/image" Target="media/image25.png" /><Relationship Id="rId97" Type="http://schemas.openxmlformats.org/officeDocument/2006/relationships/image" Target="media/image26.png" /><Relationship Id="rId98" Type="http://schemas.openxmlformats.org/officeDocument/2006/relationships/image" Target="media/image27.png" /><Relationship Id="rId99" Type="http://schemas.openxmlformats.org/officeDocument/2006/relationships/image" Target="media/image2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2024-03-19T05:16:40Z</dcterms:created>
  <dcterms:modified xsi:type="dcterms:W3CDTF">2024-03-19T05:16:40Z</dcterms:modified>
</cp:coreProperties>
</file>