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神经细胞生长因子项目计划设计方案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24" w:history="1">
        <w:r>
          <w:rPr>
            <w:rFonts w:ascii="仿宋" w:eastAsia="仿宋" w:hAnsi="仿宋" w:cs="仿宋" w:hint="eastAsia"/>
            <w:lang w:eastAsia="zh-CN"/>
          </w:rPr>
          <w:t>前言</w:t>
        </w:r>
        <w:r>
          <w:tab/>
        </w:r>
        <w:r>
          <w:fldChar w:fldCharType="begin"/>
        </w:r>
        <w:r>
          <w:instrText xml:space="preserve"> PAGEREF _Toc9324 \h </w:instrText>
        </w:r>
        <w:r>
          <w:fldChar w:fldCharType="separate"/>
        </w:r>
        <w:r>
          <w:t>3</w:t>
        </w:r>
        <w:r>
          <w:fldChar w:fldCharType="end"/>
        </w:r>
      </w:hyperlink>
    </w:p>
    <w:p>
      <w:pPr>
        <w:pStyle w:val="TOC1"/>
        <w:tabs>
          <w:tab w:val="right" w:leader="dot" w:pos="8306"/>
        </w:tabs>
      </w:pPr>
      <w:hyperlink w:anchor="_Toc28948" w:history="1">
        <w:r>
          <w:rPr>
            <w:rFonts w:ascii="仿宋" w:eastAsia="仿宋" w:hAnsi="仿宋" w:cs="仿宋" w:hint="eastAsia"/>
            <w:lang w:eastAsia="zh-CN"/>
          </w:rPr>
          <w:t>一、神经细胞生长因子项目建设背景及必要性分析</w:t>
        </w:r>
        <w:r>
          <w:tab/>
        </w:r>
        <w:r>
          <w:fldChar w:fldCharType="begin"/>
        </w:r>
        <w:r>
          <w:instrText xml:space="preserve"> PAGEREF _Toc28948 \h </w:instrText>
        </w:r>
        <w:r>
          <w:fldChar w:fldCharType="separate"/>
        </w:r>
        <w:r>
          <w:t>3</w:t>
        </w:r>
        <w:r>
          <w:fldChar w:fldCharType="end"/>
        </w:r>
      </w:hyperlink>
    </w:p>
    <w:p>
      <w:pPr>
        <w:pStyle w:val="TOC2"/>
        <w:tabs>
          <w:tab w:val="right" w:leader="dot" w:pos="8306"/>
        </w:tabs>
      </w:pPr>
      <w:hyperlink w:anchor="_Toc7526" w:history="1">
        <w:r>
          <w:rPr>
            <w:rFonts w:ascii="仿宋" w:eastAsia="仿宋" w:hAnsi="仿宋" w:cs="仿宋" w:hint="eastAsia"/>
            <w:lang w:eastAsia="zh-CN"/>
          </w:rPr>
          <w:t>(一)、神经细胞生长因子项目背景分析</w:t>
        </w:r>
        <w:r>
          <w:tab/>
        </w:r>
        <w:r>
          <w:fldChar w:fldCharType="begin"/>
        </w:r>
        <w:r>
          <w:instrText xml:space="preserve"> PAGEREF _Toc7526 \h </w:instrText>
        </w:r>
        <w:r>
          <w:fldChar w:fldCharType="separate"/>
        </w:r>
        <w:r>
          <w:t>3</w:t>
        </w:r>
        <w:r>
          <w:fldChar w:fldCharType="end"/>
        </w:r>
      </w:hyperlink>
    </w:p>
    <w:p>
      <w:pPr>
        <w:pStyle w:val="TOC2"/>
        <w:tabs>
          <w:tab w:val="right" w:leader="dot" w:pos="8306"/>
        </w:tabs>
      </w:pPr>
      <w:hyperlink w:anchor="_Toc6464" w:history="1">
        <w:r>
          <w:rPr>
            <w:rFonts w:ascii="仿宋" w:eastAsia="仿宋" w:hAnsi="仿宋" w:cs="仿宋" w:hint="eastAsia"/>
            <w:lang w:eastAsia="zh-CN"/>
          </w:rPr>
          <w:t>(二)、神经细胞生长因子项目建设必要性分析</w:t>
        </w:r>
        <w:r>
          <w:tab/>
        </w:r>
        <w:r>
          <w:fldChar w:fldCharType="begin"/>
        </w:r>
        <w:r>
          <w:instrText xml:space="preserve"> PAGEREF _Toc6464 \h </w:instrText>
        </w:r>
        <w:r>
          <w:fldChar w:fldCharType="separate"/>
        </w:r>
        <w:r>
          <w:t>5</w:t>
        </w:r>
        <w:r>
          <w:fldChar w:fldCharType="end"/>
        </w:r>
      </w:hyperlink>
    </w:p>
    <w:p>
      <w:pPr>
        <w:pStyle w:val="TOC1"/>
        <w:tabs>
          <w:tab w:val="right" w:leader="dot" w:pos="8306"/>
        </w:tabs>
      </w:pPr>
      <w:hyperlink w:anchor="_Toc15407" w:history="1">
        <w:r>
          <w:rPr>
            <w:rFonts w:ascii="仿宋" w:eastAsia="仿宋" w:hAnsi="仿宋" w:cs="仿宋" w:hint="eastAsia"/>
            <w:lang w:eastAsia="zh-CN"/>
          </w:rPr>
          <w:t>二、神经细胞生长因子项目文档管理</w:t>
        </w:r>
        <w:r>
          <w:tab/>
        </w:r>
        <w:r>
          <w:fldChar w:fldCharType="begin"/>
        </w:r>
        <w:r>
          <w:instrText xml:space="preserve"> PAGEREF _Toc15407 \h </w:instrText>
        </w:r>
        <w:r>
          <w:fldChar w:fldCharType="separate"/>
        </w:r>
        <w:r>
          <w:t>6</w:t>
        </w:r>
        <w:r>
          <w:fldChar w:fldCharType="end"/>
        </w:r>
      </w:hyperlink>
    </w:p>
    <w:p>
      <w:pPr>
        <w:pStyle w:val="TOC2"/>
        <w:tabs>
          <w:tab w:val="right" w:leader="dot" w:pos="8306"/>
        </w:tabs>
      </w:pPr>
      <w:hyperlink w:anchor="_Toc1311" w:history="1">
        <w:r>
          <w:rPr>
            <w:rFonts w:ascii="仿宋" w:eastAsia="仿宋" w:hAnsi="仿宋" w:cs="仿宋" w:hint="eastAsia"/>
            <w:lang w:eastAsia="zh-CN"/>
          </w:rPr>
          <w:t>(一)、文档编制与审查</w:t>
        </w:r>
        <w:r>
          <w:tab/>
        </w:r>
        <w:r>
          <w:fldChar w:fldCharType="begin"/>
        </w:r>
        <w:r>
          <w:instrText xml:space="preserve"> PAGEREF _Toc1311 \h </w:instrText>
        </w:r>
        <w:r>
          <w:fldChar w:fldCharType="separate"/>
        </w:r>
        <w:r>
          <w:t>6</w:t>
        </w:r>
        <w:r>
          <w:fldChar w:fldCharType="end"/>
        </w:r>
      </w:hyperlink>
    </w:p>
    <w:p>
      <w:pPr>
        <w:pStyle w:val="TOC2"/>
        <w:tabs>
          <w:tab w:val="right" w:leader="dot" w:pos="8306"/>
        </w:tabs>
      </w:pPr>
      <w:hyperlink w:anchor="_Toc30088" w:history="1">
        <w:r>
          <w:rPr>
            <w:rFonts w:ascii="仿宋" w:eastAsia="仿宋" w:hAnsi="仿宋" w:cs="仿宋" w:hint="eastAsia"/>
            <w:lang w:eastAsia="zh-CN"/>
          </w:rPr>
          <w:t>(二)、文档发布与分发</w:t>
        </w:r>
        <w:r>
          <w:tab/>
        </w:r>
        <w:r>
          <w:fldChar w:fldCharType="begin"/>
        </w:r>
        <w:r>
          <w:instrText xml:space="preserve"> PAGEREF _Toc30088 \h </w:instrText>
        </w:r>
        <w:r>
          <w:fldChar w:fldCharType="separate"/>
        </w:r>
        <w:r>
          <w:t>7</w:t>
        </w:r>
        <w:r>
          <w:fldChar w:fldCharType="end"/>
        </w:r>
      </w:hyperlink>
    </w:p>
    <w:p>
      <w:pPr>
        <w:pStyle w:val="TOC2"/>
        <w:tabs>
          <w:tab w:val="right" w:leader="dot" w:pos="8306"/>
        </w:tabs>
      </w:pPr>
      <w:hyperlink w:anchor="_Toc24917" w:history="1">
        <w:r>
          <w:rPr>
            <w:rFonts w:ascii="仿宋" w:eastAsia="仿宋" w:hAnsi="仿宋" w:cs="仿宋" w:hint="eastAsia"/>
            <w:lang w:eastAsia="zh-CN"/>
          </w:rPr>
          <w:t>(三)、文档存档与归档</w:t>
        </w:r>
        <w:r>
          <w:tab/>
        </w:r>
        <w:r>
          <w:fldChar w:fldCharType="begin"/>
        </w:r>
        <w:r>
          <w:instrText xml:space="preserve"> PAGEREF _Toc24917 \h </w:instrText>
        </w:r>
        <w:r>
          <w:fldChar w:fldCharType="separate"/>
        </w:r>
        <w:r>
          <w:t>8</w:t>
        </w:r>
        <w:r>
          <w:fldChar w:fldCharType="end"/>
        </w:r>
      </w:hyperlink>
    </w:p>
    <w:p>
      <w:pPr>
        <w:pStyle w:val="TOC1"/>
        <w:tabs>
          <w:tab w:val="right" w:leader="dot" w:pos="8306"/>
        </w:tabs>
      </w:pPr>
      <w:hyperlink w:anchor="_Toc19139" w:history="1">
        <w:r>
          <w:rPr>
            <w:rFonts w:ascii="仿宋" w:eastAsia="仿宋" w:hAnsi="仿宋" w:cs="仿宋" w:hint="eastAsia"/>
            <w:lang w:eastAsia="zh-CN"/>
          </w:rPr>
          <w:t>三、产品规划分析</w:t>
        </w:r>
        <w:r>
          <w:tab/>
        </w:r>
        <w:r>
          <w:fldChar w:fldCharType="begin"/>
        </w:r>
        <w:r>
          <w:instrText xml:space="preserve"> PAGEREF _Toc19139 \h </w:instrText>
        </w:r>
        <w:r>
          <w:fldChar w:fldCharType="separate"/>
        </w:r>
        <w:r>
          <w:t>10</w:t>
        </w:r>
        <w:r>
          <w:fldChar w:fldCharType="end"/>
        </w:r>
      </w:hyperlink>
    </w:p>
    <w:p>
      <w:pPr>
        <w:pStyle w:val="TOC2"/>
        <w:tabs>
          <w:tab w:val="right" w:leader="dot" w:pos="8306"/>
        </w:tabs>
      </w:pPr>
      <w:hyperlink w:anchor="_Toc7204" w:history="1">
        <w:r>
          <w:rPr>
            <w:rFonts w:ascii="仿宋" w:eastAsia="仿宋" w:hAnsi="仿宋" w:cs="仿宋" w:hint="eastAsia"/>
            <w:lang w:eastAsia="zh-CN"/>
          </w:rPr>
          <w:t>(一)、产品规划</w:t>
        </w:r>
        <w:r>
          <w:tab/>
        </w:r>
        <w:r>
          <w:fldChar w:fldCharType="begin"/>
        </w:r>
        <w:r>
          <w:instrText xml:space="preserve"> PAGEREF _Toc7204 \h </w:instrText>
        </w:r>
        <w:r>
          <w:fldChar w:fldCharType="separate"/>
        </w:r>
        <w:r>
          <w:t>10</w:t>
        </w:r>
        <w:r>
          <w:fldChar w:fldCharType="end"/>
        </w:r>
      </w:hyperlink>
    </w:p>
    <w:p>
      <w:pPr>
        <w:pStyle w:val="TOC2"/>
        <w:tabs>
          <w:tab w:val="right" w:leader="dot" w:pos="8306"/>
        </w:tabs>
      </w:pPr>
      <w:hyperlink w:anchor="_Toc627" w:history="1">
        <w:r>
          <w:rPr>
            <w:rFonts w:ascii="仿宋" w:eastAsia="仿宋" w:hAnsi="仿宋" w:cs="仿宋" w:hint="eastAsia"/>
            <w:lang w:eastAsia="zh-CN"/>
          </w:rPr>
          <w:t>(二)、建设规模</w:t>
        </w:r>
        <w:r>
          <w:tab/>
        </w:r>
        <w:r>
          <w:fldChar w:fldCharType="begin"/>
        </w:r>
        <w:r>
          <w:instrText xml:space="preserve"> PAGEREF _Toc627 \h </w:instrText>
        </w:r>
        <w:r>
          <w:fldChar w:fldCharType="separate"/>
        </w:r>
        <w:r>
          <w:t>10</w:t>
        </w:r>
        <w:r>
          <w:fldChar w:fldCharType="end"/>
        </w:r>
      </w:hyperlink>
    </w:p>
    <w:p>
      <w:pPr>
        <w:pStyle w:val="TOC1"/>
        <w:tabs>
          <w:tab w:val="right" w:leader="dot" w:pos="8306"/>
        </w:tabs>
      </w:pPr>
      <w:hyperlink w:anchor="_Toc30176" w:history="1">
        <w:r>
          <w:rPr>
            <w:rFonts w:ascii="仿宋" w:eastAsia="仿宋" w:hAnsi="仿宋" w:cs="仿宋" w:hint="eastAsia"/>
            <w:lang w:eastAsia="zh-CN"/>
          </w:rPr>
          <w:t>四、神经细胞生长因子项目绩效评估</w:t>
        </w:r>
        <w:r>
          <w:tab/>
        </w:r>
        <w:r>
          <w:fldChar w:fldCharType="begin"/>
        </w:r>
        <w:r>
          <w:instrText xml:space="preserve"> PAGEREF _Toc30176 \h </w:instrText>
        </w:r>
        <w:r>
          <w:fldChar w:fldCharType="separate"/>
        </w:r>
        <w:r>
          <w:t>12</w:t>
        </w:r>
        <w:r>
          <w:fldChar w:fldCharType="end"/>
        </w:r>
      </w:hyperlink>
    </w:p>
    <w:p>
      <w:pPr>
        <w:pStyle w:val="TOC2"/>
        <w:tabs>
          <w:tab w:val="right" w:leader="dot" w:pos="8306"/>
        </w:tabs>
      </w:pPr>
      <w:hyperlink w:anchor="_Toc18298" w:history="1">
        <w:r>
          <w:rPr>
            <w:rFonts w:ascii="仿宋" w:eastAsia="仿宋" w:hAnsi="仿宋" w:cs="仿宋" w:hint="eastAsia"/>
            <w:lang w:eastAsia="zh-CN"/>
          </w:rPr>
          <w:t>(一)、绩效评估指标</w:t>
        </w:r>
        <w:r>
          <w:tab/>
        </w:r>
        <w:r>
          <w:fldChar w:fldCharType="begin"/>
        </w:r>
        <w:r>
          <w:instrText xml:space="preserve"> PAGEREF _Toc18298 \h </w:instrText>
        </w:r>
        <w:r>
          <w:fldChar w:fldCharType="separate"/>
        </w:r>
        <w:r>
          <w:t>12</w:t>
        </w:r>
        <w:r>
          <w:fldChar w:fldCharType="end"/>
        </w:r>
      </w:hyperlink>
    </w:p>
    <w:p>
      <w:pPr>
        <w:pStyle w:val="TOC2"/>
        <w:tabs>
          <w:tab w:val="right" w:leader="dot" w:pos="8306"/>
        </w:tabs>
      </w:pPr>
      <w:hyperlink w:anchor="_Toc12863" w:history="1">
        <w:r>
          <w:rPr>
            <w:rFonts w:ascii="仿宋" w:eastAsia="仿宋" w:hAnsi="仿宋" w:cs="仿宋" w:hint="eastAsia"/>
            <w:lang w:eastAsia="zh-CN"/>
          </w:rPr>
          <w:t>(二)、绩效评估方法</w:t>
        </w:r>
        <w:r>
          <w:tab/>
        </w:r>
        <w:r>
          <w:fldChar w:fldCharType="begin"/>
        </w:r>
        <w:r>
          <w:instrText xml:space="preserve"> PAGEREF _Toc12863 \h </w:instrText>
        </w:r>
        <w:r>
          <w:fldChar w:fldCharType="separate"/>
        </w:r>
        <w:r>
          <w:t>13</w:t>
        </w:r>
        <w:r>
          <w:fldChar w:fldCharType="end"/>
        </w:r>
      </w:hyperlink>
    </w:p>
    <w:p>
      <w:pPr>
        <w:pStyle w:val="TOC2"/>
        <w:tabs>
          <w:tab w:val="right" w:leader="dot" w:pos="8306"/>
        </w:tabs>
      </w:pPr>
      <w:hyperlink w:anchor="_Toc27045" w:history="1">
        <w:r>
          <w:rPr>
            <w:rFonts w:ascii="仿宋" w:eastAsia="仿宋" w:hAnsi="仿宋" w:cs="仿宋" w:hint="eastAsia"/>
            <w:lang w:eastAsia="zh-CN"/>
          </w:rPr>
          <w:t>(三)、绩效评估周期</w:t>
        </w:r>
        <w:r>
          <w:tab/>
        </w:r>
        <w:r>
          <w:fldChar w:fldCharType="begin"/>
        </w:r>
        <w:r>
          <w:instrText xml:space="preserve"> PAGEREF _Toc27045 \h </w:instrText>
        </w:r>
        <w:r>
          <w:fldChar w:fldCharType="separate"/>
        </w:r>
        <w:r>
          <w:t>14</w:t>
        </w:r>
        <w:r>
          <w:fldChar w:fldCharType="end"/>
        </w:r>
      </w:hyperlink>
    </w:p>
    <w:p>
      <w:pPr>
        <w:pStyle w:val="TOC1"/>
        <w:tabs>
          <w:tab w:val="right" w:leader="dot" w:pos="8306"/>
        </w:tabs>
      </w:pPr>
      <w:hyperlink w:anchor="_Toc22781" w:history="1">
        <w:r>
          <w:rPr>
            <w:rFonts w:ascii="仿宋" w:eastAsia="仿宋" w:hAnsi="仿宋" w:cs="仿宋" w:hint="eastAsia"/>
            <w:lang w:eastAsia="zh-CN"/>
          </w:rPr>
          <w:t>五、工艺说明</w:t>
        </w:r>
        <w:r>
          <w:tab/>
        </w:r>
        <w:r>
          <w:fldChar w:fldCharType="begin"/>
        </w:r>
        <w:r>
          <w:instrText xml:space="preserve"> PAGEREF _Toc22781 \h </w:instrText>
        </w:r>
        <w:r>
          <w:fldChar w:fldCharType="separate"/>
        </w:r>
        <w:r>
          <w:t>15</w:t>
        </w:r>
        <w:r>
          <w:fldChar w:fldCharType="end"/>
        </w:r>
      </w:hyperlink>
    </w:p>
    <w:p>
      <w:pPr>
        <w:pStyle w:val="TOC2"/>
        <w:tabs>
          <w:tab w:val="right" w:leader="dot" w:pos="8306"/>
        </w:tabs>
      </w:pPr>
      <w:hyperlink w:anchor="_Toc5193" w:history="1">
        <w:r>
          <w:rPr>
            <w:rFonts w:ascii="仿宋" w:eastAsia="仿宋" w:hAnsi="仿宋" w:cs="仿宋" w:hint="eastAsia"/>
            <w:lang w:eastAsia="zh-CN"/>
          </w:rPr>
          <w:t>(一)、技术管理特点</w:t>
        </w:r>
        <w:r>
          <w:tab/>
        </w:r>
        <w:r>
          <w:fldChar w:fldCharType="begin"/>
        </w:r>
        <w:r>
          <w:instrText xml:space="preserve"> PAGEREF _Toc5193 \h </w:instrText>
        </w:r>
        <w:r>
          <w:fldChar w:fldCharType="separate"/>
        </w:r>
        <w:r>
          <w:t>15</w:t>
        </w:r>
        <w:r>
          <w:fldChar w:fldCharType="end"/>
        </w:r>
      </w:hyperlink>
    </w:p>
    <w:p>
      <w:pPr>
        <w:pStyle w:val="TOC2"/>
        <w:tabs>
          <w:tab w:val="right" w:leader="dot" w:pos="8306"/>
        </w:tabs>
      </w:pPr>
      <w:hyperlink w:anchor="_Toc10398" w:history="1">
        <w:r>
          <w:rPr>
            <w:rFonts w:ascii="仿宋" w:eastAsia="仿宋" w:hAnsi="仿宋" w:cs="仿宋" w:hint="eastAsia"/>
            <w:lang w:eastAsia="zh-CN"/>
          </w:rPr>
          <w:t>(二)、神经细胞生长因子项目工艺技术设计方案</w:t>
        </w:r>
        <w:r>
          <w:tab/>
        </w:r>
        <w:r>
          <w:fldChar w:fldCharType="begin"/>
        </w:r>
        <w:r>
          <w:instrText xml:space="preserve"> PAGEREF _Toc10398 \h </w:instrText>
        </w:r>
        <w:r>
          <w:fldChar w:fldCharType="separate"/>
        </w:r>
        <w:r>
          <w:t>16</w:t>
        </w:r>
        <w:r>
          <w:fldChar w:fldCharType="end"/>
        </w:r>
      </w:hyperlink>
    </w:p>
    <w:p>
      <w:pPr>
        <w:pStyle w:val="TOC2"/>
        <w:tabs>
          <w:tab w:val="right" w:leader="dot" w:pos="8306"/>
        </w:tabs>
      </w:pPr>
      <w:hyperlink w:anchor="_Toc12904" w:history="1">
        <w:r>
          <w:rPr>
            <w:rFonts w:ascii="仿宋" w:eastAsia="仿宋" w:hAnsi="仿宋" w:cs="仿宋" w:hint="eastAsia"/>
            <w:lang w:eastAsia="zh-CN"/>
          </w:rPr>
          <w:t>(三)、设备选型方案</w:t>
        </w:r>
        <w:r>
          <w:tab/>
        </w:r>
        <w:r>
          <w:fldChar w:fldCharType="begin"/>
        </w:r>
        <w:r>
          <w:instrText xml:space="preserve"> PAGEREF _Toc12904 \h </w:instrText>
        </w:r>
        <w:r>
          <w:fldChar w:fldCharType="separate"/>
        </w:r>
        <w:r>
          <w:t>17</w:t>
        </w:r>
        <w:r>
          <w:fldChar w:fldCharType="end"/>
        </w:r>
      </w:hyperlink>
    </w:p>
    <w:p>
      <w:pPr>
        <w:pStyle w:val="TOC1"/>
        <w:tabs>
          <w:tab w:val="right" w:leader="dot" w:pos="8306"/>
        </w:tabs>
      </w:pPr>
      <w:hyperlink w:anchor="_Toc13405" w:history="1">
        <w:r>
          <w:rPr>
            <w:rFonts w:ascii="仿宋" w:eastAsia="仿宋" w:hAnsi="仿宋" w:cs="仿宋" w:hint="eastAsia"/>
            <w:lang w:eastAsia="zh-CN"/>
          </w:rPr>
          <w:t>六、市场分析、调研</w:t>
        </w:r>
        <w:r>
          <w:tab/>
        </w:r>
        <w:r>
          <w:fldChar w:fldCharType="begin"/>
        </w:r>
        <w:r>
          <w:instrText xml:space="preserve"> PAGEREF _Toc13405 \h </w:instrText>
        </w:r>
        <w:r>
          <w:fldChar w:fldCharType="separate"/>
        </w:r>
        <w:r>
          <w:t>19</w:t>
        </w:r>
        <w:r>
          <w:fldChar w:fldCharType="end"/>
        </w:r>
      </w:hyperlink>
    </w:p>
    <w:p>
      <w:pPr>
        <w:pStyle w:val="TOC2"/>
        <w:tabs>
          <w:tab w:val="right" w:leader="dot" w:pos="8306"/>
        </w:tabs>
      </w:pPr>
      <w:hyperlink w:anchor="_Toc13680" w:history="1">
        <w:r>
          <w:rPr>
            <w:rFonts w:ascii="仿宋" w:eastAsia="仿宋" w:hAnsi="仿宋" w:cs="仿宋" w:hint="eastAsia"/>
            <w:lang w:eastAsia="zh-CN"/>
          </w:rPr>
          <w:t>(一)、神经细胞生长因子行业分析</w:t>
        </w:r>
        <w:r>
          <w:tab/>
        </w:r>
        <w:r>
          <w:fldChar w:fldCharType="begin"/>
        </w:r>
        <w:r>
          <w:instrText xml:space="preserve"> PAGEREF _Toc13680 \h </w:instrText>
        </w:r>
        <w:r>
          <w:fldChar w:fldCharType="separate"/>
        </w:r>
        <w:r>
          <w:t>19</w:t>
        </w:r>
        <w:r>
          <w:fldChar w:fldCharType="end"/>
        </w:r>
      </w:hyperlink>
    </w:p>
    <w:p>
      <w:pPr>
        <w:pStyle w:val="TOC2"/>
        <w:tabs>
          <w:tab w:val="right" w:leader="dot" w:pos="8306"/>
        </w:tabs>
      </w:pPr>
      <w:hyperlink w:anchor="_Toc11919" w:history="1">
        <w:r>
          <w:rPr>
            <w:rFonts w:ascii="仿宋" w:eastAsia="仿宋" w:hAnsi="仿宋" w:cs="仿宋" w:hint="eastAsia"/>
            <w:lang w:eastAsia="zh-CN"/>
          </w:rPr>
          <w:t>(二)、神经细胞生长因子市场分析预测</w:t>
        </w:r>
        <w:r>
          <w:tab/>
        </w:r>
        <w:r>
          <w:fldChar w:fldCharType="begin"/>
        </w:r>
        <w:r>
          <w:instrText xml:space="preserve"> PAGEREF _Toc11919 \h </w:instrText>
        </w:r>
        <w:r>
          <w:fldChar w:fldCharType="separate"/>
        </w:r>
        <w:r>
          <w:t>20</w:t>
        </w:r>
        <w:r>
          <w:fldChar w:fldCharType="end"/>
        </w:r>
      </w:hyperlink>
    </w:p>
    <w:p>
      <w:pPr>
        <w:pStyle w:val="TOC1"/>
        <w:tabs>
          <w:tab w:val="right" w:leader="dot" w:pos="8306"/>
        </w:tabs>
      </w:pPr>
      <w:hyperlink w:anchor="_Toc23193" w:history="1">
        <w:r>
          <w:rPr>
            <w:rFonts w:ascii="仿宋" w:eastAsia="仿宋" w:hAnsi="仿宋" w:cs="仿宋" w:hint="eastAsia"/>
            <w:lang w:eastAsia="zh-CN"/>
          </w:rPr>
          <w:t>七、神经细胞生长因子项目环境影响分析</w:t>
        </w:r>
        <w:r>
          <w:tab/>
        </w:r>
        <w:r>
          <w:fldChar w:fldCharType="begin"/>
        </w:r>
        <w:r>
          <w:instrText xml:space="preserve"> PAGEREF _Toc23193 \h </w:instrText>
        </w:r>
        <w:r>
          <w:fldChar w:fldCharType="separate"/>
        </w:r>
        <w:r>
          <w:t>20</w:t>
        </w:r>
        <w:r>
          <w:fldChar w:fldCharType="end"/>
        </w:r>
      </w:hyperlink>
    </w:p>
    <w:p>
      <w:pPr>
        <w:pStyle w:val="TOC2"/>
        <w:tabs>
          <w:tab w:val="right" w:leader="dot" w:pos="8306"/>
        </w:tabs>
      </w:pPr>
      <w:hyperlink w:anchor="_Toc10998" w:history="1">
        <w:r>
          <w:rPr>
            <w:rFonts w:ascii="仿宋" w:eastAsia="仿宋" w:hAnsi="仿宋" w:cs="仿宋" w:hint="eastAsia"/>
            <w:lang w:eastAsia="zh-CN"/>
          </w:rPr>
          <w:t>(一)、建设区域环境质量现状</w:t>
        </w:r>
        <w:r>
          <w:tab/>
        </w:r>
        <w:r>
          <w:fldChar w:fldCharType="begin"/>
        </w:r>
        <w:r>
          <w:instrText xml:space="preserve"> PAGEREF _Toc10998 \h </w:instrText>
        </w:r>
        <w:r>
          <w:fldChar w:fldCharType="separate"/>
        </w:r>
        <w:r>
          <w:t>20</w:t>
        </w:r>
        <w:r>
          <w:fldChar w:fldCharType="end"/>
        </w:r>
      </w:hyperlink>
    </w:p>
    <w:p>
      <w:pPr>
        <w:pStyle w:val="TOC2"/>
        <w:tabs>
          <w:tab w:val="right" w:leader="dot" w:pos="8306"/>
        </w:tabs>
      </w:pPr>
      <w:hyperlink w:anchor="_Toc11357" w:history="1">
        <w:r>
          <w:rPr>
            <w:rFonts w:ascii="仿宋" w:eastAsia="仿宋" w:hAnsi="仿宋" w:cs="仿宋" w:hint="eastAsia"/>
            <w:lang w:eastAsia="zh-CN"/>
          </w:rPr>
          <w:t>(二)、建设期环境保护</w:t>
        </w:r>
        <w:r>
          <w:tab/>
        </w:r>
        <w:r>
          <w:fldChar w:fldCharType="begin"/>
        </w:r>
        <w:r>
          <w:instrText xml:space="preserve"> PAGEREF _Toc11357 \h </w:instrText>
        </w:r>
        <w:r>
          <w:fldChar w:fldCharType="separate"/>
        </w:r>
        <w:r>
          <w:t>22</w:t>
        </w:r>
        <w:r>
          <w:fldChar w:fldCharType="end"/>
        </w:r>
      </w:hyperlink>
    </w:p>
    <w:p>
      <w:pPr>
        <w:pStyle w:val="TOC2"/>
        <w:tabs>
          <w:tab w:val="right" w:leader="dot" w:pos="8306"/>
        </w:tabs>
      </w:pPr>
      <w:hyperlink w:anchor="_Toc16605" w:history="1">
        <w:r>
          <w:rPr>
            <w:rFonts w:ascii="仿宋" w:eastAsia="仿宋" w:hAnsi="仿宋" w:cs="仿宋" w:hint="eastAsia"/>
            <w:lang w:eastAsia="zh-CN"/>
          </w:rPr>
          <w:t>(三)、运营期环境保护</w:t>
        </w:r>
        <w:r>
          <w:tab/>
        </w:r>
        <w:r>
          <w:fldChar w:fldCharType="begin"/>
        </w:r>
        <w:r>
          <w:instrText xml:space="preserve"> PAGEREF _Toc16605 \h </w:instrText>
        </w:r>
        <w:r>
          <w:fldChar w:fldCharType="separate"/>
        </w:r>
        <w:r>
          <w:t>23</w:t>
        </w:r>
        <w:r>
          <w:fldChar w:fldCharType="end"/>
        </w:r>
      </w:hyperlink>
    </w:p>
    <w:p>
      <w:pPr>
        <w:pStyle w:val="TOC2"/>
        <w:tabs>
          <w:tab w:val="right" w:leader="dot" w:pos="8306"/>
        </w:tabs>
      </w:pPr>
      <w:hyperlink w:anchor="_Toc10414" w:history="1">
        <w:r>
          <w:rPr>
            <w:rFonts w:ascii="仿宋" w:eastAsia="仿宋" w:hAnsi="仿宋" w:cs="仿宋" w:hint="eastAsia"/>
            <w:lang w:eastAsia="zh-CN"/>
          </w:rPr>
          <w:t>(四)、神经细胞生长因子项目建设对区域经济的影响</w:t>
        </w:r>
        <w:r>
          <w:tab/>
        </w:r>
        <w:r>
          <w:fldChar w:fldCharType="begin"/>
        </w:r>
        <w:r>
          <w:instrText xml:space="preserve"> PAGEREF _Toc10414 \h </w:instrText>
        </w:r>
        <w:r>
          <w:fldChar w:fldCharType="separate"/>
        </w:r>
        <w:r>
          <w:t>25</w:t>
        </w:r>
        <w:r>
          <w:fldChar w:fldCharType="end"/>
        </w:r>
      </w:hyperlink>
    </w:p>
    <w:p>
      <w:pPr>
        <w:pStyle w:val="TOC2"/>
        <w:tabs>
          <w:tab w:val="right" w:leader="dot" w:pos="8306"/>
        </w:tabs>
      </w:pPr>
      <w:hyperlink w:anchor="_Toc29433" w:history="1">
        <w:r>
          <w:rPr>
            <w:rFonts w:ascii="仿宋" w:eastAsia="仿宋" w:hAnsi="仿宋" w:cs="仿宋" w:hint="eastAsia"/>
            <w:lang w:eastAsia="zh-CN"/>
          </w:rPr>
          <w:t>(五)、废弃物处理</w:t>
        </w:r>
        <w:r>
          <w:tab/>
        </w:r>
        <w:r>
          <w:fldChar w:fldCharType="begin"/>
        </w:r>
        <w:r>
          <w:instrText xml:space="preserve"> PAGEREF _Toc29433 \h </w:instrText>
        </w:r>
        <w:r>
          <w:fldChar w:fldCharType="separate"/>
        </w:r>
        <w:r>
          <w:t>27</w:t>
        </w:r>
        <w:r>
          <w:fldChar w:fldCharType="end"/>
        </w:r>
      </w:hyperlink>
    </w:p>
    <w:p>
      <w:pPr>
        <w:pStyle w:val="TOC2"/>
        <w:tabs>
          <w:tab w:val="right" w:leader="dot" w:pos="8306"/>
        </w:tabs>
      </w:pPr>
      <w:hyperlink w:anchor="_Toc31182" w:history="1">
        <w:r>
          <w:rPr>
            <w:rFonts w:ascii="仿宋" w:eastAsia="仿宋" w:hAnsi="仿宋" w:cs="仿宋" w:hint="eastAsia"/>
            <w:lang w:eastAsia="zh-CN"/>
          </w:rPr>
          <w:t>(六)、特殊环境影响分析</w:t>
        </w:r>
        <w:r>
          <w:tab/>
        </w:r>
        <w:r>
          <w:fldChar w:fldCharType="begin"/>
        </w:r>
        <w:r>
          <w:instrText xml:space="preserve"> PAGEREF _Toc31182 \h </w:instrText>
        </w:r>
        <w:r>
          <w:fldChar w:fldCharType="separate"/>
        </w:r>
        <w:r>
          <w:t>28</w:t>
        </w:r>
        <w:r>
          <w:fldChar w:fldCharType="end"/>
        </w:r>
      </w:hyperlink>
    </w:p>
    <w:p>
      <w:pPr>
        <w:pStyle w:val="TOC2"/>
        <w:tabs>
          <w:tab w:val="right" w:leader="dot" w:pos="8306"/>
        </w:tabs>
      </w:pPr>
      <w:hyperlink w:anchor="_Toc13149" w:history="1">
        <w:r>
          <w:rPr>
            <w:rFonts w:ascii="仿宋" w:eastAsia="仿宋" w:hAnsi="仿宋" w:cs="仿宋" w:hint="eastAsia"/>
            <w:lang w:eastAsia="zh-CN"/>
          </w:rPr>
          <w:t>(七)、清洁生产</w:t>
        </w:r>
        <w:r>
          <w:tab/>
        </w:r>
        <w:r>
          <w:fldChar w:fldCharType="begin"/>
        </w:r>
        <w:r>
          <w:instrText xml:space="preserve"> PAGEREF _Toc13149 \h </w:instrText>
        </w:r>
        <w:r>
          <w:fldChar w:fldCharType="separate"/>
        </w:r>
        <w:r>
          <w:t>29</w:t>
        </w:r>
        <w:r>
          <w:fldChar w:fldCharType="end"/>
        </w:r>
      </w:hyperlink>
    </w:p>
    <w:p>
      <w:pPr>
        <w:pStyle w:val="TOC2"/>
        <w:tabs>
          <w:tab w:val="right" w:leader="dot" w:pos="8306"/>
        </w:tabs>
      </w:pPr>
      <w:hyperlink w:anchor="_Toc24312" w:history="1">
        <w:r>
          <w:rPr>
            <w:rFonts w:ascii="仿宋" w:eastAsia="仿宋" w:hAnsi="仿宋" w:cs="仿宋" w:hint="eastAsia"/>
            <w:lang w:eastAsia="zh-CN"/>
          </w:rPr>
          <w:t>(八)、环境保护综合评价</w:t>
        </w:r>
        <w:r>
          <w:tab/>
        </w:r>
        <w:r>
          <w:fldChar w:fldCharType="begin"/>
        </w:r>
        <w:r>
          <w:instrText xml:space="preserve"> PAGEREF _Toc24312 \h </w:instrText>
        </w:r>
        <w:r>
          <w:fldChar w:fldCharType="separate"/>
        </w:r>
        <w:r>
          <w:t>30</w:t>
        </w:r>
        <w:r>
          <w:fldChar w:fldCharType="end"/>
        </w:r>
      </w:hyperlink>
    </w:p>
    <w:p>
      <w:pPr>
        <w:pStyle w:val="TOC1"/>
        <w:tabs>
          <w:tab w:val="right" w:leader="dot" w:pos="8306"/>
        </w:tabs>
      </w:pPr>
      <w:hyperlink w:anchor="_Toc19461" w:history="1">
        <w:r>
          <w:rPr>
            <w:rFonts w:ascii="仿宋" w:eastAsia="仿宋" w:hAnsi="仿宋" w:cs="仿宋" w:hint="eastAsia"/>
            <w:lang w:eastAsia="zh-CN"/>
          </w:rPr>
          <w:t>八、神经细胞生长因子项目投资规划</w:t>
        </w:r>
        <w:r>
          <w:tab/>
        </w:r>
        <w:r>
          <w:fldChar w:fldCharType="begin"/>
        </w:r>
        <w:r>
          <w:instrText xml:space="preserve"> PAGEREF _Toc19461 \h </w:instrText>
        </w:r>
        <w:r>
          <w:fldChar w:fldCharType="separate"/>
        </w:r>
        <w:r>
          <w:t>32</w:t>
        </w:r>
        <w:r>
          <w:fldChar w:fldCharType="end"/>
        </w:r>
      </w:hyperlink>
    </w:p>
    <w:p>
      <w:pPr>
        <w:pStyle w:val="TOC2"/>
        <w:tabs>
          <w:tab w:val="right" w:leader="dot" w:pos="8306"/>
        </w:tabs>
      </w:pPr>
      <w:hyperlink w:anchor="_Toc2871" w:history="1">
        <w:r>
          <w:rPr>
            <w:rFonts w:ascii="仿宋" w:eastAsia="仿宋" w:hAnsi="仿宋" w:cs="仿宋" w:hint="eastAsia"/>
            <w:lang w:eastAsia="zh-CN"/>
          </w:rPr>
          <w:t>(一)、神经细胞生长因子项目总投资估算</w:t>
        </w:r>
        <w:r>
          <w:tab/>
        </w:r>
        <w:r>
          <w:fldChar w:fldCharType="begin"/>
        </w:r>
        <w:r>
          <w:instrText xml:space="preserve"> PAGEREF _Toc2871 \h </w:instrText>
        </w:r>
        <w:r>
          <w:fldChar w:fldCharType="separate"/>
        </w:r>
        <w:r>
          <w:t>32</w:t>
        </w:r>
        <w:r>
          <w:fldChar w:fldCharType="end"/>
        </w:r>
      </w:hyperlink>
    </w:p>
    <w:p>
      <w:pPr>
        <w:pStyle w:val="TOC2"/>
        <w:tabs>
          <w:tab w:val="right" w:leader="dot" w:pos="8306"/>
        </w:tabs>
      </w:pPr>
      <w:hyperlink w:anchor="_Toc30916" w:history="1">
        <w:r>
          <w:rPr>
            <w:rFonts w:ascii="仿宋" w:eastAsia="仿宋" w:hAnsi="仿宋" w:cs="仿宋" w:hint="eastAsia"/>
            <w:lang w:eastAsia="zh-CN"/>
          </w:rPr>
          <w:t>(二)、资金筹措</w:t>
        </w:r>
        <w:r>
          <w:tab/>
        </w:r>
        <w:r>
          <w:fldChar w:fldCharType="begin"/>
        </w:r>
        <w:r>
          <w:instrText xml:space="preserve"> PAGEREF _Toc30916 \h </w:instrText>
        </w:r>
        <w:r>
          <w:fldChar w:fldCharType="separate"/>
        </w:r>
        <w:r>
          <w:t>33</w:t>
        </w:r>
        <w:r>
          <w:fldChar w:fldCharType="end"/>
        </w:r>
      </w:hyperlink>
    </w:p>
    <w:p>
      <w:pPr>
        <w:pStyle w:val="TOC1"/>
        <w:tabs>
          <w:tab w:val="right" w:leader="dot" w:pos="8306"/>
        </w:tabs>
      </w:pPr>
      <w:hyperlink w:anchor="_Toc13348" w:history="1">
        <w:r>
          <w:rPr>
            <w:rFonts w:ascii="仿宋" w:eastAsia="仿宋" w:hAnsi="仿宋" w:cs="仿宋" w:hint="eastAsia"/>
            <w:lang w:eastAsia="zh-CN"/>
          </w:rPr>
          <w:t>九、神经细胞生长因子项目技术管理</w:t>
        </w:r>
        <w:r>
          <w:tab/>
        </w:r>
        <w:r>
          <w:fldChar w:fldCharType="begin"/>
        </w:r>
        <w:r>
          <w:instrText xml:space="preserve"> PAGEREF _Toc13348 \h </w:instrText>
        </w:r>
        <w:r>
          <w:fldChar w:fldCharType="separate"/>
        </w:r>
        <w:r>
          <w:t>34</w:t>
        </w:r>
        <w:r>
          <w:fldChar w:fldCharType="end"/>
        </w:r>
      </w:hyperlink>
    </w:p>
    <w:p>
      <w:pPr>
        <w:pStyle w:val="TOC2"/>
        <w:tabs>
          <w:tab w:val="right" w:leader="dot" w:pos="8306"/>
        </w:tabs>
      </w:pPr>
      <w:hyperlink w:anchor="_Toc9626" w:history="1">
        <w:r>
          <w:rPr>
            <w:rFonts w:ascii="仿宋" w:eastAsia="仿宋" w:hAnsi="仿宋" w:cs="仿宋" w:hint="eastAsia"/>
            <w:lang w:eastAsia="zh-CN"/>
          </w:rPr>
          <w:t>(一)、技术方案选用方向</w:t>
        </w:r>
        <w:r>
          <w:tab/>
        </w:r>
        <w:r>
          <w:fldChar w:fldCharType="begin"/>
        </w:r>
        <w:r>
          <w:instrText xml:space="preserve"> PAGEREF _Toc9626 \h </w:instrText>
        </w:r>
        <w:r>
          <w:fldChar w:fldCharType="separate"/>
        </w:r>
        <w:r>
          <w:t>34</w:t>
        </w:r>
        <w:r>
          <w:fldChar w:fldCharType="end"/>
        </w:r>
      </w:hyperlink>
    </w:p>
    <w:p>
      <w:pPr>
        <w:pStyle w:val="TOC2"/>
        <w:tabs>
          <w:tab w:val="right" w:leader="dot" w:pos="8306"/>
        </w:tabs>
      </w:pPr>
      <w:hyperlink w:anchor="_Toc5987" w:history="1">
        <w:r>
          <w:rPr>
            <w:rFonts w:ascii="仿宋" w:eastAsia="仿宋" w:hAnsi="仿宋" w:cs="仿宋" w:hint="eastAsia"/>
            <w:lang w:eastAsia="zh-CN"/>
          </w:rPr>
          <w:t>(二)、工艺技术方案选用原则</w:t>
        </w:r>
        <w:r>
          <w:tab/>
        </w:r>
        <w:r>
          <w:fldChar w:fldCharType="begin"/>
        </w:r>
        <w:r>
          <w:instrText xml:space="preserve"> PAGEREF _Toc5987 \h </w:instrText>
        </w:r>
        <w:r>
          <w:fldChar w:fldCharType="separate"/>
        </w:r>
        <w:r>
          <w:t>36</w:t>
        </w:r>
        <w:r>
          <w:fldChar w:fldCharType="end"/>
        </w:r>
      </w:hyperlink>
    </w:p>
    <w:p>
      <w:pPr>
        <w:pStyle w:val="TOC2"/>
        <w:tabs>
          <w:tab w:val="right" w:leader="dot" w:pos="8306"/>
        </w:tabs>
      </w:pPr>
      <w:hyperlink w:anchor="_Toc7355" w:history="1">
        <w:r>
          <w:rPr>
            <w:rFonts w:ascii="仿宋" w:eastAsia="仿宋" w:hAnsi="仿宋" w:cs="仿宋" w:hint="eastAsia"/>
            <w:lang w:eastAsia="zh-CN"/>
          </w:rPr>
          <w:t>(三)、工艺技术方案要求</w:t>
        </w:r>
        <w:r>
          <w:tab/>
        </w:r>
        <w:r>
          <w:fldChar w:fldCharType="begin"/>
        </w:r>
        <w:r>
          <w:instrText xml:space="preserve"> PAGEREF _Toc7355 \h </w:instrText>
        </w:r>
        <w:r>
          <w:fldChar w:fldCharType="separate"/>
        </w:r>
        <w:r>
          <w:t>38</w:t>
        </w:r>
        <w:r>
          <w:fldChar w:fldCharType="end"/>
        </w:r>
      </w:hyperlink>
    </w:p>
    <w:p>
      <w:pPr>
        <w:pStyle w:val="TOC1"/>
        <w:tabs>
          <w:tab w:val="right" w:leader="dot" w:pos="8306"/>
        </w:tabs>
      </w:pPr>
      <w:hyperlink w:anchor="_Toc13576" w:history="1">
        <w:r>
          <w:rPr>
            <w:rFonts w:ascii="仿宋" w:eastAsia="仿宋" w:hAnsi="仿宋" w:cs="仿宋" w:hint="eastAsia"/>
            <w:lang w:eastAsia="zh-CN"/>
          </w:rPr>
          <w:t>十、神经细胞生长因子项目社会影响</w:t>
        </w:r>
        <w:r>
          <w:tab/>
        </w:r>
        <w:r>
          <w:fldChar w:fldCharType="begin"/>
        </w:r>
        <w:r>
          <w:instrText xml:space="preserve"> PAGEREF _Toc13576 \h </w:instrText>
        </w:r>
        <w:r>
          <w:fldChar w:fldCharType="separate"/>
        </w:r>
        <w:r>
          <w:t>40</w:t>
        </w:r>
        <w:r>
          <w:fldChar w:fldCharType="end"/>
        </w:r>
      </w:hyperlink>
    </w:p>
    <w:p>
      <w:pPr>
        <w:pStyle w:val="TOC2"/>
        <w:tabs>
          <w:tab w:val="right" w:leader="dot" w:pos="8306"/>
        </w:tabs>
      </w:pPr>
      <w:hyperlink w:anchor="_Toc2512" w:history="1">
        <w:r>
          <w:rPr>
            <w:rFonts w:ascii="仿宋" w:eastAsia="仿宋" w:hAnsi="仿宋" w:cs="仿宋" w:hint="eastAsia"/>
            <w:lang w:eastAsia="zh-CN"/>
          </w:rPr>
          <w:t>(一)、社会责任与义务</w:t>
        </w:r>
        <w:r>
          <w:tab/>
        </w:r>
        <w:r>
          <w:fldChar w:fldCharType="begin"/>
        </w:r>
        <w:r>
          <w:instrText xml:space="preserve"> PAGEREF _Toc2512 \h </w:instrText>
        </w:r>
        <w:r>
          <w:fldChar w:fldCharType="separate"/>
        </w:r>
        <w:r>
          <w:t>40</w:t>
        </w:r>
        <w:r>
          <w:fldChar w:fldCharType="end"/>
        </w:r>
      </w:hyperlink>
    </w:p>
    <w:p>
      <w:pPr>
        <w:pStyle w:val="TOC2"/>
        <w:tabs>
          <w:tab w:val="right" w:leader="dot" w:pos="8306"/>
        </w:tabs>
      </w:pPr>
      <w:hyperlink w:anchor="_Toc11869" w:history="1">
        <w:r>
          <w:rPr>
            <w:rFonts w:ascii="仿宋" w:eastAsia="仿宋" w:hAnsi="仿宋" w:cs="仿宋" w:hint="eastAsia"/>
            <w:lang w:eastAsia="zh-CN"/>
          </w:rPr>
          <w:t>(二)、社会参与与沟通</w:t>
        </w:r>
        <w:r>
          <w:tab/>
        </w:r>
        <w:r>
          <w:fldChar w:fldCharType="begin"/>
        </w:r>
        <w:r>
          <w:instrText xml:space="preserve"> PAGEREF _Toc11869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70" w:history="1">
        <w:r>
          <w:rPr>
            <w:rFonts w:ascii="仿宋" w:eastAsia="仿宋" w:hAnsi="仿宋" w:cs="仿宋" w:hint="eastAsia"/>
            <w:lang w:eastAsia="zh-CN"/>
          </w:rPr>
          <w:t>十一、神经细胞生长因子项目风险管理</w:t>
        </w:r>
        <w:r>
          <w:tab/>
        </w:r>
        <w:r>
          <w:fldChar w:fldCharType="begin"/>
        </w:r>
        <w:r>
          <w:instrText xml:space="preserve"> PAGEREF _Toc9270 \h </w:instrText>
        </w:r>
        <w:r>
          <w:fldChar w:fldCharType="separate"/>
        </w:r>
        <w:r>
          <w:t>42</w:t>
        </w:r>
        <w:r>
          <w:fldChar w:fldCharType="end"/>
        </w:r>
      </w:hyperlink>
    </w:p>
    <w:p>
      <w:pPr>
        <w:pStyle w:val="TOC2"/>
        <w:tabs>
          <w:tab w:val="right" w:leader="dot" w:pos="8306"/>
        </w:tabs>
      </w:pPr>
      <w:hyperlink w:anchor="_Toc29597" w:history="1">
        <w:r>
          <w:rPr>
            <w:rFonts w:ascii="仿宋" w:eastAsia="仿宋" w:hAnsi="仿宋" w:cs="仿宋" w:hint="eastAsia"/>
            <w:lang w:eastAsia="zh-CN"/>
          </w:rPr>
          <w:t>(一)、风险识别与评估</w:t>
        </w:r>
        <w:r>
          <w:tab/>
        </w:r>
        <w:r>
          <w:fldChar w:fldCharType="begin"/>
        </w:r>
        <w:r>
          <w:instrText xml:space="preserve"> PAGEREF _Toc29597 \h </w:instrText>
        </w:r>
        <w:r>
          <w:fldChar w:fldCharType="separate"/>
        </w:r>
        <w:r>
          <w:t>42</w:t>
        </w:r>
        <w:r>
          <w:fldChar w:fldCharType="end"/>
        </w:r>
      </w:hyperlink>
    </w:p>
    <w:p>
      <w:pPr>
        <w:pStyle w:val="TOC2"/>
        <w:tabs>
          <w:tab w:val="right" w:leader="dot" w:pos="8306"/>
        </w:tabs>
      </w:pPr>
      <w:hyperlink w:anchor="_Toc8265" w:history="1">
        <w:r>
          <w:rPr>
            <w:rFonts w:ascii="仿宋" w:eastAsia="仿宋" w:hAnsi="仿宋" w:cs="仿宋" w:hint="eastAsia"/>
            <w:lang w:eastAsia="zh-CN"/>
          </w:rPr>
          <w:t>(二)、风险应对策略</w:t>
        </w:r>
        <w:r>
          <w:tab/>
        </w:r>
        <w:r>
          <w:fldChar w:fldCharType="begin"/>
        </w:r>
        <w:r>
          <w:instrText xml:space="preserve"> PAGEREF _Toc8265 \h </w:instrText>
        </w:r>
        <w:r>
          <w:fldChar w:fldCharType="separate"/>
        </w:r>
        <w:r>
          <w:t>43</w:t>
        </w:r>
        <w:r>
          <w:fldChar w:fldCharType="end"/>
        </w:r>
      </w:hyperlink>
    </w:p>
    <w:p>
      <w:pPr>
        <w:pStyle w:val="TOC2"/>
        <w:tabs>
          <w:tab w:val="right" w:leader="dot" w:pos="8306"/>
        </w:tabs>
      </w:pPr>
      <w:hyperlink w:anchor="_Toc145" w:history="1">
        <w:r>
          <w:rPr>
            <w:rFonts w:ascii="仿宋" w:eastAsia="仿宋" w:hAnsi="仿宋" w:cs="仿宋" w:hint="eastAsia"/>
            <w:lang w:eastAsia="zh-CN"/>
          </w:rPr>
          <w:t>(三)、风险监控与控制</w:t>
        </w:r>
        <w:r>
          <w:tab/>
        </w:r>
        <w:r>
          <w:fldChar w:fldCharType="begin"/>
        </w:r>
        <w:r>
          <w:instrText xml:space="preserve"> PAGEREF _Toc145 \h </w:instrText>
        </w:r>
        <w:r>
          <w:fldChar w:fldCharType="separate"/>
        </w:r>
        <w:r>
          <w:t>45</w:t>
        </w:r>
        <w:r>
          <w:fldChar w:fldCharType="end"/>
        </w:r>
      </w:hyperlink>
    </w:p>
    <w:p>
      <w:pPr>
        <w:pStyle w:val="TOC1"/>
        <w:tabs>
          <w:tab w:val="right" w:leader="dot" w:pos="8306"/>
        </w:tabs>
      </w:pPr>
      <w:hyperlink w:anchor="_Toc18433" w:history="1">
        <w:r>
          <w:rPr>
            <w:rFonts w:ascii="仿宋" w:eastAsia="仿宋" w:hAnsi="仿宋" w:cs="仿宋" w:hint="eastAsia"/>
            <w:lang w:eastAsia="zh-CN"/>
          </w:rPr>
          <w:t>十二、生产安全保护</w:t>
        </w:r>
        <w:r>
          <w:tab/>
        </w:r>
        <w:r>
          <w:fldChar w:fldCharType="begin"/>
        </w:r>
        <w:r>
          <w:instrText xml:space="preserve"> PAGEREF _Toc18433 \h </w:instrText>
        </w:r>
        <w:r>
          <w:fldChar w:fldCharType="separate"/>
        </w:r>
        <w:r>
          <w:t>46</w:t>
        </w:r>
        <w:r>
          <w:fldChar w:fldCharType="end"/>
        </w:r>
      </w:hyperlink>
    </w:p>
    <w:p>
      <w:pPr>
        <w:pStyle w:val="TOC2"/>
        <w:tabs>
          <w:tab w:val="right" w:leader="dot" w:pos="8306"/>
        </w:tabs>
      </w:pPr>
      <w:hyperlink w:anchor="_Toc10055" w:history="1">
        <w:r>
          <w:rPr>
            <w:rFonts w:ascii="仿宋" w:eastAsia="仿宋" w:hAnsi="仿宋" w:cs="仿宋" w:hint="eastAsia"/>
            <w:lang w:eastAsia="zh-CN"/>
          </w:rPr>
          <w:t>(一)、消防安全</w:t>
        </w:r>
        <w:r>
          <w:tab/>
        </w:r>
        <w:r>
          <w:fldChar w:fldCharType="begin"/>
        </w:r>
        <w:r>
          <w:instrText xml:space="preserve"> PAGEREF _Toc10055 \h </w:instrText>
        </w:r>
        <w:r>
          <w:fldChar w:fldCharType="separate"/>
        </w:r>
        <w:r>
          <w:t>46</w:t>
        </w:r>
        <w:r>
          <w:fldChar w:fldCharType="end"/>
        </w:r>
      </w:hyperlink>
    </w:p>
    <w:p>
      <w:pPr>
        <w:pStyle w:val="TOC2"/>
        <w:tabs>
          <w:tab w:val="right" w:leader="dot" w:pos="8306"/>
        </w:tabs>
      </w:pPr>
      <w:hyperlink w:anchor="_Toc23908" w:history="1">
        <w:r>
          <w:rPr>
            <w:rFonts w:ascii="仿宋" w:eastAsia="仿宋" w:hAnsi="仿宋" w:cs="仿宋" w:hint="eastAsia"/>
            <w:lang w:eastAsia="zh-CN"/>
          </w:rPr>
          <w:t>(二)、防火防爆总图布置措施</w:t>
        </w:r>
        <w:r>
          <w:tab/>
        </w:r>
        <w:r>
          <w:fldChar w:fldCharType="begin"/>
        </w:r>
        <w:r>
          <w:instrText xml:space="preserve"> PAGEREF _Toc23908 \h </w:instrText>
        </w:r>
        <w:r>
          <w:fldChar w:fldCharType="separate"/>
        </w:r>
        <w:r>
          <w:t>47</w:t>
        </w:r>
        <w:r>
          <w:fldChar w:fldCharType="end"/>
        </w:r>
      </w:hyperlink>
    </w:p>
    <w:p>
      <w:pPr>
        <w:pStyle w:val="TOC2"/>
        <w:tabs>
          <w:tab w:val="right" w:leader="dot" w:pos="8306"/>
        </w:tabs>
      </w:pPr>
      <w:hyperlink w:anchor="_Toc8495" w:history="1">
        <w:r>
          <w:rPr>
            <w:rFonts w:ascii="仿宋" w:eastAsia="仿宋" w:hAnsi="仿宋" w:cs="仿宋" w:hint="eastAsia"/>
            <w:lang w:eastAsia="zh-CN"/>
          </w:rPr>
          <w:t>(三)、自然灾害防范措施</w:t>
        </w:r>
        <w:r>
          <w:tab/>
        </w:r>
        <w:r>
          <w:fldChar w:fldCharType="begin"/>
        </w:r>
        <w:r>
          <w:instrText xml:space="preserve"> PAGEREF _Toc8495 \h </w:instrText>
        </w:r>
        <w:r>
          <w:fldChar w:fldCharType="separate"/>
        </w:r>
        <w:r>
          <w:t>48</w:t>
        </w:r>
        <w:r>
          <w:fldChar w:fldCharType="end"/>
        </w:r>
      </w:hyperlink>
    </w:p>
    <w:p>
      <w:pPr>
        <w:pStyle w:val="TOC2"/>
        <w:tabs>
          <w:tab w:val="right" w:leader="dot" w:pos="8306"/>
        </w:tabs>
      </w:pPr>
      <w:hyperlink w:anchor="_Toc15771" w:history="1">
        <w:r>
          <w:rPr>
            <w:rFonts w:ascii="仿宋" w:eastAsia="仿宋" w:hAnsi="仿宋" w:cs="仿宋" w:hint="eastAsia"/>
            <w:lang w:eastAsia="zh-CN"/>
          </w:rPr>
          <w:t>(四)、安全色及安全标志使用要求</w:t>
        </w:r>
        <w:r>
          <w:tab/>
        </w:r>
        <w:r>
          <w:fldChar w:fldCharType="begin"/>
        </w:r>
        <w:r>
          <w:instrText xml:space="preserve"> PAGEREF _Toc15771 \h </w:instrText>
        </w:r>
        <w:r>
          <w:fldChar w:fldCharType="separate"/>
        </w:r>
        <w:r>
          <w:t>49</w:t>
        </w:r>
        <w:r>
          <w:fldChar w:fldCharType="end"/>
        </w:r>
      </w:hyperlink>
    </w:p>
    <w:p>
      <w:pPr>
        <w:pStyle w:val="TOC2"/>
        <w:tabs>
          <w:tab w:val="right" w:leader="dot" w:pos="8306"/>
        </w:tabs>
      </w:pPr>
      <w:hyperlink w:anchor="_Toc8797" w:history="1">
        <w:r>
          <w:rPr>
            <w:rFonts w:ascii="仿宋" w:eastAsia="仿宋" w:hAnsi="仿宋" w:cs="仿宋" w:hint="eastAsia"/>
            <w:lang w:eastAsia="zh-CN"/>
          </w:rPr>
          <w:t>(五)、防尘防毒措施</w:t>
        </w:r>
        <w:r>
          <w:tab/>
        </w:r>
        <w:r>
          <w:fldChar w:fldCharType="begin"/>
        </w:r>
        <w:r>
          <w:instrText xml:space="preserve"> PAGEREF _Toc8797 \h </w:instrText>
        </w:r>
        <w:r>
          <w:fldChar w:fldCharType="separate"/>
        </w:r>
        <w:r>
          <w:t>50</w:t>
        </w:r>
        <w:r>
          <w:fldChar w:fldCharType="end"/>
        </w:r>
      </w:hyperlink>
    </w:p>
    <w:p>
      <w:pPr>
        <w:pStyle w:val="TOC2"/>
        <w:tabs>
          <w:tab w:val="right" w:leader="dot" w:pos="8306"/>
        </w:tabs>
      </w:pPr>
      <w:hyperlink w:anchor="_Toc12723" w:history="1">
        <w:r>
          <w:rPr>
            <w:rFonts w:ascii="仿宋" w:eastAsia="仿宋" w:hAnsi="仿宋" w:cs="仿宋" w:hint="eastAsia"/>
            <w:lang w:eastAsia="zh-CN"/>
          </w:rPr>
          <w:t>(六)、防静电、触电防护及防雷措施</w:t>
        </w:r>
        <w:r>
          <w:tab/>
        </w:r>
        <w:r>
          <w:fldChar w:fldCharType="begin"/>
        </w:r>
        <w:r>
          <w:instrText xml:space="preserve"> PAGEREF _Toc12723 \h </w:instrText>
        </w:r>
        <w:r>
          <w:fldChar w:fldCharType="separate"/>
        </w:r>
        <w:r>
          <w:t>51</w:t>
        </w:r>
        <w:r>
          <w:fldChar w:fldCharType="end"/>
        </w:r>
      </w:hyperlink>
    </w:p>
    <w:p>
      <w:pPr>
        <w:pStyle w:val="TOC2"/>
        <w:tabs>
          <w:tab w:val="right" w:leader="dot" w:pos="8306"/>
        </w:tabs>
      </w:pPr>
      <w:hyperlink w:anchor="_Toc18384" w:history="1">
        <w:r>
          <w:rPr>
            <w:rFonts w:ascii="仿宋" w:eastAsia="仿宋" w:hAnsi="仿宋" w:cs="仿宋" w:hint="eastAsia"/>
            <w:lang w:eastAsia="zh-CN"/>
          </w:rPr>
          <w:t>(七)、机械设备安全保障措施</w:t>
        </w:r>
        <w:r>
          <w:tab/>
        </w:r>
        <w:r>
          <w:fldChar w:fldCharType="begin"/>
        </w:r>
        <w:r>
          <w:instrText xml:space="preserve"> PAGEREF _Toc18384 \h </w:instrText>
        </w:r>
        <w:r>
          <w:fldChar w:fldCharType="separate"/>
        </w:r>
        <w:r>
          <w:t>53</w:t>
        </w:r>
        <w:r>
          <w:fldChar w:fldCharType="end"/>
        </w:r>
      </w:hyperlink>
    </w:p>
    <w:p>
      <w:pPr>
        <w:pStyle w:val="TOC1"/>
        <w:tabs>
          <w:tab w:val="right" w:leader="dot" w:pos="8306"/>
        </w:tabs>
      </w:pPr>
      <w:hyperlink w:anchor="_Toc584" w:history="1">
        <w:r>
          <w:rPr>
            <w:rFonts w:ascii="仿宋" w:eastAsia="仿宋" w:hAnsi="仿宋" w:cs="仿宋" w:hint="eastAsia"/>
            <w:lang w:eastAsia="zh-CN"/>
          </w:rPr>
          <w:t>十三、神经细胞生长因子项目治理与监督</w:t>
        </w:r>
        <w:r>
          <w:tab/>
        </w:r>
        <w:r>
          <w:fldChar w:fldCharType="begin"/>
        </w:r>
        <w:r>
          <w:instrText xml:space="preserve"> PAGEREF _Toc584 \h </w:instrText>
        </w:r>
        <w:r>
          <w:fldChar w:fldCharType="separate"/>
        </w:r>
        <w:r>
          <w:t>54</w:t>
        </w:r>
        <w:r>
          <w:fldChar w:fldCharType="end"/>
        </w:r>
      </w:hyperlink>
    </w:p>
    <w:p>
      <w:pPr>
        <w:pStyle w:val="TOC2"/>
        <w:tabs>
          <w:tab w:val="right" w:leader="dot" w:pos="8306"/>
        </w:tabs>
      </w:pPr>
      <w:hyperlink w:anchor="_Toc16613" w:history="1">
        <w:r>
          <w:rPr>
            <w:rFonts w:ascii="仿宋" w:eastAsia="仿宋" w:hAnsi="仿宋" w:cs="仿宋" w:hint="eastAsia"/>
            <w:lang w:eastAsia="zh-CN"/>
          </w:rPr>
          <w:t>(一)、神经细胞生长因子项目治理结构</w:t>
        </w:r>
        <w:r>
          <w:tab/>
        </w:r>
        <w:r>
          <w:fldChar w:fldCharType="begin"/>
        </w:r>
        <w:r>
          <w:instrText xml:space="preserve"> PAGEREF _Toc16613 \h </w:instrText>
        </w:r>
        <w:r>
          <w:fldChar w:fldCharType="separate"/>
        </w:r>
        <w:r>
          <w:t>54</w:t>
        </w:r>
        <w:r>
          <w:fldChar w:fldCharType="end"/>
        </w:r>
      </w:hyperlink>
    </w:p>
    <w:p>
      <w:pPr>
        <w:pStyle w:val="TOC2"/>
        <w:tabs>
          <w:tab w:val="right" w:leader="dot" w:pos="8306"/>
        </w:tabs>
      </w:pPr>
      <w:hyperlink w:anchor="_Toc19888" w:history="1">
        <w:r>
          <w:rPr>
            <w:rFonts w:ascii="仿宋" w:eastAsia="仿宋" w:hAnsi="仿宋" w:cs="仿宋" w:hint="eastAsia"/>
            <w:lang w:eastAsia="zh-CN"/>
          </w:rPr>
          <w:t>(二)、监督与审计</w:t>
        </w:r>
        <w:r>
          <w:tab/>
        </w:r>
        <w:r>
          <w:fldChar w:fldCharType="begin"/>
        </w:r>
        <w:r>
          <w:instrText xml:space="preserve"> PAGEREF _Toc19888 \h </w:instrText>
        </w:r>
        <w:r>
          <w:fldChar w:fldCharType="separate"/>
        </w:r>
        <w:r>
          <w:t>56</w:t>
        </w:r>
        <w:r>
          <w:fldChar w:fldCharType="end"/>
        </w:r>
      </w:hyperlink>
    </w:p>
    <w:p>
      <w:pPr>
        <w:pStyle w:val="TOC1"/>
        <w:tabs>
          <w:tab w:val="right" w:leader="dot" w:pos="8306"/>
        </w:tabs>
      </w:pPr>
      <w:hyperlink w:anchor="_Toc21852" w:history="1">
        <w:r>
          <w:rPr>
            <w:rFonts w:ascii="仿宋" w:eastAsia="仿宋" w:hAnsi="仿宋" w:cs="仿宋" w:hint="eastAsia"/>
            <w:lang w:eastAsia="zh-CN"/>
          </w:rPr>
          <w:t>十四、利益相关者分析与沟通计划</w:t>
        </w:r>
        <w:r>
          <w:tab/>
        </w:r>
        <w:r>
          <w:fldChar w:fldCharType="begin"/>
        </w:r>
        <w:r>
          <w:instrText xml:space="preserve"> PAGEREF _Toc21852 \h </w:instrText>
        </w:r>
        <w:r>
          <w:fldChar w:fldCharType="separate"/>
        </w:r>
        <w:r>
          <w:t>57</w:t>
        </w:r>
        <w:r>
          <w:fldChar w:fldCharType="end"/>
        </w:r>
      </w:hyperlink>
    </w:p>
    <w:p>
      <w:pPr>
        <w:pStyle w:val="TOC2"/>
        <w:tabs>
          <w:tab w:val="right" w:leader="dot" w:pos="8306"/>
        </w:tabs>
      </w:pPr>
      <w:hyperlink w:anchor="_Toc23650" w:history="1">
        <w:r>
          <w:rPr>
            <w:rFonts w:ascii="仿宋" w:eastAsia="仿宋" w:hAnsi="仿宋" w:cs="仿宋" w:hint="eastAsia"/>
            <w:lang w:eastAsia="zh-CN"/>
          </w:rPr>
          <w:t>(一)、利益相关者分析</w:t>
        </w:r>
        <w:r>
          <w:tab/>
        </w:r>
        <w:r>
          <w:fldChar w:fldCharType="begin"/>
        </w:r>
        <w:r>
          <w:instrText xml:space="preserve"> PAGEREF _Toc23650 \h </w:instrText>
        </w:r>
        <w:r>
          <w:fldChar w:fldCharType="separate"/>
        </w:r>
        <w:r>
          <w:t>57</w:t>
        </w:r>
        <w:r>
          <w:fldChar w:fldCharType="end"/>
        </w:r>
      </w:hyperlink>
    </w:p>
    <w:p>
      <w:pPr>
        <w:pStyle w:val="TOC2"/>
        <w:tabs>
          <w:tab w:val="right" w:leader="dot" w:pos="8306"/>
        </w:tabs>
      </w:pPr>
      <w:hyperlink w:anchor="_Toc13471" w:history="1">
        <w:r>
          <w:rPr>
            <w:rFonts w:ascii="仿宋" w:eastAsia="仿宋" w:hAnsi="仿宋" w:cs="仿宋" w:hint="eastAsia"/>
            <w:lang w:eastAsia="zh-CN"/>
          </w:rPr>
          <w:t>(二)、沟通计划</w:t>
        </w:r>
        <w:r>
          <w:tab/>
        </w:r>
        <w:r>
          <w:fldChar w:fldCharType="begin"/>
        </w:r>
        <w:r>
          <w:instrText xml:space="preserve"> PAGEREF _Toc13471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948"/>
      <w:r>
        <w:rPr>
          <w:rFonts w:ascii="仿宋" w:eastAsia="仿宋" w:hAnsi="仿宋" w:cs="仿宋" w:hint="eastAsia"/>
          <w:sz w:val="28"/>
          <w:lang w:eastAsia="zh-CN"/>
        </w:rPr>
        <w:t>一、神经细胞生长因子项目建设背景及必要性分析</w:t>
      </w:r>
      <w:bookmarkEnd w:id="2"/>
    </w:p>
    <w:p>
      <w:pPr>
        <w:pStyle w:val="Heading2"/>
        <w:rPr>
          <w:rFonts w:ascii="仿宋" w:eastAsia="仿宋" w:hAnsi="仿宋" w:cs="仿宋" w:hint="eastAsia"/>
          <w:lang w:eastAsia="zh-CN"/>
        </w:rPr>
      </w:pPr>
      <w:bookmarkStart w:id="3" w:name="_Toc7526"/>
      <w:r>
        <w:rPr>
          <w:rFonts w:ascii="仿宋" w:eastAsia="仿宋" w:hAnsi="仿宋" w:cs="仿宋" w:hint="eastAsia"/>
          <w:lang w:eastAsia="zh-CN"/>
        </w:rPr>
        <w:t>(一)、神经细胞生长因子项目背景分析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细胞生长因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神经细胞生长因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神经细胞生长因子项目在这个潮流中的定位。同时，我们将关注行业内涌现的新兴机遇，以便神经细胞生长因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神经细胞生长因子项目提供了强大的发展动力。我们将聚焦于行业内最新的技术发展趋势，包括但不限于人工智能、大数据分析、物联网等领域。通过深度的技术研究，我们将确保神经细胞生长因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神经细胞生长因子项目发展的源泉。我们将投入更多的精力对市场需求进行深入剖析，超越表面的需求，深入挖掘潜在的市场痛点和机遇。通过对市场需求的细致了解，神经细胞生长因子项目将更有针对性地设计解决方案，满足市场的多样化需求，从而更好地促进神经细胞生长因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神经细胞生长因子项目战略至关重要。我们将对竞争态势进行更为深入的分析，包括但不限于市场份额、产品特点、客户满意度等多个维度。通过深度的竞争分析，神经细胞生长因子项目将能够更准确地把握市场脉搏，制定具有竞争力的神经细胞生长因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神经细胞生长因子项目的发展具有直接的影响。我们将进行更为全面的法规和政策分析，了解行业发展中的潜在法律风险和合规挑战。通过充分了解和遵守相关法规，神经细胞生长因子项目将确保在法律框架内合法合规运营，为神经细胞生长因子项目的稳健发展提供有力支持。</w:t>
      </w:r>
    </w:p>
    <w:p>
      <w:pPr>
        <w:pStyle w:val="Heading2"/>
        <w:ind w:firstLine="560" w:firstLineChars="200"/>
        <w:rPr>
          <w:rFonts w:ascii="仿宋" w:eastAsia="仿宋" w:hAnsi="仿宋" w:cs="仿宋" w:hint="eastAsia"/>
          <w:sz w:val="28"/>
          <w:lang w:eastAsia="zh-CN"/>
        </w:rPr>
      </w:pPr>
      <w:bookmarkStart w:id="4" w:name="_Toc6464"/>
      <w:r>
        <w:rPr>
          <w:rFonts w:ascii="仿宋" w:eastAsia="仿宋" w:hAnsi="仿宋" w:cs="仿宋" w:hint="eastAsia"/>
          <w:sz w:val="28"/>
          <w:lang w:eastAsia="zh-CN"/>
        </w:rPr>
        <w:t>(二)、神经细胞生长因子项目建设必要性分析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细胞生长因子项目建设的迫切性源于对行业发展趋势的深刻洞察。我们正处于一个行业变革的时代，科技创新、数字化转型成为企业发展的关键动力。神经细胞生长因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细胞生长因子项目建设不仅仅是为了跟上潮流，更是为了通过技术创新推动企业的持续发展。通过引入先进的技术和解决方案，神经细胞生长因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神经细胞生长因子项目的建设成为必然选择，通过提高产品质量、拓展服务领域，从而在竞争中获得更多的机会。神经细胞生长因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神经细胞生长因子项目建设的必要性体现在对客户需求更精准的满足。通过神经细胞生长因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细胞生长因子项目建设的背后是对企业持续创新的追求。只有通过不断创新，企业才能在竞争中立于不败之地。神经细胞生长因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5407"/>
      <w:r>
        <w:rPr>
          <w:rFonts w:ascii="仿宋" w:eastAsia="仿宋" w:hAnsi="仿宋" w:cs="仿宋" w:hint="eastAsia"/>
          <w:sz w:val="28"/>
          <w:lang w:eastAsia="zh-CN"/>
        </w:rPr>
        <w:t>二、神经细胞生长因子项目文档管理</w:t>
      </w:r>
      <w:bookmarkEnd w:id="5"/>
    </w:p>
    <w:p>
      <w:pPr>
        <w:pStyle w:val="Heading2"/>
        <w:rPr>
          <w:rFonts w:ascii="仿宋" w:eastAsia="仿宋" w:hAnsi="仿宋" w:cs="仿宋" w:hint="eastAsia"/>
          <w:lang w:eastAsia="zh-CN"/>
        </w:rPr>
      </w:pPr>
      <w:bookmarkStart w:id="6" w:name="_Toc131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神经细胞生长因子项目高度重视文档的质量和准确性，以支持神经细胞生长因子项目的各项活动和决策。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神经细胞生长因子项目文档的编制始于神经细胞生长因子项目计划的初期，我们制定了详细的文档编制计划，明确了每个文档的内容、格式和编写责任人。在神经细胞生长因子项目启动阶段，我们首先编制了神经细胞生长因子项目章程，明确定义了神经细胞生长因子项目的目标、范围、风险等关键要素。随后，神经细胞生长因子项目团队根据计划陆续编制了需求文档、设计文档、测试文档等各类文档，确保神经细胞生长因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神经细胞生长因子项目管理中的重要环节，旨在确保神经细胞生长因子项目文档符合质量标准和神经细胞生长因子项目需求。在神经细胞生长因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神经细胞生长因子项目相关利益方和专业领域的专家对文档进行独立审查。这有助于获取更全面、客观的反馈，确保神经细胞生长因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细胞生长因子项目在文档编制与审查方面建立了严格的管理机制，通过规范的流程和多维度的审查，确保神经细胞生长因子项目文档的质量、准确性和可靠性，为神经细胞生长因子项目的顺利推进提供了有力支持。</w:t>
      </w:r>
    </w:p>
    <w:p>
      <w:pPr>
        <w:pStyle w:val="Heading2"/>
        <w:ind w:firstLine="560" w:firstLineChars="200"/>
        <w:rPr>
          <w:rFonts w:ascii="仿宋" w:eastAsia="仿宋" w:hAnsi="仿宋" w:cs="仿宋" w:hint="eastAsia"/>
          <w:sz w:val="28"/>
          <w:lang w:eastAsia="zh-CN"/>
        </w:rPr>
      </w:pPr>
      <w:bookmarkStart w:id="7" w:name="_Toc3008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在神经细胞生长因子项目中，我们致力于优化文档发布与分发过程，以确保信息的高效传递和团队间协作的顺畅进行。以下是我们采取的关键优化策略：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我们通过多渠道发布文档，包括电子邮件、神经细胞生长因子项目管理平台、内部网站等，以满足不同团队成员的偏好和需求。多渠道发布确保了信息的全面覆盖。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我们采用了精细的权限控制，确保只有授权人员可以访问敏感信息。这种安全措施保护了神经细胞生长因子项目文档的机密性，防止了未经授权的信息泄露。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491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存档与归档是神经细胞生长因子项目生命周期中一个至关重要的环节，直接关系到神经细胞生长因子项目信息的长期保存和历史记录的完整性。在神经细胞生长因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9139"/>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7204"/>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神经细胞生长因子项目的主要产品是XXXX，预计年产值为XXX万元。这一产品在市场中占据着重要的地位，其广泛的应用范围使得该神经细胞生长因子项目的市场前景非常广阔。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神经细胞生长因子项目的xxx产品作为重要的原材料之一，将在多个领域发挥关键作用。其在建筑、交通、能源等方面的广泛应用将为整个产业链提供强大的支持，形成产业协同效应。神经细胞生长因子项目的年产值XXX万XXX万XXX万万元不仅反映了其在市场上的巨大潜力，更预示着它对国民经济的积极贡献。这种关联度高、涉及面广的产业关系，使得该神经细胞生长因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627"/>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神经细胞生长因子项目总征地面积为XXXX平方米，相当于约XX.XX亩，其中净用地面积为XXXX平方米，红线范围内相当于约XX.XX亩。这一用地规模充分考虑了神经细胞生长因子项目的建设需求，保障了神经细胞生长因子项目在合适的空间内得以充分发展。神经细胞生长因子项目规划的总建筑面积为XXXX平方米，其中主体工程建设占XXXX平方米，计容建筑面积达XXXX平方米。预计建筑工程的投资将达到XXXX万元，为神经细胞生长因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细胞生长因子项目计划购置的设备共计XXXX台（套），设备购置费用为XXXX万元。这一设备购置计划充分考虑到神经细胞生长因子项目的生产需求和技术要求，确保了神经细胞生长因子项目在生产运营中具备先进的技术装备和高效的生产能力。设备的合理配置将为神经细胞生长因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神经细胞生长因子项目计划总投资为XXXX万元，预计年实现营业收入为XXXX万元。这一产能规模的设定旨在确保神经细胞生长因子项目能够在投资与回报之间取得平衡，实现长期可持续的发展。神经细胞生长因子项目的总投资充分考虑到各个方面的需求，包括用地建设、设备购置等多个环节，以确保神经细胞生长因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0176"/>
      <w:r>
        <w:rPr>
          <w:rFonts w:ascii="仿宋" w:eastAsia="仿宋" w:hAnsi="仿宋" w:cs="仿宋" w:hint="eastAsia"/>
          <w:sz w:val="28"/>
          <w:lang w:eastAsia="zh-CN"/>
        </w:rPr>
        <w:t>四、神经细胞生长因子项目绩效评估</w:t>
      </w:r>
      <w:bookmarkEnd w:id="12"/>
    </w:p>
    <w:p>
      <w:pPr>
        <w:pStyle w:val="Heading2"/>
        <w:rPr>
          <w:rFonts w:ascii="仿宋" w:eastAsia="仿宋" w:hAnsi="仿宋" w:cs="仿宋" w:hint="eastAsia"/>
          <w:lang w:eastAsia="zh-CN"/>
        </w:rPr>
      </w:pPr>
      <w:bookmarkStart w:id="13" w:name="_Toc18298"/>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神经细胞生长因子项目中，我们设计了一套全面的绩效评估指标，以确保神经细胞生长因子项目的可控和成功交付。这些指标跨足神经细胞生长因子项目目标、成本、进度和质量等多个维度，为我们提供了全面洞察神经细胞生长因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细胞生长因子项目目标达成率是我们关注的首要指标。我们设定了明确的目标，并通过定期监测和评估，迅速发现并应对潜在的目标偏差。这为神经细胞生长因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成本绩效是另一个核心关注点。通过实际成本与预算成本的对比分析，我们深入了解成本差异的原因，及时调整资源分配，保持神经细胞生长因子项目在经济效益方面的合理水平。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细胞生长因子项目进度作为关键的绩效指标之一，得到了精心的关注。我们制定了详细的神经细胞生长因子项目进度计划，并设立了进度符合度指标，确保实际进度与计划进度保持一致。这使我们能够快速发现和解决潜在的进度问题，保持神经细胞生长因子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神经细胞生长因子项目绩效的不可或缺的一环。我们引入了一系列的质量标准和客户满意度指标，以确保神经细胞生长因子项目交付的成果在质量上达到或超越预期水平。通过持续监测这些指标，我们努力提升神经细胞生长因子项目整体质量水平，为神经细胞生长因子项目的成功交付提供有力保障。通过这些科学且全面的绩效评估，我们能够更好地引导神经细胞生长因子项目的持续改进，确保神经细胞生长因子项目目标的顺利达成。</w:t>
      </w:r>
    </w:p>
    <w:p>
      <w:pPr>
        <w:pStyle w:val="Heading2"/>
        <w:ind w:firstLine="560" w:firstLineChars="200"/>
        <w:rPr>
          <w:rFonts w:ascii="仿宋" w:eastAsia="仿宋" w:hAnsi="仿宋" w:cs="仿宋" w:hint="eastAsia"/>
          <w:sz w:val="28"/>
          <w:lang w:eastAsia="zh-CN"/>
        </w:rPr>
      </w:pPr>
      <w:bookmarkStart w:id="14" w:name="_Toc12863"/>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绩效评估是神经细胞生长因子项目中的关键环节，为确保神经细胞生长因子项目达到预期目标，我们采用了多层次、多维度的绩效评估方法。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神经细胞生长因子项目的战略目标对齐，确保每个决策和行动都与神经细胞生长因子项目整体目标保持一致。团队会定期召开战略对齐会议，审视当前工作与神经细胞生长因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神经细胞生长因子项目进度、质量、成本和风险等方面。这些指标通过数据收集和分析，为神经细胞生长因子项目管理团队提供了客观的评估依据。例如，我们通过神经细胞生长因子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不仅仅停留在神经细胞生长因子项目内部，还考虑了神经细胞生长因子项目对外部环境的影响。我们定期进行干系人满意度调查，以了解各利益相关方对神经细胞生长因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这种多层次、多角度的绩效评估方法，使得我们能够全面了解神经细胞生长因子项目的运行状态，及时做出调整，确保神经细胞生长因子项目在不断变化的环境中保持稳健前行。</w:t>
      </w:r>
    </w:p>
    <w:p>
      <w:pPr>
        <w:pStyle w:val="Heading2"/>
        <w:ind w:firstLine="560" w:firstLineChars="200"/>
        <w:rPr>
          <w:rFonts w:ascii="仿宋" w:eastAsia="仿宋" w:hAnsi="仿宋" w:cs="仿宋" w:hint="eastAsia"/>
          <w:sz w:val="28"/>
          <w:lang w:eastAsia="zh-CN"/>
        </w:rPr>
      </w:pPr>
      <w:bookmarkStart w:id="15" w:name="_Toc27045"/>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为了确保神经细胞生长因子项目的有效管理和不断优化，我们采用了精心设计的绩效评估周期。这个周期旨在实现灵活、实时和全面的评估，以适应神经细胞生长因子项目执行中的各种挑战。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神经细胞生长因子项目的不同需求，分为短期、中期和长期。短期评估关注每个迭代或工作周期，以及时发现和解决当前任务中的问题。中期评估涵盖几个迭代，深入了解整体神经细胞生长因子项目的趋势和性能。长期评估则着眼于整个神经细胞生长因子项目阶段，确保神经细胞生长因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神经细胞生长因子项目管理工具和协作平台，团队成员能够随时更新和分享神经细胞生长因子项目数据。这种实时性的反馈机制使我们能够及时察觉潜在问题，快速调整，保持神经细胞生长因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神经细胞生长因子项目的决策制定密不可分。每个周期的神经细胞生长因子项目回顾会议成为集体总结经验、识别问题深层次原因并找到创新解决方案的平台。这种定期的反思与调整机制使神经细胞生长因子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2781"/>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5193"/>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神经细胞生长因子项目的技术管理特点体现在其创新导向。通过引入最先进的技术趋势和解决方案，神经细胞生长因子项目致力于提升科技含量、提高质量和效率水平。这意味着我们将采用最新的工具和方法，确保神经细胞生长因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神经细胞生长因子项目技术管理的显著特征。通过整合不同领域的技术资源，我们实现了跨学科的协同工作。这有助于优化技术架构，提高整体效能。此外，整合性策略还促进了不同技术团队之间的紧密沟通和高效合作，确保神经细胞生长因子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神经细胞生长因子项目所采用的技术。通过不断优化技术方案，神经细胞生长因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神经细胞生长因子项目团队将在神经细胞生长因子项目初期识别可能的技术风险，并采取相应的预防和应对措施。通过建立健全的风险评估机制，神经细胞生长因子项目能够在实施过程中及时发现并解决潜在的技术问题，保障神经细胞生长因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神经细胞生长因子项目中，技术将成为神经细胞生长因子项目成功的有力支持。这一深度剖析揭示了技术管理在神经细胞生长因子项目实施中的关键作用，为神经细胞生长因子项目的技术基础奠定了坚实的基础。</w:t>
      </w:r>
    </w:p>
    <w:p>
      <w:pPr>
        <w:pStyle w:val="Heading2"/>
        <w:ind w:firstLine="560" w:firstLineChars="200"/>
        <w:rPr>
          <w:rFonts w:ascii="仿宋" w:eastAsia="仿宋" w:hAnsi="仿宋" w:cs="仿宋" w:hint="eastAsia"/>
          <w:sz w:val="28"/>
          <w:lang w:eastAsia="zh-CN"/>
        </w:rPr>
      </w:pPr>
      <w:bookmarkStart w:id="18" w:name="_Toc10398"/>
      <w:r>
        <w:rPr>
          <w:rFonts w:ascii="仿宋" w:eastAsia="仿宋" w:hAnsi="仿宋" w:cs="仿宋" w:hint="eastAsia"/>
          <w:sz w:val="28"/>
          <w:lang w:eastAsia="zh-CN"/>
        </w:rPr>
        <w:t>(二)、神经细胞生长因子项目工艺技术设计方案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神经细胞生长因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https://d.book118.com/665333034340011041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神经细胞生长因子项目计划设计方案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神经细胞生长因子项目计划设计方案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神经细胞生长因子项目计划设计方案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神经细胞生长因子项目计划设计方案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神经细胞生长因子项目计划设计方案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神经细胞生长因子项目计划设计方案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神经细胞生长因子项目计划设计方案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神经细胞生长因子项目计划设计方案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神经细胞生长因子项目计划设计方案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神经细胞生长因子项目计划设计方案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神经细胞生长因子项目计划设计方案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神经细胞生长因子项目计划设计方案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神经细胞生长因子项目计划设计方案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神经细胞生长因子项目计划设计方案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神经细胞生长因子项目计划设计方案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神经细胞生长因子项目计划设计方案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神经细胞生长因子项目计划设计方案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DC1C0C"/>
    <w:rsid w:val="3ADC1C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533303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2024-01-11T16:40:00Z</dcterms:created>
  <dcterms:modified xsi:type="dcterms:W3CDTF">2024-01-11T16:41:03Z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BEE905B8C35644C9A6049670A715C08B_11</vt:lpwstr>
  </property>
  <property fmtid="{D5CDD505-2E9C-101B-9397-08002B2CF9AE}" pid="3" name="KSOProductBuildVer">
    <vt:lpwstr>2052-12.1.0.16120</vt:lpwstr>
  </property>
</Properties>
</file>