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sdt>
      <w:sdtPr>
        <w:rPr>
          <w:rFonts w:ascii="幼圆" w:eastAsia="幼圆" w:hAnsi="幼圆" w:cs="幼圆" w:hint="eastAsia"/>
          <w:kern w:val="2"/>
          <w:sz w:val="28"/>
          <w:szCs w:val="32"/>
          <w:lang w:val="en-US" w:eastAsia="zh-CN" w:bidi="ar-SA"/>
        </w:rPr>
        <w:id w:val="147481614"/>
        <w:docPartObj>
          <w:docPartGallery w:val="Table of Contents"/>
          <w:docPartUnique/>
        </w:docPartObj>
        <w15:color w:val="DBDBDB"/>
      </w:sdtPr>
      <w:sdtEndPr>
        <w:rPr>
          <w:rFonts w:ascii="幼圆" w:eastAsia="幼圆" w:hAnsi="幼圆" w:cs="幼圆" w:hint="eastAsia"/>
          <w:b/>
          <w:kern w:val="2"/>
          <w:sz w:val="24"/>
          <w:szCs w:val="24"/>
          <w:lang w:val="en-US" w:eastAsia="zh-CN" w:bidi="ar-SA"/>
        </w:rPr>
      </w:sdtEndPr>
      <w:sdtContent>
        <w:p>
          <w:pPr>
            <w:spacing w:before="0" w:beforeLines="0" w:after="0" w:afterLines="0" w:line="240" w:lineRule="auto"/>
            <w:ind w:left="0" w:right="0" w:firstLine="0" w:leftChars="0" w:rightChars="0" w:firstLineChars="0"/>
            <w:jc w:val="center"/>
            <w:rPr>
              <w:rFonts w:ascii="幼圆" w:eastAsia="幼圆" w:hAnsi="幼圆" w:cs="幼圆" w:hint="eastAsia"/>
              <w:sz w:val="36"/>
              <w:szCs w:val="32"/>
            </w:rPr>
          </w:pPr>
          <w:bookmarkStart w:id="0" w:name="_GoBack"/>
          <w:r>
            <w:rPr>
              <w:rFonts w:ascii="幼圆" w:eastAsia="幼圆" w:hAnsi="幼圆" w:cs="幼圆" w:hint="eastAsia"/>
              <w:b/>
              <w:sz w:val="36"/>
              <w:szCs w:val="32"/>
            </w:rPr>
            <w:t>造纸及纸制品业上市公司水信息质量评价</w:t>
          </w:r>
          <w:r>
            <w:rPr>
              <w:rFonts w:ascii="幼圆" w:eastAsia="幼圆" w:hAnsi="幼圆" w:cs="幼圆" w:hint="eastAsia"/>
              <w:b/>
              <w:sz w:val="36"/>
              <w:szCs w:val="32"/>
              <w:lang w:val="en-US" w:eastAsia="zh-CN"/>
            </w:rPr>
            <w:t>研究</w:t>
          </w:r>
        </w:p>
        <w:bookmarkEnd w:id="0"/>
        <w:p>
          <w:pPr>
            <w:pStyle w:val="WPSOffice1"/>
            <w:tabs>
              <w:tab w:val="right" w:leader="dot" w:pos="8306"/>
            </w:tabs>
            <w:rPr>
              <w:rFonts w:ascii="幼圆" w:eastAsia="幼圆" w:hAnsi="幼圆" w:cs="幼圆" w:hint="eastAsia"/>
              <w:b/>
            </w:rPr>
          </w:pPr>
          <w:r>
            <w:rPr>
              <w:rFonts w:ascii="幼圆" w:eastAsia="幼圆" w:hAnsi="幼圆" w:cs="幼圆" w:hint="eastAsia"/>
              <w:szCs w:val="24"/>
            </w:rPr>
            <w:fldChar w:fldCharType="begin"/>
          </w:r>
          <w:r>
            <w:rPr>
              <w:rFonts w:ascii="幼圆" w:eastAsia="幼圆" w:hAnsi="幼圆" w:cs="幼圆" w:hint="eastAsia"/>
              <w:szCs w:val="24"/>
            </w:rPr>
            <w:instrText xml:space="preserve">TOC \o "1-2" \h \u </w:instrText>
          </w:r>
          <w:r>
            <w:rPr>
              <w:rFonts w:ascii="幼圆" w:eastAsia="幼圆" w:hAnsi="幼圆" w:cs="幼圆" w:hint="eastAsia"/>
              <w:szCs w:val="24"/>
            </w:rPr>
            <w:fldChar w:fldCharType="separate"/>
          </w:r>
          <w:r>
            <w:rPr>
              <w:rFonts w:ascii="幼圆" w:eastAsia="幼圆" w:hAnsi="幼圆" w:cs="幼圆" w:hint="eastAsia"/>
              <w:b/>
              <w:szCs w:val="24"/>
            </w:rPr>
            <w:fldChar w:fldCharType="begin"/>
          </w:r>
          <w:r>
            <w:rPr>
              <w:rFonts w:ascii="幼圆" w:eastAsia="幼圆" w:hAnsi="幼圆" w:cs="幼圆" w:hint="eastAsia"/>
              <w:b/>
              <w:szCs w:val="24"/>
            </w:rPr>
            <w:instrText xml:space="preserve"> HYPERLINK \l _Toc639 </w:instrText>
          </w:r>
          <w:r>
            <w:rPr>
              <w:rFonts w:ascii="幼圆" w:eastAsia="幼圆" w:hAnsi="幼圆" w:cs="幼圆" w:hint="eastAsia"/>
              <w:b/>
              <w:szCs w:val="24"/>
            </w:rPr>
            <w:fldChar w:fldCharType="separate"/>
          </w:r>
          <w:r>
            <w:rPr>
              <w:rFonts w:ascii="幼圆" w:eastAsia="幼圆" w:hAnsi="幼圆" w:cs="幼圆" w:hint="eastAsia"/>
              <w:b/>
            </w:rPr>
            <w:t>1. 概念界定及理论基础</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_Toc639 \h </w:instrText>
          </w:r>
          <w:r>
            <w:rPr>
              <w:rFonts w:ascii="幼圆" w:eastAsia="幼圆" w:hAnsi="幼圆" w:cs="幼圆" w:hint="eastAsia"/>
              <w:b/>
            </w:rPr>
            <w:fldChar w:fldCharType="separate"/>
          </w:r>
          <w:r>
            <w:rPr>
              <w:rFonts w:ascii="幼圆" w:eastAsia="幼圆" w:hAnsi="幼圆" w:cs="幼圆" w:hint="eastAsia"/>
              <w:b/>
            </w:rPr>
            <w:t>2</w:t>
          </w:r>
          <w:r>
            <w:rPr>
              <w:rFonts w:ascii="幼圆" w:eastAsia="幼圆" w:hAnsi="幼圆" w:cs="幼圆" w:hint="eastAsia"/>
              <w:b/>
            </w:rPr>
            <w:fldChar w:fldCharType="end"/>
          </w:r>
          <w:r>
            <w:rPr>
              <w:rFonts w:ascii="幼圆" w:eastAsia="幼圆" w:hAnsi="幼圆" w:cs="幼圆" w:hint="eastAsia"/>
              <w:b/>
              <w:szCs w:val="24"/>
            </w:rPr>
            <w:fldChar w:fldCharType="end"/>
          </w:r>
        </w:p>
        <w:p>
          <w:pPr>
            <w:pStyle w:val="WPSOffice2"/>
            <w:tabs>
              <w:tab w:val="right" w:leader="dot" w:pos="8306"/>
            </w:tabs>
            <w:rPr>
              <w:rFonts w:ascii="幼圆" w:eastAsia="幼圆" w:hAnsi="幼圆" w:cs="幼圆" w:hint="eastAsia"/>
            </w:rPr>
          </w:pPr>
          <w:hyperlink w:anchor="_Toc17582" w:history="1">
            <w:r>
              <w:rPr>
                <w:rFonts w:ascii="幼圆" w:eastAsia="幼圆" w:hAnsi="幼圆" w:cs="幼圆" w:hint="eastAsia"/>
              </w:rPr>
              <w:t>1.1 水信息披露概念的界定</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_Toc17582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2519" w:history="1">
            <w:r>
              <w:rPr>
                <w:rFonts w:ascii="幼圆" w:eastAsia="幼圆" w:hAnsi="幼圆" w:cs="幼圆" w:hint="eastAsia"/>
              </w:rPr>
              <w:t>1.2 文献综述</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_Toc2519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3051" w:history="1">
            <w:r>
              <w:rPr>
                <w:rFonts w:ascii="幼圆" w:eastAsia="幼圆" w:hAnsi="幼圆" w:cs="幼圆" w:hint="eastAsia"/>
              </w:rPr>
              <w:t>1.3 水信息披露相关理论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_Toc3051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WPSOffice1"/>
            <w:tabs>
              <w:tab w:val="right" w:leader="dot" w:pos="8306"/>
            </w:tabs>
            <w:rPr>
              <w:rFonts w:ascii="幼圆" w:eastAsia="幼圆" w:hAnsi="幼圆" w:cs="幼圆" w:hint="eastAsia"/>
              <w:b/>
            </w:rPr>
          </w:pPr>
          <w:hyperlink w:anchor="_Toc29424" w:history="1">
            <w:r>
              <w:rPr>
                <w:rFonts w:ascii="幼圆" w:eastAsia="幼圆" w:hAnsi="幼圆" w:cs="幼圆" w:hint="eastAsia"/>
                <w:b/>
              </w:rPr>
              <w:t>2. 水信息质量评价体系的构建</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_Toc29424 \h </w:instrText>
            </w:r>
            <w:r>
              <w:rPr>
                <w:rFonts w:ascii="幼圆" w:eastAsia="幼圆" w:hAnsi="幼圆" w:cs="幼圆" w:hint="eastAsia"/>
                <w:b/>
              </w:rPr>
              <w:fldChar w:fldCharType="separate"/>
            </w:r>
            <w:r>
              <w:rPr>
                <w:rFonts w:ascii="幼圆" w:eastAsia="幼圆" w:hAnsi="幼圆" w:cs="幼圆" w:hint="eastAsia"/>
                <w:b/>
              </w:rPr>
              <w:t>5</w:t>
            </w:r>
            <w:r>
              <w:rPr>
                <w:rFonts w:ascii="幼圆" w:eastAsia="幼圆" w:hAnsi="幼圆" w:cs="幼圆" w:hint="eastAsia"/>
                <w:b/>
              </w:rPr>
              <w:fldChar w:fldCharType="end"/>
            </w:r>
          </w:hyperlink>
        </w:p>
        <w:p>
          <w:pPr>
            <w:pStyle w:val="WPSOffice2"/>
            <w:tabs>
              <w:tab w:val="right" w:leader="dot" w:pos="8306"/>
            </w:tabs>
            <w:rPr>
              <w:rFonts w:ascii="幼圆" w:eastAsia="幼圆" w:hAnsi="幼圆" w:cs="幼圆" w:hint="eastAsia"/>
            </w:rPr>
          </w:pPr>
          <w:hyperlink w:anchor="_Toc4175" w:history="1">
            <w:r>
              <w:rPr>
                <w:rFonts w:ascii="幼圆" w:eastAsia="幼圆" w:hAnsi="幼圆" w:cs="幼圆" w:hint="eastAsia"/>
              </w:rPr>
              <w:t>2.1 水信息披露原则</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_Toc4175 \h </w:instrText>
            </w:r>
            <w:r>
              <w:rPr>
                <w:rFonts w:ascii="幼圆" w:eastAsia="幼圆" w:hAnsi="幼圆" w:cs="幼圆" w:hint="eastAsia"/>
              </w:rPr>
              <w:fldChar w:fldCharType="separate"/>
            </w:r>
            <w:r>
              <w:rPr>
                <w:rFonts w:ascii="幼圆" w:eastAsia="幼圆" w:hAnsi="幼圆" w:cs="幼圆" w:hint="eastAsia"/>
              </w:rPr>
              <w:t>5</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12891" w:history="1">
            <w:r>
              <w:rPr>
                <w:rFonts w:ascii="幼圆" w:eastAsia="幼圆" w:hAnsi="幼圆" w:cs="幼圆" w:hint="eastAsia"/>
              </w:rPr>
              <w:t>2.2 评价指标的确定</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_Toc12891 \h </w:instrText>
            </w:r>
            <w:r>
              <w:rPr>
                <w:rFonts w:ascii="幼圆" w:eastAsia="幼圆" w:hAnsi="幼圆" w:cs="幼圆" w:hint="eastAsia"/>
              </w:rPr>
              <w:fldChar w:fldCharType="separate"/>
            </w:r>
            <w:r>
              <w:rPr>
                <w:rFonts w:ascii="幼圆" w:eastAsia="幼圆" w:hAnsi="幼圆" w:cs="幼圆" w:hint="eastAsia"/>
              </w:rPr>
              <w:t>6</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18800" w:history="1">
            <w:r>
              <w:rPr>
                <w:rFonts w:ascii="幼圆" w:eastAsia="幼圆" w:hAnsi="幼圆" w:cs="幼圆" w:hint="eastAsia"/>
              </w:rPr>
              <w:t>2.3 评价维度的选取</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_Toc18800 \h </w:instrText>
            </w:r>
            <w:r>
              <w:rPr>
                <w:rFonts w:ascii="幼圆" w:eastAsia="幼圆" w:hAnsi="幼圆" w:cs="幼圆" w:hint="eastAsia"/>
              </w:rPr>
              <w:fldChar w:fldCharType="separate"/>
            </w:r>
            <w:r>
              <w:rPr>
                <w:rFonts w:ascii="幼圆" w:eastAsia="幼圆" w:hAnsi="幼圆" w:cs="幼圆" w:hint="eastAsia"/>
              </w:rPr>
              <w:t>8</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2419" w:history="1">
            <w:r>
              <w:rPr>
                <w:rFonts w:ascii="幼圆" w:eastAsia="幼圆" w:hAnsi="幼圆" w:cs="幼圆" w:hint="eastAsia"/>
              </w:rPr>
              <w:t>2.4 评价方法的选择</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_Toc2419 \h </w:instrText>
            </w:r>
            <w:r>
              <w:rPr>
                <w:rFonts w:ascii="幼圆" w:eastAsia="幼圆" w:hAnsi="幼圆" w:cs="幼圆" w:hint="eastAsia"/>
              </w:rPr>
              <w:fldChar w:fldCharType="separate"/>
            </w:r>
            <w:r>
              <w:rPr>
                <w:rFonts w:ascii="幼圆" w:eastAsia="幼圆" w:hAnsi="幼圆" w:cs="幼圆" w:hint="eastAsia"/>
              </w:rPr>
              <w:t>9</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727" w:history="1">
            <w:r>
              <w:rPr>
                <w:rFonts w:ascii="幼圆" w:eastAsia="幼圆" w:hAnsi="幼圆" w:cs="幼圆" w:hint="eastAsia"/>
              </w:rPr>
              <w:t>2.5 评价体系的构建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_Toc727 \h </w:instrText>
            </w:r>
            <w:r>
              <w:rPr>
                <w:rFonts w:ascii="幼圆" w:eastAsia="幼圆" w:hAnsi="幼圆" w:cs="幼圆" w:hint="eastAsia"/>
              </w:rPr>
              <w:fldChar w:fldCharType="separate"/>
            </w:r>
            <w:r>
              <w:rPr>
                <w:rFonts w:ascii="幼圆" w:eastAsia="幼圆" w:hAnsi="幼圆" w:cs="幼圆" w:hint="eastAsia"/>
              </w:rPr>
              <w:t>10</w:t>
            </w:r>
            <w:r>
              <w:rPr>
                <w:rFonts w:ascii="幼圆" w:eastAsia="幼圆" w:hAnsi="幼圆" w:cs="幼圆" w:hint="eastAsia"/>
              </w:rPr>
              <w:fldChar w:fldCharType="end"/>
            </w:r>
          </w:hyperlink>
        </w:p>
        <w:p>
          <w:pPr>
            <w:pStyle w:val="WPSOffice1"/>
            <w:tabs>
              <w:tab w:val="right" w:leader="dot" w:pos="8306"/>
            </w:tabs>
            <w:rPr>
              <w:rFonts w:ascii="幼圆" w:eastAsia="幼圆" w:hAnsi="幼圆" w:cs="幼圆" w:hint="eastAsia"/>
              <w:b/>
            </w:rPr>
          </w:pPr>
          <w:hyperlink w:anchor="_Toc20176" w:history="1">
            <w:r>
              <w:rPr>
                <w:rFonts w:ascii="幼圆" w:eastAsia="幼圆" w:hAnsi="幼圆" w:cs="幼圆" w:hint="eastAsia"/>
                <w:b/>
              </w:rPr>
              <w:t>3.造纸及纸制品业上市公司水信息质量评价</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_Toc20176 \h </w:instrText>
            </w:r>
            <w:r>
              <w:rPr>
                <w:rFonts w:ascii="幼圆" w:eastAsia="幼圆" w:hAnsi="幼圆" w:cs="幼圆" w:hint="eastAsia"/>
                <w:b/>
              </w:rPr>
              <w:fldChar w:fldCharType="separate"/>
            </w:r>
            <w:r>
              <w:rPr>
                <w:rFonts w:ascii="幼圆" w:eastAsia="幼圆" w:hAnsi="幼圆" w:cs="幼圆" w:hint="eastAsia"/>
                <w:b/>
              </w:rPr>
              <w:t>10</w:t>
            </w:r>
            <w:r>
              <w:rPr>
                <w:rFonts w:ascii="幼圆" w:eastAsia="幼圆" w:hAnsi="幼圆" w:cs="幼圆" w:hint="eastAsia"/>
                <w:b/>
              </w:rPr>
              <w:fldChar w:fldCharType="end"/>
            </w:r>
          </w:hyperlink>
        </w:p>
        <w:p>
          <w:pPr>
            <w:pStyle w:val="WPSOffice2"/>
            <w:tabs>
              <w:tab w:val="right" w:leader="dot" w:pos="8306"/>
            </w:tabs>
            <w:rPr>
              <w:rFonts w:ascii="幼圆" w:eastAsia="幼圆" w:hAnsi="幼圆" w:cs="幼圆" w:hint="eastAsia"/>
            </w:rPr>
          </w:pPr>
          <w:hyperlink w:anchor="_Toc21799" w:history="1">
            <w:r>
              <w:rPr>
                <w:rFonts w:ascii="幼圆" w:eastAsia="幼圆" w:hAnsi="幼圆" w:cs="幼圆" w:hint="eastAsia"/>
              </w:rPr>
              <w:t>3.1 样本选取</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_Toc21799 \h </w:instrText>
            </w:r>
            <w:r>
              <w:rPr>
                <w:rFonts w:ascii="幼圆" w:eastAsia="幼圆" w:hAnsi="幼圆" w:cs="幼圆" w:hint="eastAsia"/>
              </w:rPr>
              <w:fldChar w:fldCharType="separate"/>
            </w:r>
            <w:r>
              <w:rPr>
                <w:rFonts w:ascii="幼圆" w:eastAsia="幼圆" w:hAnsi="幼圆" w:cs="幼圆" w:hint="eastAsia"/>
              </w:rPr>
              <w:t>10</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2894" w:history="1">
            <w:r>
              <w:rPr>
                <w:rFonts w:ascii="幼圆" w:eastAsia="幼圆" w:hAnsi="幼圆" w:cs="幼圆" w:hint="eastAsia"/>
              </w:rPr>
              <w:t>3.2 水信息披露现状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_Toc2894 \h </w:instrText>
            </w:r>
            <w:r>
              <w:rPr>
                <w:rFonts w:ascii="幼圆" w:eastAsia="幼圆" w:hAnsi="幼圆" w:cs="幼圆" w:hint="eastAsia"/>
              </w:rPr>
              <w:fldChar w:fldCharType="separate"/>
            </w:r>
            <w:r>
              <w:rPr>
                <w:rFonts w:ascii="幼圆" w:eastAsia="幼圆" w:hAnsi="幼圆" w:cs="幼圆" w:hint="eastAsia"/>
              </w:rPr>
              <w:t>11</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13699" w:history="1">
            <w:r>
              <w:rPr>
                <w:rFonts w:ascii="幼圆" w:eastAsia="幼圆" w:hAnsi="幼圆" w:cs="幼圆" w:hint="eastAsia"/>
              </w:rPr>
              <w:t>3.3水信息质量指标分析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_Toc13699 \h </w:instrText>
            </w:r>
            <w:r>
              <w:rPr>
                <w:rFonts w:ascii="幼圆" w:eastAsia="幼圆" w:hAnsi="幼圆" w:cs="幼圆" w:hint="eastAsia"/>
              </w:rPr>
              <w:fldChar w:fldCharType="separate"/>
            </w:r>
            <w:r>
              <w:rPr>
                <w:rFonts w:ascii="幼圆" w:eastAsia="幼圆" w:hAnsi="幼圆" w:cs="幼圆" w:hint="eastAsia"/>
              </w:rPr>
              <w:t>12</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6228" w:history="1">
            <w:r>
              <w:rPr>
                <w:rFonts w:ascii="幼圆" w:eastAsia="幼圆" w:hAnsi="幼圆" w:cs="幼圆" w:hint="eastAsia"/>
              </w:rPr>
              <w:t>3.4 评价结果分析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_Toc6228 \h </w:instrText>
            </w:r>
            <w:r>
              <w:rPr>
                <w:rFonts w:ascii="幼圆" w:eastAsia="幼圆" w:hAnsi="幼圆" w:cs="幼圆" w:hint="eastAsia"/>
              </w:rPr>
              <w:fldChar w:fldCharType="separate"/>
            </w:r>
            <w:r>
              <w:rPr>
                <w:rFonts w:ascii="幼圆" w:eastAsia="幼圆" w:hAnsi="幼圆" w:cs="幼圆" w:hint="eastAsia"/>
              </w:rPr>
              <w:t>18</w:t>
            </w:r>
            <w:r>
              <w:rPr>
                <w:rFonts w:ascii="幼圆" w:eastAsia="幼圆" w:hAnsi="幼圆" w:cs="幼圆" w:hint="eastAsia"/>
              </w:rPr>
              <w:fldChar w:fldCharType="end"/>
            </w:r>
          </w:hyperlink>
        </w:p>
        <w:p>
          <w:pPr>
            <w:pStyle w:val="WPSOffice1"/>
            <w:tabs>
              <w:tab w:val="right" w:leader="dot" w:pos="8306"/>
            </w:tabs>
            <w:rPr>
              <w:rFonts w:ascii="幼圆" w:eastAsia="幼圆" w:hAnsi="幼圆" w:cs="幼圆" w:hint="eastAsia"/>
              <w:b/>
            </w:rPr>
          </w:pPr>
          <w:hyperlink w:anchor="_Toc13635" w:history="1">
            <w:r>
              <w:rPr>
                <w:rFonts w:ascii="幼圆" w:eastAsia="幼圆" w:hAnsi="幼圆" w:cs="幼圆" w:hint="eastAsia"/>
                <w:b/>
              </w:rPr>
              <w:t>4 水信息披露存在的问题与建议</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_Toc13635 \h </w:instrText>
            </w:r>
            <w:r>
              <w:rPr>
                <w:rFonts w:ascii="幼圆" w:eastAsia="幼圆" w:hAnsi="幼圆" w:cs="幼圆" w:hint="eastAsia"/>
                <w:b/>
              </w:rPr>
              <w:fldChar w:fldCharType="separate"/>
            </w:r>
            <w:r>
              <w:rPr>
                <w:rFonts w:ascii="幼圆" w:eastAsia="幼圆" w:hAnsi="幼圆" w:cs="幼圆" w:hint="eastAsia"/>
                <w:b/>
              </w:rPr>
              <w:t>21</w:t>
            </w:r>
            <w:r>
              <w:rPr>
                <w:rFonts w:ascii="幼圆" w:eastAsia="幼圆" w:hAnsi="幼圆" w:cs="幼圆" w:hint="eastAsia"/>
                <w:b/>
              </w:rPr>
              <w:fldChar w:fldCharType="end"/>
            </w:r>
          </w:hyperlink>
        </w:p>
        <w:p>
          <w:pPr>
            <w:pStyle w:val="WPSOffice2"/>
            <w:tabs>
              <w:tab w:val="right" w:leader="dot" w:pos="8306"/>
            </w:tabs>
            <w:rPr>
              <w:rFonts w:ascii="幼圆" w:eastAsia="幼圆" w:hAnsi="幼圆" w:cs="幼圆" w:hint="eastAsia"/>
            </w:rPr>
          </w:pPr>
          <w:hyperlink w:anchor="_Toc4411" w:history="1">
            <w:r>
              <w:rPr>
                <w:rFonts w:ascii="幼圆" w:eastAsia="幼圆" w:hAnsi="幼圆" w:cs="幼圆" w:hint="eastAsia"/>
              </w:rPr>
              <w:t>4.1存在的问题</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_Toc4411 \h </w:instrText>
            </w:r>
            <w:r>
              <w:rPr>
                <w:rFonts w:ascii="幼圆" w:eastAsia="幼圆" w:hAnsi="幼圆" w:cs="幼圆" w:hint="eastAsia"/>
              </w:rPr>
              <w:fldChar w:fldCharType="separate"/>
            </w:r>
            <w:r>
              <w:rPr>
                <w:rFonts w:ascii="幼圆" w:eastAsia="幼圆" w:hAnsi="幼圆" w:cs="幼圆" w:hint="eastAsia"/>
              </w:rPr>
              <w:t>21</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7225" w:history="1">
            <w:r>
              <w:rPr>
                <w:rFonts w:ascii="幼圆" w:eastAsia="幼圆" w:hAnsi="幼圆" w:cs="幼圆" w:hint="eastAsia"/>
              </w:rPr>
              <w:t>4. 2建议对策</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_Toc7225 \h </w:instrText>
            </w:r>
            <w:r>
              <w:rPr>
                <w:rFonts w:ascii="幼圆" w:eastAsia="幼圆" w:hAnsi="幼圆" w:cs="幼圆" w:hint="eastAsia"/>
              </w:rPr>
              <w:fldChar w:fldCharType="separate"/>
            </w:r>
            <w:r>
              <w:rPr>
                <w:rFonts w:ascii="幼圆" w:eastAsia="幼圆" w:hAnsi="幼圆" w:cs="幼圆" w:hint="eastAsia"/>
              </w:rPr>
              <w:t>22</w:t>
            </w:r>
            <w:r>
              <w:rPr>
                <w:rFonts w:ascii="幼圆" w:eastAsia="幼圆" w:hAnsi="幼圆" w:cs="幼圆" w:hint="eastAsia"/>
              </w:rPr>
              <w:fldChar w:fldCharType="end"/>
            </w:r>
          </w:hyperlink>
        </w:p>
        <w:p>
          <w:pPr>
            <w:pStyle w:val="WPSOffice2"/>
            <w:tabs>
              <w:tab w:val="right" w:leader="dot" w:pos="8306"/>
            </w:tabs>
            <w:rPr>
              <w:rFonts w:ascii="幼圆" w:eastAsia="幼圆" w:hAnsi="幼圆" w:cs="幼圆" w:hint="eastAsia"/>
            </w:rPr>
          </w:pPr>
          <w:hyperlink w:anchor="_Toc14595" w:history="1">
            <w:r>
              <w:rPr>
                <w:rFonts w:ascii="幼圆" w:eastAsia="幼圆" w:hAnsi="幼圆" w:cs="幼圆" w:hint="eastAsia"/>
              </w:rPr>
              <w:t>4.3 总结与展望</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_Toc14595 \h </w:instrText>
            </w:r>
            <w:r>
              <w:rPr>
                <w:rFonts w:ascii="幼圆" w:eastAsia="幼圆" w:hAnsi="幼圆" w:cs="幼圆" w:hint="eastAsia"/>
              </w:rPr>
              <w:fldChar w:fldCharType="separate"/>
            </w:r>
            <w:r>
              <w:rPr>
                <w:rFonts w:ascii="幼圆" w:eastAsia="幼圆" w:hAnsi="幼圆" w:cs="幼圆" w:hint="eastAsia"/>
              </w:rPr>
              <w:t>23</w:t>
            </w:r>
            <w:r>
              <w:rPr>
                <w:rFonts w:ascii="幼圆" w:eastAsia="幼圆" w:hAnsi="幼圆" w:cs="幼圆" w:hint="eastAsia"/>
              </w:rPr>
              <w:fldChar w:fldCharType="end"/>
            </w:r>
          </w:hyperlink>
        </w:p>
        <w:p>
          <w:pPr>
            <w:ind w:firstLine="480" w:firstLineChars="200"/>
            <w:rPr>
              <w:rFonts w:ascii="幼圆" w:eastAsia="幼圆" w:hAnsi="幼圆" w:cs="幼圆" w:hint="eastAsia"/>
              <w:b/>
              <w:szCs w:val="24"/>
            </w:rPr>
          </w:pPr>
          <w:r>
            <w:rPr>
              <w:rFonts w:ascii="幼圆" w:eastAsia="幼圆" w:hAnsi="幼圆" w:cs="幼圆" w:hint="eastAsia"/>
              <w:b/>
              <w:szCs w:val="24"/>
            </w:rPr>
            <w:fldChar w:fldCharType="end"/>
          </w:r>
        </w:p>
      </w:sdtContent>
    </w:sdt>
    <w:p>
      <w:pPr>
        <w:ind w:firstLine="480" w:firstLineChars="200"/>
        <w:rPr>
          <w:rFonts w:ascii="幼圆" w:eastAsia="幼圆" w:hAnsi="幼圆" w:cs="幼圆" w:hint="eastAsia"/>
          <w:szCs w:val="24"/>
        </w:rPr>
      </w:pPr>
      <w:r>
        <w:rPr>
          <w:rFonts w:ascii="幼圆" w:eastAsia="幼圆" w:hAnsi="幼圆" w:cs="幼圆" w:hint="eastAsia"/>
          <w:szCs w:val="24"/>
        </w:rPr>
        <w:t>水是几乎所有工业活动的重要资源。然而，水供应的减少、水质的下降以及非工业用水者对水的需求的增加，给传统意义上认为“清洁可靠的水是理所当然的”这类企业带来了新的挑战。随着全球气候的变化、人口的增长和城市化进程得加快，可用的水资源变得越来越稀缺，企业现在面临着各种各样的水风险，包括分配的变化、更加严格的水质规定、政府对当地水资源的控制的增加，以及公众对与水有关的活动的监督的增加等。因此，越来越多的人呼吁企业在水管理活动中做到透明和负责任</w:t>
      </w:r>
      <w:r>
        <w:rPr>
          <w:rFonts w:ascii="幼圆" w:eastAsia="幼圆" w:hAnsi="幼圆" w:cs="幼圆" w:hint="eastAsia"/>
          <w:szCs w:val="24"/>
        </w:rPr>
        <w:t>，</w:t>
      </w:r>
      <w:r>
        <w:rPr>
          <w:rFonts w:ascii="幼圆" w:eastAsia="幼圆" w:hAnsi="幼圆" w:cs="幼圆" w:hint="eastAsia"/>
          <w:szCs w:val="24"/>
        </w:rPr>
        <w:t>企业需要承担较大的环保责任。</w:t>
      </w:r>
    </w:p>
    <w:p>
      <w:pPr>
        <w:ind w:firstLine="480" w:firstLineChars="200"/>
        <w:rPr>
          <w:rFonts w:ascii="幼圆" w:eastAsia="幼圆" w:hAnsi="幼圆" w:cs="幼圆" w:hint="eastAsia"/>
          <w:szCs w:val="24"/>
        </w:rPr>
      </w:pPr>
      <w:r>
        <w:rPr>
          <w:rFonts w:ascii="幼圆" w:eastAsia="幼圆" w:hAnsi="幼圆" w:cs="幼圆" w:hint="eastAsia"/>
          <w:szCs w:val="24"/>
        </w:rPr>
        <w:t>面对这些挑战，一些企业开始认识到有必要采取更加积极和全面的战略性水管理行动，并向股东和公众报告这些行动。上市公司长期以来一直发布年度财务报告，描述本行业的经济趋势和机遇，以及本公司的年度业绩。但在过去的二十年里，越来越多的公司开始发布非财务报告，向其利益相关者描述其环境和社会绩效，并认识到这些因素越来越多地与财务绩效和公司声誉联系在一起。与财务报告不同，社会责任报告采用不同的格式，其中呈现的信息因公司而异。</w:t>
      </w:r>
    </w:p>
    <w:p>
      <w:pPr>
        <w:ind w:firstLine="480" w:firstLineChars="200"/>
        <w:rPr>
          <w:rFonts w:ascii="幼圆" w:eastAsia="幼圆" w:hAnsi="幼圆" w:cs="幼圆" w:hint="eastAsia"/>
          <w:szCs w:val="24"/>
        </w:rPr>
        <w:sectPr>
          <w:pgSz w:w="11906" w:h="16838"/>
          <w:pgMar w:top="1440" w:right="1800" w:bottom="1440" w:left="1800" w:header="851" w:footer="992" w:gutter="0"/>
          <w:cols w:num="1" w:space="425"/>
          <w:docGrid w:type="lines" w:linePitch="312" w:charSpace="0"/>
        </w:sectPr>
      </w:pPr>
      <w:r>
        <w:rPr>
          <w:rFonts w:ascii="幼圆" w:eastAsia="幼圆" w:hAnsi="幼圆" w:cs="幼圆" w:hint="eastAsia"/>
          <w:szCs w:val="24"/>
        </w:rPr>
        <w:t>就中国而言，</w:t>
      </w:r>
    </w:p>
    <w:p>
      <w:pPr>
        <w:ind w:firstLine="480" w:firstLineChars="200"/>
        <w:rPr>
          <w:rFonts w:ascii="幼圆" w:eastAsia="幼圆" w:hAnsi="幼圆" w:cs="幼圆" w:hint="eastAsia"/>
          <w:szCs w:val="24"/>
        </w:rPr>
      </w:pPr>
      <w:r>
        <w:rPr>
          <w:rFonts w:ascii="幼圆" w:eastAsia="幼圆" w:hAnsi="幼圆" w:cs="幼圆" w:hint="eastAsia"/>
          <w:szCs w:val="24"/>
        </w:rPr>
        <w:t>随着我国工业化进程的推进，尤其是随着高耗水、高水敏感型的重污染企业的发展，我国水资源环境遭受了巨大破坏，主要表现为水质的污染和水资源的浪费，这对人们的生活用水、工农业用水、以及生态环境都造成了巨大影响</w:t>
      </w:r>
      <w:r>
        <w:rPr>
          <w:rFonts w:ascii="幼圆" w:eastAsia="幼圆" w:hAnsi="幼圆" w:cs="幼圆" w:hint="eastAsia"/>
          <w:szCs w:val="24"/>
        </w:rPr>
        <w:t>。因此，中国的供水正处于危机的边缘。随着水安全的持续下降、水资源的严重紧缺以及水污染的不断加重，国家</w:t>
      </w:r>
      <w:r>
        <w:rPr>
          <w:rFonts w:ascii="幼圆" w:eastAsia="幼圆" w:hAnsi="幼圆" w:cs="幼圆" w:hint="eastAsia"/>
          <w:szCs w:val="24"/>
        </w:rPr>
        <w:t>“十二五”规划和“十三五”规划</w:t>
      </w:r>
      <w:r>
        <w:rPr>
          <w:rFonts w:ascii="幼圆" w:eastAsia="幼圆" w:hAnsi="幼圆" w:cs="幼圆" w:hint="eastAsia"/>
          <w:szCs w:val="24"/>
        </w:rPr>
        <w:t>都针对水污染治理相继出台了相关法律法规及政策，要求企业完善和落实严格的水资源管理制度，加强节水减污，以实现蓝天、碧水和净土的目标。因此，上市公司必须承担起自身的环境责任，积极履行社会责任。</w:t>
      </w:r>
    </w:p>
    <w:p>
      <w:pPr>
        <w:ind w:firstLine="480"/>
        <w:rPr>
          <w:rFonts w:ascii="幼圆" w:eastAsia="幼圆" w:hAnsi="幼圆" w:cs="幼圆" w:hint="eastAsia"/>
          <w:szCs w:val="24"/>
        </w:rPr>
      </w:pPr>
      <w:r>
        <w:rPr>
          <w:rFonts w:ascii="幼圆" w:eastAsia="幼圆" w:hAnsi="幼圆" w:cs="幼圆" w:hint="eastAsia"/>
          <w:szCs w:val="24"/>
        </w:rPr>
        <w:t>当前，国外学术界对水信息的研究并不完全适用于我国水资源现状，而我国学术界对水资源质量评价方面的问题尚未得到广泛研究，我国国内也并未建立统一的上市公司水信息披露准则，从而导致我国上市公司水信息披露质量不高。因此本文</w:t>
      </w:r>
      <w:r>
        <w:rPr>
          <w:rFonts w:ascii="幼圆" w:eastAsia="幼圆" w:hAnsi="幼圆" w:cs="幼圆" w:hint="eastAsia"/>
          <w:szCs w:val="24"/>
        </w:rPr>
        <w:t>通过借鉴国内外理论界水信息披露方面的研究成果，试图构建一个适用于我国上市公司的水信息披露质量评价新体系，以推动我国上市公司节能环保、加强水资源的管理，提升水信息质量披露的能力；有利于提高上市公司所披露水信息的质量与充分性，缓解信息不对称，帮助利益相关者做出正确的决策，促进上市公司更好地履行社会责任。</w:t>
      </w:r>
    </w:p>
    <w:p>
      <w:pPr>
        <w:ind w:firstLine="480"/>
        <w:rPr>
          <w:rFonts w:ascii="幼圆" w:eastAsia="幼圆" w:hAnsi="幼圆" w:cs="幼圆" w:hint="eastAsia"/>
          <w:szCs w:val="24"/>
        </w:rPr>
      </w:pPr>
    </w:p>
    <w:p>
      <w:pPr>
        <w:outlineLvl w:val="0"/>
        <w:rPr>
          <w:rStyle w:val="3Char"/>
          <w:rFonts w:ascii="幼圆" w:eastAsia="幼圆" w:hAnsi="幼圆" w:cs="幼圆" w:hint="eastAsia"/>
        </w:rPr>
      </w:pPr>
      <w:bookmarkStart w:id="1" w:name="_Toc639"/>
      <w:r>
        <w:rPr>
          <w:rStyle w:val="3Char"/>
          <w:rFonts w:ascii="幼圆" w:eastAsia="幼圆" w:hAnsi="幼圆" w:cs="幼圆" w:hint="eastAsia"/>
        </w:rPr>
        <w:t>1. 概念界定及理论基础</w:t>
      </w:r>
      <w:bookmarkEnd w:id="1"/>
    </w:p>
    <w:p>
      <w:pPr>
        <w:pStyle w:val="Heading4"/>
        <w:rPr>
          <w:rFonts w:ascii="幼圆" w:eastAsia="幼圆" w:hAnsi="幼圆" w:cs="幼圆" w:hint="eastAsia"/>
        </w:rPr>
      </w:pPr>
      <w:bookmarkStart w:id="2" w:name="_Toc17582"/>
      <w:r>
        <w:rPr>
          <w:rFonts w:ascii="幼圆" w:eastAsia="幼圆" w:hAnsi="幼圆" w:cs="幼圆" w:hint="eastAsia"/>
        </w:rPr>
        <w:t>1.1 水信息披露概念的界定</w:t>
      </w:r>
      <w:bookmarkEnd w:id="2"/>
    </w:p>
    <w:p>
      <w:pPr>
        <w:ind w:firstLine="480" w:firstLineChars="200"/>
        <w:rPr>
          <w:rFonts w:ascii="幼圆" w:eastAsia="幼圆" w:hAnsi="幼圆" w:cs="幼圆" w:hint="eastAsia"/>
          <w:szCs w:val="24"/>
        </w:rPr>
      </w:pPr>
      <w:r>
        <w:rPr>
          <w:rFonts w:ascii="幼圆" w:eastAsia="幼圆" w:hAnsi="幼圆" w:cs="幼圆" w:hint="eastAsia"/>
          <w:szCs w:val="24"/>
        </w:rPr>
        <w:t>根据《2016CDP全球水资源报告》可知：水信息披露，即公司在生产经营过程中将涉及到水资源管理有关的信息，包括</w:t>
      </w:r>
      <w:r>
        <w:rPr>
          <w:rFonts w:ascii="幼圆" w:eastAsia="幼圆" w:hAnsi="幼圆" w:cs="幼圆" w:hint="eastAsia"/>
          <w:szCs w:val="24"/>
        </w:rPr>
        <w:t>公司在内部建立的水管理战略、水资源的利用等情况通过一定的形式披露给利益相关方的行为。水信息披露对企业自身而言可以有效反映企业生产经营活动中的水资源的现状，改善水资源管理；对利益相关者而言，可以获得对决策有用的信息；对社会而言，可以有效揭示企业生产经营活动对水环境污染的情况，有利于环境监督，保护水资源。</w:t>
      </w:r>
    </w:p>
    <w:p>
      <w:pPr>
        <w:rPr>
          <w:rFonts w:ascii="幼圆" w:eastAsia="幼圆" w:hAnsi="幼圆" w:cs="幼圆" w:hint="eastAsia"/>
          <w:szCs w:val="24"/>
        </w:rPr>
      </w:pPr>
    </w:p>
    <w:p>
      <w:pPr>
        <w:pStyle w:val="Heading4"/>
        <w:rPr>
          <w:rFonts w:ascii="幼圆" w:eastAsia="幼圆" w:hAnsi="幼圆" w:cs="幼圆" w:hint="eastAsia"/>
        </w:rPr>
      </w:pPr>
      <w:bookmarkStart w:id="3" w:name="_Toc2519"/>
      <w:r>
        <w:rPr>
          <w:rFonts w:ascii="幼圆" w:eastAsia="幼圆" w:hAnsi="幼圆" w:cs="幼圆" w:hint="eastAsia"/>
        </w:rPr>
        <w:t>1.2 文献综述</w:t>
      </w:r>
      <w:bookmarkEnd w:id="3"/>
    </w:p>
    <w:p>
      <w:pPr>
        <w:ind w:firstLine="480" w:firstLineChars="200"/>
        <w:rPr>
          <w:rFonts w:ascii="幼圆" w:eastAsia="幼圆" w:hAnsi="幼圆" w:cs="幼圆" w:hint="eastAsia"/>
          <w:szCs w:val="24"/>
        </w:rPr>
        <w:sectPr>
          <w:type w:val="nextPage"/>
          <w:pgSz w:w="11906" w:h="16838"/>
          <w:pgMar w:top="1440" w:right="1800" w:bottom="1440" w:left="1800" w:header="851" w:footer="992" w:gutter="0"/>
          <w:pgNumType w:start="2"/>
          <w:cols w:num="1" w:space="425"/>
          <w:titlePg w:val="0"/>
          <w:docGrid w:type="lines" w:linePitch="312" w:charSpace="0"/>
        </w:sectPr>
      </w:pPr>
    </w:p>
    <w:p>
      <w:pPr>
        <w:ind w:firstLine="480" w:firstLineChars="200"/>
        <w:rPr>
          <w:rFonts w:ascii="幼圆" w:eastAsia="幼圆" w:hAnsi="幼圆" w:cs="幼圆" w:hint="eastAsia"/>
          <w:szCs w:val="24"/>
        </w:rPr>
      </w:pPr>
      <w:r>
        <w:rPr>
          <w:rFonts w:ascii="幼圆" w:eastAsia="幼圆" w:hAnsi="幼圆" w:cs="幼圆" w:hint="eastAsia"/>
          <w:szCs w:val="24"/>
        </w:rPr>
        <w:t>当前，环境组织和国内外学术界都特别关注水资源问题。但是，一方面，国外目前关于水资源战略(Barber&amp;Jackson，2012)、水资源责任(Jones，Hillier，&amp;Comfort，2015)、水资源短缺(Garcia‐Cuerva&amp;Binder，2016)、水循环(Mack‐Vergara&amp;John，2017)、水资源管理(Al‐Saidi，2017)、水资源定价(Kanakoudi</w:t>
      </w:r>
      <w:r>
        <w:rPr>
          <w:rFonts w:ascii="幼圆" w:eastAsia="幼圆" w:hAnsi="幼圆" w:cs="幼圆" w:hint="eastAsia"/>
          <w:szCs w:val="24"/>
        </w:rPr>
        <w:t>s</w:t>
      </w:r>
      <w:r>
        <w:rPr>
          <w:rFonts w:ascii="幼圆" w:eastAsia="幼圆" w:hAnsi="幼圆" w:cs="幼圆" w:hint="eastAsia"/>
          <w:szCs w:val="24"/>
        </w:rPr>
        <w:t>等人)等研究有很多，但是关于水资源信息披露质量评价方面的研究却很少；另一方面，</w:t>
      </w:r>
      <w:r>
        <w:rPr>
          <w:rFonts w:ascii="幼圆" w:eastAsia="幼圆" w:hAnsi="幼圆" w:cs="幼圆" w:hint="eastAsia"/>
          <w:szCs w:val="24"/>
        </w:rPr>
        <w:t>我国已有的有关环境信息的研究主要关注环境会计中的碳排放，许多文献都侧重于我国上市公司环境信息披露质量评价研究以及上市公司碳信息披露质量评价研究，鲜有学者单独针对水信息质量评价进行深入研究。</w:t>
      </w:r>
    </w:p>
    <w:p>
      <w:pPr>
        <w:ind w:firstLine="480" w:firstLineChars="200"/>
        <w:rPr>
          <w:rFonts w:ascii="幼圆" w:eastAsia="幼圆" w:hAnsi="幼圆" w:cs="幼圆" w:hint="eastAsia"/>
          <w:szCs w:val="24"/>
        </w:rPr>
      </w:pPr>
      <w:r>
        <w:rPr>
          <w:rFonts w:ascii="幼圆" w:eastAsia="幼圆" w:hAnsi="幼圆" w:cs="幼圆" w:hint="eastAsia"/>
          <w:szCs w:val="24"/>
        </w:rPr>
        <w:t>通过查阅相关文献发现，水信息披露的质量标准和质量评价，是现阶段学者们在公司水信息披露质量方面研究得较为集中得两个主题。</w:t>
      </w:r>
    </w:p>
    <w:p>
      <w:pPr>
        <w:ind w:firstLine="480" w:firstLineChars="200"/>
        <w:rPr>
          <w:rFonts w:ascii="幼圆" w:eastAsia="幼圆" w:hAnsi="幼圆" w:cs="幼圆" w:hint="eastAsia"/>
          <w:szCs w:val="24"/>
        </w:rPr>
      </w:pPr>
      <w:r>
        <w:rPr>
          <w:rFonts w:ascii="幼圆" w:eastAsia="幼圆" w:hAnsi="幼圆" w:cs="幼圆" w:hint="eastAsia"/>
          <w:szCs w:val="24"/>
        </w:rPr>
        <w:t>就水信息披露的质量标准而言，</w:t>
      </w:r>
      <w:r>
        <w:rPr>
          <w:rFonts w:ascii="幼圆" w:eastAsia="幼圆" w:hAnsi="幼圆" w:cs="幼圆" w:hint="eastAsia"/>
          <w:szCs w:val="24"/>
        </w:rPr>
        <w:t>CDP参照</w:t>
      </w:r>
      <w:r>
        <w:rPr>
          <w:rFonts w:ascii="幼圆" w:eastAsia="幼圆" w:hAnsi="幼圆" w:cs="幼圆" w:hint="eastAsia"/>
          <w:szCs w:val="24"/>
        </w:rPr>
        <w:t>《温室气体议定书》的准则，提出水信息披露的质量标准，主要包括：完整性、相关性、一致性、透明性和准确性。而澳大利亚学者对于水会计信息的质量标准要求又提出了不一样的看法，把</w:t>
      </w:r>
      <w:r>
        <w:rPr>
          <w:rFonts w:ascii="幼圆" w:eastAsia="幼圆" w:hAnsi="幼圆" w:cs="幼圆" w:hint="eastAsia"/>
          <w:szCs w:val="24"/>
        </w:rPr>
        <w:t>7个质量标准分为了三大类：一是属于基本性原则的相关性和可靠性；二是属于提高性原则的</w:t>
      </w:r>
      <w:r>
        <w:rPr>
          <w:rFonts w:ascii="幼圆" w:eastAsia="幼圆" w:hAnsi="幼圆" w:cs="幼圆" w:hint="eastAsia"/>
          <w:szCs w:val="24"/>
        </w:rPr>
        <w:t>可比性、可验证性、及时性和可理解性；三是属于重要性原则和成本收益原则的约束性。</w:t>
      </w:r>
    </w:p>
    <w:p>
      <w:pPr>
        <w:ind w:firstLine="480" w:firstLineChars="200"/>
        <w:rPr>
          <w:rFonts w:ascii="幼圆" w:eastAsia="幼圆" w:hAnsi="幼圆" w:cs="幼圆" w:hint="eastAsia"/>
          <w:szCs w:val="24"/>
        </w:rPr>
        <w:sectPr>
          <w:type w:val="nextPage"/>
          <w:pgSz w:w="11906" w:h="16838"/>
          <w:pgMar w:top="1440" w:right="1800" w:bottom="1440" w:left="1800" w:header="851" w:footer="992" w:gutter="0"/>
          <w:pgNumType w:start="3"/>
          <w:cols w:num="1" w:space="425"/>
          <w:titlePg w:val="0"/>
          <w:docGrid w:type="lines" w:linePitch="312" w:charSpace="0"/>
        </w:sectPr>
      </w:pPr>
      <w:r>
        <w:rPr>
          <w:rFonts w:ascii="幼圆" w:eastAsia="幼圆" w:hAnsi="幼圆" w:cs="幼圆" w:hint="eastAsia"/>
          <w:szCs w:val="24"/>
        </w:rPr>
        <w:t>就水信息披露质量评价而言，Morikawa（</w:t>
      </w:r>
      <w:r>
        <w:rPr>
          <w:rFonts w:ascii="幼圆" w:eastAsia="幼圆" w:hAnsi="幼圆" w:cs="幼圆" w:hint="eastAsia"/>
          <w:szCs w:val="24"/>
        </w:rPr>
        <w:t>2007）</w:t>
      </w:r>
      <w:r>
        <w:rPr>
          <w:rFonts w:ascii="幼圆" w:eastAsia="幼圆" w:hAnsi="幼圆" w:cs="幼圆" w:hint="eastAsia"/>
          <w:szCs w:val="24"/>
        </w:rPr>
        <w:t>等人</w:t>
      </w:r>
      <w:r>
        <w:rPr>
          <w:rFonts w:ascii="幼圆" w:eastAsia="幼圆" w:hAnsi="幼圆" w:cs="幼圆" w:hint="eastAsia"/>
          <w:szCs w:val="24"/>
        </w:rPr>
        <w:t>利用一个由十项水管理相关商业风险活动组成的框架，分析了</w:t>
      </w:r>
      <w:r>
        <w:rPr>
          <w:rFonts w:ascii="幼圆" w:eastAsia="幼圆" w:hAnsi="幼圆" w:cs="幼圆" w:hint="eastAsia"/>
          <w:szCs w:val="24"/>
        </w:rPr>
        <w:t>服装行业、汽车行业、食品制造行业等</w:t>
      </w:r>
      <w:r>
        <w:rPr>
          <w:rFonts w:ascii="幼圆" w:eastAsia="幼圆" w:hAnsi="幼圆" w:cs="幼圆" w:hint="eastAsia"/>
          <w:szCs w:val="24"/>
        </w:rPr>
        <w:t>11个水密集型行业中139家大型公司的可持续发展报告和社会责任报告，并根据水风险测量、咨询利益相关者、水循环利用等24项水信息披露指标给企业打分，再通过计算得出每个行业在以上24项水信息披露指标上的得分平均值，由此得知各个行业的水信息披露质量水平。</w:t>
      </w:r>
      <w:r>
        <w:rPr>
          <w:rFonts w:ascii="幼圆" w:eastAsia="幼圆" w:hAnsi="幼圆" w:cs="幼圆" w:hint="eastAsia"/>
          <w:szCs w:val="24"/>
        </w:rPr>
        <w:t>Burritt等（2016）在此基础之上删除了内容存在重复的指标，还纳入</w:t>
      </w:r>
      <w:r>
        <w:rPr>
          <w:rFonts w:ascii="幼圆" w:eastAsia="幼圆" w:hAnsi="幼圆" w:cs="幼圆" w:hint="eastAsia"/>
          <w:szCs w:val="24"/>
        </w:rPr>
        <w:t>“第三方审计证据”这一指标以反映数据的可信度，开发了一个适用于日本水信息披露的指数表，包括用水量、参与供应链以及废水质量等24项，以评估企业水信息的披露程度，并对日经</w:t>
      </w:r>
      <w:r>
        <w:rPr>
          <w:rFonts w:ascii="幼圆" w:eastAsia="幼圆" w:hAnsi="幼圆" w:cs="幼圆" w:hint="eastAsia"/>
          <w:szCs w:val="24"/>
        </w:rPr>
        <w:t>225</w:t>
      </w:r>
      <w:r>
        <w:rPr>
          <w:rFonts w:ascii="幼圆" w:eastAsia="幼圆" w:hAnsi="幼圆" w:cs="幼圆" w:hint="eastAsia"/>
          <w:szCs w:val="24"/>
        </w:rPr>
        <w:t>指数中</w:t>
      </w:r>
      <w:r>
        <w:rPr>
          <w:rFonts w:ascii="幼圆" w:eastAsia="幼圆" w:hAnsi="幼圆" w:cs="幼圆" w:hint="eastAsia"/>
          <w:szCs w:val="24"/>
        </w:rPr>
        <w:t>100</w:t>
      </w:r>
      <w:r>
        <w:rPr>
          <w:rFonts w:ascii="幼圆" w:eastAsia="幼圆" w:hAnsi="幼圆" w:cs="幼圆" w:hint="eastAsia"/>
          <w:szCs w:val="24"/>
        </w:rPr>
        <w:t>家对水敏感的上市公司进行了抽样调查。</w:t>
      </w:r>
      <w:r>
        <w:rPr>
          <w:rFonts w:ascii="幼圆" w:eastAsia="幼圆" w:hAnsi="幼圆" w:cs="幼圆" w:hint="eastAsia"/>
          <w:szCs w:val="24"/>
        </w:rPr>
        <w:t>随后，曾辉祥（2017）借鉴上述两位学者等人的研究成果，综合了《企业水信息披露指南》中</w:t>
      </w:r>
      <w:r>
        <w:rPr>
          <w:rFonts w:ascii="幼圆" w:eastAsia="幼圆" w:hAnsi="幼圆" w:cs="幼圆" w:hint="eastAsia"/>
          <w:szCs w:val="24"/>
        </w:rPr>
        <w:t>披露的企业关键水信息的要求</w:t>
      </w:r>
      <w:r>
        <w:rPr>
          <w:rFonts w:ascii="幼圆" w:eastAsia="幼圆" w:hAnsi="幼圆" w:cs="幼圆" w:hint="eastAsia"/>
          <w:szCs w:val="24"/>
        </w:rPr>
        <w:t>，并</w:t>
      </w:r>
      <w:r>
        <w:rPr>
          <w:rFonts w:ascii="幼圆" w:eastAsia="幼圆" w:hAnsi="幼圆" w:cs="幼圆" w:hint="eastAsia"/>
          <w:szCs w:val="24"/>
        </w:rPr>
        <w:t>结合我国公司的实际情况再次改进了该评价体系，按照定性和定量两大类对指标进行了</w:t>
      </w:r>
      <w:r>
        <w:rPr>
          <w:rFonts w:ascii="幼圆" w:eastAsia="幼圆" w:hAnsi="幼圆" w:cs="幼圆" w:hint="eastAsia"/>
          <w:szCs w:val="24"/>
        </w:rPr>
        <w:t>删减、拆分和增加，最终设置了</w:t>
      </w:r>
      <w:r>
        <w:rPr>
          <w:rFonts w:ascii="幼圆" w:eastAsia="幼圆" w:hAnsi="幼圆" w:cs="幼圆" w:hint="eastAsia"/>
          <w:szCs w:val="24"/>
        </w:rPr>
        <w:t>定性指标和定量指标共27个，但是这一水信息质量评价体系尚未在我国得到广泛应用。</w:t>
      </w:r>
      <w:r>
        <w:rPr>
          <w:rFonts w:ascii="幼圆" w:eastAsia="幼圆" w:hAnsi="幼圆" w:cs="幼圆" w:hint="eastAsia"/>
          <w:szCs w:val="24"/>
        </w:rPr>
        <w:t>除此之外，Remali等（2017）</w:t>
      </w:r>
      <w:r>
        <w:rPr>
          <w:rFonts w:ascii="幼圆" w:eastAsia="幼圆" w:hAnsi="幼圆" w:cs="幼圆" w:hint="eastAsia"/>
          <w:szCs w:val="24"/>
        </w:rPr>
        <w:t>根据</w:t>
      </w:r>
      <w:r>
        <w:rPr>
          <w:rFonts w:ascii="幼圆" w:eastAsia="幼圆" w:hAnsi="幼圆" w:cs="幼圆" w:hint="eastAsia"/>
          <w:szCs w:val="24"/>
        </w:rPr>
        <w:t>GRI（全球报告倡议准则）和CDP（Water information Request</w:t>
      </w:r>
      <w:r>
        <w:rPr>
          <w:rFonts w:ascii="幼圆" w:eastAsia="幼圆" w:hAnsi="幼圆" w:cs="幼圆" w:hint="eastAsia"/>
          <w:szCs w:val="24"/>
        </w:rPr>
        <w:t xml:space="preserve"> 2015）</w:t>
      </w:r>
      <w:r>
        <w:rPr>
          <w:rFonts w:ascii="幼圆" w:eastAsia="幼圆" w:hAnsi="幼圆" w:cs="幼圆" w:hint="eastAsia"/>
          <w:szCs w:val="24"/>
        </w:rPr>
        <w:t>中</w:t>
      </w:r>
    </w:p>
    <w:p>
      <w:pPr>
        <w:ind w:firstLine="480" w:firstLineChars="200"/>
        <w:rPr>
          <w:rFonts w:ascii="幼圆" w:eastAsia="幼圆" w:hAnsi="幼圆" w:cs="幼圆" w:hint="eastAsia"/>
          <w:szCs w:val="24"/>
        </w:rPr>
      </w:pPr>
      <w:r>
        <w:rPr>
          <w:rFonts w:ascii="幼圆" w:eastAsia="幼圆" w:hAnsi="幼圆" w:cs="幼圆" w:hint="eastAsia"/>
          <w:szCs w:val="24"/>
        </w:rPr>
        <w:t>8个与水相关的项目</w:t>
      </w:r>
      <w:r>
        <w:rPr>
          <w:rFonts w:ascii="幼圆" w:eastAsia="幼圆" w:hAnsi="幼圆" w:cs="幼圆" w:hint="eastAsia"/>
          <w:szCs w:val="24"/>
        </w:rPr>
        <w:t>，并对这些项目进行了修改，构建了一个适合马来西亚情况的指标评价体系。为了避免主观性，每个项目都是在二分制的基础上评分的，如果项目被披露，奖励1分，否则奖励0分，总分最高为</w:t>
      </w:r>
      <w:r>
        <w:rPr>
          <w:rFonts w:ascii="幼圆" w:eastAsia="幼圆" w:hAnsi="幼圆" w:cs="幼圆" w:hint="eastAsia"/>
          <w:szCs w:val="24"/>
        </w:rPr>
        <w:t>8</w:t>
      </w:r>
      <w:r>
        <w:rPr>
          <w:rFonts w:ascii="幼圆" w:eastAsia="幼圆" w:hAnsi="幼圆" w:cs="幼圆" w:hint="eastAsia"/>
          <w:szCs w:val="24"/>
        </w:rPr>
        <w:t>分。并根据公司获得的分数，将其水信息披露质量分为高、中或低三个级别</w:t>
      </w:r>
      <w:r>
        <w:rPr>
          <w:rFonts w:ascii="幼圆" w:eastAsia="幼圆" w:hAnsi="幼圆" w:cs="幼圆" w:hint="eastAsia"/>
          <w:szCs w:val="24"/>
        </w:rPr>
        <w:t>：</w:t>
      </w:r>
      <w:r>
        <w:rPr>
          <w:rFonts w:ascii="幼圆" w:eastAsia="幼圆" w:hAnsi="幼圆" w:cs="幼圆" w:hint="eastAsia"/>
          <w:szCs w:val="24"/>
        </w:rPr>
        <w:t>如果得分在0到2之间，公司将被视为水信息披露质量</w:t>
      </w:r>
      <w:r>
        <w:rPr>
          <w:rFonts w:ascii="幼圆" w:eastAsia="幼圆" w:hAnsi="幼圆" w:cs="幼圆" w:hint="eastAsia"/>
          <w:szCs w:val="24"/>
        </w:rPr>
        <w:t>“</w:t>
      </w:r>
      <w:r>
        <w:rPr>
          <w:rFonts w:ascii="幼圆" w:eastAsia="幼圆" w:hAnsi="幼圆" w:cs="幼圆" w:hint="eastAsia"/>
          <w:szCs w:val="24"/>
        </w:rPr>
        <w:t>低</w:t>
      </w:r>
      <w:r>
        <w:rPr>
          <w:rFonts w:ascii="幼圆" w:eastAsia="幼圆" w:hAnsi="幼圆" w:cs="幼圆" w:hint="eastAsia"/>
          <w:szCs w:val="24"/>
        </w:rPr>
        <w:t>”</w:t>
      </w:r>
      <w:r>
        <w:rPr>
          <w:rFonts w:ascii="幼圆" w:eastAsia="幼圆" w:hAnsi="幼圆" w:cs="幼圆" w:hint="eastAsia"/>
          <w:szCs w:val="24"/>
        </w:rPr>
        <w:t>；如果在3到5分之间则为</w:t>
      </w:r>
      <w:r>
        <w:rPr>
          <w:rFonts w:ascii="幼圆" w:eastAsia="幼圆" w:hAnsi="幼圆" w:cs="幼圆" w:hint="eastAsia"/>
          <w:szCs w:val="24"/>
        </w:rPr>
        <w:t>“</w:t>
      </w:r>
      <w:r>
        <w:rPr>
          <w:rFonts w:ascii="幼圆" w:eastAsia="幼圆" w:hAnsi="幼圆" w:cs="幼圆" w:hint="eastAsia"/>
          <w:szCs w:val="24"/>
        </w:rPr>
        <w:t>中等</w:t>
      </w:r>
      <w:r>
        <w:rPr>
          <w:rFonts w:ascii="幼圆" w:eastAsia="幼圆" w:hAnsi="幼圆" w:cs="幼圆" w:hint="eastAsia"/>
          <w:szCs w:val="24"/>
        </w:rPr>
        <w:t>”</w:t>
      </w:r>
      <w:r>
        <w:rPr>
          <w:rFonts w:ascii="幼圆" w:eastAsia="幼圆" w:hAnsi="幼圆" w:cs="幼圆" w:hint="eastAsia"/>
          <w:szCs w:val="24"/>
        </w:rPr>
        <w:t>，而6到8分则被认为是</w:t>
      </w:r>
      <w:r>
        <w:rPr>
          <w:rFonts w:ascii="幼圆" w:eastAsia="幼圆" w:hAnsi="幼圆" w:cs="幼圆" w:hint="eastAsia"/>
          <w:szCs w:val="24"/>
        </w:rPr>
        <w:t>“高”</w:t>
      </w:r>
      <w:r>
        <w:rPr>
          <w:rFonts w:ascii="幼圆" w:eastAsia="幼圆" w:hAnsi="幼圆" w:cs="幼圆" w:hint="eastAsia"/>
          <w:szCs w:val="24"/>
        </w:rPr>
        <w:t>。</w:t>
      </w:r>
    </w:p>
    <w:p>
      <w:pPr>
        <w:rPr>
          <w:rFonts w:ascii="幼圆" w:eastAsia="幼圆" w:hAnsi="幼圆" w:cs="幼圆" w:hint="eastAsia"/>
          <w:szCs w:val="24"/>
        </w:rPr>
      </w:pPr>
    </w:p>
    <w:p>
      <w:pPr>
        <w:pStyle w:val="Heading4"/>
        <w:rPr>
          <w:rFonts w:ascii="幼圆" w:eastAsia="幼圆" w:hAnsi="幼圆" w:cs="幼圆" w:hint="eastAsia"/>
        </w:rPr>
      </w:pPr>
      <w:bookmarkStart w:id="4" w:name="_Toc3051"/>
      <w:r>
        <w:rPr>
          <w:rFonts w:ascii="幼圆" w:eastAsia="幼圆" w:hAnsi="幼圆" w:cs="幼圆" w:hint="eastAsia"/>
        </w:rPr>
        <w:t>1.3 水信息披露相关理论</w:t>
      </w:r>
      <w:bookmarkEnd w:id="4"/>
    </w:p>
    <w:p>
      <w:pPr>
        <w:pStyle w:val="Heading5"/>
        <w:rPr>
          <w:rFonts w:ascii="幼圆" w:eastAsia="幼圆" w:hAnsi="幼圆" w:cs="幼圆" w:hint="eastAsia"/>
        </w:rPr>
      </w:pPr>
      <w:r>
        <w:rPr>
          <w:rFonts w:ascii="幼圆" w:eastAsia="幼圆" w:hAnsi="幼圆" w:cs="幼圆" w:hint="eastAsia"/>
        </w:rPr>
        <w:t>1.3.1 利益相关者理论</w:t>
      </w:r>
    </w:p>
    <w:p>
      <w:pPr>
        <w:ind w:firstLine="480" w:firstLineChars="200"/>
        <w:rPr>
          <w:rFonts w:ascii="幼圆" w:eastAsia="幼圆" w:hAnsi="幼圆" w:cs="幼圆" w:hint="eastAsia"/>
          <w:szCs w:val="24"/>
        </w:rPr>
      </w:pPr>
      <w:r>
        <w:rPr>
          <w:rFonts w:ascii="幼圆" w:eastAsia="幼圆" w:hAnsi="幼圆" w:cs="幼圆" w:hint="eastAsia"/>
          <w:szCs w:val="24"/>
        </w:rPr>
        <w:t>利益相关者理论最早由</w:t>
      </w:r>
      <w:r>
        <w:rPr>
          <w:rFonts w:ascii="幼圆" w:eastAsia="幼圆" w:hAnsi="幼圆" w:cs="幼圆" w:hint="eastAsia"/>
          <w:szCs w:val="24"/>
        </w:rPr>
        <w:t>Freeman于1984年提出，该理论是指企业管理者在进行生产、经营管理活动时考虑并满足主要或最相关的企业利益攸关方的需求和期望。随着环境问题的日益严重，以及环境监管政策的出台，投资者和债权人越来越重视企业环境信息的披露，尤其是水污染严重的企业，以避免自己的经济利益受到影响。除此之外，企业附近的其他企业、居民以及社会机构会受到水污染的影响，故对企业的水污染排放、防治措施和治理效果等方面也有信息需求。因此，水信息的公开提供了一种企业与利益相关者沟通和发展良好关系的方式，能够帮助利益相关者更好地理解与水资源短缺、水污染和其他问题相关的风险和机遇，满足利益相关者的期望。</w:t>
      </w:r>
    </w:p>
    <w:p>
      <w:pPr>
        <w:ind w:firstLine="480" w:firstLineChars="200"/>
        <w:rPr>
          <w:rFonts w:ascii="幼圆" w:eastAsia="幼圆" w:hAnsi="幼圆" w:cs="幼圆" w:hint="eastAsia"/>
          <w:szCs w:val="24"/>
        </w:rPr>
      </w:pPr>
      <w:r>
        <w:rPr>
          <w:rFonts w:ascii="幼圆" w:eastAsia="幼圆" w:hAnsi="幼圆" w:cs="幼圆" w:hint="eastAsia"/>
          <w:szCs w:val="24"/>
        </w:rPr>
        <w:t xml:space="preserve"> </w:t>
      </w:r>
    </w:p>
    <w:p>
      <w:pPr>
        <w:pStyle w:val="Heading5"/>
        <w:rPr>
          <w:rFonts w:ascii="幼圆" w:eastAsia="幼圆" w:hAnsi="幼圆" w:cs="幼圆" w:hint="eastAsia"/>
        </w:rPr>
      </w:pPr>
      <w:r>
        <w:rPr>
          <w:rFonts w:ascii="幼圆" w:eastAsia="幼圆" w:hAnsi="幼圆" w:cs="幼圆" w:hint="eastAsia"/>
        </w:rPr>
        <w:t>1.3.2 可持续发展理论</w:t>
      </w:r>
    </w:p>
    <w:p>
      <w:pPr>
        <w:ind w:firstLine="480"/>
        <w:rPr>
          <w:rFonts w:ascii="幼圆" w:eastAsia="幼圆" w:hAnsi="幼圆" w:cs="幼圆" w:hint="eastAsia"/>
          <w:szCs w:val="24"/>
        </w:rPr>
      </w:pPr>
      <w:r>
        <w:rPr>
          <w:rFonts w:ascii="幼圆" w:eastAsia="幼圆" w:hAnsi="幼圆" w:cs="幼圆" w:hint="eastAsia"/>
          <w:szCs w:val="24"/>
        </w:rPr>
        <w:t>可持续发展理论是指不仅要满足现代人的发展需求，还要确保子孙后代能够拥有满足其发展的能力。在全球水资源紧缺日益威胁人类生存的当下，各国政府、环保组织以及企业自身都对水污染的防治愈来愈重视。上市公司自觉披露水信息以及不断提高水信息披露的质量对可持续发展有两方面的益处：一是有利于对上市公司的水污染进行监管，另外，有利于促进学术界对水信息披露质量的深入探讨，从理论上推动上市公司进行统一的规范化的水信息披露，从实践上推动上市公司的盈利模式与可持续发展理念相一致。</w:t>
      </w:r>
    </w:p>
    <w:p>
      <w:pPr>
        <w:ind w:firstLine="480"/>
        <w:rPr>
          <w:rFonts w:ascii="幼圆" w:eastAsia="幼圆" w:hAnsi="幼圆" w:cs="幼圆" w:hint="eastAsia"/>
          <w:szCs w:val="24"/>
        </w:rPr>
        <w:sectPr>
          <w:type w:val="nextPage"/>
          <w:pgSz w:w="11906" w:h="16838"/>
          <w:pgMar w:top="1440" w:right="1800" w:bottom="1440" w:left="1800" w:header="851" w:footer="992" w:gutter="0"/>
          <w:pgNumType w:start="4"/>
          <w:cols w:num="1" w:space="425"/>
          <w:titlePg w:val="0"/>
          <w:docGrid w:type="lines" w:linePitch="312" w:charSpace="0"/>
        </w:sectPr>
      </w:pPr>
    </w:p>
    <w:p>
      <w:pPr>
        <w:pStyle w:val="Heading5"/>
        <w:rPr>
          <w:rFonts w:ascii="幼圆" w:eastAsia="幼圆" w:hAnsi="幼圆" w:cs="幼圆" w:hint="eastAsia"/>
        </w:rPr>
      </w:pPr>
      <w:r>
        <w:rPr>
          <w:rFonts w:ascii="幼圆" w:eastAsia="幼圆" w:hAnsi="幼圆" w:cs="幼圆" w:hint="eastAsia"/>
        </w:rPr>
        <w:t>1.3.3 信息不对称理论</w:t>
      </w:r>
    </w:p>
    <w:p>
      <w:pPr>
        <w:ind w:firstLine="480"/>
        <w:rPr>
          <w:rFonts w:ascii="幼圆" w:eastAsia="幼圆" w:hAnsi="幼圆" w:cs="幼圆" w:hint="eastAsia"/>
          <w:szCs w:val="24"/>
        </w:rPr>
      </w:pPr>
      <w:r>
        <w:rPr>
          <w:rFonts w:ascii="幼圆" w:eastAsia="幼圆" w:hAnsi="幼圆" w:cs="幼圆" w:hint="eastAsia"/>
          <w:szCs w:val="24"/>
        </w:rPr>
        <w:t>斯蒂格利茨、阿克尔洛夫和斯彭斯于1960年首次发表并提出了信息不对称的理论，指在这个市场上进行交易时两者之间掌握的信息的程度不一致。为了有效地促进公司的良好发展，避免由于信息不对称而造成的道德风险和逆向选择，政府部门需要建立相应的监督机制，督促企业公司管理者正确地对公司财务信息及非财务信息进行正确披露。</w:t>
      </w:r>
    </w:p>
    <w:p>
      <w:pPr>
        <w:ind w:firstLine="480"/>
        <w:rPr>
          <w:rFonts w:ascii="幼圆" w:eastAsia="幼圆" w:hAnsi="幼圆" w:cs="幼圆" w:hint="eastAsia"/>
          <w:szCs w:val="24"/>
        </w:rPr>
      </w:pPr>
      <w:r>
        <w:rPr>
          <w:rFonts w:ascii="幼圆" w:eastAsia="幼圆" w:hAnsi="幼圆" w:cs="幼圆" w:hint="eastAsia"/>
          <w:szCs w:val="24"/>
        </w:rPr>
        <w:t>以水信息为例，与外部利益相关者相比，企业管理者掌握着更加充分的水资源方面的信息优势，因而会减少甚至避免一些影响企业发展的负面信息的披露，这样，就导致了决策者不能得到充足且客观的水信息去做出正确的决策。因此，信息不对称理论决定了构建水信息质量评价体系需要从全局角度考虑，以减少信息不对称所带来的弊端，使得外部利益相关者充分了解水资源管理现状，做出让自己满意的正确选择。</w:t>
      </w:r>
    </w:p>
    <w:p>
      <w:pPr>
        <w:pStyle w:val="Heading3"/>
        <w:rPr>
          <w:rFonts w:ascii="幼圆" w:eastAsia="幼圆" w:hAnsi="幼圆" w:cs="幼圆" w:hint="eastAsia"/>
          <w:szCs w:val="24"/>
        </w:rPr>
      </w:pPr>
      <w:bookmarkStart w:id="5" w:name="_Toc29424"/>
      <w:r>
        <w:rPr>
          <w:rFonts w:ascii="幼圆" w:eastAsia="幼圆" w:hAnsi="幼圆" w:cs="幼圆" w:hint="eastAsia"/>
        </w:rPr>
        <w:t>2. 水信息质量评价体系的构建</w:t>
      </w:r>
      <w:bookmarkEnd w:id="5"/>
    </w:p>
    <w:p>
      <w:pPr>
        <w:pStyle w:val="Heading4"/>
        <w:rPr>
          <w:rFonts w:ascii="幼圆" w:eastAsia="幼圆" w:hAnsi="幼圆" w:cs="幼圆" w:hint="eastAsia"/>
        </w:rPr>
      </w:pPr>
      <w:bookmarkStart w:id="6" w:name="_Toc4175"/>
      <w:r>
        <w:rPr>
          <w:rFonts w:ascii="幼圆" w:eastAsia="幼圆" w:hAnsi="幼圆" w:cs="幼圆" w:hint="eastAsia"/>
        </w:rPr>
        <w:t>2.1 水信息披露原则</w:t>
      </w:r>
      <w:bookmarkEnd w:id="6"/>
    </w:p>
    <w:p>
      <w:pPr>
        <w:rPr>
          <w:rFonts w:ascii="幼圆" w:eastAsia="幼圆" w:hAnsi="幼圆" w:cs="幼圆" w:hint="eastAsia"/>
          <w:szCs w:val="24"/>
        </w:rPr>
      </w:pPr>
      <w:r>
        <w:rPr>
          <w:rFonts w:ascii="幼圆" w:eastAsia="幼圆" w:hAnsi="幼圆" w:cs="幼圆" w:hint="eastAsia"/>
          <w:szCs w:val="24"/>
        </w:rPr>
        <w:t>（一</w:t>
      </w:r>
      <w:r>
        <w:rPr>
          <w:rFonts w:ascii="幼圆" w:eastAsia="幼圆" w:hAnsi="幼圆" w:cs="幼圆" w:hint="eastAsia"/>
          <w:szCs w:val="24"/>
        </w:rPr>
        <w:t>）相关性与及时性原则</w:t>
      </w:r>
    </w:p>
    <w:p>
      <w:pPr>
        <w:ind w:firstLine="480"/>
        <w:rPr>
          <w:rFonts w:ascii="幼圆" w:eastAsia="幼圆" w:hAnsi="幼圆" w:cs="幼圆" w:hint="eastAsia"/>
          <w:szCs w:val="24"/>
        </w:rPr>
      </w:pPr>
      <w:r>
        <w:rPr>
          <w:rFonts w:ascii="幼圆" w:eastAsia="幼圆" w:hAnsi="幼圆" w:cs="幼圆" w:hint="eastAsia"/>
          <w:szCs w:val="24"/>
        </w:rPr>
        <w:t>上市公司披露的水信息要充分反映公司基本的水资源信息，要与利益相关者所需要的信息相关。随着水安全的持续下降，水资源短缺极大可能将成为我国经济发展的瓶颈，故利益相关者对公司环境信息的要求越发强烈。公司高层管理者需要根据公司的水资源管理等环境信息来判断现有决策是否正确，并为制定公司未来发展战略提供参考依据；政府需要及时了解公司的水信息情况，若带来了严重的水污染情况则对其进行处罚和整改，但也可对公司的节水项目进行资助补贴。同时，信息往往都是具有时效性的，因此上市公司必须及时披露相关水信息，信息只有及时披露了，才能满足相关利益者的需求，才能为其决策提供参考。</w:t>
      </w:r>
    </w:p>
    <w:p>
      <w:pPr>
        <w:rPr>
          <w:rFonts w:ascii="幼圆" w:eastAsia="幼圆" w:hAnsi="幼圆" w:cs="幼圆" w:hint="eastAsia"/>
          <w:szCs w:val="24"/>
        </w:rPr>
      </w:pPr>
    </w:p>
    <w:p>
      <w:pPr>
        <w:rPr>
          <w:rFonts w:ascii="幼圆" w:eastAsia="幼圆" w:hAnsi="幼圆" w:cs="幼圆" w:hint="eastAsia"/>
          <w:szCs w:val="24"/>
        </w:rPr>
      </w:pPr>
      <w:r>
        <w:rPr>
          <w:rFonts w:ascii="幼圆" w:eastAsia="幼圆" w:hAnsi="幼圆" w:cs="幼圆" w:hint="eastAsia"/>
          <w:szCs w:val="24"/>
        </w:rPr>
        <w:t>（二）科学性与实用性原则</w:t>
      </w:r>
    </w:p>
    <w:p>
      <w:pPr>
        <w:rPr>
          <w:rFonts w:ascii="幼圆" w:eastAsia="幼圆" w:hAnsi="幼圆" w:cs="幼圆" w:hint="eastAsia"/>
          <w:szCs w:val="24"/>
        </w:rPr>
        <w:sectPr>
          <w:type w:val="nextPage"/>
          <w:pgSz w:w="11906" w:h="16838"/>
          <w:pgMar w:top="1440" w:right="1800" w:bottom="1440" w:left="1800" w:header="851" w:footer="992" w:gutter="0"/>
          <w:pgNumType w:start="5"/>
          <w:cols w:num="1" w:space="425"/>
          <w:titlePg w:val="0"/>
          <w:docGrid w:type="lines" w:linePitch="312" w:charSpace="0"/>
        </w:sectPr>
      </w:pPr>
      <w:r>
        <w:rPr>
          <w:rFonts w:ascii="幼圆" w:eastAsia="幼圆" w:hAnsi="幼圆" w:cs="幼圆" w:hint="eastAsia"/>
          <w:szCs w:val="24"/>
        </w:rPr>
        <w:t xml:space="preserve">  </w:t>
      </w:r>
      <w:r>
        <w:rPr>
          <w:rFonts w:ascii="幼圆" w:eastAsia="幼圆" w:hAnsi="幼圆" w:cs="幼圆" w:hint="eastAsia"/>
          <w:szCs w:val="24"/>
        </w:rPr>
        <w:t xml:space="preserve"> </w:t>
      </w:r>
    </w:p>
    <w:p>
      <w:pPr>
        <w:rPr>
          <w:rFonts w:ascii="幼圆" w:eastAsia="幼圆" w:hAnsi="幼圆" w:cs="幼圆" w:hint="eastAsia"/>
          <w:szCs w:val="24"/>
        </w:rPr>
      </w:pPr>
      <w:r>
        <w:rPr>
          <w:rFonts w:ascii="幼圆" w:eastAsia="幼圆" w:hAnsi="幼圆" w:cs="幼圆" w:hint="eastAsia"/>
          <w:szCs w:val="24"/>
        </w:rPr>
        <w:t xml:space="preserve"> 科学性原则是指，水信息质量评价指标的选取要能够正确体现上市公司水信息披露质量的特征，体现完整性和科学性；在实用性原则的指导下，要根据我国上市公司水信息披露质量的实际情况，对质量评价指标进行筛选，使得水信息质量评价指标对于我国上市公司尤其是高污染类行业的公司具有充分的适用性。</w:t>
      </w:r>
    </w:p>
    <w:p>
      <w:pPr>
        <w:rPr>
          <w:rFonts w:ascii="幼圆" w:eastAsia="幼圆" w:hAnsi="幼圆" w:cs="幼圆" w:hint="eastAsia"/>
          <w:szCs w:val="24"/>
        </w:rPr>
      </w:pPr>
    </w:p>
    <w:p>
      <w:pPr>
        <w:rPr>
          <w:rFonts w:ascii="幼圆" w:eastAsia="幼圆" w:hAnsi="幼圆" w:cs="幼圆" w:hint="eastAsia"/>
          <w:szCs w:val="24"/>
        </w:rPr>
      </w:pPr>
      <w:r>
        <w:rPr>
          <w:rFonts w:ascii="幼圆" w:eastAsia="幼圆" w:hAnsi="幼圆" w:cs="幼圆" w:hint="eastAsia"/>
          <w:szCs w:val="24"/>
        </w:rPr>
        <w:t>（三）可对比性与可量化原则</w:t>
      </w:r>
    </w:p>
    <w:p>
      <w:pPr>
        <w:ind w:firstLine="480"/>
        <w:rPr>
          <w:rFonts w:ascii="幼圆" w:eastAsia="幼圆" w:hAnsi="幼圆" w:cs="幼圆" w:hint="eastAsia"/>
          <w:szCs w:val="24"/>
        </w:rPr>
      </w:pPr>
      <w:r>
        <w:rPr>
          <w:rFonts w:ascii="幼圆" w:eastAsia="幼圆" w:hAnsi="幼圆" w:cs="幼圆" w:hint="eastAsia"/>
          <w:szCs w:val="24"/>
        </w:rPr>
        <w:t>我国上市公司的水信息披露需要确立一个明确的标准，使得水信息具有横向可比性和纵向可比性。横向对比是指相同行业内不同公司之间的对比，而纵向对比是指公司每年都按照统一的披露标准和披露格式。这就意味着，构建一个具有适用性的水信息披露质量评价体系是有必要的。同时，也需要在一定程度上对评价指标进行量化，以确保评价指标的可靠性和可理解性。</w:t>
      </w:r>
    </w:p>
    <w:p>
      <w:pPr>
        <w:ind w:firstLine="480"/>
        <w:rPr>
          <w:rFonts w:ascii="幼圆" w:eastAsia="幼圆" w:hAnsi="幼圆" w:cs="幼圆" w:hint="eastAsia"/>
          <w:szCs w:val="24"/>
        </w:rPr>
      </w:pPr>
    </w:p>
    <w:p>
      <w:pPr>
        <w:pStyle w:val="Heading4"/>
        <w:rPr>
          <w:rFonts w:ascii="幼圆" w:eastAsia="幼圆" w:hAnsi="幼圆" w:cs="幼圆" w:hint="eastAsia"/>
        </w:rPr>
      </w:pPr>
      <w:bookmarkStart w:id="7" w:name="_Toc12891"/>
      <w:r>
        <w:rPr>
          <w:rFonts w:ascii="幼圆" w:eastAsia="幼圆" w:hAnsi="幼圆" w:cs="幼圆" w:hint="eastAsia"/>
        </w:rPr>
        <w:t>2.2 评价指标的确定</w:t>
      </w:r>
      <w:bookmarkEnd w:id="7"/>
    </w:p>
    <w:p>
      <w:pPr>
        <w:ind w:firstLine="480"/>
        <w:rPr>
          <w:rFonts w:ascii="幼圆" w:eastAsia="幼圆" w:hAnsi="幼圆" w:cs="幼圆" w:hint="eastAsia"/>
          <w:szCs w:val="24"/>
        </w:rPr>
      </w:pPr>
      <w:r>
        <w:rPr>
          <w:rFonts w:ascii="幼圆" w:eastAsia="幼圆" w:hAnsi="幼圆" w:cs="幼圆" w:hint="eastAsia"/>
          <w:szCs w:val="24"/>
        </w:rPr>
        <w:t>由于目前国内学术界对水信息披露的质量内容还没有统一且明确的规定，较为具有借鉴意义的是曾辉祥于2017年提出了一种水信息披露指数指标体系，从定性和定量的角度出发，结合我国公司的实际情况，设置了15个定性指标和12个定量指标，共27个指标，见表2-1。</w:t>
      </w:r>
    </w:p>
    <w:p>
      <w:pPr>
        <w:jc w:val="center"/>
        <w:rPr>
          <w:rFonts w:ascii="幼圆" w:eastAsia="幼圆" w:hAnsi="幼圆" w:cs="幼圆" w:hint="eastAsia"/>
          <w:sz w:val="21"/>
          <w:szCs w:val="21"/>
        </w:rPr>
      </w:pPr>
      <w:r>
        <w:rPr>
          <w:rFonts w:ascii="幼圆" w:eastAsia="幼圆" w:hAnsi="幼圆" w:cs="幼圆" w:hint="eastAsia"/>
          <w:sz w:val="21"/>
          <w:szCs w:val="21"/>
        </w:rPr>
        <w:t>表2-1  水信息披露指数指标体系</w:t>
      </w:r>
      <w:r>
        <w:rPr>
          <w:rFonts w:ascii="幼圆" w:eastAsia="幼圆" w:hAnsi="幼圆" w:cs="幼圆" w:hint="eastAsia"/>
          <w:sz w:val="21"/>
          <w:szCs w:val="21"/>
        </w:rPr>
        <w:br/>
      </w:r>
      <w:r>
        <w:rPr>
          <w:rFonts w:ascii="幼圆" w:eastAsia="幼圆" w:hAnsi="幼圆" w:cs="幼圆" w:hint="eastAsia"/>
          <w:sz w:val="21"/>
          <w:szCs w:val="21"/>
        </w:rPr>
        <w:br/>
      </w:r>
    </w:p>
    <w:p>
      <w:pPr>
        <w:widowControl/>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https://d.book118.com/665333042244011124</w:t>
        </w:r>
      </w:hyperlink>
    </w:p>
    <w:p>
      <w:pPr>
        <w:jc w:val="center"/>
        <w:rPr>
          <w:rFonts w:ascii="幼圆" w:eastAsia="幼圆" w:hAnsi="幼圆" w:cs="幼圆" w:hint="eastAsia"/>
          <w:sz w:val="21"/>
          <w:szCs w:val="21"/>
        </w:rPr>
      </w:pPr>
    </w:p>
    <w:sectPr>
      <w:type w:val="nextPage"/>
      <w:pgSz w:w="11906" w:h="16838"/>
      <w:pgMar w:top="1440" w:right="1800" w:bottom="1440" w:left="1800" w:header="851" w:footer="992" w:gutter="0"/>
      <w:pgNumType w:start="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stylePaneFormatFilter w:val="5724" w:allStyles="0" w:alternateStyleNames="0" w:clearFormatting="1" w:customStyles="0" w:directFormattingOnNumbering="1" w:directFormattingOnParagraphs="1" w:directFormattingOnRuns="1" w:directFormattingOnTables="0" w:headingStyles="1" w:latentStyles="1" w:numberingStyles="0" w:stylesInUse="0" w:tableStyles="0" w:top3HeadingStyles="0" w:visibleStyles="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9F3"/>
    <w:rsid w:val="00005F99"/>
    <w:rsid w:val="000061FE"/>
    <w:rsid w:val="00006889"/>
    <w:rsid w:val="00006C7A"/>
    <w:rsid w:val="0001499F"/>
    <w:rsid w:val="00014B79"/>
    <w:rsid w:val="00034793"/>
    <w:rsid w:val="000352F5"/>
    <w:rsid w:val="0003705A"/>
    <w:rsid w:val="0004329A"/>
    <w:rsid w:val="0008302F"/>
    <w:rsid w:val="00086AA6"/>
    <w:rsid w:val="00092E93"/>
    <w:rsid w:val="00096DC6"/>
    <w:rsid w:val="000A1735"/>
    <w:rsid w:val="000A20C0"/>
    <w:rsid w:val="000A20DE"/>
    <w:rsid w:val="000A405E"/>
    <w:rsid w:val="000B30B3"/>
    <w:rsid w:val="000B56E4"/>
    <w:rsid w:val="000C12DB"/>
    <w:rsid w:val="000D09A1"/>
    <w:rsid w:val="000E5429"/>
    <w:rsid w:val="000F1FBB"/>
    <w:rsid w:val="000F7071"/>
    <w:rsid w:val="00105BDF"/>
    <w:rsid w:val="00112AD0"/>
    <w:rsid w:val="00114579"/>
    <w:rsid w:val="0011490E"/>
    <w:rsid w:val="00127E69"/>
    <w:rsid w:val="001345B0"/>
    <w:rsid w:val="001355BB"/>
    <w:rsid w:val="00137177"/>
    <w:rsid w:val="00143510"/>
    <w:rsid w:val="00144664"/>
    <w:rsid w:val="00163A3D"/>
    <w:rsid w:val="001654EE"/>
    <w:rsid w:val="00170C68"/>
    <w:rsid w:val="00173D22"/>
    <w:rsid w:val="00175B3C"/>
    <w:rsid w:val="001842F1"/>
    <w:rsid w:val="00193AB3"/>
    <w:rsid w:val="001972A5"/>
    <w:rsid w:val="001A1A7D"/>
    <w:rsid w:val="001B11AD"/>
    <w:rsid w:val="001B3B4F"/>
    <w:rsid w:val="00200D0C"/>
    <w:rsid w:val="0020259D"/>
    <w:rsid w:val="0020539F"/>
    <w:rsid w:val="00213F9A"/>
    <w:rsid w:val="002168F7"/>
    <w:rsid w:val="002226CD"/>
    <w:rsid w:val="00222DCB"/>
    <w:rsid w:val="00223512"/>
    <w:rsid w:val="002239A3"/>
    <w:rsid w:val="00225D6D"/>
    <w:rsid w:val="002260C0"/>
    <w:rsid w:val="00227117"/>
    <w:rsid w:val="00231299"/>
    <w:rsid w:val="0024122E"/>
    <w:rsid w:val="00241DDB"/>
    <w:rsid w:val="00275F5F"/>
    <w:rsid w:val="00276271"/>
    <w:rsid w:val="00277694"/>
    <w:rsid w:val="00284465"/>
    <w:rsid w:val="00293F96"/>
    <w:rsid w:val="002968FA"/>
    <w:rsid w:val="002A17B6"/>
    <w:rsid w:val="002B0C4D"/>
    <w:rsid w:val="002C1FDE"/>
    <w:rsid w:val="002C3C38"/>
    <w:rsid w:val="002D57D5"/>
    <w:rsid w:val="002F1B3B"/>
    <w:rsid w:val="0030264E"/>
    <w:rsid w:val="00315DFE"/>
    <w:rsid w:val="00323808"/>
    <w:rsid w:val="00332117"/>
    <w:rsid w:val="00334DDD"/>
    <w:rsid w:val="00356881"/>
    <w:rsid w:val="00361CE8"/>
    <w:rsid w:val="0036619B"/>
    <w:rsid w:val="003672AF"/>
    <w:rsid w:val="00370B45"/>
    <w:rsid w:val="00385DDC"/>
    <w:rsid w:val="00393C18"/>
    <w:rsid w:val="003940CD"/>
    <w:rsid w:val="003954FC"/>
    <w:rsid w:val="003974D6"/>
    <w:rsid w:val="003B2031"/>
    <w:rsid w:val="003B3486"/>
    <w:rsid w:val="003C1B4F"/>
    <w:rsid w:val="003C648E"/>
    <w:rsid w:val="003C6C73"/>
    <w:rsid w:val="003C78DD"/>
    <w:rsid w:val="003D7D9B"/>
    <w:rsid w:val="003F3A0F"/>
    <w:rsid w:val="0040404F"/>
    <w:rsid w:val="004047BE"/>
    <w:rsid w:val="0041030D"/>
    <w:rsid w:val="00413BC3"/>
    <w:rsid w:val="0041682B"/>
    <w:rsid w:val="0041795A"/>
    <w:rsid w:val="00422D00"/>
    <w:rsid w:val="00422DCF"/>
    <w:rsid w:val="004303C6"/>
    <w:rsid w:val="004327CD"/>
    <w:rsid w:val="0043659B"/>
    <w:rsid w:val="00442D51"/>
    <w:rsid w:val="00443C5F"/>
    <w:rsid w:val="00454151"/>
    <w:rsid w:val="00454316"/>
    <w:rsid w:val="00457882"/>
    <w:rsid w:val="00467315"/>
    <w:rsid w:val="00471D79"/>
    <w:rsid w:val="0047371F"/>
    <w:rsid w:val="00482B95"/>
    <w:rsid w:val="00483095"/>
    <w:rsid w:val="00485B90"/>
    <w:rsid w:val="00487828"/>
    <w:rsid w:val="00491E24"/>
    <w:rsid w:val="004A0241"/>
    <w:rsid w:val="004A6F4F"/>
    <w:rsid w:val="004A7E63"/>
    <w:rsid w:val="004B02FB"/>
    <w:rsid w:val="004B2E9C"/>
    <w:rsid w:val="004B5EC9"/>
    <w:rsid w:val="004C2FC1"/>
    <w:rsid w:val="004E23FA"/>
    <w:rsid w:val="004E347F"/>
    <w:rsid w:val="004E51F1"/>
    <w:rsid w:val="004F065A"/>
    <w:rsid w:val="004F306D"/>
    <w:rsid w:val="005004CE"/>
    <w:rsid w:val="00502961"/>
    <w:rsid w:val="00502C5A"/>
    <w:rsid w:val="00505349"/>
    <w:rsid w:val="00513C32"/>
    <w:rsid w:val="00527CC8"/>
    <w:rsid w:val="00531BF4"/>
    <w:rsid w:val="00543717"/>
    <w:rsid w:val="0054624E"/>
    <w:rsid w:val="005477E4"/>
    <w:rsid w:val="00550289"/>
    <w:rsid w:val="0055318B"/>
    <w:rsid w:val="00555DDC"/>
    <w:rsid w:val="0055745F"/>
    <w:rsid w:val="00566981"/>
    <w:rsid w:val="00570949"/>
    <w:rsid w:val="0057244F"/>
    <w:rsid w:val="00580E5F"/>
    <w:rsid w:val="005850AD"/>
    <w:rsid w:val="0058529C"/>
    <w:rsid w:val="0059447B"/>
    <w:rsid w:val="00595D18"/>
    <w:rsid w:val="00596231"/>
    <w:rsid w:val="00596306"/>
    <w:rsid w:val="005A73FB"/>
    <w:rsid w:val="005B16EE"/>
    <w:rsid w:val="005B3B98"/>
    <w:rsid w:val="005C550F"/>
    <w:rsid w:val="005C6497"/>
    <w:rsid w:val="005D27E8"/>
    <w:rsid w:val="005D2C87"/>
    <w:rsid w:val="005D44A1"/>
    <w:rsid w:val="005D5129"/>
    <w:rsid w:val="005D5ECF"/>
    <w:rsid w:val="005E2379"/>
    <w:rsid w:val="005E7C29"/>
    <w:rsid w:val="005E7C57"/>
    <w:rsid w:val="005F39F3"/>
    <w:rsid w:val="006039DB"/>
    <w:rsid w:val="00604220"/>
    <w:rsid w:val="0060591D"/>
    <w:rsid w:val="006075A1"/>
    <w:rsid w:val="006119A6"/>
    <w:rsid w:val="0061736D"/>
    <w:rsid w:val="006204DC"/>
    <w:rsid w:val="00631851"/>
    <w:rsid w:val="006346D8"/>
    <w:rsid w:val="00634D34"/>
    <w:rsid w:val="006418E9"/>
    <w:rsid w:val="00642139"/>
    <w:rsid w:val="0064329E"/>
    <w:rsid w:val="00647FCA"/>
    <w:rsid w:val="00664DE3"/>
    <w:rsid w:val="006654B2"/>
    <w:rsid w:val="00687985"/>
    <w:rsid w:val="006A21FF"/>
    <w:rsid w:val="006A4216"/>
    <w:rsid w:val="006B5C2E"/>
    <w:rsid w:val="006B7E91"/>
    <w:rsid w:val="006C0D23"/>
    <w:rsid w:val="006E079C"/>
    <w:rsid w:val="006E721B"/>
    <w:rsid w:val="006F54BA"/>
    <w:rsid w:val="006F77A8"/>
    <w:rsid w:val="00705944"/>
    <w:rsid w:val="007077BC"/>
    <w:rsid w:val="0071355F"/>
    <w:rsid w:val="007459CB"/>
    <w:rsid w:val="007514CE"/>
    <w:rsid w:val="00755CA1"/>
    <w:rsid w:val="007633AE"/>
    <w:rsid w:val="00770D74"/>
    <w:rsid w:val="00783346"/>
    <w:rsid w:val="007909F1"/>
    <w:rsid w:val="00794755"/>
    <w:rsid w:val="007A2078"/>
    <w:rsid w:val="007B4CC3"/>
    <w:rsid w:val="007C1CA5"/>
    <w:rsid w:val="007C2456"/>
    <w:rsid w:val="007C7EC5"/>
    <w:rsid w:val="007D6893"/>
    <w:rsid w:val="007E6C5E"/>
    <w:rsid w:val="007F1058"/>
    <w:rsid w:val="007F208B"/>
    <w:rsid w:val="007F6A50"/>
    <w:rsid w:val="00800136"/>
    <w:rsid w:val="008078E1"/>
    <w:rsid w:val="00811CAF"/>
    <w:rsid w:val="00812650"/>
    <w:rsid w:val="008158D8"/>
    <w:rsid w:val="00831F9F"/>
    <w:rsid w:val="00836D54"/>
    <w:rsid w:val="00847110"/>
    <w:rsid w:val="0085196B"/>
    <w:rsid w:val="00853E99"/>
    <w:rsid w:val="00863D4A"/>
    <w:rsid w:val="008721D4"/>
    <w:rsid w:val="00874F04"/>
    <w:rsid w:val="008836A9"/>
    <w:rsid w:val="00883FE8"/>
    <w:rsid w:val="00884BE3"/>
    <w:rsid w:val="008A6B96"/>
    <w:rsid w:val="008B5025"/>
    <w:rsid w:val="008B7636"/>
    <w:rsid w:val="008B7E74"/>
    <w:rsid w:val="008C379B"/>
    <w:rsid w:val="008D1AAD"/>
    <w:rsid w:val="008D2790"/>
    <w:rsid w:val="008E5417"/>
    <w:rsid w:val="008E6B41"/>
    <w:rsid w:val="008E7BC0"/>
    <w:rsid w:val="009018DE"/>
    <w:rsid w:val="00905255"/>
    <w:rsid w:val="009070A9"/>
    <w:rsid w:val="00920473"/>
    <w:rsid w:val="00920EC7"/>
    <w:rsid w:val="00922149"/>
    <w:rsid w:val="00924C1A"/>
    <w:rsid w:val="009252B2"/>
    <w:rsid w:val="0093339D"/>
    <w:rsid w:val="00940B42"/>
    <w:rsid w:val="00945EE3"/>
    <w:rsid w:val="00953241"/>
    <w:rsid w:val="00955D1A"/>
    <w:rsid w:val="00955DDD"/>
    <w:rsid w:val="00957681"/>
    <w:rsid w:val="009625CB"/>
    <w:rsid w:val="009639DB"/>
    <w:rsid w:val="0098412F"/>
    <w:rsid w:val="0098695B"/>
    <w:rsid w:val="00990E14"/>
    <w:rsid w:val="009A5F97"/>
    <w:rsid w:val="009A60F5"/>
    <w:rsid w:val="009C04A7"/>
    <w:rsid w:val="009D3657"/>
    <w:rsid w:val="009D79E5"/>
    <w:rsid w:val="00A02883"/>
    <w:rsid w:val="00A21D05"/>
    <w:rsid w:val="00A329C2"/>
    <w:rsid w:val="00A32A53"/>
    <w:rsid w:val="00A37590"/>
    <w:rsid w:val="00A45B27"/>
    <w:rsid w:val="00A545AB"/>
    <w:rsid w:val="00A550BE"/>
    <w:rsid w:val="00A618EE"/>
    <w:rsid w:val="00A6704B"/>
    <w:rsid w:val="00A7037C"/>
    <w:rsid w:val="00A71E4A"/>
    <w:rsid w:val="00A8477F"/>
    <w:rsid w:val="00A93C85"/>
    <w:rsid w:val="00AA4AC8"/>
    <w:rsid w:val="00AB2436"/>
    <w:rsid w:val="00AC2229"/>
    <w:rsid w:val="00AC65FF"/>
    <w:rsid w:val="00AD14D0"/>
    <w:rsid w:val="00AE32A5"/>
    <w:rsid w:val="00AE4758"/>
    <w:rsid w:val="00AF1E3A"/>
    <w:rsid w:val="00B01509"/>
    <w:rsid w:val="00B11F40"/>
    <w:rsid w:val="00B138D1"/>
    <w:rsid w:val="00B160F1"/>
    <w:rsid w:val="00B1692B"/>
    <w:rsid w:val="00B17505"/>
    <w:rsid w:val="00B21D99"/>
    <w:rsid w:val="00B22F95"/>
    <w:rsid w:val="00B27569"/>
    <w:rsid w:val="00B358FE"/>
    <w:rsid w:val="00B37EF2"/>
    <w:rsid w:val="00B4059F"/>
    <w:rsid w:val="00B45C39"/>
    <w:rsid w:val="00B53D09"/>
    <w:rsid w:val="00B66895"/>
    <w:rsid w:val="00B66B24"/>
    <w:rsid w:val="00B72472"/>
    <w:rsid w:val="00B9112F"/>
    <w:rsid w:val="00BC0096"/>
    <w:rsid w:val="00BC6620"/>
    <w:rsid w:val="00BC6B94"/>
    <w:rsid w:val="00BD0A4C"/>
    <w:rsid w:val="00BD4C57"/>
    <w:rsid w:val="00BD4CCD"/>
    <w:rsid w:val="00BD4E27"/>
    <w:rsid w:val="00BD6B53"/>
    <w:rsid w:val="00BE24FE"/>
    <w:rsid w:val="00BE784E"/>
    <w:rsid w:val="00BF6736"/>
    <w:rsid w:val="00C049EC"/>
    <w:rsid w:val="00C12AD0"/>
    <w:rsid w:val="00C268E3"/>
    <w:rsid w:val="00C33466"/>
    <w:rsid w:val="00C35F49"/>
    <w:rsid w:val="00C40BFE"/>
    <w:rsid w:val="00C429C0"/>
    <w:rsid w:val="00C44B0C"/>
    <w:rsid w:val="00C5116B"/>
    <w:rsid w:val="00C5244B"/>
    <w:rsid w:val="00C53E98"/>
    <w:rsid w:val="00C6029C"/>
    <w:rsid w:val="00C679DD"/>
    <w:rsid w:val="00C7095B"/>
    <w:rsid w:val="00C86EB8"/>
    <w:rsid w:val="00C87A03"/>
    <w:rsid w:val="00C96697"/>
    <w:rsid w:val="00C97083"/>
    <w:rsid w:val="00CA4263"/>
    <w:rsid w:val="00CA7DC7"/>
    <w:rsid w:val="00CB2DEF"/>
    <w:rsid w:val="00CB6507"/>
    <w:rsid w:val="00CB7FD9"/>
    <w:rsid w:val="00CC5314"/>
    <w:rsid w:val="00CD6ECA"/>
    <w:rsid w:val="00CE1327"/>
    <w:rsid w:val="00CE5173"/>
    <w:rsid w:val="00CE6C37"/>
    <w:rsid w:val="00CF0553"/>
    <w:rsid w:val="00CF293F"/>
    <w:rsid w:val="00D1747E"/>
    <w:rsid w:val="00D208B0"/>
    <w:rsid w:val="00D211FA"/>
    <w:rsid w:val="00D24315"/>
    <w:rsid w:val="00D31206"/>
    <w:rsid w:val="00D31AB9"/>
    <w:rsid w:val="00D33EB9"/>
    <w:rsid w:val="00D33F2B"/>
    <w:rsid w:val="00D65F0E"/>
    <w:rsid w:val="00D746F9"/>
    <w:rsid w:val="00D75221"/>
    <w:rsid w:val="00D771E9"/>
    <w:rsid w:val="00D84BDE"/>
    <w:rsid w:val="00D85239"/>
    <w:rsid w:val="00D85FD8"/>
    <w:rsid w:val="00D92A58"/>
    <w:rsid w:val="00DA4902"/>
    <w:rsid w:val="00DA77B8"/>
    <w:rsid w:val="00DB3143"/>
    <w:rsid w:val="00DB3F8F"/>
    <w:rsid w:val="00DE0738"/>
    <w:rsid w:val="00DE1152"/>
    <w:rsid w:val="00DE1E29"/>
    <w:rsid w:val="00DE25D9"/>
    <w:rsid w:val="00DE671E"/>
    <w:rsid w:val="00DF4FF7"/>
    <w:rsid w:val="00E0488F"/>
    <w:rsid w:val="00E11C55"/>
    <w:rsid w:val="00E21865"/>
    <w:rsid w:val="00E2322D"/>
    <w:rsid w:val="00E26798"/>
    <w:rsid w:val="00E36FD4"/>
    <w:rsid w:val="00E3728B"/>
    <w:rsid w:val="00E67F22"/>
    <w:rsid w:val="00E70901"/>
    <w:rsid w:val="00E8667F"/>
    <w:rsid w:val="00EA6495"/>
    <w:rsid w:val="00EA6DF0"/>
    <w:rsid w:val="00EC28AD"/>
    <w:rsid w:val="00EC3D71"/>
    <w:rsid w:val="00EC54FF"/>
    <w:rsid w:val="00EC5E24"/>
    <w:rsid w:val="00ED1049"/>
    <w:rsid w:val="00ED2E51"/>
    <w:rsid w:val="00ED6396"/>
    <w:rsid w:val="00ED719E"/>
    <w:rsid w:val="00EE05E4"/>
    <w:rsid w:val="00EE15DA"/>
    <w:rsid w:val="00EE322B"/>
    <w:rsid w:val="00EE37F0"/>
    <w:rsid w:val="00EE42A1"/>
    <w:rsid w:val="00EF15A1"/>
    <w:rsid w:val="00EF1DAE"/>
    <w:rsid w:val="00EF3298"/>
    <w:rsid w:val="00EF5625"/>
    <w:rsid w:val="00EF6EB0"/>
    <w:rsid w:val="00EF7517"/>
    <w:rsid w:val="00F073AB"/>
    <w:rsid w:val="00F16170"/>
    <w:rsid w:val="00F21C93"/>
    <w:rsid w:val="00F251DF"/>
    <w:rsid w:val="00F253DE"/>
    <w:rsid w:val="00F26FEE"/>
    <w:rsid w:val="00F53066"/>
    <w:rsid w:val="00F605AD"/>
    <w:rsid w:val="00F62EDF"/>
    <w:rsid w:val="00F63176"/>
    <w:rsid w:val="00F7036A"/>
    <w:rsid w:val="00F74576"/>
    <w:rsid w:val="00F82A42"/>
    <w:rsid w:val="00F84EAA"/>
    <w:rsid w:val="00FA212C"/>
    <w:rsid w:val="00FB0E49"/>
    <w:rsid w:val="00FB1990"/>
    <w:rsid w:val="00FC32F9"/>
    <w:rsid w:val="00FC6050"/>
    <w:rsid w:val="00FC7010"/>
    <w:rsid w:val="00FD22E5"/>
    <w:rsid w:val="00FD7F07"/>
    <w:rsid w:val="00FE46E0"/>
    <w:rsid w:val="00FE4EB8"/>
    <w:rsid w:val="00FE517F"/>
    <w:rsid w:val="00FF1BBD"/>
    <w:rsid w:val="7A3E3AD6"/>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line="360" w:lineRule="auto"/>
      <w:jc w:val="both"/>
    </w:pPr>
    <w:rPr>
      <w:rFonts w:asciiTheme="minorHAnsi" w:eastAsiaTheme="minorEastAsia" w:hAnsiTheme="minorHAnsi" w:cstheme="minorBidi"/>
      <w:kern w:val="2"/>
      <w:sz w:val="24"/>
      <w:szCs w:val="22"/>
      <w:lang w:val="en-US" w:eastAsia="zh-CN" w:bidi="ar-SA"/>
    </w:rPr>
  </w:style>
  <w:style w:type="paragraph" w:styleId="Heading1">
    <w:name w:val="heading 1"/>
    <w:next w:val="Normal"/>
    <w:link w:val="1Char"/>
    <w:uiPriority w:val="9"/>
    <w:qFormat/>
    <w:pPr>
      <w:keepNext/>
      <w:keepLines/>
      <w:pBdr>
        <w:bottom w:val="single" w:sz="8" w:space="0" w:color="DBE5F1" w:themeColor="accent1" w:themeTint="33"/>
      </w:pBdr>
      <w:spacing w:after="200" w:line="300" w:lineRule="auto"/>
      <w:outlineLvl w:val="0"/>
    </w:pPr>
    <w:rPr>
      <w:rFonts w:eastAsia="Microsoft YaHei UI" w:asciiTheme="majorHAnsi" w:hAnsiTheme="majorHAnsi" w:cstheme="majorBidi"/>
      <w:color w:val="4F81BD" w:themeColor="accent1"/>
      <w:kern w:val="0"/>
      <w:sz w:val="36"/>
      <w:szCs w:val="36"/>
      <w:lang w:val="en-US" w:eastAsia="ja-JP" w:bidi="ar-SA"/>
      <w14:textFill>
        <w14:solidFill>
          <w14:schemeClr w14:val="accent1"/>
        </w14:solidFill>
      </w14:textFill>
    </w:rPr>
  </w:style>
  <w:style w:type="paragraph" w:styleId="Heading2">
    <w:name w:val="heading 2"/>
    <w:next w:val="Normal"/>
    <w:link w:val="2Char"/>
    <w:uiPriority w:val="9"/>
    <w:unhideWhenUsed/>
    <w:qFormat/>
    <w:pPr>
      <w:keepNext/>
      <w:keepLines/>
      <w:spacing w:before="120" w:after="120"/>
      <w:outlineLvl w:val="1"/>
    </w:pPr>
    <w:rPr>
      <w:rFonts w:eastAsia="Microsoft YaHei UI" w:asciiTheme="minorHAnsi" w:hAnsiTheme="minorHAnsi" w:cstheme="minorBidi"/>
      <w:b/>
      <w:bCs/>
      <w:color w:val="1F497D" w:themeColor="text2"/>
      <w:kern w:val="0"/>
      <w:sz w:val="26"/>
      <w:szCs w:val="26"/>
      <w:lang w:val="en-US" w:eastAsia="ja-JP" w:bidi="ar-SA"/>
      <w14:textFill>
        <w14:solidFill>
          <w14:schemeClr w14:val="tx2"/>
        </w14:solidFill>
      </w14:textFill>
    </w:rPr>
  </w:style>
  <w:style w:type="paragraph" w:styleId="Heading3">
    <w:name w:val="heading 3"/>
    <w:basedOn w:val="Normal"/>
    <w:next w:val="Normal"/>
    <w:link w:val="3Char"/>
    <w:uiPriority w:val="9"/>
    <w:unhideWhenUsed/>
    <w:qFormat/>
    <w:pPr>
      <w:keepNext/>
      <w:keepLines/>
      <w:spacing w:before="80" w:after="80"/>
      <w:outlineLvl w:val="2"/>
    </w:pPr>
    <w:rPr>
      <w:b/>
      <w:bCs/>
      <w:sz w:val="32"/>
      <w:szCs w:val="32"/>
    </w:rPr>
  </w:style>
  <w:style w:type="paragraph" w:styleId="Heading4">
    <w:name w:val="heading 4"/>
    <w:basedOn w:val="Normal"/>
    <w:next w:val="Normal"/>
    <w:link w:val="4Char"/>
    <w:autoRedefine/>
    <w:uiPriority w:val="9"/>
    <w:unhideWhenUsed/>
    <w:qFormat/>
    <w:pPr>
      <w:keepNext/>
      <w:keepLines/>
      <w:spacing w:before="60" w:after="60"/>
      <w:outlineLvl w:val="3"/>
    </w:pPr>
    <w:rPr>
      <w:rFonts w:asciiTheme="majorHAnsi" w:eastAsiaTheme="majorEastAsia" w:hAnsiTheme="majorHAnsi" w:cstheme="majorBidi"/>
      <w:b/>
      <w:bCs/>
      <w:sz w:val="30"/>
      <w:szCs w:val="28"/>
    </w:rPr>
  </w:style>
  <w:style w:type="paragraph" w:styleId="Heading5">
    <w:name w:val="heading 5"/>
    <w:basedOn w:val="Normal"/>
    <w:next w:val="Normal"/>
    <w:link w:val="5Char"/>
    <w:uiPriority w:val="9"/>
    <w:unhideWhenUsed/>
    <w:qFormat/>
    <w:pPr>
      <w:keepNext/>
      <w:keepLines/>
      <w:spacing w:before="40" w:after="40"/>
      <w:outlineLvl w:val="4"/>
    </w:pPr>
    <w:rPr>
      <w:b/>
      <w:bCs/>
      <w:sz w:val="28"/>
      <w:szCs w:val="28"/>
    </w:rPr>
  </w:style>
  <w:style w:type="paragraph" w:styleId="Heading6">
    <w:name w:val="heading 6"/>
    <w:basedOn w:val="Normal"/>
    <w:next w:val="Normal"/>
    <w:link w:val="6Char"/>
    <w:uiPriority w:val="9"/>
    <w:unhideWhenUsed/>
    <w:qFormat/>
    <w:pPr>
      <w:keepNext/>
      <w:keepLines/>
      <w:spacing w:before="240" w:after="64" w:line="320" w:lineRule="auto"/>
      <w:outlineLvl w:val="5"/>
    </w:pPr>
    <w:rPr>
      <w:rFonts w:asciiTheme="majorHAnsi" w:eastAsiaTheme="majorEastAsia" w:hAnsiTheme="majorHAnsi" w:cstheme="majorBidi"/>
      <w:b/>
      <w:bCs/>
      <w:szCs w:val="24"/>
    </w:rPr>
  </w:style>
  <w:style w:type="character" w:default="1" w:styleId="DefaultParagraphFont">
    <w:name w:val="Default Paragraph Font"/>
    <w:uiPriority w:val="1"/>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5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DefaultParagraphFont"/>
    <w:link w:val="Heading1"/>
    <w:autoRedefine/>
    <w:uiPriority w:val="9"/>
    <w:rPr>
      <w:rFonts w:eastAsia="Microsoft YaHei UI" w:asciiTheme="majorHAnsi" w:hAnsiTheme="majorHAnsi" w:cstheme="majorBidi"/>
      <w:color w:val="4F81BD" w:themeColor="accent1"/>
      <w:kern w:val="0"/>
      <w:sz w:val="36"/>
      <w:szCs w:val="36"/>
      <w:lang w:eastAsia="ja-JP"/>
      <w14:textFill>
        <w14:solidFill>
          <w14:schemeClr w14:val="accent1"/>
        </w14:solidFill>
      </w14:textFill>
    </w:rPr>
  </w:style>
  <w:style w:type="character" w:customStyle="1" w:styleId="2Char">
    <w:name w:val="标题 2 Char"/>
    <w:basedOn w:val="DefaultParagraphFont"/>
    <w:link w:val="Heading2"/>
    <w:autoRedefine/>
    <w:uiPriority w:val="9"/>
    <w:qFormat/>
    <w:rPr>
      <w:rFonts w:eastAsia="Microsoft YaHei UI"/>
      <w:b/>
      <w:bCs/>
      <w:color w:val="1F497D" w:themeColor="text2"/>
      <w:kern w:val="0"/>
      <w:sz w:val="26"/>
      <w:szCs w:val="26"/>
      <w:lang w:eastAsia="ja-JP"/>
      <w14:textFill>
        <w14:solidFill>
          <w14:schemeClr w14:val="tx2"/>
        </w14:solidFill>
      </w14:textFill>
    </w:rPr>
  </w:style>
  <w:style w:type="character" w:customStyle="1" w:styleId="Char">
    <w:name w:val="页眉 Char"/>
    <w:basedOn w:val="DefaultParagraphFont"/>
    <w:link w:val="Header"/>
    <w:autoRedefine/>
    <w:uiPriority w:val="99"/>
    <w:rPr>
      <w:sz w:val="18"/>
      <w:szCs w:val="18"/>
    </w:rPr>
  </w:style>
  <w:style w:type="character" w:customStyle="1" w:styleId="Char0">
    <w:name w:val="页脚 Char"/>
    <w:basedOn w:val="DefaultParagraphFont"/>
    <w:link w:val="Footer"/>
    <w:uiPriority w:val="99"/>
    <w:rPr>
      <w:sz w:val="18"/>
      <w:szCs w:val="18"/>
    </w:rPr>
  </w:style>
  <w:style w:type="character" w:customStyle="1" w:styleId="Char1">
    <w:name w:val="批注框文本 Char"/>
    <w:basedOn w:val="DefaultParagraphFont"/>
    <w:link w:val="BalloonText"/>
    <w:uiPriority w:val="99"/>
    <w:semiHidden/>
    <w:rPr>
      <w:sz w:val="18"/>
      <w:szCs w:val="18"/>
    </w:rPr>
  </w:style>
  <w:style w:type="character" w:customStyle="1" w:styleId="3Char">
    <w:name w:val="标题 3 Char"/>
    <w:basedOn w:val="DefaultParagraphFont"/>
    <w:link w:val="Heading3"/>
    <w:autoRedefine/>
    <w:uiPriority w:val="9"/>
    <w:rPr>
      <w:b/>
      <w:bCs/>
      <w:sz w:val="32"/>
      <w:szCs w:val="32"/>
    </w:rPr>
  </w:style>
  <w:style w:type="character" w:customStyle="1" w:styleId="4Char">
    <w:name w:val="标题 4 Char"/>
    <w:basedOn w:val="DefaultParagraphFont"/>
    <w:link w:val="Heading4"/>
    <w:uiPriority w:val="9"/>
    <w:rPr>
      <w:rFonts w:asciiTheme="majorHAnsi" w:eastAsiaTheme="majorEastAsia" w:hAnsiTheme="majorHAnsi" w:cstheme="majorBidi"/>
      <w:b/>
      <w:bCs/>
      <w:sz w:val="30"/>
      <w:szCs w:val="28"/>
    </w:rPr>
  </w:style>
  <w:style w:type="character" w:customStyle="1" w:styleId="5Char">
    <w:name w:val="标题 5 Char"/>
    <w:basedOn w:val="DefaultParagraphFont"/>
    <w:link w:val="Heading5"/>
    <w:uiPriority w:val="9"/>
    <w:qFormat/>
    <w:rPr>
      <w:b/>
      <w:bCs/>
      <w:sz w:val="28"/>
      <w:szCs w:val="28"/>
    </w:rPr>
  </w:style>
  <w:style w:type="character" w:customStyle="1" w:styleId="6Char">
    <w:name w:val="标题 6 Char"/>
    <w:basedOn w:val="DefaultParagraphFont"/>
    <w:link w:val="Heading6"/>
    <w:uiPriority w:val="9"/>
    <w:rPr>
      <w:rFonts w:asciiTheme="majorHAnsi" w:eastAsiaTheme="majorEastAsia" w:hAnsiTheme="majorHAnsi" w:cstheme="majorBidi"/>
      <w:b/>
      <w:bCs/>
      <w:sz w:val="24"/>
      <w:szCs w:val="24"/>
    </w:rPr>
  </w:style>
  <w:style w:type="paragraph" w:customStyle="1" w:styleId="WPSOffice1">
    <w:name w:val="WPSOffice手动目录 1"/>
    <w:pPr>
      <w:ind w:leftChars="0"/>
    </w:pPr>
    <w:rPr>
      <w:sz w:val="20"/>
      <w:szCs w:val="20"/>
    </w:rPr>
  </w:style>
  <w:style w:type="paragraph" w:customStyle="1" w:styleId="WPSOffice2">
    <w:name w:val="WPSOffice手动目录 2"/>
    <w:pPr>
      <w:ind w:leftChars="20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6533304224401112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28D0E-CE82-4C59-8EDA-9A8AD4DC6B5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2499</Words>
  <Characters>14246</Characters>
  <Application>Microsoft Office Word</Application>
  <DocSecurity>0</DocSecurity>
  <Lines>118</Lines>
  <Paragraphs>33</Paragraphs>
  <ScaleCrop>false</ScaleCrop>
  <Company/>
  <LinksUpToDate>false</LinksUpToDate>
  <CharactersWithSpaces>16712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ABEEL</cp:lastModifiedBy>
  <cp:revision>359</cp:revision>
  <dcterms:created xsi:type="dcterms:W3CDTF">2021-04-03T14:52:00Z</dcterms:created>
  <dcterms:modified xsi:type="dcterms:W3CDTF">2024-03-19T11:51:51Z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BC76B86C3C5B4E2D89E494CA068F272D_13</vt:lpwstr>
  </property>
  <property fmtid="{D5CDD505-2E9C-101B-9397-08002B2CF9AE}" pid="3" name="KSOProductBuildVer">
    <vt:lpwstr>2052-12.1.0.16388</vt:lpwstr>
  </property>
</Properties>
</file>