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放射性核素遥控后装机行业相关公司筹备报告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_Toc19227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(一)、放射性核素遥控后装机项目选址原则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3" w:history="1">
        <w:r>
          <w:rPr>
            <w:rFonts w:ascii="仿宋" w:eastAsia="仿宋" w:hAnsi="仿宋" w:cs="仿宋" w:hint="eastAsia"/>
            <w:lang w:eastAsia="zh-CN"/>
          </w:rPr>
          <w:t>(五)、放射性核素遥控后装机项目选址综合评价</w:t>
        </w:r>
        <w:r>
          <w:tab/>
        </w:r>
        <w:r>
          <w:fldChar w:fldCharType="begin"/>
        </w:r>
        <w:r>
          <w:instrText xml:space="preserve"> PAGEREF _Toc20333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1" w:history="1">
        <w:r>
          <w:rPr>
            <w:rFonts w:ascii="仿宋" w:eastAsia="仿宋" w:hAnsi="仿宋" w:cs="仿宋" w:hint="eastAsia"/>
            <w:lang w:eastAsia="zh-CN"/>
          </w:rPr>
          <w:t>三、放射性核素遥控后装机筹建公司基本信息</w:t>
        </w:r>
        <w:r>
          <w:tab/>
        </w:r>
        <w:r>
          <w:fldChar w:fldCharType="begin"/>
        </w:r>
        <w:r>
          <w:instrText xml:space="preserve"> PAGEREF _Toc8991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_Toc28023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_Toc24740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_Toc19223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五、放射性核素遥控后装机项目概况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_Toc28353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(二)、放射性核素遥控后装机项目提出的理由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(三)、放射性核素遥控后装机项目选址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(六)、放射性核素遥控后装机项目投资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(七)、放射性核素遥控后装机项目进度规划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(九)、放射性核素遥控后装机项目综合评价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(一)、放射性核素遥控后装机项目进度安排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(二)、放射性核素遥控后装机项目实施保障措施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_Toc32670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_Toc5250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_Toc24154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_Toc27756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(一)、放射性核素遥控后装机项目背景分析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(二)、放射性核素遥控后装机项目建设必要性分析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(五)、放射性核素遥控后装机项目总投资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十、放射性核素遥控后装机项目经济效益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_Toc13638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(三)、放射性核素遥控后装机项目盈利能力分析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_Toc28430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_Toc12963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_Toc4674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_Toc21853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(二)、合作放射性核素遥控后装机项目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十四、放射性核素遥控后装机项目总结分析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4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2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https://d.book118.com/666023153115010042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6023153115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2024-01-20T04:22:00Z</dcterms:created>
  <dcterms:modified xsi:type="dcterms:W3CDTF">2024-01-20T04:22:44Z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4517887410044FB5959359E1B365ACA8_11</vt:lpwstr>
  </property>
  <property fmtid="{D5CDD505-2E9C-101B-9397-08002B2CF9AE}" pid="3" name="KSOProductBuildVer">
    <vt:lpwstr>2052-12.1.0.16120</vt:lpwstr>
  </property>
</Properties>
</file>