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30" w:line="254" w:lineRule="auto"/>
        <w:ind w:left="1155" w:right="956" w:firstLine="0"/>
        <w:jc w:val="center"/>
        <w:rPr>
          <w:rFonts w:ascii="Microsoft JhengHei" w:eastAsia="Microsoft JhengHei" w:hAnsi="Microsoft JhengHei"/>
          <w:b/>
          <w:sz w:val="48"/>
        </w:rPr>
      </w:pPr>
      <w:r>
        <w:rPr>
          <w:rFonts w:ascii="Microsoft JhengHei" w:eastAsia="Microsoft JhengHei" w:hAnsi="Microsoft JhengHei"/>
          <w:b/>
          <w:spacing w:val="-18"/>
          <w:sz w:val="48"/>
        </w:rPr>
        <w:t>“DW09 工程”中ft</w:t>
      </w:r>
      <w:r>
        <w:rPr>
          <w:rFonts w:ascii="Microsoft JhengHei" w:eastAsia="Microsoft JhengHei" w:hAnsi="Microsoft JhengHei"/>
          <w:b/>
          <w:spacing w:val="-18"/>
          <w:sz w:val="48"/>
        </w:rPr>
        <w:t>后台系统升级扩容</w:t>
      </w:r>
      <w:r>
        <w:rPr>
          <w:rFonts w:ascii="Microsoft JhengHei" w:eastAsia="Microsoft JhengHei" w:hAnsi="Microsoft JhengHei"/>
          <w:b/>
          <w:spacing w:val="-4"/>
          <w:sz w:val="48"/>
        </w:rPr>
        <w:t>采购项目</w:t>
      </w:r>
    </w:p>
    <w:p>
      <w:pPr>
        <w:spacing w:before="113"/>
        <w:ind w:left="1153" w:right="956" w:firstLine="0"/>
        <w:jc w:val="center"/>
        <w:rPr>
          <w:rFonts w:ascii="Microsoft JhengHei" w:eastAsia="Microsoft JhengHei"/>
          <w:b/>
          <w:sz w:val="36"/>
        </w:rPr>
      </w:pPr>
      <w:r>
        <w:rPr>
          <w:rFonts w:ascii="Microsoft JhengHei" w:eastAsia="Microsoft JhengHei"/>
          <w:b/>
          <w:sz w:val="36"/>
        </w:rPr>
        <w:t>（招标编号</w:t>
      </w:r>
      <w:r>
        <w:rPr>
          <w:rFonts w:ascii="Microsoft JhengHei" w:eastAsia="Microsoft JhengHei"/>
          <w:b/>
          <w:spacing w:val="-2"/>
          <w:w w:val="90"/>
          <w:sz w:val="36"/>
        </w:rPr>
        <w:t>：ZZ21421116）</w:t>
      </w:r>
    </w:p>
    <w:p>
      <w:pPr>
        <w:pStyle w:val="BodyText"/>
        <w:rPr>
          <w:rFonts w:ascii="Microsoft JhengHei"/>
          <w:b/>
          <w:sz w:val="36"/>
        </w:rPr>
      </w:pPr>
    </w:p>
    <w:p>
      <w:pPr>
        <w:pStyle w:val="BodyText"/>
        <w:spacing w:before="11"/>
        <w:rPr>
          <w:rFonts w:ascii="Microsoft JhengHei"/>
          <w:b/>
        </w:rPr>
      </w:pPr>
    </w:p>
    <w:p>
      <w:pPr>
        <w:spacing w:before="1"/>
        <w:ind w:left="1151" w:right="956" w:firstLine="0"/>
        <w:jc w:val="center"/>
        <w:rPr>
          <w:rFonts w:ascii="Microsoft JhengHei" w:eastAsia="Microsoft JhengHei"/>
          <w:b/>
          <w:sz w:val="84"/>
        </w:rPr>
      </w:pPr>
      <w:r>
        <w:rPr>
          <w:rFonts w:ascii="Microsoft JhengHei" w:eastAsia="Microsoft JhengHei"/>
          <w:b/>
          <w:spacing w:val="-2"/>
          <w:sz w:val="84"/>
        </w:rPr>
        <w:t>招  标  文  件</w:t>
      </w:r>
    </w:p>
    <w:p>
      <w:pPr>
        <w:pStyle w:val="BodyText"/>
        <w:rPr>
          <w:rFonts w:ascii="Microsoft JhengHei"/>
          <w:b/>
          <w:sz w:val="84"/>
        </w:rPr>
      </w:pPr>
    </w:p>
    <w:p>
      <w:pPr>
        <w:pStyle w:val="BodyText"/>
        <w:rPr>
          <w:rFonts w:ascii="Microsoft JhengHei"/>
          <w:b/>
          <w:sz w:val="84"/>
        </w:rPr>
      </w:pPr>
    </w:p>
    <w:p>
      <w:pPr>
        <w:pStyle w:val="BodyText"/>
        <w:rPr>
          <w:rFonts w:ascii="Microsoft JhengHei"/>
          <w:b/>
          <w:sz w:val="84"/>
        </w:rPr>
      </w:pPr>
    </w:p>
    <w:p>
      <w:pPr>
        <w:pStyle w:val="BodyText"/>
        <w:spacing w:before="9"/>
        <w:rPr>
          <w:rFonts w:ascii="Microsoft JhengHei"/>
          <w:b/>
          <w:sz w:val="47"/>
        </w:rPr>
      </w:pPr>
    </w:p>
    <w:p>
      <w:pPr>
        <w:spacing w:before="0" w:line="254" w:lineRule="auto"/>
        <w:ind w:left="3466" w:right="3266" w:firstLine="0"/>
        <w:jc w:val="center"/>
        <w:rPr>
          <w:rFonts w:ascii="Microsoft JhengHei" w:eastAsia="Microsoft JhengHei"/>
          <w:b/>
          <w:sz w:val="32"/>
        </w:rPr>
      </w:pPr>
      <w:r>
        <w:rPr>
          <w:rFonts w:ascii="Microsoft JhengHei" w:eastAsia="Microsoft JhengHei"/>
          <w:b/>
          <w:spacing w:val="-2"/>
          <w:sz w:val="32"/>
        </w:rPr>
        <w:t>广东志正招标有限公司</w:t>
      </w:r>
      <w:r>
        <w:rPr>
          <w:rFonts w:ascii="Microsoft JhengHei" w:eastAsia="Microsoft JhengHei"/>
          <w:b/>
          <w:spacing w:val="-2"/>
          <w:sz w:val="32"/>
        </w:rPr>
        <w:t>二〇一四年七月</w:t>
      </w:r>
    </w:p>
    <w:p>
      <w:pPr>
        <w:spacing w:after="0" w:line="254" w:lineRule="auto"/>
        <w:jc w:val="center"/>
        <w:rPr>
          <w:rFonts w:ascii="Microsoft JhengHei" w:eastAsia="Microsoft JhengHei"/>
          <w:sz w:val="32"/>
        </w:rPr>
        <w:sectPr>
          <w:type w:val="continuous"/>
          <w:pgSz w:w="11910" w:h="16840"/>
          <w:pgMar w:top="1920" w:right="1079" w:bottom="280" w:left="880" w:header="708" w:footer="708"/>
          <w:cols w:space="708"/>
        </w:sectPr>
      </w:pPr>
    </w:p>
    <w:p>
      <w:pPr>
        <w:tabs>
          <w:tab w:val="left" w:pos="1485"/>
        </w:tabs>
        <w:spacing w:before="0" w:line="736" w:lineRule="exact"/>
        <w:ind w:left="0" w:right="209" w:firstLine="0"/>
        <w:jc w:val="center"/>
        <w:rPr>
          <w:rFonts w:ascii="Microsoft JhengHei" w:eastAsia="Microsoft JhengHei"/>
          <w:b/>
          <w:sz w:val="44"/>
        </w:rPr>
      </w:pPr>
      <w:r>
        <w:rPr>
          <w:rFonts w:ascii="Microsoft JhengHei" w:eastAsia="Microsoft JhengHei"/>
          <w:b/>
          <w:spacing w:val="-10"/>
          <w:sz w:val="44"/>
        </w:rPr>
        <w:t>目</w:t>
      </w:r>
      <w:r>
        <w:rPr>
          <w:rFonts w:ascii="Microsoft JhengHei" w:eastAsia="Microsoft JhengHei"/>
          <w:b/>
          <w:sz w:val="44"/>
        </w:rPr>
        <w:tab/>
      </w:r>
      <w:r>
        <w:rPr>
          <w:rFonts w:ascii="Microsoft JhengHei" w:eastAsia="Microsoft JhengHei"/>
          <w:b/>
          <w:spacing w:val="-10"/>
          <w:sz w:val="44"/>
        </w:rPr>
        <w:t>录</w:t>
      </w:r>
    </w:p>
    <w:sdt>
      <w:sdtPr>
        <w:id w:val="1572114373"/>
        <w:docPartObj>
          <w:docPartGallery w:val="Table of Contents"/>
          <w:docPartUnique/>
        </w:docPartObj>
      </w:sdtPr>
      <w:sdtContent>
        <w:p>
          <w:pPr>
            <w:pStyle w:val="TOC1"/>
            <w:tabs>
              <w:tab w:val="right" w:leader="dot" w:pos="9712"/>
            </w:tabs>
            <w:spacing w:before="268"/>
            <w:rPr>
              <w:rFonts w:ascii="Times New Roman" w:eastAsia="Times New Roman"/>
            </w:rPr>
          </w:pPr>
          <w:hyperlink w:anchor="_bookmark0" w:history="1">
            <w:r>
              <w:t>第一部分</w:t>
            </w:r>
            <w:r>
              <w:rPr>
                <w:spacing w:val="78"/>
                <w:w w:val="150"/>
              </w:rPr>
              <w:t xml:space="preserve"> </w:t>
            </w:r>
            <w:r>
              <w:t xml:space="preserve">投 标 邀 请 </w:t>
            </w:r>
            <w:r>
              <w:rPr>
                <w:spacing w:val="-10"/>
              </w:rPr>
              <w:t>函</w:t>
            </w:r>
            <w:r>
              <w:rPr>
                <w:rFonts w:ascii="Times New Roman" w:eastAsia="Times New Roman"/>
                <w:b w:val="0"/>
              </w:rPr>
              <w:tab/>
            </w:r>
            <w:r>
              <w:rPr>
                <w:rFonts w:ascii="Times New Roman" w:eastAsia="Times New Roman"/>
                <w:spacing w:val="-10"/>
              </w:rPr>
              <w:t>2</w:t>
            </w:r>
          </w:hyperlink>
        </w:p>
        <w:p>
          <w:pPr>
            <w:pStyle w:val="TOC1"/>
            <w:tabs>
              <w:tab w:val="right" w:leader="dot" w:pos="9712"/>
            </w:tabs>
            <w:spacing w:line="360" w:lineRule="exact"/>
            <w:rPr>
              <w:rFonts w:ascii="Times New Roman" w:eastAsia="Times New Roman"/>
            </w:rPr>
          </w:pPr>
          <w:hyperlink w:anchor="_TOC_250032" w:history="1">
            <w:r>
              <w:t>第二部分</w:t>
            </w:r>
            <w:r>
              <w:rPr>
                <w:spacing w:val="78"/>
                <w:w w:val="150"/>
              </w:rPr>
              <w:t xml:space="preserve"> </w:t>
            </w:r>
            <w:r>
              <w:t xml:space="preserve">用 户 需 求 </w:t>
            </w:r>
            <w:r>
              <w:rPr>
                <w:spacing w:val="-10"/>
              </w:rPr>
              <w:t>书</w:t>
            </w:r>
            <w:r>
              <w:rPr>
                <w:rFonts w:ascii="Times New Roman" w:eastAsia="Times New Roman"/>
                <w:b w:val="0"/>
              </w:rPr>
              <w:tab/>
            </w:r>
            <w:r>
              <w:rPr>
                <w:rFonts w:ascii="Times New Roman" w:eastAsia="Times New Roman"/>
                <w:spacing w:val="-10"/>
              </w:rPr>
              <w:t>6</w:t>
            </w:r>
          </w:hyperlink>
        </w:p>
        <w:p>
          <w:pPr>
            <w:pStyle w:val="TOC1"/>
            <w:tabs>
              <w:tab w:val="right" w:leader="dot" w:pos="9712"/>
            </w:tabs>
            <w:rPr>
              <w:rFonts w:ascii="Times New Roman" w:eastAsia="Times New Roman"/>
            </w:rPr>
          </w:pPr>
          <w:hyperlink w:anchor="_TOC_250031" w:history="1">
            <w:r>
              <w:t>第三部分</w:t>
            </w:r>
            <w:r>
              <w:rPr>
                <w:spacing w:val="78"/>
                <w:w w:val="150"/>
              </w:rPr>
              <w:t xml:space="preserve"> </w:t>
            </w:r>
            <w:r>
              <w:t xml:space="preserve">投 标 人 须 </w:t>
            </w:r>
            <w:r>
              <w:rPr>
                <w:spacing w:val="-10"/>
              </w:rPr>
              <w:t>知</w:t>
            </w:r>
            <w:r>
              <w:rPr>
                <w:rFonts w:ascii="Times New Roman" w:eastAsia="Times New Roman"/>
                <w:b w:val="0"/>
              </w:rPr>
              <w:tab/>
            </w:r>
            <w:r>
              <w:rPr>
                <w:rFonts w:ascii="Times New Roman" w:eastAsia="Times New Roman"/>
                <w:spacing w:val="-5"/>
              </w:rPr>
              <w:t>24</w:t>
            </w:r>
          </w:hyperlink>
        </w:p>
        <w:p>
          <w:pPr>
            <w:pStyle w:val="TOC2"/>
            <w:tabs>
              <w:tab w:val="right" w:leader="dot" w:pos="9712"/>
            </w:tabs>
            <w:spacing w:before="43"/>
            <w:rPr>
              <w:rFonts w:ascii="Times New Roman" w:eastAsia="Times New Roman"/>
            </w:rPr>
          </w:pPr>
          <w:hyperlink w:anchor="_TOC_250030" w:history="1">
            <w:r>
              <w:t xml:space="preserve">（一）总 </w:t>
            </w:r>
            <w:r>
              <w:rPr>
                <w:spacing w:val="-10"/>
              </w:rPr>
              <w:t>则</w:t>
            </w:r>
            <w:r>
              <w:rPr>
                <w:rFonts w:ascii="Times New Roman" w:eastAsia="Times New Roman"/>
              </w:rPr>
              <w:tab/>
            </w:r>
            <w:r>
              <w:rPr>
                <w:rFonts w:ascii="Times New Roman" w:eastAsia="Times New Roman"/>
                <w:spacing w:val="-5"/>
              </w:rPr>
              <w:t>25</w:t>
            </w:r>
          </w:hyperlink>
        </w:p>
        <w:p>
          <w:pPr>
            <w:pStyle w:val="TOC2"/>
            <w:tabs>
              <w:tab w:val="right" w:leader="dot" w:pos="9712"/>
            </w:tabs>
            <w:rPr>
              <w:rFonts w:ascii="Times New Roman" w:eastAsia="Times New Roman"/>
            </w:rPr>
          </w:pPr>
          <w:hyperlink w:anchor="_TOC_250029" w:history="1">
            <w:r>
              <w:t>（二）招标文</w:t>
            </w:r>
            <w:r>
              <w:rPr>
                <w:spacing w:val="-10"/>
              </w:rPr>
              <w:t>件</w:t>
            </w:r>
            <w:r>
              <w:rPr>
                <w:rFonts w:ascii="Times New Roman" w:eastAsia="Times New Roman"/>
              </w:rPr>
              <w:tab/>
            </w:r>
            <w:r>
              <w:rPr>
                <w:rFonts w:ascii="Times New Roman" w:eastAsia="Times New Roman"/>
                <w:spacing w:val="-5"/>
              </w:rPr>
              <w:t>28</w:t>
            </w:r>
          </w:hyperlink>
        </w:p>
        <w:p>
          <w:pPr>
            <w:pStyle w:val="TOC2"/>
            <w:tabs>
              <w:tab w:val="right" w:leader="dot" w:pos="9712"/>
            </w:tabs>
            <w:rPr>
              <w:rFonts w:ascii="Times New Roman" w:eastAsia="Times New Roman"/>
            </w:rPr>
          </w:pPr>
          <w:hyperlink w:anchor="_TOC_250028" w:history="1">
            <w:r>
              <w:t>（三）投标文件的编</w:t>
            </w:r>
            <w:r>
              <w:rPr>
                <w:spacing w:val="-10"/>
              </w:rPr>
              <w:t>制</w:t>
            </w:r>
            <w:r>
              <w:rPr>
                <w:rFonts w:ascii="Times New Roman" w:eastAsia="Times New Roman"/>
              </w:rPr>
              <w:tab/>
            </w:r>
            <w:r>
              <w:rPr>
                <w:rFonts w:ascii="Times New Roman" w:eastAsia="Times New Roman"/>
                <w:spacing w:val="-5"/>
              </w:rPr>
              <w:t>30</w:t>
            </w:r>
          </w:hyperlink>
        </w:p>
        <w:p>
          <w:pPr>
            <w:pStyle w:val="TOC2"/>
            <w:tabs>
              <w:tab w:val="right" w:leader="dot" w:pos="9712"/>
            </w:tabs>
            <w:rPr>
              <w:rFonts w:ascii="Times New Roman" w:eastAsia="Times New Roman"/>
            </w:rPr>
          </w:pPr>
          <w:hyperlink w:anchor="_TOC_250027" w:history="1">
            <w:r>
              <w:t>（四）投标文件的递</w:t>
            </w:r>
            <w:r>
              <w:rPr>
                <w:spacing w:val="-10"/>
              </w:rPr>
              <w:t>交</w:t>
            </w:r>
            <w:r>
              <w:rPr>
                <w:rFonts w:ascii="Times New Roman" w:eastAsia="Times New Roman"/>
              </w:rPr>
              <w:tab/>
            </w:r>
            <w:r>
              <w:rPr>
                <w:rFonts w:ascii="Times New Roman" w:eastAsia="Times New Roman"/>
                <w:spacing w:val="-5"/>
              </w:rPr>
              <w:t>35</w:t>
            </w:r>
          </w:hyperlink>
        </w:p>
        <w:p>
          <w:pPr>
            <w:pStyle w:val="TOC2"/>
            <w:tabs>
              <w:tab w:val="right" w:leader="dot" w:pos="9712"/>
            </w:tabs>
            <w:rPr>
              <w:rFonts w:ascii="Times New Roman" w:eastAsia="Times New Roman"/>
            </w:rPr>
          </w:pPr>
          <w:hyperlink w:anchor="_TOC_250026" w:history="1">
            <w:r>
              <w:t>（五）开标与评</w:t>
            </w:r>
            <w:r>
              <w:rPr>
                <w:spacing w:val="-10"/>
              </w:rPr>
              <w:t>标</w:t>
            </w:r>
            <w:r>
              <w:rPr>
                <w:rFonts w:ascii="Times New Roman" w:eastAsia="Times New Roman"/>
              </w:rPr>
              <w:tab/>
            </w:r>
            <w:r>
              <w:rPr>
                <w:rFonts w:ascii="Times New Roman" w:eastAsia="Times New Roman"/>
                <w:spacing w:val="-5"/>
              </w:rPr>
              <w:t>37</w:t>
            </w:r>
          </w:hyperlink>
        </w:p>
        <w:p>
          <w:pPr>
            <w:pStyle w:val="TOC2"/>
            <w:tabs>
              <w:tab w:val="right" w:leader="dot" w:pos="9712"/>
            </w:tabs>
            <w:rPr>
              <w:rFonts w:ascii="Times New Roman" w:eastAsia="Times New Roman"/>
            </w:rPr>
          </w:pPr>
          <w:hyperlink w:anchor="_TOC_250025" w:history="1">
            <w:r>
              <w:t>（六）授予合</w:t>
            </w:r>
            <w:r>
              <w:rPr>
                <w:spacing w:val="-10"/>
              </w:rPr>
              <w:t>同</w:t>
            </w:r>
            <w:r>
              <w:rPr>
                <w:rFonts w:ascii="Times New Roman" w:eastAsia="Times New Roman"/>
              </w:rPr>
              <w:tab/>
            </w:r>
            <w:r>
              <w:rPr>
                <w:rFonts w:ascii="Times New Roman" w:eastAsia="Times New Roman"/>
                <w:spacing w:val="-5"/>
              </w:rPr>
              <w:t>45</w:t>
            </w:r>
          </w:hyperlink>
        </w:p>
        <w:p>
          <w:pPr>
            <w:pStyle w:val="TOC1"/>
            <w:tabs>
              <w:tab w:val="right" w:leader="dot" w:pos="9712"/>
            </w:tabs>
            <w:spacing w:before="22"/>
            <w:rPr>
              <w:rFonts w:ascii="Times New Roman" w:eastAsia="Times New Roman"/>
            </w:rPr>
          </w:pPr>
          <w:hyperlink w:anchor="_TOC_250024" w:history="1">
            <w:r>
              <w:t>第四部分</w:t>
            </w:r>
            <w:r>
              <w:rPr>
                <w:spacing w:val="78"/>
                <w:w w:val="150"/>
              </w:rPr>
              <w:t xml:space="preserve"> </w:t>
            </w:r>
            <w:r>
              <w:t xml:space="preserve">合 同 书 格 </w:t>
            </w:r>
            <w:r>
              <w:rPr>
                <w:spacing w:val="-10"/>
              </w:rPr>
              <w:t>式</w:t>
            </w:r>
            <w:r>
              <w:rPr>
                <w:rFonts w:ascii="Times New Roman" w:eastAsia="Times New Roman"/>
                <w:b w:val="0"/>
              </w:rPr>
              <w:tab/>
            </w:r>
            <w:r>
              <w:rPr>
                <w:rFonts w:ascii="Times New Roman" w:eastAsia="Times New Roman"/>
                <w:spacing w:val="-5"/>
              </w:rPr>
              <w:t>51</w:t>
            </w:r>
          </w:hyperlink>
        </w:p>
        <w:p>
          <w:pPr>
            <w:pStyle w:val="TOC1"/>
            <w:tabs>
              <w:tab w:val="right" w:leader="dot" w:pos="9712"/>
            </w:tabs>
            <w:spacing w:line="360" w:lineRule="exact"/>
            <w:rPr>
              <w:rFonts w:ascii="Times New Roman" w:eastAsia="Times New Roman"/>
            </w:rPr>
          </w:pPr>
          <w:hyperlink w:anchor="_TOC_250023" w:history="1">
            <w:r>
              <w:t>第五部分</w:t>
            </w:r>
            <w:r>
              <w:rPr>
                <w:spacing w:val="78"/>
                <w:w w:val="150"/>
              </w:rPr>
              <w:t xml:space="preserve"> </w:t>
            </w:r>
            <w:r>
              <w:t>投标文件格</w:t>
            </w:r>
            <w:r>
              <w:rPr>
                <w:spacing w:val="-10"/>
              </w:rPr>
              <w:t>式</w:t>
            </w:r>
            <w:r>
              <w:rPr>
                <w:rFonts w:ascii="Times New Roman" w:eastAsia="Times New Roman"/>
                <w:b w:val="0"/>
              </w:rPr>
              <w:tab/>
            </w:r>
            <w:r>
              <w:rPr>
                <w:rFonts w:ascii="Times New Roman" w:eastAsia="Times New Roman"/>
                <w:spacing w:val="-5"/>
              </w:rPr>
              <w:t>66</w:t>
            </w:r>
          </w:hyperlink>
        </w:p>
        <w:p>
          <w:pPr>
            <w:pStyle w:val="TOC1"/>
            <w:tabs>
              <w:tab w:val="right" w:leader="dot" w:pos="9712"/>
            </w:tabs>
            <w:rPr>
              <w:rFonts w:ascii="Times New Roman" w:eastAsia="Times New Roman"/>
            </w:rPr>
          </w:pPr>
          <w:hyperlink w:anchor="_TOC_250022" w:history="1">
            <w:r>
              <w:t>自查</w:t>
            </w:r>
            <w:r>
              <w:rPr>
                <w:spacing w:val="-10"/>
              </w:rPr>
              <w:t>表</w:t>
            </w:r>
            <w:r>
              <w:rPr>
                <w:rFonts w:ascii="Times New Roman" w:eastAsia="Times New Roman"/>
                <w:b w:val="0"/>
              </w:rPr>
              <w:tab/>
            </w:r>
            <w:r>
              <w:rPr>
                <w:rFonts w:ascii="Times New Roman" w:eastAsia="Times New Roman"/>
                <w:spacing w:val="-5"/>
              </w:rPr>
              <w:t>67</w:t>
            </w:r>
          </w:hyperlink>
        </w:p>
        <w:p>
          <w:pPr>
            <w:pStyle w:val="TOC2"/>
            <w:numPr>
              <w:ilvl w:val="0"/>
              <w:numId w:val="88"/>
            </w:numPr>
            <w:tabs>
              <w:tab w:val="left" w:pos="637"/>
              <w:tab w:val="right" w:leader="dot" w:pos="9712"/>
            </w:tabs>
            <w:spacing w:before="43" w:after="0" w:line="240" w:lineRule="auto"/>
            <w:ind w:left="637" w:right="0" w:hanging="210"/>
            <w:jc w:val="left"/>
            <w:rPr>
              <w:rFonts w:ascii="Times New Roman" w:eastAsia="Times New Roman"/>
            </w:rPr>
          </w:pPr>
          <w:hyperlink w:anchor="_TOC_250021" w:history="1">
            <w:r>
              <w:t>商务评审自查</w:t>
            </w:r>
            <w:r>
              <w:rPr>
                <w:spacing w:val="-10"/>
              </w:rPr>
              <w:t>表</w:t>
            </w:r>
            <w:r>
              <w:rPr>
                <w:rFonts w:ascii="Times New Roman" w:eastAsia="Times New Roman"/>
              </w:rPr>
              <w:tab/>
            </w:r>
            <w:r>
              <w:rPr>
                <w:rFonts w:ascii="Times New Roman" w:eastAsia="Times New Roman"/>
                <w:spacing w:val="-5"/>
              </w:rPr>
              <w:t>67</w:t>
            </w:r>
          </w:hyperlink>
        </w:p>
        <w:p>
          <w:pPr>
            <w:pStyle w:val="TOC2"/>
            <w:numPr>
              <w:ilvl w:val="0"/>
              <w:numId w:val="88"/>
            </w:numPr>
            <w:tabs>
              <w:tab w:val="left" w:pos="637"/>
              <w:tab w:val="right" w:leader="dot" w:pos="9712"/>
            </w:tabs>
            <w:spacing w:before="91" w:after="0" w:line="240" w:lineRule="auto"/>
            <w:ind w:left="637" w:right="0" w:hanging="210"/>
            <w:jc w:val="left"/>
            <w:rPr>
              <w:rFonts w:ascii="Times New Roman" w:eastAsia="Times New Roman"/>
            </w:rPr>
          </w:pPr>
          <w:hyperlink w:anchor="_TOC_250020" w:history="1">
            <w:r>
              <w:t>技术评审自查</w:t>
            </w:r>
            <w:r>
              <w:rPr>
                <w:spacing w:val="-10"/>
              </w:rPr>
              <w:t>表</w:t>
            </w:r>
            <w:r>
              <w:rPr>
                <w:rFonts w:ascii="Times New Roman" w:eastAsia="Times New Roman"/>
              </w:rPr>
              <w:tab/>
            </w:r>
            <w:r>
              <w:rPr>
                <w:rFonts w:ascii="Times New Roman" w:eastAsia="Times New Roman"/>
                <w:spacing w:val="-5"/>
              </w:rPr>
              <w:t>67</w:t>
            </w:r>
          </w:hyperlink>
        </w:p>
        <w:p>
          <w:pPr>
            <w:pStyle w:val="TOC1"/>
            <w:tabs>
              <w:tab w:val="right" w:leader="dot" w:pos="9712"/>
            </w:tabs>
            <w:spacing w:before="21" w:line="240" w:lineRule="auto"/>
            <w:rPr>
              <w:rFonts w:ascii="Times New Roman" w:eastAsia="Times New Roman"/>
            </w:rPr>
          </w:pPr>
          <w:hyperlink w:anchor="_TOC_250019" w:history="1">
            <w:r>
              <w:t xml:space="preserve">商 务 </w:t>
            </w:r>
            <w:r>
              <w:rPr>
                <w:spacing w:val="-10"/>
              </w:rPr>
              <w:t>篇</w:t>
            </w:r>
            <w:r>
              <w:rPr>
                <w:rFonts w:ascii="Times New Roman" w:eastAsia="Times New Roman"/>
                <w:b w:val="0"/>
              </w:rPr>
              <w:tab/>
            </w:r>
            <w:r>
              <w:rPr>
                <w:rFonts w:ascii="Times New Roman" w:eastAsia="Times New Roman"/>
                <w:spacing w:val="-5"/>
              </w:rPr>
              <w:t>68</w:t>
            </w:r>
          </w:hyperlink>
        </w:p>
        <w:p>
          <w:pPr>
            <w:pStyle w:val="TOC2"/>
            <w:tabs>
              <w:tab w:val="right" w:leader="dot" w:pos="9712"/>
            </w:tabs>
            <w:spacing w:before="44"/>
            <w:rPr>
              <w:rFonts w:ascii="Times New Roman" w:eastAsia="Times New Roman"/>
            </w:rPr>
          </w:pPr>
          <w:hyperlink w:anchor="_TOC_250018" w:history="1">
            <w:r>
              <w:t>表</w:t>
            </w:r>
            <w:r>
              <w:rPr>
                <w:spacing w:val="-53"/>
              </w:rPr>
              <w:t xml:space="preserve"> </w:t>
            </w:r>
            <w:r>
              <w:rPr>
                <w:rFonts w:ascii="Times New Roman" w:eastAsia="Times New Roman"/>
              </w:rPr>
              <w:t>5-1</w:t>
            </w:r>
            <w:r>
              <w:rPr>
                <w:rFonts w:ascii="Times New Roman" w:eastAsia="Times New Roman"/>
                <w:spacing w:val="52"/>
              </w:rPr>
              <w:t xml:space="preserve"> </w:t>
            </w:r>
            <w:r>
              <w:t>投标</w:t>
            </w:r>
            <w:r>
              <w:rPr>
                <w:spacing w:val="-10"/>
              </w:rPr>
              <w:t>函</w:t>
            </w:r>
            <w:r>
              <w:rPr>
                <w:rFonts w:ascii="Times New Roman" w:eastAsia="Times New Roman"/>
              </w:rPr>
              <w:tab/>
            </w:r>
            <w:r>
              <w:rPr>
                <w:rFonts w:ascii="Times New Roman" w:eastAsia="Times New Roman"/>
                <w:spacing w:val="-5"/>
              </w:rPr>
              <w:t>69</w:t>
            </w:r>
          </w:hyperlink>
        </w:p>
        <w:p>
          <w:pPr>
            <w:pStyle w:val="TOC2"/>
            <w:tabs>
              <w:tab w:val="right" w:leader="dot" w:pos="9712"/>
            </w:tabs>
            <w:rPr>
              <w:rFonts w:ascii="Times New Roman" w:eastAsia="Times New Roman"/>
            </w:rPr>
          </w:pPr>
          <w:hyperlink w:anchor="_TOC_250017" w:history="1">
            <w:r>
              <w:t>表</w:t>
            </w:r>
            <w:r>
              <w:rPr>
                <w:spacing w:val="-53"/>
              </w:rPr>
              <w:t xml:space="preserve"> </w:t>
            </w:r>
            <w:r>
              <w:rPr>
                <w:rFonts w:ascii="Times New Roman" w:eastAsia="Times New Roman"/>
              </w:rPr>
              <w:t>5-2</w:t>
            </w:r>
            <w:r>
              <w:rPr>
                <w:rFonts w:ascii="Times New Roman" w:eastAsia="Times New Roman"/>
                <w:spacing w:val="52"/>
              </w:rPr>
              <w:t xml:space="preserve"> </w:t>
            </w:r>
            <w:r>
              <w:t>法定代表人证明书</w:t>
            </w:r>
            <w:r>
              <w:rPr>
                <w:rFonts w:ascii="Times New Roman" w:eastAsia="Times New Roman"/>
              </w:rPr>
              <w:t>/</w:t>
            </w:r>
            <w:r>
              <w:t>法定代表人授权</w:t>
            </w:r>
            <w:r>
              <w:rPr>
                <w:spacing w:val="-10"/>
              </w:rPr>
              <w:t>书</w:t>
            </w:r>
            <w:r>
              <w:rPr>
                <w:rFonts w:ascii="Times New Roman" w:eastAsia="Times New Roman"/>
              </w:rPr>
              <w:tab/>
            </w:r>
            <w:r>
              <w:rPr>
                <w:rFonts w:ascii="Times New Roman" w:eastAsia="Times New Roman"/>
                <w:spacing w:val="-5"/>
              </w:rPr>
              <w:t>70</w:t>
            </w:r>
          </w:hyperlink>
        </w:p>
        <w:p>
          <w:pPr>
            <w:pStyle w:val="TOC2"/>
            <w:tabs>
              <w:tab w:val="right" w:leader="dot" w:pos="9712"/>
            </w:tabs>
            <w:spacing w:before="90"/>
            <w:rPr>
              <w:rFonts w:ascii="Times New Roman" w:eastAsia="Times New Roman"/>
            </w:rPr>
          </w:pPr>
          <w:hyperlink w:anchor="_TOC_250016" w:history="1">
            <w:r>
              <w:t>表</w:t>
            </w:r>
            <w:r>
              <w:rPr>
                <w:spacing w:val="-53"/>
              </w:rPr>
              <w:t xml:space="preserve"> </w:t>
            </w:r>
            <w:r>
              <w:rPr>
                <w:rFonts w:ascii="Times New Roman" w:eastAsia="Times New Roman"/>
              </w:rPr>
              <w:t>5-3</w:t>
            </w:r>
            <w:r>
              <w:rPr>
                <w:rFonts w:ascii="Times New Roman" w:eastAsia="Times New Roman"/>
                <w:spacing w:val="52"/>
              </w:rPr>
              <w:t xml:space="preserve"> </w:t>
            </w:r>
            <w:r>
              <w:t>中小企业声明函（投标供应商为中小企业时适用</w:t>
            </w:r>
            <w:r>
              <w:rPr>
                <w:spacing w:val="-10"/>
              </w:rPr>
              <w:t>）</w:t>
            </w:r>
            <w:r>
              <w:rPr>
                <w:rFonts w:ascii="Times New Roman" w:eastAsia="Times New Roman"/>
              </w:rPr>
              <w:tab/>
            </w:r>
            <w:r>
              <w:rPr>
                <w:rFonts w:ascii="Times New Roman" w:eastAsia="Times New Roman"/>
                <w:spacing w:val="-5"/>
              </w:rPr>
              <w:t>72</w:t>
            </w:r>
          </w:hyperlink>
        </w:p>
        <w:p>
          <w:pPr>
            <w:pStyle w:val="TOC2"/>
            <w:tabs>
              <w:tab w:val="right" w:leader="dot" w:pos="9712"/>
            </w:tabs>
            <w:rPr>
              <w:rFonts w:ascii="Times New Roman" w:eastAsia="Times New Roman"/>
            </w:rPr>
          </w:pPr>
          <w:hyperlink w:anchor="_TOC_250015" w:history="1">
            <w:r>
              <w:t>表</w:t>
            </w:r>
            <w:r>
              <w:rPr>
                <w:spacing w:val="-53"/>
              </w:rPr>
              <w:t xml:space="preserve"> </w:t>
            </w:r>
            <w:r>
              <w:rPr>
                <w:rFonts w:ascii="Times New Roman" w:eastAsia="Times New Roman"/>
              </w:rPr>
              <w:t>5-4</w:t>
            </w:r>
            <w:r>
              <w:rPr>
                <w:rFonts w:ascii="Times New Roman" w:eastAsia="Times New Roman"/>
                <w:spacing w:val="52"/>
              </w:rPr>
              <w:t xml:space="preserve"> </w:t>
            </w:r>
            <w:r>
              <w:t>开标一览</w:t>
            </w:r>
            <w:r>
              <w:rPr>
                <w:spacing w:val="-10"/>
              </w:rPr>
              <w:t>表</w:t>
            </w:r>
            <w:r>
              <w:rPr>
                <w:rFonts w:ascii="Times New Roman" w:eastAsia="Times New Roman"/>
              </w:rPr>
              <w:tab/>
            </w:r>
            <w:r>
              <w:rPr>
                <w:rFonts w:ascii="Times New Roman" w:eastAsia="Times New Roman"/>
                <w:spacing w:val="-5"/>
              </w:rPr>
              <w:t>73</w:t>
            </w:r>
          </w:hyperlink>
        </w:p>
        <w:p>
          <w:pPr>
            <w:pStyle w:val="TOC2"/>
            <w:tabs>
              <w:tab w:val="right" w:leader="dot" w:pos="9712"/>
            </w:tabs>
            <w:rPr>
              <w:rFonts w:ascii="Times New Roman" w:eastAsia="Times New Roman"/>
            </w:rPr>
          </w:pPr>
          <w:hyperlink w:anchor="_TOC_250014" w:history="1">
            <w:r>
              <w:t>表</w:t>
            </w:r>
            <w:r>
              <w:rPr>
                <w:spacing w:val="-53"/>
              </w:rPr>
              <w:t xml:space="preserve"> </w:t>
            </w:r>
            <w:r>
              <w:rPr>
                <w:rFonts w:ascii="Times New Roman" w:eastAsia="Times New Roman"/>
              </w:rPr>
              <w:t>5-5</w:t>
            </w:r>
            <w:r>
              <w:rPr>
                <w:rFonts w:ascii="Times New Roman" w:eastAsia="Times New Roman"/>
                <w:spacing w:val="52"/>
              </w:rPr>
              <w:t xml:space="preserve"> </w:t>
            </w:r>
            <w:r>
              <w:t>详细报价清</w:t>
            </w:r>
            <w:r>
              <w:rPr>
                <w:spacing w:val="-10"/>
              </w:rPr>
              <w:t>单</w:t>
            </w:r>
            <w:r>
              <w:rPr>
                <w:rFonts w:ascii="Times New Roman" w:eastAsia="Times New Roman"/>
              </w:rPr>
              <w:tab/>
            </w:r>
            <w:r>
              <w:rPr>
                <w:rFonts w:ascii="Times New Roman" w:eastAsia="Times New Roman"/>
                <w:spacing w:val="-5"/>
              </w:rPr>
              <w:t>74</w:t>
            </w:r>
          </w:hyperlink>
        </w:p>
        <w:p>
          <w:pPr>
            <w:pStyle w:val="TOC2"/>
            <w:tabs>
              <w:tab w:val="right" w:leader="dot" w:pos="9712"/>
            </w:tabs>
            <w:rPr>
              <w:rFonts w:ascii="Times New Roman" w:eastAsia="Times New Roman"/>
            </w:rPr>
          </w:pPr>
          <w:hyperlink w:anchor="_TOC_250013" w:history="1">
            <w:r>
              <w:t>表</w:t>
            </w:r>
            <w:r>
              <w:rPr>
                <w:spacing w:val="-53"/>
              </w:rPr>
              <w:t xml:space="preserve"> </w:t>
            </w:r>
            <w:r>
              <w:rPr>
                <w:rFonts w:ascii="Times New Roman" w:eastAsia="Times New Roman"/>
              </w:rPr>
              <w:t>5-6</w:t>
            </w:r>
            <w:r>
              <w:rPr>
                <w:rFonts w:ascii="Times New Roman" w:eastAsia="Times New Roman"/>
                <w:spacing w:val="52"/>
              </w:rPr>
              <w:t xml:space="preserve"> </w:t>
            </w:r>
            <w:r>
              <w:t>投标商务响应与招标文件差异一览</w:t>
            </w:r>
            <w:r>
              <w:rPr>
                <w:spacing w:val="-10"/>
              </w:rPr>
              <w:t>表</w:t>
            </w:r>
            <w:r>
              <w:rPr>
                <w:rFonts w:ascii="Times New Roman" w:eastAsia="Times New Roman"/>
              </w:rPr>
              <w:tab/>
            </w:r>
            <w:r>
              <w:rPr>
                <w:rFonts w:ascii="Times New Roman" w:eastAsia="Times New Roman"/>
                <w:spacing w:val="-5"/>
              </w:rPr>
              <w:t>76</w:t>
            </w:r>
          </w:hyperlink>
        </w:p>
        <w:p>
          <w:pPr>
            <w:pStyle w:val="TOC2"/>
            <w:tabs>
              <w:tab w:val="right" w:leader="dot" w:pos="9712"/>
            </w:tabs>
            <w:rPr>
              <w:rFonts w:ascii="Times New Roman" w:eastAsia="Times New Roman"/>
            </w:rPr>
          </w:pPr>
          <w:hyperlink w:anchor="_TOC_250012" w:history="1">
            <w:r>
              <w:t>表</w:t>
            </w:r>
            <w:r>
              <w:rPr>
                <w:spacing w:val="-53"/>
              </w:rPr>
              <w:t xml:space="preserve"> </w:t>
            </w:r>
            <w:r>
              <w:rPr>
                <w:rFonts w:ascii="Times New Roman" w:eastAsia="Times New Roman"/>
              </w:rPr>
              <w:t>5-7</w:t>
            </w:r>
            <w:r>
              <w:rPr>
                <w:rFonts w:ascii="Times New Roman" w:eastAsia="Times New Roman"/>
                <w:spacing w:val="52"/>
              </w:rPr>
              <w:t xml:space="preserve"> </w:t>
            </w:r>
            <w:r>
              <w:t>重要指标响应</w:t>
            </w:r>
            <w:r>
              <w:rPr>
                <w:spacing w:val="-10"/>
              </w:rPr>
              <w:t>表</w:t>
            </w:r>
            <w:r>
              <w:rPr>
                <w:rFonts w:ascii="Times New Roman" w:eastAsia="Times New Roman"/>
              </w:rPr>
              <w:tab/>
            </w:r>
            <w:r>
              <w:rPr>
                <w:rFonts w:ascii="Times New Roman" w:eastAsia="Times New Roman"/>
                <w:spacing w:val="-5"/>
              </w:rPr>
              <w:t>77</w:t>
            </w:r>
          </w:hyperlink>
        </w:p>
        <w:p>
          <w:pPr>
            <w:pStyle w:val="TOC2"/>
            <w:tabs>
              <w:tab w:val="right" w:leader="dot" w:pos="9712"/>
            </w:tabs>
            <w:rPr>
              <w:rFonts w:ascii="Times New Roman" w:eastAsia="Times New Roman"/>
            </w:rPr>
          </w:pPr>
          <w:hyperlink w:anchor="_TOC_250011" w:history="1">
            <w:r>
              <w:t>表</w:t>
            </w:r>
            <w:r>
              <w:rPr>
                <w:spacing w:val="-53"/>
              </w:rPr>
              <w:t xml:space="preserve"> </w:t>
            </w:r>
            <w:r>
              <w:rPr>
                <w:rFonts w:ascii="Times New Roman" w:eastAsia="Times New Roman"/>
              </w:rPr>
              <w:t>5-8</w:t>
            </w:r>
            <w:r>
              <w:rPr>
                <w:rFonts w:ascii="Times New Roman" w:eastAsia="Times New Roman"/>
                <w:spacing w:val="52"/>
              </w:rPr>
              <w:t xml:space="preserve"> </w:t>
            </w:r>
            <w:r>
              <w:t>投标人基本情</w:t>
            </w:r>
            <w:r>
              <w:rPr>
                <w:spacing w:val="-10"/>
              </w:rPr>
              <w:t>况</w:t>
            </w:r>
            <w:r>
              <w:rPr>
                <w:rFonts w:ascii="Times New Roman" w:eastAsia="Times New Roman"/>
              </w:rPr>
              <w:tab/>
            </w:r>
            <w:r>
              <w:rPr>
                <w:rFonts w:ascii="Times New Roman" w:eastAsia="Times New Roman"/>
                <w:spacing w:val="-5"/>
              </w:rPr>
              <w:t>78</w:t>
            </w:r>
          </w:hyperlink>
        </w:p>
        <w:p>
          <w:pPr>
            <w:pStyle w:val="TOC2"/>
            <w:tabs>
              <w:tab w:val="right" w:leader="dot" w:pos="9712"/>
            </w:tabs>
            <w:rPr>
              <w:rFonts w:ascii="Times New Roman" w:eastAsia="Times New Roman"/>
            </w:rPr>
          </w:pPr>
          <w:hyperlink w:anchor="_TOC_250010" w:history="1">
            <w:r>
              <w:t>表</w:t>
            </w:r>
            <w:r>
              <w:rPr>
                <w:spacing w:val="-53"/>
              </w:rPr>
              <w:t xml:space="preserve"> </w:t>
            </w:r>
            <w:r>
              <w:rPr>
                <w:rFonts w:ascii="Times New Roman" w:eastAsia="Times New Roman"/>
              </w:rPr>
              <w:t xml:space="preserve">5-9 </w:t>
            </w:r>
            <w:r>
              <w:t>项目负责人</w:t>
            </w:r>
            <w:r>
              <w:rPr>
                <w:rFonts w:ascii="Times New Roman" w:eastAsia="Times New Roman"/>
              </w:rPr>
              <w:t>/</w:t>
            </w:r>
            <w:r>
              <w:t>项目经理</w:t>
            </w:r>
            <w:r>
              <w:rPr>
                <w:rFonts w:ascii="Times New Roman" w:eastAsia="Times New Roman"/>
              </w:rPr>
              <w:t>/</w:t>
            </w:r>
            <w:r>
              <w:t>技术负责人简历</w:t>
            </w:r>
            <w:r>
              <w:rPr>
                <w:spacing w:val="-10"/>
              </w:rPr>
              <w:t>表</w:t>
            </w:r>
            <w:r>
              <w:rPr>
                <w:rFonts w:ascii="Times New Roman" w:eastAsia="Times New Roman"/>
              </w:rPr>
              <w:tab/>
            </w:r>
            <w:r>
              <w:rPr>
                <w:rFonts w:ascii="Times New Roman" w:eastAsia="Times New Roman"/>
                <w:spacing w:val="-5"/>
              </w:rPr>
              <w:t>81</w:t>
            </w:r>
          </w:hyperlink>
        </w:p>
        <w:p>
          <w:pPr>
            <w:pStyle w:val="TOC2"/>
            <w:tabs>
              <w:tab w:val="right" w:leader="dot" w:pos="9712"/>
            </w:tabs>
            <w:rPr>
              <w:rFonts w:ascii="Times New Roman" w:eastAsia="Times New Roman"/>
            </w:rPr>
          </w:pPr>
          <w:hyperlink w:anchor="_TOC_250009" w:history="1">
            <w:r>
              <w:t>表</w:t>
            </w:r>
            <w:r>
              <w:rPr>
                <w:spacing w:val="-53"/>
              </w:rPr>
              <w:t xml:space="preserve"> </w:t>
            </w:r>
            <w:r>
              <w:rPr>
                <w:rFonts w:ascii="Times New Roman" w:eastAsia="Times New Roman"/>
              </w:rPr>
              <w:t>5-10</w:t>
            </w:r>
            <w:r>
              <w:rPr>
                <w:rFonts w:ascii="Times New Roman" w:eastAsia="Times New Roman"/>
                <w:spacing w:val="52"/>
              </w:rPr>
              <w:t xml:space="preserve"> </w:t>
            </w:r>
            <w:r>
              <w:t>售后服务情况</w:t>
            </w:r>
            <w:r>
              <w:rPr>
                <w:spacing w:val="-10"/>
              </w:rPr>
              <w:t>表</w:t>
            </w:r>
            <w:r>
              <w:rPr>
                <w:rFonts w:ascii="Times New Roman" w:eastAsia="Times New Roman"/>
              </w:rPr>
              <w:tab/>
            </w:r>
            <w:r>
              <w:rPr>
                <w:rFonts w:ascii="Times New Roman" w:eastAsia="Times New Roman"/>
                <w:spacing w:val="-5"/>
              </w:rPr>
              <w:t>82</w:t>
            </w:r>
          </w:hyperlink>
        </w:p>
        <w:p>
          <w:pPr>
            <w:pStyle w:val="TOC2"/>
            <w:tabs>
              <w:tab w:val="right" w:leader="dot" w:pos="9712"/>
            </w:tabs>
            <w:rPr>
              <w:rFonts w:ascii="Times New Roman" w:eastAsia="Times New Roman"/>
            </w:rPr>
          </w:pPr>
          <w:hyperlink w:anchor="_TOC_250008" w:history="1">
            <w:r>
              <w:t>表</w:t>
            </w:r>
            <w:r>
              <w:rPr>
                <w:spacing w:val="-53"/>
              </w:rPr>
              <w:t xml:space="preserve"> </w:t>
            </w:r>
            <w:r>
              <w:rPr>
                <w:rFonts w:ascii="Times New Roman" w:eastAsia="Times New Roman"/>
              </w:rPr>
              <w:t xml:space="preserve">5-11 </w:t>
            </w:r>
            <w:r>
              <w:t>拟为本项目实施主要人员情况</w:t>
            </w:r>
            <w:r>
              <w:rPr>
                <w:spacing w:val="-10"/>
              </w:rPr>
              <w:t>表</w:t>
            </w:r>
            <w:r>
              <w:rPr>
                <w:rFonts w:ascii="Times New Roman" w:eastAsia="Times New Roman"/>
              </w:rPr>
              <w:tab/>
            </w:r>
            <w:r>
              <w:rPr>
                <w:rFonts w:ascii="Times New Roman" w:eastAsia="Times New Roman"/>
                <w:spacing w:val="-5"/>
              </w:rPr>
              <w:t>83</w:t>
            </w:r>
          </w:hyperlink>
        </w:p>
        <w:p>
          <w:pPr>
            <w:pStyle w:val="TOC2"/>
            <w:tabs>
              <w:tab w:val="right" w:leader="dot" w:pos="9712"/>
            </w:tabs>
            <w:rPr>
              <w:rFonts w:ascii="Times New Roman" w:eastAsia="Times New Roman"/>
            </w:rPr>
          </w:pPr>
          <w:hyperlink w:anchor="_TOC_250007" w:history="1">
            <w:r>
              <w:t>表</w:t>
            </w:r>
            <w:r>
              <w:rPr>
                <w:spacing w:val="-53"/>
              </w:rPr>
              <w:t xml:space="preserve"> </w:t>
            </w:r>
            <w:r>
              <w:rPr>
                <w:rFonts w:ascii="Times New Roman" w:eastAsia="Times New Roman"/>
              </w:rPr>
              <w:t>5-12 2010</w:t>
            </w:r>
            <w:r>
              <w:rPr>
                <w:rFonts w:ascii="Times New Roman" w:eastAsia="Times New Roman"/>
                <w:spacing w:val="-11"/>
              </w:rPr>
              <w:t xml:space="preserve"> </w:t>
            </w:r>
            <w:r>
              <w:t>年以来完成的同类项目一览</w:t>
            </w:r>
            <w:r>
              <w:rPr>
                <w:spacing w:val="-10"/>
              </w:rPr>
              <w:t>表</w:t>
            </w:r>
            <w:r>
              <w:rPr>
                <w:rFonts w:ascii="Times New Roman" w:eastAsia="Times New Roman"/>
              </w:rPr>
              <w:tab/>
            </w:r>
            <w:r>
              <w:rPr>
                <w:rFonts w:ascii="Times New Roman" w:eastAsia="Times New Roman"/>
                <w:spacing w:val="-5"/>
              </w:rPr>
              <w:t>84</w:t>
            </w:r>
          </w:hyperlink>
        </w:p>
        <w:p>
          <w:pPr>
            <w:pStyle w:val="TOC2"/>
            <w:tabs>
              <w:tab w:val="right" w:leader="dot" w:pos="9712"/>
            </w:tabs>
            <w:rPr>
              <w:rFonts w:ascii="Times New Roman" w:eastAsia="Times New Roman"/>
            </w:rPr>
          </w:pPr>
          <w:hyperlink w:anchor="_TOC_250006" w:history="1">
            <w:r>
              <w:t>表</w:t>
            </w:r>
            <w:r>
              <w:rPr>
                <w:spacing w:val="-53"/>
              </w:rPr>
              <w:t xml:space="preserve"> </w:t>
            </w:r>
            <w:r>
              <w:rPr>
                <w:rFonts w:ascii="Times New Roman" w:eastAsia="Times New Roman"/>
              </w:rPr>
              <w:t xml:space="preserve">5-13 </w:t>
            </w:r>
            <w:r>
              <w:t>投标保证金退还说明格</w:t>
            </w:r>
            <w:r>
              <w:rPr>
                <w:spacing w:val="-10"/>
              </w:rPr>
              <w:t>式</w:t>
            </w:r>
            <w:r>
              <w:rPr>
                <w:rFonts w:ascii="Times New Roman" w:eastAsia="Times New Roman"/>
              </w:rPr>
              <w:tab/>
            </w:r>
            <w:r>
              <w:rPr>
                <w:rFonts w:ascii="Times New Roman" w:eastAsia="Times New Roman"/>
                <w:spacing w:val="-5"/>
              </w:rPr>
              <w:t>85</w:t>
            </w:r>
          </w:hyperlink>
        </w:p>
        <w:p>
          <w:pPr>
            <w:pStyle w:val="TOC2"/>
            <w:tabs>
              <w:tab w:val="right" w:leader="dot" w:pos="9712"/>
            </w:tabs>
            <w:rPr>
              <w:rFonts w:ascii="Times New Roman" w:eastAsia="Times New Roman"/>
            </w:rPr>
          </w:pPr>
          <w:hyperlink w:anchor="_TOC_250005" w:history="1">
            <w:r>
              <w:t>表</w:t>
            </w:r>
            <w:r>
              <w:rPr>
                <w:spacing w:val="-53"/>
              </w:rPr>
              <w:t xml:space="preserve"> </w:t>
            </w:r>
            <w:r>
              <w:rPr>
                <w:rFonts w:ascii="Times New Roman" w:eastAsia="Times New Roman"/>
              </w:rPr>
              <w:t xml:space="preserve">5-14 </w:t>
            </w:r>
            <w:r>
              <w:t>中标服务费承诺</w:t>
            </w:r>
            <w:r>
              <w:rPr>
                <w:spacing w:val="-10"/>
              </w:rPr>
              <w:t>书</w:t>
            </w:r>
            <w:r>
              <w:rPr>
                <w:rFonts w:ascii="Times New Roman" w:eastAsia="Times New Roman"/>
              </w:rPr>
              <w:tab/>
            </w:r>
            <w:r>
              <w:rPr>
                <w:rFonts w:ascii="Times New Roman" w:eastAsia="Times New Roman"/>
                <w:spacing w:val="-5"/>
              </w:rPr>
              <w:t>86</w:t>
            </w:r>
          </w:hyperlink>
        </w:p>
        <w:p>
          <w:pPr>
            <w:pStyle w:val="TOC1"/>
            <w:tabs>
              <w:tab w:val="right" w:leader="dot" w:pos="9712"/>
            </w:tabs>
            <w:spacing w:before="21" w:line="240" w:lineRule="auto"/>
            <w:rPr>
              <w:rFonts w:ascii="Times New Roman" w:eastAsia="Times New Roman"/>
            </w:rPr>
          </w:pPr>
          <w:hyperlink w:anchor="_TOC_250004" w:history="1">
            <w:r>
              <w:t xml:space="preserve">技 术 </w:t>
            </w:r>
            <w:r>
              <w:rPr>
                <w:spacing w:val="-10"/>
              </w:rPr>
              <w:t>篇</w:t>
            </w:r>
            <w:r>
              <w:rPr>
                <w:rFonts w:ascii="Times New Roman" w:eastAsia="Times New Roman"/>
                <w:b w:val="0"/>
              </w:rPr>
              <w:tab/>
            </w:r>
            <w:r>
              <w:rPr>
                <w:rFonts w:ascii="Times New Roman" w:eastAsia="Times New Roman"/>
                <w:spacing w:val="-5"/>
              </w:rPr>
              <w:t>87</w:t>
            </w:r>
          </w:hyperlink>
        </w:p>
        <w:p>
          <w:pPr>
            <w:pStyle w:val="TOC2"/>
            <w:tabs>
              <w:tab w:val="right" w:leader="dot" w:pos="9712"/>
            </w:tabs>
            <w:spacing w:before="44"/>
            <w:rPr>
              <w:rFonts w:ascii="Times New Roman" w:eastAsia="Times New Roman"/>
            </w:rPr>
          </w:pPr>
          <w:hyperlink w:anchor="_TOC_250003" w:history="1">
            <w:r>
              <w:t>表</w:t>
            </w:r>
            <w:r>
              <w:rPr>
                <w:spacing w:val="-53"/>
              </w:rPr>
              <w:t xml:space="preserve"> </w:t>
            </w:r>
            <w:r>
              <w:rPr>
                <w:rFonts w:ascii="Times New Roman" w:eastAsia="Times New Roman"/>
              </w:rPr>
              <w:t>5-15</w:t>
            </w:r>
            <w:r>
              <w:rPr>
                <w:rFonts w:ascii="Times New Roman" w:eastAsia="Times New Roman"/>
                <w:spacing w:val="52"/>
              </w:rPr>
              <w:t xml:space="preserve"> </w:t>
            </w:r>
            <w:r>
              <w:t>所投产品（功能模块）技术指标与招标文件差异一览</w:t>
            </w:r>
            <w:r>
              <w:rPr>
                <w:spacing w:val="-10"/>
              </w:rPr>
              <w:t>表</w:t>
            </w:r>
            <w:r>
              <w:rPr>
                <w:rFonts w:ascii="Times New Roman" w:eastAsia="Times New Roman"/>
              </w:rPr>
              <w:tab/>
            </w:r>
            <w:r>
              <w:rPr>
                <w:rFonts w:ascii="Times New Roman" w:eastAsia="Times New Roman"/>
                <w:spacing w:val="-5"/>
              </w:rPr>
              <w:t>88</w:t>
            </w:r>
          </w:hyperlink>
        </w:p>
        <w:p>
          <w:pPr>
            <w:pStyle w:val="TOC2"/>
            <w:tabs>
              <w:tab w:val="right" w:leader="dot" w:pos="9712"/>
            </w:tabs>
            <w:rPr>
              <w:rFonts w:ascii="Times New Roman" w:eastAsia="Times New Roman" w:hAnsi="Times New Roman"/>
            </w:rPr>
          </w:pPr>
          <w:hyperlink w:anchor="_TOC_250002" w:history="1">
            <w:r>
              <w:t>表</w:t>
            </w:r>
            <w:r>
              <w:rPr>
                <w:spacing w:val="-53"/>
              </w:rPr>
              <w:t xml:space="preserve"> </w:t>
            </w:r>
            <w:r>
              <w:rPr>
                <w:rFonts w:ascii="Times New Roman" w:eastAsia="Times New Roman" w:hAnsi="Times New Roman"/>
              </w:rPr>
              <w:t>5-16“DW09</w:t>
            </w:r>
            <w:r>
              <w:rPr>
                <w:rFonts w:ascii="Times New Roman" w:eastAsia="Times New Roman" w:hAnsi="Times New Roman"/>
                <w:spacing w:val="-11"/>
              </w:rPr>
              <w:t xml:space="preserve"> </w:t>
            </w:r>
            <w:r>
              <w:t>工程</w:t>
            </w:r>
            <w:r>
              <w:rPr>
                <w:rFonts w:ascii="Times New Roman" w:eastAsia="Times New Roman" w:hAnsi="Times New Roman"/>
              </w:rPr>
              <w:t>”</w:t>
            </w:r>
            <w:r>
              <w:t>中ft后台系统升级扩容建设方</w:t>
            </w:r>
            <w:r>
              <w:rPr>
                <w:spacing w:val="-10"/>
              </w:rPr>
              <w:t>案</w:t>
            </w:r>
            <w:r>
              <w:rPr>
                <w:rFonts w:ascii="Times New Roman" w:eastAsia="Times New Roman" w:hAnsi="Times New Roman"/>
              </w:rPr>
              <w:tab/>
            </w:r>
            <w:r>
              <w:rPr>
                <w:rFonts w:ascii="Times New Roman" w:eastAsia="Times New Roman" w:hAnsi="Times New Roman"/>
                <w:spacing w:val="-5"/>
              </w:rPr>
              <w:t>89</w:t>
            </w:r>
          </w:hyperlink>
        </w:p>
        <w:p>
          <w:pPr>
            <w:pStyle w:val="TOC2"/>
            <w:tabs>
              <w:tab w:val="right" w:leader="dot" w:pos="9712"/>
            </w:tabs>
            <w:spacing w:before="90"/>
            <w:rPr>
              <w:rFonts w:ascii="Times New Roman" w:eastAsia="Times New Roman"/>
            </w:rPr>
          </w:pPr>
          <w:hyperlink w:anchor="_TOC_250001" w:history="1">
            <w:r>
              <w:t>表</w:t>
            </w:r>
            <w:r>
              <w:rPr>
                <w:spacing w:val="-53"/>
              </w:rPr>
              <w:t xml:space="preserve"> </w:t>
            </w:r>
            <w:r>
              <w:rPr>
                <w:rFonts w:ascii="Times New Roman" w:eastAsia="Times New Roman"/>
              </w:rPr>
              <w:t>5-17</w:t>
            </w:r>
            <w:r>
              <w:rPr>
                <w:rFonts w:ascii="Times New Roman" w:eastAsia="Times New Roman"/>
                <w:spacing w:val="52"/>
              </w:rPr>
              <w:t xml:space="preserve"> </w:t>
            </w:r>
            <w:r>
              <w:t>测试和验收方</w:t>
            </w:r>
            <w:r>
              <w:rPr>
                <w:spacing w:val="-10"/>
              </w:rPr>
              <w:t>案</w:t>
            </w:r>
            <w:r>
              <w:rPr>
                <w:rFonts w:ascii="Times New Roman" w:eastAsia="Times New Roman"/>
              </w:rPr>
              <w:tab/>
            </w:r>
            <w:r>
              <w:rPr>
                <w:rFonts w:ascii="Times New Roman" w:eastAsia="Times New Roman"/>
                <w:spacing w:val="-5"/>
              </w:rPr>
              <w:t>90</w:t>
            </w:r>
          </w:hyperlink>
        </w:p>
        <w:p>
          <w:pPr>
            <w:pStyle w:val="TOC2"/>
            <w:tabs>
              <w:tab w:val="right" w:leader="dot" w:pos="9712"/>
            </w:tabs>
            <w:rPr>
              <w:rFonts w:ascii="Times New Roman" w:eastAsia="Times New Roman"/>
            </w:rPr>
          </w:pPr>
          <w:hyperlink w:anchor="_TOC_250000" w:history="1">
            <w:r>
              <w:t>表</w:t>
            </w:r>
            <w:r>
              <w:rPr>
                <w:spacing w:val="-53"/>
              </w:rPr>
              <w:t xml:space="preserve"> </w:t>
            </w:r>
            <w:r>
              <w:rPr>
                <w:rFonts w:ascii="Times New Roman" w:eastAsia="Times New Roman"/>
              </w:rPr>
              <w:t>5-18</w:t>
            </w:r>
            <w:r>
              <w:rPr>
                <w:rFonts w:ascii="Times New Roman" w:eastAsia="Times New Roman"/>
                <w:spacing w:val="52"/>
              </w:rPr>
              <w:t xml:space="preserve"> </w:t>
            </w:r>
            <w:r>
              <w:t>售后服务计</w:t>
            </w:r>
            <w:r>
              <w:rPr>
                <w:spacing w:val="-10"/>
              </w:rPr>
              <w:t>划</w:t>
            </w:r>
            <w:r>
              <w:rPr>
                <w:rFonts w:ascii="Times New Roman" w:eastAsia="Times New Roman"/>
              </w:rPr>
              <w:tab/>
            </w:r>
            <w:r>
              <w:rPr>
                <w:rFonts w:ascii="Times New Roman" w:eastAsia="Times New Roman"/>
                <w:spacing w:val="-5"/>
              </w:rPr>
              <w:t>91</w:t>
            </w:r>
          </w:hyperlink>
        </w:p>
      </w:sdtContent>
    </w:sdt>
    <w:p>
      <w:pPr>
        <w:spacing w:after="0"/>
        <w:rPr>
          <w:rFonts w:ascii="Times New Roman" w:eastAsia="Times New Roman"/>
        </w:rPr>
        <w:sectPr>
          <w:headerReference w:type="default" r:id="rId4"/>
          <w:footerReference w:type="default" r:id="rId5"/>
          <w:pgSz w:w="11910" w:h="16840"/>
          <w:pgMar w:top="1340" w:right="1080" w:bottom="1000" w:left="880" w:header="822" w:footer="805"/>
          <w:pgNumType w:start="1"/>
          <w:cols w:space="708"/>
        </w:sectPr>
      </w:pPr>
    </w:p>
    <w:p>
      <w:pPr>
        <w:pStyle w:val="BodyText"/>
        <w:rPr>
          <w:rFonts w:ascii="Times New Roman"/>
          <w:sz w:val="44"/>
        </w:rPr>
      </w:pPr>
    </w:p>
    <w:p>
      <w:pPr>
        <w:pStyle w:val="BodyText"/>
        <w:rPr>
          <w:rFonts w:ascii="Times New Roman"/>
          <w:sz w:val="44"/>
        </w:rPr>
      </w:pPr>
    </w:p>
    <w:p>
      <w:pPr>
        <w:pStyle w:val="BodyText"/>
        <w:rPr>
          <w:rFonts w:ascii="Times New Roman"/>
          <w:sz w:val="44"/>
        </w:rPr>
      </w:pPr>
    </w:p>
    <w:p>
      <w:pPr>
        <w:pStyle w:val="BodyText"/>
        <w:rPr>
          <w:rFonts w:ascii="Times New Roman"/>
          <w:sz w:val="44"/>
        </w:rPr>
      </w:pPr>
    </w:p>
    <w:p>
      <w:pPr>
        <w:pStyle w:val="BodyText"/>
        <w:rPr>
          <w:rFonts w:ascii="Times New Roman"/>
          <w:sz w:val="44"/>
        </w:rPr>
      </w:pPr>
    </w:p>
    <w:p>
      <w:pPr>
        <w:pStyle w:val="BodyText"/>
        <w:rPr>
          <w:rFonts w:ascii="Times New Roman"/>
          <w:sz w:val="44"/>
        </w:rPr>
      </w:pPr>
    </w:p>
    <w:p>
      <w:pPr>
        <w:pStyle w:val="Heading1"/>
        <w:tabs>
          <w:tab w:val="left" w:pos="2432"/>
        </w:tabs>
        <w:spacing w:before="315" w:line="240" w:lineRule="auto"/>
        <w:ind w:right="9"/>
      </w:pPr>
      <w:bookmarkStart w:id="0" w:name="_bookmark0"/>
      <w:bookmarkEnd w:id="0"/>
      <w:r>
        <w:t>第</w:t>
      </w:r>
      <w:r>
        <w:t>一</w:t>
      </w:r>
      <w:r>
        <w:t>部</w:t>
      </w:r>
      <w:r>
        <w:rPr>
          <w:spacing w:val="-10"/>
        </w:rPr>
        <w:t>分</w:t>
      </w:r>
      <w:r>
        <w:tab/>
        <w:t>投</w:t>
      </w:r>
      <w:r>
        <w:rPr>
          <w:spacing w:val="58"/>
          <w:w w:val="150"/>
        </w:rPr>
        <w:t xml:space="preserve"> </w:t>
      </w:r>
      <w:r>
        <w:t>标</w:t>
      </w:r>
      <w:r>
        <w:rPr>
          <w:spacing w:val="58"/>
          <w:w w:val="150"/>
        </w:rPr>
        <w:t xml:space="preserve"> </w:t>
      </w:r>
      <w:r>
        <w:t>邀</w:t>
      </w:r>
      <w:r>
        <w:rPr>
          <w:spacing w:val="58"/>
          <w:w w:val="150"/>
        </w:rPr>
        <w:t xml:space="preserve"> </w:t>
      </w:r>
      <w:r>
        <w:t>请</w:t>
      </w:r>
      <w:r>
        <w:rPr>
          <w:spacing w:val="58"/>
          <w:w w:val="150"/>
        </w:rPr>
        <w:t xml:space="preserve"> </w:t>
      </w:r>
      <w:r>
        <w:rPr>
          <w:spacing w:val="-10"/>
        </w:rPr>
        <w:t>函</w:t>
      </w:r>
    </w:p>
    <w:p>
      <w:pPr>
        <w:spacing w:after="0" w:line="240" w:lineRule="auto"/>
        <w:sectPr>
          <w:headerReference w:type="default" r:id="rId6"/>
          <w:footerReference w:type="default" r:id="rId7"/>
          <w:pgSz w:w="11910" w:h="16840"/>
          <w:pgMar w:top="1340" w:right="1080" w:bottom="1000" w:left="880" w:header="822" w:footer="805"/>
          <w:pgNumType w:start="2"/>
          <w:cols w:space="708"/>
        </w:sectPr>
      </w:pPr>
    </w:p>
    <w:p>
      <w:pPr>
        <w:spacing w:before="0" w:line="558" w:lineRule="exact"/>
        <w:ind w:left="0" w:right="9" w:firstLine="0"/>
        <w:jc w:val="center"/>
        <w:rPr>
          <w:rFonts w:ascii="微软雅黑" w:eastAsia="微软雅黑"/>
          <w:b/>
          <w:sz w:val="32"/>
        </w:rPr>
      </w:pPr>
      <w:r>
        <w:rPr>
          <w:rFonts w:ascii="微软雅黑" w:eastAsia="微软雅黑"/>
          <w:b/>
          <w:spacing w:val="26"/>
          <w:sz w:val="32"/>
        </w:rPr>
        <w:t>投 标 邀 请 函</w:t>
      </w:r>
    </w:p>
    <w:p>
      <w:pPr>
        <w:spacing w:before="221" w:line="307" w:lineRule="auto"/>
        <w:ind w:left="214" w:right="420" w:firstLine="420"/>
        <w:jc w:val="both"/>
        <w:rPr>
          <w:sz w:val="21"/>
        </w:rPr>
      </w:pPr>
      <w:r>
        <w:rPr>
          <w:rFonts w:ascii="微软雅黑" w:eastAsia="微软雅黑" w:hAnsi="微软雅黑"/>
          <w:b/>
          <w:spacing w:val="-2"/>
          <w:sz w:val="21"/>
        </w:rPr>
        <w:t>广东志正招标有限公司</w:t>
      </w:r>
      <w:r>
        <w:rPr>
          <w:spacing w:val="-2"/>
          <w:sz w:val="21"/>
        </w:rPr>
        <w:t>（以下简称“采购代理机构”）受</w:t>
      </w:r>
      <w:r>
        <w:rPr>
          <w:rFonts w:ascii="微软雅黑" w:eastAsia="微软雅黑" w:hAnsi="微软雅黑"/>
          <w:b/>
          <w:spacing w:val="-2"/>
          <w:sz w:val="21"/>
        </w:rPr>
        <w:t>中ft</w:t>
      </w:r>
      <w:r>
        <w:rPr>
          <w:rFonts w:ascii="微软雅黑" w:eastAsia="微软雅黑" w:hAnsi="微软雅黑"/>
          <w:b/>
          <w:spacing w:val="-2"/>
          <w:sz w:val="21"/>
        </w:rPr>
        <w:t>市公安局技术侦察支队</w:t>
      </w:r>
      <w:r>
        <w:rPr>
          <w:spacing w:val="-2"/>
          <w:sz w:val="21"/>
        </w:rPr>
        <w:t>（以下简称</w:t>
      </w:r>
      <w:r>
        <w:rPr>
          <w:spacing w:val="-2"/>
          <w:sz w:val="21"/>
        </w:rPr>
        <w:t xml:space="preserve"> </w:t>
      </w:r>
      <w:r>
        <w:rPr>
          <w:spacing w:val="-4"/>
          <w:sz w:val="21"/>
        </w:rPr>
        <w:t>“采购人”）的委托，对</w:t>
      </w:r>
      <w:r>
        <w:rPr>
          <w:rFonts w:ascii="微软雅黑" w:eastAsia="微软雅黑" w:hAnsi="微软雅黑"/>
          <w:b/>
          <w:spacing w:val="-4"/>
          <w:sz w:val="21"/>
        </w:rPr>
        <w:t>“DW09</w:t>
      </w:r>
      <w:r>
        <w:rPr>
          <w:rFonts w:ascii="微软雅黑" w:eastAsia="微软雅黑" w:hAnsi="微软雅黑"/>
          <w:b/>
          <w:spacing w:val="-7"/>
          <w:sz w:val="21"/>
        </w:rPr>
        <w:t xml:space="preserve"> 工程”中</w:t>
      </w:r>
      <w:r>
        <w:rPr>
          <w:rFonts w:ascii="微软雅黑" w:eastAsia="微软雅黑" w:hAnsi="微软雅黑"/>
          <w:b/>
          <w:spacing w:val="-4"/>
          <w:sz w:val="21"/>
        </w:rPr>
        <w:t>ft</w:t>
      </w:r>
      <w:r>
        <w:rPr>
          <w:rFonts w:ascii="微软雅黑" w:eastAsia="微软雅黑" w:hAnsi="微软雅黑"/>
          <w:b/>
          <w:spacing w:val="-4"/>
          <w:sz w:val="21"/>
        </w:rPr>
        <w:t>后台系统升级扩容采购项目</w:t>
      </w:r>
      <w:r>
        <w:rPr>
          <w:spacing w:val="-4"/>
          <w:sz w:val="21"/>
        </w:rPr>
        <w:t>进行公开招标采购。欢迎符合</w:t>
      </w:r>
      <w:r>
        <w:rPr>
          <w:spacing w:val="-2"/>
          <w:sz w:val="21"/>
        </w:rPr>
        <w:t>资格条件的潜在投标人投标。</w:t>
      </w:r>
    </w:p>
    <w:p>
      <w:pPr>
        <w:spacing w:before="44"/>
        <w:ind w:left="214" w:right="0" w:firstLine="0"/>
        <w:jc w:val="both"/>
        <w:rPr>
          <w:rFonts w:ascii="微软雅黑" w:eastAsia="微软雅黑"/>
          <w:b/>
          <w:sz w:val="21"/>
        </w:rPr>
      </w:pPr>
      <w:r>
        <w:rPr>
          <w:rFonts w:ascii="微软雅黑" w:eastAsia="微软雅黑"/>
          <w:b/>
          <w:spacing w:val="4"/>
          <w:sz w:val="21"/>
        </w:rPr>
        <w:t>一、 招标编号：</w:t>
      </w:r>
      <w:r>
        <w:rPr>
          <w:spacing w:val="-2"/>
          <w:sz w:val="21"/>
        </w:rPr>
        <w:t>ZZ21421116</w:t>
      </w:r>
      <w:r>
        <w:rPr>
          <w:rFonts w:ascii="微软雅黑" w:eastAsia="微软雅黑"/>
          <w:b/>
          <w:spacing w:val="-2"/>
          <w:sz w:val="21"/>
        </w:rPr>
        <w:t>；</w:t>
      </w:r>
    </w:p>
    <w:p>
      <w:pPr>
        <w:spacing w:before="73"/>
        <w:ind w:left="214" w:right="0" w:firstLine="0"/>
        <w:jc w:val="both"/>
        <w:rPr>
          <w:sz w:val="21"/>
        </w:rPr>
      </w:pPr>
      <w:r>
        <w:rPr>
          <w:rFonts w:ascii="微软雅黑" w:eastAsia="微软雅黑" w:hAnsi="微软雅黑"/>
          <w:b/>
          <w:spacing w:val="4"/>
          <w:sz w:val="21"/>
        </w:rPr>
        <w:t>二、 项目名称：</w:t>
      </w:r>
      <w:r>
        <w:rPr>
          <w:sz w:val="21"/>
        </w:rPr>
        <w:t>“DW09</w:t>
      </w:r>
      <w:r>
        <w:rPr>
          <w:spacing w:val="-12"/>
          <w:sz w:val="21"/>
        </w:rPr>
        <w:t xml:space="preserve"> 工程”中</w:t>
      </w:r>
      <w:r>
        <w:rPr>
          <w:sz w:val="21"/>
        </w:rPr>
        <w:t>ft</w:t>
      </w:r>
      <w:r>
        <w:rPr>
          <w:spacing w:val="-1"/>
          <w:sz w:val="21"/>
        </w:rPr>
        <w:t>后台系统升级扩容采购项目</w:t>
      </w:r>
    </w:p>
    <w:p>
      <w:pPr>
        <w:pStyle w:val="Heading4"/>
        <w:spacing w:before="73"/>
        <w:ind w:left="214" w:firstLine="0"/>
        <w:rPr>
          <w:rFonts w:ascii="微软雅黑" w:eastAsia="微软雅黑"/>
        </w:rPr>
      </w:pPr>
      <w:r>
        <w:rPr>
          <w:rFonts w:ascii="微软雅黑" w:eastAsia="微软雅黑"/>
          <w:spacing w:val="3"/>
        </w:rPr>
        <w:t>三、 项目内容及需求：(</w:t>
      </w:r>
      <w:r>
        <w:rPr>
          <w:rFonts w:ascii="微软雅黑" w:eastAsia="微软雅黑"/>
          <w:spacing w:val="-1"/>
        </w:rPr>
        <w:t>采购货物的名称、范围及主要内容及要求)</w:t>
      </w:r>
    </w:p>
    <w:p>
      <w:pPr>
        <w:pStyle w:val="Heading4"/>
        <w:numPr>
          <w:ilvl w:val="0"/>
          <w:numId w:val="89"/>
        </w:numPr>
        <w:tabs>
          <w:tab w:val="left" w:pos="744"/>
        </w:tabs>
        <w:spacing w:before="73" w:after="0" w:line="240" w:lineRule="auto"/>
        <w:ind w:left="744" w:right="0" w:hanging="424"/>
        <w:jc w:val="left"/>
        <w:rPr>
          <w:rFonts w:ascii="宋体" w:eastAsia="宋体" w:hAnsi="宋体" w:hint="eastAsia"/>
          <w:b w:val="0"/>
        </w:rPr>
      </w:pPr>
      <w:r>
        <w:rPr>
          <w:rFonts w:ascii="宋体" w:eastAsia="宋体" w:hAnsi="宋体" w:hint="eastAsia"/>
          <w:b w:val="0"/>
          <w:spacing w:val="-10"/>
        </w:rPr>
        <w:t>项目内容：</w:t>
      </w:r>
      <w:r>
        <w:rPr>
          <w:rFonts w:ascii="微软雅黑" w:eastAsia="微软雅黑" w:hAnsi="微软雅黑"/>
          <w:spacing w:val="-10"/>
        </w:rPr>
        <w:t>“DW09</w:t>
      </w:r>
      <w:r>
        <w:rPr>
          <w:rFonts w:ascii="微软雅黑" w:eastAsia="微软雅黑" w:hAnsi="微软雅黑"/>
          <w:spacing w:val="-6"/>
        </w:rPr>
        <w:t xml:space="preserve"> 工程”中</w:t>
      </w:r>
      <w:r>
        <w:rPr>
          <w:rFonts w:ascii="微软雅黑" w:eastAsia="微软雅黑" w:hAnsi="微软雅黑"/>
          <w:spacing w:val="-10"/>
        </w:rPr>
        <w:t>ft</w:t>
      </w:r>
      <w:r>
        <w:rPr>
          <w:rFonts w:ascii="微软雅黑" w:eastAsia="微软雅黑" w:hAnsi="微软雅黑"/>
          <w:spacing w:val="-9"/>
        </w:rPr>
        <w:t xml:space="preserve">后台系统升级服务，本项目预算为：人民币 </w:t>
      </w:r>
      <w:r>
        <w:rPr>
          <w:rFonts w:ascii="微软雅黑" w:eastAsia="微软雅黑" w:hAnsi="微软雅黑"/>
          <w:spacing w:val="-10"/>
        </w:rPr>
        <w:t>3573356</w:t>
      </w:r>
      <w:r>
        <w:rPr>
          <w:rFonts w:ascii="微软雅黑" w:eastAsia="微软雅黑" w:hAnsi="微软雅黑"/>
          <w:spacing w:val="-2"/>
        </w:rPr>
        <w:t xml:space="preserve"> 元整</w:t>
      </w:r>
      <w:r>
        <w:rPr>
          <w:rFonts w:ascii="宋体" w:eastAsia="宋体" w:hAnsi="宋体" w:hint="eastAsia"/>
          <w:b w:val="0"/>
          <w:spacing w:val="-10"/>
        </w:rPr>
        <w:t>。</w:t>
      </w:r>
    </w:p>
    <w:p>
      <w:pPr>
        <w:pStyle w:val="ListParagraph"/>
        <w:numPr>
          <w:ilvl w:val="0"/>
          <w:numId w:val="89"/>
        </w:numPr>
        <w:tabs>
          <w:tab w:val="left" w:pos="744"/>
        </w:tabs>
        <w:spacing w:before="140" w:after="0" w:line="240" w:lineRule="auto"/>
        <w:ind w:left="744" w:right="0" w:hanging="424"/>
        <w:jc w:val="left"/>
        <w:rPr>
          <w:sz w:val="21"/>
        </w:rPr>
      </w:pPr>
      <w:r>
        <w:rPr>
          <w:spacing w:val="-1"/>
          <w:sz w:val="21"/>
        </w:rPr>
        <w:t>简要技术要求或招标项目的性质：详见招标文件第二部分“用户需求书”的采购项目内容 ；</w:t>
      </w:r>
    </w:p>
    <w:p>
      <w:pPr>
        <w:pStyle w:val="BodyText"/>
        <w:spacing w:before="11"/>
        <w:rPr>
          <w:sz w:val="14"/>
        </w:rPr>
      </w:pPr>
    </w:p>
    <w:p>
      <w:pPr>
        <w:pStyle w:val="ListParagraph"/>
        <w:numPr>
          <w:ilvl w:val="0"/>
          <w:numId w:val="89"/>
        </w:numPr>
        <w:tabs>
          <w:tab w:val="left" w:pos="744"/>
        </w:tabs>
        <w:spacing w:before="1" w:after="0" w:line="410" w:lineRule="auto"/>
        <w:ind w:left="744" w:right="381" w:hanging="424"/>
        <w:jc w:val="left"/>
        <w:rPr>
          <w:sz w:val="21"/>
        </w:rPr>
      </w:pPr>
      <w:r>
        <w:rPr>
          <w:spacing w:val="-2"/>
          <w:sz w:val="21"/>
        </w:rPr>
        <w:t>本次采购货物（服务）必须是产自中华人民共和国境内的货物（服务），合格的投标人应对所有</w:t>
      </w:r>
      <w:r>
        <w:rPr>
          <w:spacing w:val="-2"/>
          <w:sz w:val="21"/>
        </w:rPr>
        <w:t>招标货物和服务进行报价，不允许只对部分货物和服务投标报价；</w:t>
      </w:r>
    </w:p>
    <w:p>
      <w:pPr>
        <w:pStyle w:val="ListParagraph"/>
        <w:numPr>
          <w:ilvl w:val="0"/>
          <w:numId w:val="89"/>
        </w:numPr>
        <w:tabs>
          <w:tab w:val="left" w:pos="744"/>
        </w:tabs>
        <w:spacing w:before="0" w:after="0" w:line="240" w:lineRule="auto"/>
        <w:ind w:left="744" w:right="0" w:hanging="424"/>
        <w:jc w:val="left"/>
        <w:rPr>
          <w:sz w:val="21"/>
        </w:rPr>
      </w:pPr>
      <w:r>
        <w:rPr>
          <w:spacing w:val="-1"/>
          <w:sz w:val="21"/>
        </w:rPr>
        <w:t>本项目不允许提交备选方案；</w:t>
      </w:r>
    </w:p>
    <w:p>
      <w:pPr>
        <w:pStyle w:val="BodyText"/>
        <w:spacing w:before="11"/>
        <w:rPr>
          <w:sz w:val="14"/>
        </w:rPr>
      </w:pPr>
    </w:p>
    <w:p>
      <w:pPr>
        <w:pStyle w:val="ListParagraph"/>
        <w:numPr>
          <w:ilvl w:val="0"/>
          <w:numId w:val="89"/>
        </w:numPr>
        <w:tabs>
          <w:tab w:val="left" w:pos="744"/>
        </w:tabs>
        <w:spacing w:before="0" w:after="0" w:line="410" w:lineRule="auto"/>
        <w:ind w:left="744" w:right="277" w:hanging="424"/>
        <w:jc w:val="left"/>
        <w:rPr>
          <w:sz w:val="21"/>
        </w:rPr>
      </w:pPr>
      <w:r>
        <w:rPr>
          <w:spacing w:val="-3"/>
          <w:sz w:val="21"/>
        </w:rPr>
        <w:t xml:space="preserve">该项目招标文件进行公示，公示期自 </w:t>
      </w:r>
      <w:r>
        <w:rPr>
          <w:sz w:val="21"/>
        </w:rPr>
        <w:t>2014</w:t>
      </w:r>
      <w:r>
        <w:rPr>
          <w:spacing w:val="-32"/>
          <w:sz w:val="21"/>
        </w:rPr>
        <w:t xml:space="preserve"> 年 </w:t>
      </w:r>
      <w:r>
        <w:rPr>
          <w:sz w:val="21"/>
        </w:rPr>
        <w:t>07</w:t>
      </w:r>
      <w:r>
        <w:rPr>
          <w:spacing w:val="-32"/>
          <w:sz w:val="21"/>
        </w:rPr>
        <w:t xml:space="preserve"> 月 </w:t>
      </w:r>
      <w:r>
        <w:rPr>
          <w:sz w:val="21"/>
        </w:rPr>
        <w:t>30</w:t>
      </w:r>
      <w:r>
        <w:rPr>
          <w:spacing w:val="-24"/>
          <w:sz w:val="21"/>
        </w:rPr>
        <w:t xml:space="preserve"> 日至 </w:t>
      </w:r>
      <w:r>
        <w:rPr>
          <w:sz w:val="21"/>
        </w:rPr>
        <w:t>2014</w:t>
      </w:r>
      <w:r>
        <w:rPr>
          <w:spacing w:val="-32"/>
          <w:sz w:val="21"/>
        </w:rPr>
        <w:t xml:space="preserve"> 年 </w:t>
      </w:r>
      <w:r>
        <w:rPr>
          <w:sz w:val="21"/>
        </w:rPr>
        <w:t>08</w:t>
      </w:r>
      <w:r>
        <w:rPr>
          <w:spacing w:val="-32"/>
          <w:sz w:val="21"/>
        </w:rPr>
        <w:t xml:space="preserve"> 月 </w:t>
      </w:r>
      <w:r>
        <w:rPr>
          <w:sz w:val="21"/>
        </w:rPr>
        <w:t>04</w:t>
      </w:r>
      <w:r>
        <w:rPr>
          <w:spacing w:val="-7"/>
          <w:sz w:val="21"/>
        </w:rPr>
        <w:t xml:space="preserve"> 日五个工作日，请在</w:t>
      </w:r>
      <w:r>
        <w:rPr>
          <w:sz w:val="21"/>
        </w:rPr>
        <w:t>广东省政府采购网(www.gdgpo.gov.com)</w:t>
      </w:r>
      <w:r>
        <w:rPr>
          <w:spacing w:val="-7"/>
          <w:sz w:val="21"/>
        </w:rPr>
        <w:t>下载 。</w:t>
      </w:r>
      <w:r>
        <w:rPr>
          <w:sz w:val="21"/>
        </w:rPr>
        <w:t>（注：根据《广东省实施&lt;中华人民共和国政府采</w:t>
      </w:r>
      <w:r>
        <w:rPr>
          <w:spacing w:val="-2"/>
          <w:sz w:val="21"/>
        </w:rPr>
        <w:t>购法&gt;办法》第三十五条的规定，供应商认为招标文件的内容损害其权益的，可以在公示期间或者</w:t>
      </w:r>
      <w:r>
        <w:rPr>
          <w:spacing w:val="-2"/>
          <w:sz w:val="21"/>
        </w:rPr>
        <w:t>自期满之日起七个工作日内以书面形式（加盖单位公章，电话咨询或传真或电邮形式无效）向采</w:t>
      </w:r>
      <w:r>
        <w:rPr>
          <w:spacing w:val="-2"/>
          <w:sz w:val="21"/>
        </w:rPr>
        <w:t>购人或者政府采购代理机构提出质疑）。</w:t>
      </w:r>
    </w:p>
    <w:p>
      <w:pPr>
        <w:pStyle w:val="Heading4"/>
        <w:spacing w:line="319" w:lineRule="exact"/>
        <w:ind w:left="214" w:firstLine="0"/>
        <w:rPr>
          <w:rFonts w:ascii="微软雅黑" w:eastAsia="微软雅黑"/>
        </w:rPr>
      </w:pPr>
      <w:r>
        <w:rPr>
          <w:rFonts w:ascii="微软雅黑" w:eastAsia="微软雅黑"/>
        </w:rPr>
        <w:t>四、 投标人资格要求：</w:t>
      </w:r>
    </w:p>
    <w:p>
      <w:pPr>
        <w:pStyle w:val="ListParagraph"/>
        <w:numPr>
          <w:ilvl w:val="0"/>
          <w:numId w:val="85"/>
        </w:numPr>
        <w:tabs>
          <w:tab w:val="left" w:pos="744"/>
        </w:tabs>
        <w:spacing w:before="92" w:after="0" w:line="240" w:lineRule="auto"/>
        <w:ind w:left="744" w:right="0" w:hanging="424"/>
        <w:jc w:val="both"/>
        <w:rPr>
          <w:sz w:val="21"/>
        </w:rPr>
      </w:pPr>
      <w:r>
        <w:rPr>
          <w:spacing w:val="-1"/>
          <w:sz w:val="21"/>
        </w:rPr>
        <w:t>符合《中华人民共和国政府采购法》第二十二条的要求；</w:t>
      </w:r>
    </w:p>
    <w:p>
      <w:pPr>
        <w:pStyle w:val="ListParagraph"/>
        <w:numPr>
          <w:ilvl w:val="0"/>
          <w:numId w:val="85"/>
        </w:numPr>
        <w:tabs>
          <w:tab w:val="left" w:pos="744"/>
        </w:tabs>
        <w:spacing w:before="131" w:after="0" w:line="357" w:lineRule="auto"/>
        <w:ind w:left="744" w:right="222" w:hanging="424"/>
        <w:jc w:val="both"/>
        <w:rPr>
          <w:sz w:val="21"/>
        </w:rPr>
      </w:pPr>
      <w:r>
        <w:rPr>
          <w:spacing w:val="2"/>
          <w:sz w:val="21"/>
        </w:rPr>
        <w:t>具有承担民事责任能力的在中华人民共和国境内注册的法人或其它组织并独立于采购人和采购代理机构；</w:t>
      </w:r>
    </w:p>
    <w:p>
      <w:pPr>
        <w:pStyle w:val="ListParagraph"/>
        <w:numPr>
          <w:ilvl w:val="0"/>
          <w:numId w:val="85"/>
        </w:numPr>
        <w:tabs>
          <w:tab w:val="left" w:pos="744"/>
        </w:tabs>
        <w:spacing w:before="0" w:after="0" w:line="357" w:lineRule="auto"/>
        <w:ind w:left="744" w:right="222" w:hanging="424"/>
        <w:jc w:val="both"/>
        <w:rPr>
          <w:sz w:val="21"/>
        </w:rPr>
      </w:pPr>
      <w:r>
        <w:rPr>
          <w:spacing w:val="3"/>
          <w:sz w:val="21"/>
        </w:rPr>
        <w:t>投标人必须具有国家工业和信息化部颁发的有效的计算机信息系统集成企业三级或以上资质（</w:t>
      </w:r>
      <w:r>
        <w:rPr>
          <w:sz w:val="21"/>
        </w:rPr>
        <w:t>或国家信息产业部颁发的有效的计算机信息系统集成三级或以上资质）。</w:t>
      </w:r>
    </w:p>
    <w:p>
      <w:pPr>
        <w:pStyle w:val="ListParagraph"/>
        <w:numPr>
          <w:ilvl w:val="0"/>
          <w:numId w:val="85"/>
        </w:numPr>
        <w:tabs>
          <w:tab w:val="left" w:pos="744"/>
        </w:tabs>
        <w:spacing w:before="0" w:after="0" w:line="357" w:lineRule="auto"/>
        <w:ind w:left="744" w:right="222" w:hanging="424"/>
        <w:jc w:val="both"/>
        <w:rPr>
          <w:sz w:val="21"/>
        </w:rPr>
      </w:pPr>
      <w:r>
        <w:rPr>
          <w:spacing w:val="3"/>
          <w:sz w:val="21"/>
        </w:rPr>
        <w:t>具备涉及国家秘密的计算机信息系统集成资质（</w:t>
      </w:r>
      <w:r>
        <w:rPr>
          <w:spacing w:val="2"/>
          <w:sz w:val="21"/>
        </w:rPr>
        <w:t>广东省行政区域外的甲级、单项涉密资质单位须有广东省国家保密局资质管理委员会的涉密资质备案通知）；</w:t>
      </w:r>
    </w:p>
    <w:p>
      <w:pPr>
        <w:pStyle w:val="ListParagraph"/>
        <w:numPr>
          <w:ilvl w:val="0"/>
          <w:numId w:val="85"/>
        </w:numPr>
        <w:tabs>
          <w:tab w:val="left" w:pos="744"/>
        </w:tabs>
        <w:spacing w:before="0" w:after="0" w:line="357" w:lineRule="auto"/>
        <w:ind w:left="744" w:right="222" w:hanging="424"/>
        <w:jc w:val="both"/>
        <w:rPr>
          <w:sz w:val="21"/>
        </w:rPr>
      </w:pPr>
      <w:r>
        <w:rPr>
          <w:spacing w:val="4"/>
          <w:sz w:val="21"/>
        </w:rPr>
        <w:t>投标人近三年内（</w:t>
      </w:r>
      <w:r>
        <w:rPr>
          <w:spacing w:val="-15"/>
          <w:sz w:val="21"/>
        </w:rPr>
        <w:t xml:space="preserve">即从 </w:t>
      </w:r>
      <w:r>
        <w:rPr>
          <w:rFonts w:ascii="Times New Roman" w:eastAsia="Times New Roman"/>
          <w:sz w:val="21"/>
        </w:rPr>
        <w:t>2011</w:t>
      </w:r>
      <w:r>
        <w:rPr>
          <w:rFonts w:ascii="Times New Roman" w:eastAsia="Times New Roman"/>
          <w:spacing w:val="-11"/>
          <w:sz w:val="21"/>
        </w:rPr>
        <w:t xml:space="preserve"> </w:t>
      </w:r>
      <w:r>
        <w:rPr>
          <w:spacing w:val="-24"/>
          <w:sz w:val="21"/>
        </w:rPr>
        <w:t xml:space="preserve">年 </w:t>
      </w:r>
      <w:r>
        <w:rPr>
          <w:rFonts w:ascii="Times New Roman" w:eastAsia="Times New Roman"/>
          <w:sz w:val="21"/>
        </w:rPr>
        <w:t>07</w:t>
      </w:r>
      <w:r>
        <w:rPr>
          <w:rFonts w:ascii="Times New Roman" w:eastAsia="Times New Roman"/>
          <w:spacing w:val="-11"/>
          <w:sz w:val="21"/>
        </w:rPr>
        <w:t xml:space="preserve"> </w:t>
      </w:r>
      <w:r>
        <w:rPr>
          <w:spacing w:val="3"/>
          <w:sz w:val="21"/>
        </w:rPr>
        <w:t>月至本招标公告发布之日，投标人成立不足三年的可从成立之日起算</w:t>
      </w:r>
      <w:r>
        <w:rPr>
          <w:spacing w:val="4"/>
          <w:sz w:val="21"/>
        </w:rPr>
        <w:t>）</w:t>
      </w:r>
      <w:r>
        <w:rPr>
          <w:spacing w:val="2"/>
          <w:sz w:val="21"/>
        </w:rPr>
        <w:t>无行贿犯罪记录，由投标人营业执照住所地或业务发生地人民检察院出具《行贿犯罪档案查询告知函》的原件（复印件无效）；</w:t>
      </w:r>
    </w:p>
    <w:p>
      <w:pPr>
        <w:pStyle w:val="ListParagraph"/>
        <w:numPr>
          <w:ilvl w:val="0"/>
          <w:numId w:val="85"/>
        </w:numPr>
        <w:tabs>
          <w:tab w:val="left" w:pos="744"/>
        </w:tabs>
        <w:spacing w:before="0" w:after="0" w:line="266" w:lineRule="exact"/>
        <w:ind w:left="744" w:right="0" w:hanging="424"/>
        <w:jc w:val="both"/>
        <w:rPr>
          <w:sz w:val="21"/>
        </w:rPr>
      </w:pPr>
      <w:r>
        <w:rPr>
          <w:spacing w:val="-1"/>
          <w:sz w:val="21"/>
        </w:rPr>
        <w:t>本项目不接受联合体投标；</w:t>
      </w:r>
    </w:p>
    <w:p>
      <w:pPr>
        <w:pStyle w:val="ListParagraph"/>
        <w:numPr>
          <w:ilvl w:val="0"/>
          <w:numId w:val="85"/>
        </w:numPr>
        <w:tabs>
          <w:tab w:val="left" w:pos="744"/>
        </w:tabs>
        <w:spacing w:before="125" w:after="0" w:line="240" w:lineRule="auto"/>
        <w:ind w:left="744" w:right="0" w:hanging="424"/>
        <w:jc w:val="both"/>
        <w:rPr>
          <w:sz w:val="21"/>
        </w:rPr>
      </w:pPr>
      <w:r>
        <w:rPr>
          <w:spacing w:val="-1"/>
          <w:sz w:val="21"/>
        </w:rPr>
        <w:t>投标人必须在采购代理机构登记报名且购买了招标文件。</w:t>
      </w:r>
    </w:p>
    <w:p>
      <w:pPr>
        <w:spacing w:after="0" w:line="240" w:lineRule="auto"/>
        <w:jc w:val="both"/>
        <w:rPr>
          <w:sz w:val="21"/>
        </w:rPr>
        <w:sectPr>
          <w:headerReference w:type="default" r:id="rId8"/>
          <w:footerReference w:type="default" r:id="rId9"/>
          <w:pgSz w:w="11910" w:h="16840"/>
          <w:pgMar w:top="1340" w:right="1080" w:bottom="1000" w:left="880" w:header="822" w:footer="805"/>
          <w:pgNumType w:start="3"/>
          <w:cols w:space="708"/>
        </w:sectPr>
      </w:pPr>
    </w:p>
    <w:p>
      <w:pPr>
        <w:pStyle w:val="BodyText"/>
        <w:spacing w:before="12"/>
        <w:rPr>
          <w:sz w:val="11"/>
        </w:rPr>
      </w:pPr>
    </w:p>
    <w:p>
      <w:pPr>
        <w:pStyle w:val="BodyText"/>
        <w:spacing w:before="70" w:line="410" w:lineRule="auto"/>
        <w:ind w:left="214" w:right="282"/>
        <w:jc w:val="both"/>
      </w:pPr>
      <w:r>
        <w:rPr>
          <w:spacing w:val="-2"/>
        </w:rPr>
        <w:t>注：报名时提供：有效营业执照副本原件和复印件（需加盖公章）、计算机信息系统集成资质证书原件</w:t>
      </w:r>
      <w:r>
        <w:rPr>
          <w:spacing w:val="-2"/>
        </w:rPr>
        <w:t>和复印件（需加盖公章）、涉及国家秘密的计算机信息系统集成资质证书（广东省行政区域外的甲级、</w:t>
      </w:r>
      <w:r>
        <w:rPr>
          <w:spacing w:val="-2"/>
        </w:rPr>
        <w:t>单项涉密资质单位须有广东省国家保密局资质管理委员会的涉密资质备案通知）原件和复印件（需加盖</w:t>
      </w:r>
      <w:r>
        <w:rPr>
          <w:spacing w:val="-2"/>
        </w:rPr>
        <w:t>公章）和授权委托人本人身份证复印件（需加盖公章）及原件。</w:t>
      </w:r>
    </w:p>
    <w:p>
      <w:pPr>
        <w:pStyle w:val="BodyText"/>
        <w:spacing w:line="410" w:lineRule="auto"/>
        <w:ind w:left="214" w:right="282" w:firstLine="529"/>
      </w:pPr>
      <w:r>
        <w:rPr>
          <w:spacing w:val="-2"/>
        </w:rPr>
        <w:t>购买招标文件。符合投标人资格要求的投标人即可购买招标文件。（购买招标文件的单位，均被</w:t>
      </w:r>
      <w:r>
        <w:rPr>
          <w:spacing w:val="-2"/>
        </w:rPr>
        <w:t>视为已充分理解本公告的有关要求，采购人及采购代理均无责任承担其是否符合合格投标人条件而引起</w:t>
      </w:r>
      <w:r>
        <w:rPr>
          <w:spacing w:val="-2"/>
        </w:rPr>
        <w:t>的一切后果）。</w:t>
      </w:r>
    </w:p>
    <w:p>
      <w:pPr>
        <w:pStyle w:val="BodyText"/>
        <w:spacing w:line="320" w:lineRule="exact"/>
        <w:ind w:left="213"/>
      </w:pPr>
      <w:r>
        <w:rPr>
          <w:rFonts w:ascii="微软雅黑" w:eastAsia="微软雅黑"/>
          <w:b/>
          <w:spacing w:val="15"/>
        </w:rPr>
        <w:t xml:space="preserve">五、 </w:t>
      </w:r>
      <w:r>
        <w:rPr>
          <w:spacing w:val="-6"/>
        </w:rPr>
        <w:t xml:space="preserve">潜在投标人应当在 </w:t>
      </w:r>
      <w:r>
        <w:t>2014</w:t>
      </w:r>
      <w:r>
        <w:rPr>
          <w:spacing w:val="-36"/>
        </w:rPr>
        <w:t xml:space="preserve"> 年 </w:t>
      </w:r>
      <w:r>
        <w:t>07</w:t>
      </w:r>
      <w:r>
        <w:rPr>
          <w:spacing w:val="-36"/>
        </w:rPr>
        <w:t xml:space="preserve"> 月 </w:t>
      </w:r>
      <w:r>
        <w:t>30</w:t>
      </w:r>
      <w:r>
        <w:rPr>
          <w:spacing w:val="-27"/>
        </w:rPr>
        <w:t xml:space="preserve"> 日至 </w:t>
      </w:r>
      <w:r>
        <w:t>2014</w:t>
      </w:r>
      <w:r>
        <w:rPr>
          <w:spacing w:val="-36"/>
        </w:rPr>
        <w:t xml:space="preserve"> 年 </w:t>
      </w:r>
      <w:r>
        <w:t>08</w:t>
      </w:r>
      <w:r>
        <w:rPr>
          <w:spacing w:val="-36"/>
        </w:rPr>
        <w:t xml:space="preserve"> 月 </w:t>
      </w:r>
      <w:r>
        <w:t>04</w:t>
      </w:r>
      <w:r>
        <w:rPr>
          <w:spacing w:val="-14"/>
        </w:rPr>
        <w:t xml:space="preserve"> 日期间</w:t>
      </w:r>
      <w:r>
        <w:t>（</w:t>
      </w:r>
      <w:r>
        <w:rPr>
          <w:spacing w:val="-11"/>
        </w:rPr>
        <w:t xml:space="preserve">每天上午 </w:t>
      </w:r>
      <w:r>
        <w:t>8:30～11：30，</w:t>
      </w:r>
      <w:r>
        <w:rPr>
          <w:spacing w:val="-5"/>
        </w:rPr>
        <w:t>下午</w:t>
      </w:r>
    </w:p>
    <w:p>
      <w:pPr>
        <w:pStyle w:val="BodyText"/>
        <w:spacing w:before="73" w:line="326" w:lineRule="auto"/>
        <w:ind w:left="742" w:right="278"/>
      </w:pPr>
      <w:r>
        <w:t>2：30～5：30）（公休节假日除外）到</w:t>
      </w:r>
      <w:r>
        <w:rPr>
          <w:rFonts w:ascii="微软雅黑" w:eastAsia="微软雅黑"/>
          <w:b/>
        </w:rPr>
        <w:t>广东志正招标有限公司中</w:t>
      </w:r>
      <w:r>
        <w:rPr>
          <w:rFonts w:ascii="微软雅黑" w:eastAsia="微软雅黑"/>
          <w:b/>
          <w:w w:val="122"/>
        </w:rPr>
        <w:t>ft</w:t>
      </w:r>
      <w:r>
        <w:rPr>
          <w:rFonts w:ascii="微软雅黑" w:eastAsia="微软雅黑"/>
          <w:b/>
        </w:rPr>
        <w:t>分公司</w:t>
      </w:r>
      <w:r>
        <w:t>（详细地址：中ft市东区中ft</w:t>
      </w:r>
      <w:r>
        <w:rPr>
          <w:spacing w:val="-8"/>
        </w:rPr>
        <w:t xml:space="preserve">四路亨尾大街 </w:t>
      </w:r>
      <w:r>
        <w:t>3</w:t>
      </w:r>
      <w:r>
        <w:rPr>
          <w:spacing w:val="-13"/>
        </w:rPr>
        <w:t xml:space="preserve"> 号软件园东园区 </w:t>
      </w:r>
      <w:r>
        <w:t>2</w:t>
      </w:r>
      <w:r>
        <w:rPr>
          <w:spacing w:val="-36"/>
        </w:rPr>
        <w:t xml:space="preserve"> 楼 </w:t>
      </w:r>
      <w:r>
        <w:t>20</w:t>
      </w:r>
      <w:r>
        <w:rPr>
          <w:spacing w:val="-27"/>
        </w:rPr>
        <w:t xml:space="preserve"> 室</w:t>
      </w:r>
      <w:r>
        <w:t>）</w:t>
      </w:r>
      <w:r>
        <w:rPr>
          <w:spacing w:val="-4"/>
        </w:rPr>
        <w:t xml:space="preserve">购买招标文件，招标文件每套售价 </w:t>
      </w:r>
      <w:r>
        <w:t>200</w:t>
      </w:r>
      <w:r>
        <w:rPr>
          <w:spacing w:val="-27"/>
        </w:rPr>
        <w:t xml:space="preserve"> 元</w:t>
      </w:r>
      <w:r>
        <w:t>（</w:t>
      </w:r>
      <w:r>
        <w:rPr>
          <w:spacing w:val="-14"/>
        </w:rPr>
        <w:t>人</w:t>
      </w:r>
    </w:p>
    <w:p>
      <w:pPr>
        <w:pStyle w:val="BodyText"/>
        <w:spacing w:before="95"/>
        <w:ind w:left="742"/>
      </w:pPr>
      <w:r>
        <w:t>民币），</w:t>
      </w:r>
      <w:r>
        <w:rPr>
          <w:spacing w:val="-2"/>
        </w:rPr>
        <w:t>售后不退。</w:t>
      </w:r>
    </w:p>
    <w:p>
      <w:pPr>
        <w:pStyle w:val="BodyText"/>
        <w:spacing w:before="123"/>
        <w:ind w:left="213"/>
      </w:pPr>
      <w:r>
        <w:rPr>
          <w:rFonts w:ascii="微软雅黑" w:eastAsia="微软雅黑"/>
          <w:b/>
          <w:spacing w:val="15"/>
        </w:rPr>
        <w:t xml:space="preserve">六、 </w:t>
      </w:r>
      <w:r>
        <w:t>递交投标文件时间：2014</w:t>
      </w:r>
      <w:r>
        <w:rPr>
          <w:spacing w:val="-36"/>
        </w:rPr>
        <w:t xml:space="preserve"> 年 </w:t>
      </w:r>
      <w:r>
        <w:t>08</w:t>
      </w:r>
      <w:r>
        <w:rPr>
          <w:spacing w:val="-36"/>
        </w:rPr>
        <w:t xml:space="preserve"> 月 </w:t>
      </w:r>
      <w:r>
        <w:t>20</w:t>
      </w:r>
      <w:r>
        <w:rPr>
          <w:spacing w:val="-22"/>
        </w:rPr>
        <w:t xml:space="preserve"> 日上午 </w:t>
      </w:r>
      <w:r>
        <w:t>8:30</w:t>
      </w:r>
      <w:r>
        <w:rPr>
          <w:spacing w:val="-36"/>
        </w:rPr>
        <w:t xml:space="preserve"> 至 </w:t>
      </w:r>
      <w:r>
        <w:t>9：30</w:t>
      </w:r>
      <w:r>
        <w:rPr>
          <w:spacing w:val="-10"/>
        </w:rPr>
        <w:t>。</w:t>
      </w:r>
    </w:p>
    <w:p>
      <w:pPr>
        <w:pStyle w:val="BodyText"/>
        <w:spacing w:before="73"/>
        <w:ind w:left="213"/>
      </w:pPr>
      <w:r>
        <w:rPr>
          <w:rFonts w:ascii="微软雅黑" w:eastAsia="微软雅黑"/>
          <w:b/>
          <w:spacing w:val="15"/>
        </w:rPr>
        <w:t xml:space="preserve">七、 </w:t>
      </w:r>
      <w:r>
        <w:t>投标截止时间：2014</w:t>
      </w:r>
      <w:r>
        <w:rPr>
          <w:spacing w:val="-36"/>
        </w:rPr>
        <w:t xml:space="preserve"> 年 </w:t>
      </w:r>
      <w:r>
        <w:t>08</w:t>
      </w:r>
      <w:r>
        <w:rPr>
          <w:spacing w:val="-36"/>
        </w:rPr>
        <w:t xml:space="preserve"> 月 </w:t>
      </w:r>
      <w:r>
        <w:t>20</w:t>
      </w:r>
      <w:r>
        <w:rPr>
          <w:spacing w:val="-22"/>
        </w:rPr>
        <w:t xml:space="preserve"> 日上午 </w:t>
      </w:r>
      <w:r>
        <w:t>9：30</w:t>
      </w:r>
      <w:r>
        <w:rPr>
          <w:spacing w:val="-10"/>
        </w:rPr>
        <w:t>。</w:t>
      </w:r>
    </w:p>
    <w:p>
      <w:pPr>
        <w:pStyle w:val="BodyText"/>
        <w:spacing w:before="73"/>
        <w:ind w:left="213"/>
      </w:pPr>
      <w:r>
        <w:rPr>
          <w:rFonts w:ascii="微软雅黑" w:eastAsia="微软雅黑"/>
          <w:b/>
          <w:spacing w:val="15"/>
        </w:rPr>
        <w:t xml:space="preserve">八、 </w:t>
      </w:r>
      <w:r>
        <w:t>开标评标时间：2014</w:t>
      </w:r>
      <w:r>
        <w:rPr>
          <w:spacing w:val="-36"/>
        </w:rPr>
        <w:t xml:space="preserve"> 年 </w:t>
      </w:r>
      <w:r>
        <w:t>08</w:t>
      </w:r>
      <w:r>
        <w:rPr>
          <w:spacing w:val="-36"/>
        </w:rPr>
        <w:t xml:space="preserve"> 月 </w:t>
      </w:r>
      <w:r>
        <w:t>20</w:t>
      </w:r>
      <w:r>
        <w:rPr>
          <w:spacing w:val="-22"/>
        </w:rPr>
        <w:t xml:space="preserve"> 日上午 </w:t>
      </w:r>
      <w:r>
        <w:t>9：30</w:t>
      </w:r>
      <w:r>
        <w:rPr>
          <w:spacing w:val="-10"/>
        </w:rPr>
        <w:t>。</w:t>
      </w:r>
    </w:p>
    <w:p>
      <w:pPr>
        <w:pStyle w:val="BodyText"/>
        <w:spacing w:before="73" w:line="326" w:lineRule="auto"/>
        <w:ind w:left="742" w:right="275" w:hanging="530"/>
      </w:pPr>
      <w:r>
        <w:rPr>
          <w:rFonts w:ascii="微软雅黑" w:eastAsia="微软雅黑"/>
          <w:b/>
          <w:spacing w:val="6"/>
        </w:rPr>
        <w:t xml:space="preserve">九、 </w:t>
      </w:r>
      <w:r>
        <w:t>投标文件递交地点：中ft市东区中ft</w:t>
      </w:r>
      <w:r>
        <w:rPr>
          <w:spacing w:val="-8"/>
        </w:rPr>
        <w:t xml:space="preserve">四路亨尾大街 </w:t>
      </w:r>
      <w:r>
        <w:t>3</w:t>
      </w:r>
      <w:r>
        <w:rPr>
          <w:spacing w:val="-13"/>
        </w:rPr>
        <w:t xml:space="preserve"> 号软件园东园区 </w:t>
      </w:r>
      <w:r>
        <w:t>2</w:t>
      </w:r>
      <w:r>
        <w:rPr>
          <w:spacing w:val="-36"/>
        </w:rPr>
        <w:t xml:space="preserve"> 楼 </w:t>
      </w:r>
      <w:r>
        <w:t>20</w:t>
      </w:r>
      <w:r>
        <w:rPr>
          <w:spacing w:val="-27"/>
        </w:rPr>
        <w:t xml:space="preserve"> 室</w:t>
      </w:r>
      <w:r>
        <w:t>（广东志正招标有</w:t>
      </w:r>
      <w:r>
        <w:rPr>
          <w:spacing w:val="-2"/>
        </w:rPr>
        <w:t>限公司中ft分公司）。</w:t>
      </w:r>
    </w:p>
    <w:p>
      <w:pPr>
        <w:pStyle w:val="BodyText"/>
        <w:spacing w:before="28"/>
        <w:ind w:left="213"/>
      </w:pPr>
      <w:r>
        <w:rPr>
          <w:rFonts w:ascii="微软雅黑" w:eastAsia="微软雅黑"/>
          <w:b/>
          <w:spacing w:val="15"/>
        </w:rPr>
        <w:t xml:space="preserve">十、 </w:t>
      </w:r>
      <w:r>
        <w:t>开标评标地点：中ft市东区中ft</w:t>
      </w:r>
      <w:r>
        <w:rPr>
          <w:spacing w:val="-8"/>
        </w:rPr>
        <w:t xml:space="preserve">四路亨尾大街 </w:t>
      </w:r>
      <w:r>
        <w:t>3</w:t>
      </w:r>
      <w:r>
        <w:rPr>
          <w:spacing w:val="-13"/>
        </w:rPr>
        <w:t xml:space="preserve"> 号软件园东园区 </w:t>
      </w:r>
      <w:r>
        <w:t>2</w:t>
      </w:r>
      <w:r>
        <w:rPr>
          <w:spacing w:val="-36"/>
        </w:rPr>
        <w:t xml:space="preserve"> 楼 </w:t>
      </w:r>
      <w:r>
        <w:t>20</w:t>
      </w:r>
      <w:r>
        <w:rPr>
          <w:spacing w:val="-22"/>
        </w:rPr>
        <w:t xml:space="preserve"> 室。</w:t>
      </w:r>
    </w:p>
    <w:p>
      <w:pPr>
        <w:pStyle w:val="BodyText"/>
        <w:spacing w:before="73" w:line="326" w:lineRule="auto"/>
        <w:ind w:left="743" w:right="380" w:hanging="635"/>
      </w:pPr>
      <w:r>
        <w:rPr>
          <w:rFonts w:ascii="微软雅黑" w:eastAsia="微软雅黑"/>
          <w:b/>
          <w:spacing w:val="-2"/>
        </w:rPr>
        <w:t>十一、</w:t>
      </w:r>
      <w:r>
        <w:rPr>
          <w:spacing w:val="-2"/>
        </w:rPr>
        <w:t>投标人必须按招标文件要求提交相应的投标保证金（详细内容请参阅招标文件中的相关内容）</w:t>
      </w:r>
      <w:r>
        <w:rPr>
          <w:spacing w:val="-2"/>
        </w:rPr>
        <w:t>。</w:t>
      </w:r>
      <w:r>
        <w:rPr>
          <w:spacing w:val="-2"/>
        </w:rPr>
        <w:t>投标保证金的有关事项按投标人须知的相关规定执行。</w:t>
      </w:r>
    </w:p>
    <w:p>
      <w:pPr>
        <w:pStyle w:val="BodyText"/>
        <w:spacing w:before="27" w:line="326" w:lineRule="auto"/>
        <w:ind w:left="743" w:right="380" w:hanging="635"/>
      </w:pPr>
      <w:r>
        <w:rPr>
          <w:rFonts w:ascii="微软雅黑" w:eastAsia="微软雅黑"/>
          <w:b/>
          <w:spacing w:val="-2"/>
        </w:rPr>
        <w:t>十二、</w:t>
      </w:r>
      <w:r>
        <w:rPr>
          <w:spacing w:val="-2"/>
        </w:rPr>
        <w:t>采购人和采购代理机构将不承担投标人准备投标文件和递交投标文件以及参加本次投标活动所发</w:t>
      </w:r>
      <w:r>
        <w:rPr>
          <w:spacing w:val="-2"/>
        </w:rPr>
        <w:t>生的任何成本或费用。</w:t>
      </w:r>
    </w:p>
    <w:p>
      <w:pPr>
        <w:pStyle w:val="Heading4"/>
        <w:spacing w:before="12"/>
        <w:ind w:left="109" w:firstLine="0"/>
        <w:rPr>
          <w:rFonts w:ascii="微软雅黑" w:eastAsia="微软雅黑"/>
        </w:rPr>
      </w:pPr>
      <w:r>
        <w:rPr>
          <w:rFonts w:ascii="微软雅黑" w:eastAsia="微软雅黑"/>
          <w:spacing w:val="-1"/>
        </w:rPr>
        <w:t>十三、采购人、采购代理机构的名称、地址和联系方式。</w:t>
      </w:r>
    </w:p>
    <w:p>
      <w:pPr>
        <w:pStyle w:val="ListParagraph"/>
        <w:numPr>
          <w:ilvl w:val="0"/>
          <w:numId w:val="90"/>
        </w:numPr>
        <w:tabs>
          <w:tab w:val="left" w:pos="743"/>
          <w:tab w:val="left" w:pos="745"/>
        </w:tabs>
        <w:spacing w:before="120" w:after="0" w:line="240" w:lineRule="auto"/>
        <w:ind w:left="744" w:right="0" w:hanging="531"/>
        <w:jc w:val="left"/>
        <w:rPr>
          <w:sz w:val="21"/>
        </w:rPr>
      </w:pPr>
      <w:r>
        <w:rPr>
          <w:spacing w:val="-2"/>
          <w:sz w:val="21"/>
        </w:rPr>
        <w:t>采购人联系方式</w:t>
      </w:r>
    </w:p>
    <w:p>
      <w:pPr>
        <w:spacing w:before="104" w:line="324" w:lineRule="auto"/>
        <w:ind w:left="739" w:right="5412" w:firstLine="4"/>
        <w:jc w:val="left"/>
        <w:rPr>
          <w:sz w:val="21"/>
        </w:rPr>
      </w:pPr>
      <w:r>
        <w:rPr>
          <w:spacing w:val="-2"/>
          <w:sz w:val="21"/>
        </w:rPr>
        <w:t>采购人名称：</w:t>
      </w:r>
      <w:r>
        <w:rPr>
          <w:rFonts w:ascii="微软雅黑" w:eastAsia="微软雅黑"/>
          <w:b/>
          <w:spacing w:val="-2"/>
          <w:sz w:val="21"/>
        </w:rPr>
        <w:t>中ft</w:t>
      </w:r>
      <w:r>
        <w:rPr>
          <w:rFonts w:ascii="微软雅黑" w:eastAsia="微软雅黑"/>
          <w:b/>
          <w:spacing w:val="-2"/>
          <w:sz w:val="21"/>
        </w:rPr>
        <w:t>市公安局技术侦察支队</w:t>
      </w:r>
      <w:r>
        <w:rPr>
          <w:spacing w:val="-2"/>
          <w:w w:val="105"/>
          <w:sz w:val="21"/>
        </w:rPr>
        <w:t>联</w:t>
      </w:r>
      <w:r>
        <w:rPr>
          <w:spacing w:val="-2"/>
          <w:w w:val="105"/>
          <w:sz w:val="21"/>
        </w:rPr>
        <w:t>系</w:t>
      </w:r>
      <w:r>
        <w:rPr>
          <w:spacing w:val="-2"/>
          <w:w w:val="105"/>
          <w:sz w:val="21"/>
        </w:rPr>
        <w:t>人</w:t>
      </w:r>
      <w:r>
        <w:rPr>
          <w:spacing w:val="-2"/>
          <w:w w:val="105"/>
          <w:sz w:val="21"/>
        </w:rPr>
        <w:t>：</w:t>
      </w:r>
      <w:r>
        <w:rPr>
          <w:spacing w:val="-2"/>
          <w:w w:val="105"/>
          <w:sz w:val="21"/>
        </w:rPr>
        <w:t>吕</w:t>
      </w:r>
      <w:r>
        <w:rPr>
          <w:spacing w:val="-2"/>
          <w:w w:val="105"/>
          <w:sz w:val="21"/>
        </w:rPr>
        <w:t>先</w:t>
      </w:r>
      <w:r>
        <w:rPr>
          <w:spacing w:val="-2"/>
          <w:w w:val="105"/>
          <w:sz w:val="21"/>
        </w:rPr>
        <w:t>生</w:t>
      </w:r>
    </w:p>
    <w:p>
      <w:pPr>
        <w:pStyle w:val="BodyText"/>
        <w:tabs>
          <w:tab w:val="left" w:pos="1158"/>
        </w:tabs>
        <w:spacing w:before="97"/>
        <w:ind w:left="739"/>
      </w:pPr>
      <w:r>
        <w:rPr>
          <w:spacing w:val="-10"/>
        </w:rPr>
        <w:t>电</w:t>
      </w:r>
      <w:r>
        <w:tab/>
        <w:t>话：0760-</w:t>
      </w:r>
      <w:r>
        <w:rPr>
          <w:spacing w:val="-2"/>
        </w:rPr>
        <w:t>23181728</w:t>
      </w:r>
    </w:p>
    <w:p>
      <w:pPr>
        <w:pStyle w:val="ListParagraph"/>
        <w:numPr>
          <w:ilvl w:val="0"/>
          <w:numId w:val="90"/>
        </w:numPr>
        <w:tabs>
          <w:tab w:val="left" w:pos="743"/>
          <w:tab w:val="left" w:pos="745"/>
        </w:tabs>
        <w:spacing w:before="175" w:after="0" w:line="240" w:lineRule="auto"/>
        <w:ind w:left="744" w:right="0" w:hanging="531"/>
        <w:jc w:val="left"/>
        <w:rPr>
          <w:sz w:val="21"/>
        </w:rPr>
      </w:pPr>
      <w:r>
        <w:rPr>
          <w:spacing w:val="-1"/>
          <w:sz w:val="21"/>
        </w:rPr>
        <w:t>采购代理机构联系方式</w:t>
      </w:r>
    </w:p>
    <w:p>
      <w:pPr>
        <w:pStyle w:val="BodyText"/>
        <w:spacing w:before="104" w:line="314" w:lineRule="auto"/>
        <w:ind w:left="744" w:right="1317"/>
      </w:pPr>
      <w:r>
        <w:rPr>
          <w:spacing w:val="-2"/>
        </w:rPr>
        <w:t>采购代理机构名称：</w:t>
      </w:r>
      <w:r>
        <w:rPr>
          <w:rFonts w:ascii="微软雅黑" w:eastAsia="微软雅黑"/>
          <w:b/>
          <w:spacing w:val="-2"/>
        </w:rPr>
        <w:t>广东志正招标有限公司</w:t>
      </w:r>
      <w:r>
        <w:rPr>
          <w:spacing w:val="-2"/>
        </w:rPr>
        <w:t>（网址：</w:t>
      </w:r>
      <w:hyperlink r:id="rId10">
        <w:r>
          <w:rPr>
            <w:spacing w:val="-2"/>
          </w:rPr>
          <w:t>http://www.tender.gd.gov.cn</w:t>
        </w:r>
      </w:hyperlink>
      <w:r>
        <w:rPr>
          <w:spacing w:val="-2"/>
        </w:rPr>
        <w:t>）</w:t>
      </w:r>
      <w:r>
        <w:t>联 系 人：王先生</w:t>
      </w:r>
    </w:p>
    <w:p>
      <w:pPr>
        <w:pStyle w:val="BodyText"/>
        <w:spacing w:before="87"/>
        <w:ind w:left="744"/>
      </w:pPr>
      <w:r>
        <w:t>中ft分公司地址：中ft市东区中ft</w:t>
      </w:r>
      <w:r>
        <w:rPr>
          <w:spacing w:val="-8"/>
        </w:rPr>
        <w:t xml:space="preserve">四路亨尾大街 </w:t>
      </w:r>
      <w:r>
        <w:t>3</w:t>
      </w:r>
      <w:r>
        <w:rPr>
          <w:spacing w:val="-13"/>
        </w:rPr>
        <w:t xml:space="preserve"> 号软件园东园区 </w:t>
      </w:r>
      <w:r>
        <w:t>2</w:t>
      </w:r>
      <w:r>
        <w:rPr>
          <w:spacing w:val="-36"/>
        </w:rPr>
        <w:t xml:space="preserve"> 楼 </w:t>
      </w:r>
      <w:r>
        <w:t>20</w:t>
      </w:r>
      <w:r>
        <w:rPr>
          <w:spacing w:val="-32"/>
        </w:rPr>
        <w:t xml:space="preserve"> 室</w:t>
      </w:r>
    </w:p>
    <w:p>
      <w:pPr>
        <w:spacing w:after="0"/>
        <w:sectPr>
          <w:headerReference w:type="default" r:id="rId11"/>
          <w:footerReference w:type="default" r:id="rId12"/>
          <w:pgSz w:w="11910" w:h="16840"/>
          <w:pgMar w:top="1340" w:right="1080" w:bottom="1000" w:left="880" w:header="822" w:footer="805"/>
          <w:pgNumType w:start="4"/>
          <w:cols w:space="708"/>
        </w:sectPr>
      </w:pPr>
    </w:p>
    <w:p>
      <w:pPr>
        <w:pStyle w:val="BodyText"/>
        <w:spacing w:before="8"/>
        <w:rPr>
          <w:sz w:val="10"/>
        </w:rPr>
      </w:pPr>
    </w:p>
    <w:p>
      <w:pPr>
        <w:pStyle w:val="BodyText"/>
        <w:tabs>
          <w:tab w:val="left" w:pos="1373"/>
        </w:tabs>
        <w:spacing w:before="71" w:line="393" w:lineRule="auto"/>
        <w:ind w:left="744" w:right="5737"/>
      </w:pPr>
      <w:r>
        <w:rPr>
          <w:spacing w:val="-10"/>
        </w:rPr>
        <w:t>电</w:t>
      </w:r>
      <w:r>
        <w:tab/>
      </w:r>
      <w:r>
        <w:rPr>
          <w:spacing w:val="-2"/>
        </w:rPr>
        <w:t>话</w:t>
      </w:r>
      <w:r>
        <w:rPr>
          <w:spacing w:val="-2"/>
        </w:rPr>
        <w:t>：0760-88811601</w:t>
      </w:r>
      <w:r>
        <w:rPr>
          <w:spacing w:val="-2"/>
        </w:rPr>
        <w:t>、</w:t>
      </w:r>
      <w:r>
        <w:rPr>
          <w:spacing w:val="-2"/>
        </w:rPr>
        <w:t>88808187</w:t>
      </w:r>
      <w:r>
        <w:rPr>
          <w:spacing w:val="-10"/>
        </w:rPr>
        <w:t>传</w:t>
      </w:r>
      <w:r>
        <w:tab/>
      </w:r>
      <w:r>
        <w:rPr>
          <w:spacing w:val="-2"/>
        </w:rPr>
        <w:t>真</w:t>
      </w:r>
      <w:r>
        <w:rPr>
          <w:spacing w:val="-2"/>
        </w:rPr>
        <w:t>：0760-88819856</w:t>
      </w:r>
    </w:p>
    <w:p>
      <w:pPr>
        <w:pStyle w:val="BodyText"/>
        <w:spacing w:line="267" w:lineRule="exact"/>
        <w:ind w:left="744"/>
      </w:pPr>
      <w:r>
        <w:rPr>
          <w:spacing w:val="-1"/>
        </w:rPr>
        <w:t>电子邮箱：</w:t>
      </w:r>
      <w:hyperlink r:id="rId13">
        <w:r>
          <w:rPr>
            <w:spacing w:val="-2"/>
          </w:rPr>
          <w:t>tender_zs@gd.gov.cn</w:t>
        </w:r>
      </w:hyperlink>
    </w:p>
    <w:p>
      <w:pPr>
        <w:pStyle w:val="BodyText"/>
        <w:spacing w:before="1"/>
        <w:rPr>
          <w:sz w:val="9"/>
        </w:rPr>
      </w:pPr>
    </w:p>
    <w:p>
      <w:pPr>
        <w:pStyle w:val="Heading4"/>
        <w:spacing w:before="4"/>
        <w:ind w:left="0" w:right="294" w:firstLine="0"/>
        <w:jc w:val="right"/>
        <w:rPr>
          <w:rFonts w:ascii="微软雅黑" w:eastAsia="微软雅黑"/>
        </w:rPr>
      </w:pPr>
      <w:r>
        <w:rPr>
          <w:rFonts w:ascii="微软雅黑" w:eastAsia="微软雅黑"/>
          <w:spacing w:val="-1"/>
        </w:rPr>
        <w:t>广东志正招标有限公司</w:t>
      </w:r>
    </w:p>
    <w:p>
      <w:pPr>
        <w:pStyle w:val="BodyText"/>
        <w:spacing w:before="140"/>
        <w:ind w:right="295"/>
        <w:jc w:val="right"/>
      </w:pPr>
      <w:r>
        <w:t>2014</w:t>
      </w:r>
      <w:r>
        <w:rPr>
          <w:spacing w:val="-36"/>
        </w:rPr>
        <w:t xml:space="preserve"> 年 </w:t>
      </w:r>
      <w:r>
        <w:t>07</w:t>
      </w:r>
      <w:r>
        <w:rPr>
          <w:spacing w:val="-36"/>
        </w:rPr>
        <w:t xml:space="preserve"> 月 </w:t>
      </w:r>
      <w:r>
        <w:t>30</w:t>
      </w:r>
      <w:r>
        <w:rPr>
          <w:spacing w:val="-32"/>
        </w:rPr>
        <w:t xml:space="preserve"> 日</w:t>
      </w:r>
    </w:p>
    <w:p>
      <w:pPr>
        <w:spacing w:after="0"/>
        <w:jc w:val="right"/>
        <w:sectPr>
          <w:headerReference w:type="default" r:id="rId14"/>
          <w:footerReference w:type="default" r:id="rId15"/>
          <w:pgSz w:w="11910" w:h="16840"/>
          <w:pgMar w:top="1340" w:right="1080" w:bottom="1000" w:left="880" w:header="822" w:footer="805"/>
          <w:pgNumType w:start="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3"/>
        </w:rPr>
      </w:pPr>
    </w:p>
    <w:p>
      <w:pPr>
        <w:pStyle w:val="Heading1"/>
        <w:tabs>
          <w:tab w:val="left" w:pos="2432"/>
        </w:tabs>
        <w:ind w:right="9"/>
      </w:pPr>
      <w:bookmarkStart w:id="1" w:name="_TOC_250032"/>
      <w:r>
        <w:t>第</w:t>
      </w:r>
      <w:r>
        <w:t>二</w:t>
      </w:r>
      <w:r>
        <w:t>部</w:t>
      </w:r>
      <w:r>
        <w:rPr>
          <w:spacing w:val="-10"/>
        </w:rPr>
        <w:t>分</w:t>
      </w:r>
      <w:r>
        <w:tab/>
        <w:t>用</w:t>
      </w:r>
      <w:r>
        <w:rPr>
          <w:spacing w:val="58"/>
          <w:w w:val="150"/>
        </w:rPr>
        <w:t xml:space="preserve"> </w:t>
      </w:r>
      <w:r>
        <w:t>户</w:t>
      </w:r>
      <w:r>
        <w:rPr>
          <w:spacing w:val="58"/>
          <w:w w:val="150"/>
        </w:rPr>
        <w:t xml:space="preserve"> </w:t>
      </w:r>
      <w:r>
        <w:t>需</w:t>
      </w:r>
      <w:r>
        <w:rPr>
          <w:spacing w:val="58"/>
          <w:w w:val="150"/>
        </w:rPr>
        <w:t xml:space="preserve"> </w:t>
      </w:r>
      <w:r>
        <w:t>求</w:t>
      </w:r>
      <w:r>
        <w:rPr>
          <w:spacing w:val="58"/>
          <w:w w:val="150"/>
        </w:rPr>
        <w:t xml:space="preserve"> </w:t>
      </w:r>
      <w:bookmarkEnd w:id="1"/>
      <w:r>
        <w:rPr>
          <w:spacing w:val="-10"/>
        </w:rPr>
        <w:t>书</w:t>
      </w:r>
    </w:p>
    <w:p>
      <w:pPr>
        <w:spacing w:after="0"/>
        <w:sectPr>
          <w:headerReference w:type="default" r:id="rId16"/>
          <w:footerReference w:type="default" r:id="rId17"/>
          <w:pgSz w:w="11910" w:h="16840"/>
          <w:pgMar w:top="1340" w:right="1080" w:bottom="1000" w:left="880" w:header="822" w:footer="805"/>
          <w:pgNumType w:start="6"/>
          <w:cols w:space="708"/>
        </w:sectPr>
      </w:pPr>
    </w:p>
    <w:p>
      <w:pPr>
        <w:tabs>
          <w:tab w:val="left" w:pos="754"/>
        </w:tabs>
        <w:spacing w:before="0" w:line="523" w:lineRule="exact"/>
        <w:ind w:left="0" w:right="9" w:firstLine="0"/>
        <w:jc w:val="center"/>
        <w:rPr>
          <w:rFonts w:ascii="Microsoft JhengHei" w:eastAsia="Microsoft JhengHei"/>
          <w:b/>
          <w:sz w:val="30"/>
        </w:rPr>
      </w:pPr>
      <w:r>
        <w:rPr>
          <w:rFonts w:ascii="Microsoft JhengHei" w:eastAsia="Microsoft JhengHei"/>
          <w:b/>
          <w:spacing w:val="-10"/>
          <w:sz w:val="30"/>
        </w:rPr>
        <w:t>总</w:t>
      </w:r>
      <w:r>
        <w:rPr>
          <w:rFonts w:ascii="Microsoft JhengHei" w:eastAsia="Microsoft JhengHei"/>
          <w:b/>
          <w:sz w:val="30"/>
        </w:rPr>
        <w:tab/>
      </w:r>
      <w:r>
        <w:rPr>
          <w:rFonts w:ascii="Microsoft JhengHei" w:eastAsia="Microsoft JhengHei"/>
          <w:b/>
          <w:spacing w:val="-10"/>
          <w:sz w:val="30"/>
        </w:rPr>
        <w:t>则</w:t>
      </w:r>
    </w:p>
    <w:p>
      <w:pPr>
        <w:pStyle w:val="ListParagraph"/>
        <w:numPr>
          <w:ilvl w:val="0"/>
          <w:numId w:val="91"/>
        </w:numPr>
        <w:tabs>
          <w:tab w:val="left" w:pos="638"/>
        </w:tabs>
        <w:spacing w:before="181" w:after="0" w:line="408" w:lineRule="exact"/>
        <w:ind w:left="638" w:right="247" w:hanging="424"/>
        <w:jc w:val="both"/>
        <w:rPr>
          <w:rFonts w:ascii="Microsoft JhengHei" w:eastAsia="Microsoft JhengHei" w:hAnsi="Microsoft JhengHei"/>
          <w:b/>
          <w:sz w:val="21"/>
        </w:rPr>
      </w:pPr>
      <w:r>
        <w:rPr>
          <w:spacing w:val="-2"/>
          <w:sz w:val="21"/>
        </w:rPr>
        <w:t>本项目所建议的设备的性能应达到或超过参考指标表中所列技术指标。投标人应注意该表的值仅列</w:t>
      </w:r>
      <w:r>
        <w:rPr>
          <w:spacing w:val="-2"/>
          <w:sz w:val="21"/>
        </w:rPr>
        <w:t>出了最低限度。</w:t>
      </w:r>
      <w:r>
        <w:rPr>
          <w:rFonts w:ascii="Microsoft JhengHei" w:eastAsia="Microsoft JhengHei" w:hAnsi="Microsoft JhengHei"/>
          <w:b/>
          <w:spacing w:val="-2"/>
          <w:sz w:val="21"/>
        </w:rPr>
        <w:t>投标人在响应建议中必须列出具体数值。如果投标人只注明“符合”或“满足”，</w:t>
      </w:r>
      <w:r>
        <w:rPr>
          <w:rFonts w:ascii="Microsoft JhengHei" w:eastAsia="Microsoft JhengHei" w:hAnsi="Microsoft JhengHei"/>
          <w:b/>
          <w:spacing w:val="-2"/>
          <w:sz w:val="21"/>
        </w:rPr>
        <w:t>将被视为“不符合”。</w:t>
      </w:r>
    </w:p>
    <w:p>
      <w:pPr>
        <w:pStyle w:val="ListParagraph"/>
        <w:numPr>
          <w:ilvl w:val="0"/>
          <w:numId w:val="91"/>
        </w:numPr>
        <w:tabs>
          <w:tab w:val="left" w:pos="638"/>
        </w:tabs>
        <w:spacing w:before="118" w:after="0" w:line="364" w:lineRule="auto"/>
        <w:ind w:left="638" w:right="277" w:hanging="424"/>
        <w:jc w:val="both"/>
        <w:rPr>
          <w:sz w:val="21"/>
        </w:rPr>
      </w:pPr>
      <w:r>
        <w:rPr>
          <w:spacing w:val="-2"/>
          <w:sz w:val="21"/>
        </w:rPr>
        <w:t>中标人承包及负责招标文件对中标人要求的一切事宜及责任。包括项目实施方案、货物供货、软件</w:t>
      </w:r>
      <w:r>
        <w:rPr>
          <w:spacing w:val="-2"/>
          <w:sz w:val="21"/>
        </w:rPr>
        <w:t>提供、集成、运输、保管、安装、调试、验收、培训及相关服务等。</w:t>
      </w:r>
    </w:p>
    <w:p>
      <w:pPr>
        <w:pStyle w:val="ListParagraph"/>
        <w:numPr>
          <w:ilvl w:val="0"/>
          <w:numId w:val="91"/>
        </w:numPr>
        <w:tabs>
          <w:tab w:val="left" w:pos="638"/>
        </w:tabs>
        <w:spacing w:before="0" w:after="0" w:line="364" w:lineRule="auto"/>
        <w:ind w:left="638" w:right="277" w:hanging="424"/>
        <w:jc w:val="both"/>
        <w:rPr>
          <w:sz w:val="21"/>
        </w:rPr>
      </w:pPr>
      <w:r>
        <w:rPr>
          <w:spacing w:val="-2"/>
          <w:sz w:val="21"/>
        </w:rPr>
        <w:t>本项目为交钥匙项目，除中标人在投标文件中明确外，中标人不得以任何方式转包或分包本工程项</w:t>
      </w:r>
      <w:r>
        <w:rPr>
          <w:spacing w:val="-6"/>
          <w:sz w:val="21"/>
        </w:rPr>
        <w:t>目。</w:t>
      </w:r>
    </w:p>
    <w:p>
      <w:pPr>
        <w:pStyle w:val="ListParagraph"/>
        <w:numPr>
          <w:ilvl w:val="0"/>
          <w:numId w:val="91"/>
        </w:numPr>
        <w:tabs>
          <w:tab w:val="left" w:pos="638"/>
        </w:tabs>
        <w:spacing w:before="0" w:after="0" w:line="268" w:lineRule="exact"/>
        <w:ind w:left="638" w:right="0" w:hanging="424"/>
        <w:jc w:val="both"/>
        <w:rPr>
          <w:sz w:val="21"/>
        </w:rPr>
      </w:pPr>
      <w:r>
        <w:rPr>
          <w:spacing w:val="-1"/>
          <w:sz w:val="21"/>
        </w:rPr>
        <w:t>本项目不接受联合体投标。</w:t>
      </w:r>
    </w:p>
    <w:p>
      <w:pPr>
        <w:pStyle w:val="ListParagraph"/>
        <w:numPr>
          <w:ilvl w:val="0"/>
          <w:numId w:val="91"/>
        </w:numPr>
        <w:tabs>
          <w:tab w:val="left" w:pos="638"/>
        </w:tabs>
        <w:spacing w:before="139" w:after="0" w:line="364" w:lineRule="auto"/>
        <w:ind w:left="638" w:right="278" w:hanging="424"/>
        <w:jc w:val="both"/>
        <w:rPr>
          <w:sz w:val="21"/>
        </w:rPr>
      </w:pPr>
      <w:r>
        <w:rPr>
          <w:spacing w:val="-2"/>
          <w:sz w:val="21"/>
        </w:rPr>
        <w:t>在招标文件中凡有“★”标识的内容条款被视为重要的响应要求、技术指标要求和性能要求。投标</w:t>
      </w:r>
      <w:r>
        <w:rPr>
          <w:spacing w:val="-2"/>
          <w:sz w:val="21"/>
        </w:rPr>
        <w:t>人必须对此作出回答并完全满足这些要求不可以出现任何负偏离，如果出现负偏离则将被视为无效</w:t>
      </w:r>
      <w:r>
        <w:rPr>
          <w:spacing w:val="-4"/>
          <w:sz w:val="21"/>
        </w:rPr>
        <w:t>投标。</w:t>
      </w:r>
    </w:p>
    <w:p>
      <w:pPr>
        <w:spacing w:after="0" w:line="364" w:lineRule="auto"/>
        <w:jc w:val="both"/>
        <w:rPr>
          <w:sz w:val="21"/>
        </w:rPr>
        <w:sectPr>
          <w:headerReference w:type="default" r:id="rId18"/>
          <w:footerReference w:type="default" r:id="rId19"/>
          <w:pgSz w:w="11910" w:h="16840"/>
          <w:pgMar w:top="1340" w:right="1080" w:bottom="1000" w:left="880" w:header="822" w:footer="805"/>
          <w:pgNumType w:start="7"/>
          <w:cols w:space="708"/>
        </w:sectPr>
      </w:pPr>
    </w:p>
    <w:p>
      <w:pPr>
        <w:spacing w:before="0" w:line="492" w:lineRule="exact"/>
        <w:ind w:left="214" w:right="0" w:firstLine="0"/>
        <w:jc w:val="left"/>
        <w:rPr>
          <w:rFonts w:ascii="Microsoft JhengHei" w:eastAsia="Microsoft JhengHei"/>
          <w:b/>
          <w:sz w:val="28"/>
        </w:rPr>
      </w:pPr>
      <w:r>
        <w:rPr>
          <w:rFonts w:ascii="Microsoft JhengHei" w:eastAsia="Microsoft JhengHei"/>
          <w:b/>
          <w:spacing w:val="-2"/>
          <w:sz w:val="28"/>
        </w:rPr>
        <w:t>一、项目建设背景</w:t>
      </w:r>
    </w:p>
    <w:p>
      <w:pPr>
        <w:pStyle w:val="BodyText"/>
        <w:spacing w:before="121" w:line="364" w:lineRule="auto"/>
        <w:ind w:left="214" w:right="387" w:firstLine="420"/>
      </w:pPr>
      <w:r>
        <w:rPr>
          <w:spacing w:val="-2"/>
        </w:rPr>
        <w:t>随着公安工作的开展，为了更好更快的为基层办案机构提供技术支撑，中ft公安开始工作站的建</w:t>
      </w:r>
      <w:r>
        <w:rPr>
          <w:spacing w:val="-5"/>
        </w:rPr>
        <w:t xml:space="preserve">设，本期计划成立 </w:t>
      </w:r>
      <w:r>
        <w:rPr>
          <w:spacing w:val="-2"/>
        </w:rPr>
        <w:t>5</w:t>
      </w:r>
      <w:r>
        <w:rPr>
          <w:spacing w:val="-7"/>
        </w:rPr>
        <w:t xml:space="preserve"> 个工作站，将现有办公应用系统延伸到工作站处应用</w:t>
      </w:r>
      <w:r>
        <w:rPr>
          <w:spacing w:val="-2"/>
        </w:rPr>
        <w:t>，（1）保障工作站使用到相</w:t>
      </w:r>
      <w:r>
        <w:t>关数据资源（2）提高后台存储性能，运作能力，对“DW09</w:t>
      </w:r>
      <w:r>
        <w:rPr>
          <w:spacing w:val="-10"/>
        </w:rPr>
        <w:t xml:space="preserve"> 工程”中</w:t>
      </w:r>
      <w:r>
        <w:t>ft后台系统升级扩容。</w:t>
      </w:r>
    </w:p>
    <w:p>
      <w:pPr>
        <w:pStyle w:val="BodyText"/>
        <w:spacing w:before="8"/>
        <w:rPr>
          <w:sz w:val="24"/>
        </w:rPr>
      </w:pPr>
    </w:p>
    <w:p>
      <w:pPr>
        <w:spacing w:before="0"/>
        <w:ind w:left="214" w:right="0" w:firstLine="0"/>
        <w:jc w:val="left"/>
        <w:rPr>
          <w:rFonts w:ascii="Microsoft JhengHei" w:eastAsia="Microsoft JhengHei"/>
          <w:b/>
          <w:sz w:val="28"/>
        </w:rPr>
      </w:pPr>
      <w:r>
        <w:rPr>
          <w:rFonts w:ascii="Microsoft JhengHei" w:eastAsia="Microsoft JhengHei"/>
          <w:b/>
          <w:spacing w:val="-2"/>
          <w:sz w:val="28"/>
        </w:rPr>
        <w:t>二、项目设计原则</w:t>
      </w:r>
    </w:p>
    <w:p>
      <w:pPr>
        <w:pStyle w:val="ListParagraph"/>
        <w:numPr>
          <w:ilvl w:val="1"/>
          <w:numId w:val="92"/>
        </w:numPr>
        <w:tabs>
          <w:tab w:val="left" w:pos="851"/>
        </w:tabs>
        <w:spacing w:before="121" w:after="0" w:line="240" w:lineRule="auto"/>
        <w:ind w:left="850" w:right="0" w:hanging="531"/>
        <w:jc w:val="left"/>
        <w:rPr>
          <w:sz w:val="21"/>
        </w:rPr>
      </w:pPr>
      <w:r>
        <w:rPr>
          <w:spacing w:val="-4"/>
          <w:sz w:val="21"/>
        </w:rPr>
        <w:t>先进性</w:t>
      </w:r>
    </w:p>
    <w:p>
      <w:pPr>
        <w:pStyle w:val="BodyText"/>
        <w:spacing w:before="140"/>
        <w:ind w:left="848"/>
      </w:pPr>
      <w:r>
        <w:rPr>
          <w:spacing w:val="-1"/>
        </w:rPr>
        <w:t>系统整体方案应符合信息技术的发展趋势，采用先进成熟的技术和开发工具，以保证系统的先进</w:t>
      </w:r>
    </w:p>
    <w:p>
      <w:pPr>
        <w:pStyle w:val="BodyText"/>
        <w:spacing w:before="139"/>
        <w:ind w:left="424"/>
      </w:pPr>
      <w:r>
        <w:rPr>
          <w:spacing w:val="-5"/>
        </w:rPr>
        <w:t>性。</w:t>
      </w:r>
    </w:p>
    <w:p>
      <w:pPr>
        <w:pStyle w:val="ListParagraph"/>
        <w:numPr>
          <w:ilvl w:val="1"/>
          <w:numId w:val="92"/>
        </w:numPr>
        <w:tabs>
          <w:tab w:val="left" w:pos="851"/>
        </w:tabs>
        <w:spacing w:before="140" w:after="0" w:line="240" w:lineRule="auto"/>
        <w:ind w:left="850" w:right="0" w:hanging="531"/>
        <w:jc w:val="left"/>
        <w:rPr>
          <w:sz w:val="21"/>
        </w:rPr>
      </w:pPr>
      <w:r>
        <w:rPr>
          <w:spacing w:val="-4"/>
          <w:sz w:val="21"/>
        </w:rPr>
        <w:t>实用性</w:t>
      </w:r>
    </w:p>
    <w:p>
      <w:pPr>
        <w:pStyle w:val="BodyText"/>
        <w:spacing w:before="139" w:line="364" w:lineRule="auto"/>
        <w:ind w:left="424" w:right="278" w:firstLine="424"/>
      </w:pPr>
      <w:r>
        <w:rPr>
          <w:spacing w:val="-2"/>
        </w:rPr>
        <w:t>硬件系统应选择具有先进性、成熟性、稳定性，并拥有优良性能价格比的设备。软件系统的选择</w:t>
      </w:r>
      <w:r>
        <w:rPr>
          <w:spacing w:val="-2"/>
        </w:rPr>
        <w:t>与开发应在满足业务需求的基础上具有易改造、易升级、易操作、易维护等性能。</w:t>
      </w:r>
    </w:p>
    <w:p>
      <w:pPr>
        <w:pStyle w:val="ListParagraph"/>
        <w:numPr>
          <w:ilvl w:val="1"/>
          <w:numId w:val="92"/>
        </w:numPr>
        <w:tabs>
          <w:tab w:val="left" w:pos="851"/>
        </w:tabs>
        <w:spacing w:before="0" w:after="0" w:line="268" w:lineRule="exact"/>
        <w:ind w:left="850" w:right="0" w:hanging="531"/>
        <w:jc w:val="left"/>
        <w:rPr>
          <w:sz w:val="21"/>
        </w:rPr>
      </w:pPr>
      <w:r>
        <w:rPr>
          <w:spacing w:val="-4"/>
          <w:sz w:val="21"/>
        </w:rPr>
        <w:t>开放性</w:t>
      </w:r>
    </w:p>
    <w:p>
      <w:pPr>
        <w:pStyle w:val="BodyText"/>
        <w:spacing w:before="139" w:line="364" w:lineRule="auto"/>
        <w:ind w:left="424" w:right="278" w:firstLine="424"/>
      </w:pPr>
      <w:r>
        <w:rPr>
          <w:spacing w:val="-2"/>
        </w:rPr>
        <w:t>系统总体设计及构件设计中应兼顾到其他系统的衔接，采用业界开放的标准，为未来的业务发展</w:t>
      </w:r>
      <w:r>
        <w:rPr>
          <w:spacing w:val="-2"/>
        </w:rPr>
        <w:t>奠定基础。</w:t>
      </w:r>
    </w:p>
    <w:p>
      <w:pPr>
        <w:pStyle w:val="ListParagraph"/>
        <w:numPr>
          <w:ilvl w:val="1"/>
          <w:numId w:val="92"/>
        </w:numPr>
        <w:tabs>
          <w:tab w:val="left" w:pos="851"/>
        </w:tabs>
        <w:spacing w:before="0" w:after="0" w:line="268" w:lineRule="exact"/>
        <w:ind w:left="850" w:right="0" w:hanging="531"/>
        <w:jc w:val="left"/>
        <w:rPr>
          <w:sz w:val="21"/>
        </w:rPr>
      </w:pPr>
      <w:r>
        <w:rPr>
          <w:spacing w:val="-4"/>
          <w:sz w:val="21"/>
        </w:rPr>
        <w:t>可靠性</w:t>
      </w:r>
    </w:p>
    <w:p>
      <w:pPr>
        <w:pStyle w:val="BodyText"/>
        <w:spacing w:before="140" w:line="364" w:lineRule="auto"/>
        <w:ind w:left="424" w:right="278" w:firstLine="424"/>
        <w:jc w:val="both"/>
      </w:pPr>
      <w:r>
        <w:rPr>
          <w:spacing w:val="-2"/>
        </w:rPr>
        <w:t>系统高可靠性包括系统的稳定性和数据的可靠性两方面的含义。系统的稳定性是指发生局部硬件</w:t>
      </w:r>
      <w:r>
        <w:rPr>
          <w:spacing w:val="-2"/>
        </w:rPr>
        <w:t>故障和软件故障时有相应的旁路技术和容错技术，任意单点故障都不影响整个系统的运行。系统的数</w:t>
      </w:r>
      <w:r>
        <w:rPr>
          <w:spacing w:val="-2"/>
        </w:rPr>
        <w:t>据可靠性是指保证备份数据和实时业务数据的一致性，发生故障时数据不损失。</w:t>
      </w:r>
    </w:p>
    <w:p>
      <w:pPr>
        <w:pStyle w:val="ListParagraph"/>
        <w:numPr>
          <w:ilvl w:val="1"/>
          <w:numId w:val="92"/>
        </w:numPr>
        <w:tabs>
          <w:tab w:val="left" w:pos="851"/>
        </w:tabs>
        <w:spacing w:before="0" w:after="0" w:line="268" w:lineRule="exact"/>
        <w:ind w:left="850" w:right="0" w:hanging="531"/>
        <w:jc w:val="left"/>
        <w:rPr>
          <w:sz w:val="21"/>
        </w:rPr>
      </w:pPr>
      <w:r>
        <w:rPr>
          <w:spacing w:val="-3"/>
          <w:sz w:val="21"/>
        </w:rPr>
        <w:t>可管理性</w:t>
      </w:r>
    </w:p>
    <w:p>
      <w:pPr>
        <w:pStyle w:val="BodyText"/>
        <w:spacing w:before="139" w:line="364" w:lineRule="auto"/>
        <w:ind w:left="424" w:right="278" w:firstLine="424"/>
      </w:pPr>
      <w:r>
        <w:rPr>
          <w:spacing w:val="-2"/>
        </w:rPr>
        <w:t>可管理性包括正常情况下的可管理性和系统发生改变时的可管理性。系统的高可管理性要求具备</w:t>
      </w:r>
      <w:r>
        <w:rPr>
          <w:spacing w:val="-2"/>
        </w:rPr>
        <w:t>对主机、网络、数据库、应用等资源进行监控、管理和调度。</w:t>
      </w:r>
    </w:p>
    <w:p>
      <w:pPr>
        <w:pStyle w:val="ListParagraph"/>
        <w:numPr>
          <w:ilvl w:val="1"/>
          <w:numId w:val="92"/>
        </w:numPr>
        <w:tabs>
          <w:tab w:val="left" w:pos="851"/>
        </w:tabs>
        <w:spacing w:before="0" w:after="0" w:line="268" w:lineRule="exact"/>
        <w:ind w:left="850" w:right="0" w:hanging="531"/>
        <w:jc w:val="left"/>
        <w:rPr>
          <w:sz w:val="21"/>
        </w:rPr>
      </w:pPr>
      <w:r>
        <w:rPr>
          <w:spacing w:val="-4"/>
          <w:sz w:val="21"/>
        </w:rPr>
        <w:t>安全性</w:t>
      </w:r>
    </w:p>
    <w:p>
      <w:pPr>
        <w:pStyle w:val="BodyText"/>
        <w:spacing w:before="140" w:line="364" w:lineRule="auto"/>
        <w:ind w:left="424" w:right="278" w:firstLine="424"/>
      </w:pPr>
      <w:r>
        <w:rPr>
          <w:spacing w:val="-2"/>
        </w:rPr>
        <w:t>系统应具有完备的安全体系结构，包括加密、解密、用户身份认证、权限管理控制、日志记录、</w:t>
      </w:r>
      <w:r>
        <w:rPr>
          <w:spacing w:val="-2"/>
        </w:rPr>
        <w:t>安全审计等安全控制功能，防止通过网络和操作系统的非法入侵。</w:t>
      </w:r>
    </w:p>
    <w:p>
      <w:pPr>
        <w:pStyle w:val="BodyText"/>
        <w:spacing w:before="8"/>
        <w:rPr>
          <w:sz w:val="24"/>
        </w:rPr>
      </w:pPr>
    </w:p>
    <w:p>
      <w:pPr>
        <w:spacing w:before="0"/>
        <w:ind w:left="214" w:right="0" w:firstLine="0"/>
        <w:jc w:val="left"/>
        <w:rPr>
          <w:rFonts w:ascii="Microsoft JhengHei" w:eastAsia="Microsoft JhengHei"/>
          <w:b/>
          <w:sz w:val="28"/>
        </w:rPr>
      </w:pPr>
      <w:r>
        <w:rPr>
          <w:rFonts w:ascii="Microsoft JhengHei" w:eastAsia="Microsoft JhengHei"/>
          <w:b/>
          <w:spacing w:val="-2"/>
          <w:sz w:val="28"/>
        </w:rPr>
        <w:t>三、需求分析</w:t>
      </w:r>
    </w:p>
    <w:p>
      <w:pPr>
        <w:pStyle w:val="BodyText"/>
        <w:spacing w:before="122"/>
        <w:ind w:left="850"/>
      </w:pPr>
      <w:r>
        <w:t>“DW09</w:t>
      </w:r>
      <w:r>
        <w:rPr>
          <w:spacing w:val="-12"/>
        </w:rPr>
        <w:t xml:space="preserve"> 工程”中</w:t>
      </w:r>
      <w:r>
        <w:t>ft</w:t>
      </w:r>
      <w:r>
        <w:rPr>
          <w:spacing w:val="-1"/>
        </w:rPr>
        <w:t>后台系统升级扩容需求分析：</w:t>
      </w:r>
    </w:p>
    <w:p>
      <w:pPr>
        <w:pStyle w:val="ListParagraph"/>
        <w:numPr>
          <w:ilvl w:val="2"/>
          <w:numId w:val="92"/>
        </w:numPr>
        <w:tabs>
          <w:tab w:val="left" w:pos="1275"/>
        </w:tabs>
        <w:spacing w:before="139" w:after="0" w:line="240" w:lineRule="auto"/>
        <w:ind w:left="1274" w:right="0" w:hanging="531"/>
        <w:jc w:val="left"/>
        <w:rPr>
          <w:sz w:val="21"/>
        </w:rPr>
      </w:pPr>
      <w:r>
        <w:rPr>
          <w:spacing w:val="-14"/>
          <w:sz w:val="21"/>
        </w:rPr>
        <w:t xml:space="preserve">支队到 </w:t>
      </w:r>
      <w:r>
        <w:rPr>
          <w:sz w:val="21"/>
        </w:rPr>
        <w:t>5</w:t>
      </w:r>
      <w:r>
        <w:rPr>
          <w:spacing w:val="-9"/>
          <w:sz w:val="21"/>
        </w:rPr>
        <w:t xml:space="preserve"> 个工作站的数据传输。</w:t>
      </w:r>
    </w:p>
    <w:p>
      <w:pPr>
        <w:pStyle w:val="ListParagraph"/>
        <w:numPr>
          <w:ilvl w:val="2"/>
          <w:numId w:val="92"/>
        </w:numPr>
        <w:tabs>
          <w:tab w:val="left" w:pos="1275"/>
        </w:tabs>
        <w:spacing w:before="139" w:after="0" w:line="240" w:lineRule="auto"/>
        <w:ind w:left="1274" w:right="0" w:hanging="531"/>
        <w:jc w:val="left"/>
        <w:rPr>
          <w:sz w:val="21"/>
        </w:rPr>
      </w:pPr>
      <w:r>
        <w:rPr>
          <w:spacing w:val="-1"/>
          <w:sz w:val="21"/>
        </w:rPr>
        <w:t>支持数据资源的共享。</w:t>
      </w:r>
    </w:p>
    <w:p>
      <w:pPr>
        <w:pStyle w:val="ListParagraph"/>
        <w:numPr>
          <w:ilvl w:val="2"/>
          <w:numId w:val="92"/>
        </w:numPr>
        <w:tabs>
          <w:tab w:val="left" w:pos="1275"/>
        </w:tabs>
        <w:spacing w:before="140" w:after="0" w:line="240" w:lineRule="auto"/>
        <w:ind w:left="1274" w:right="0" w:hanging="531"/>
        <w:jc w:val="left"/>
        <w:rPr>
          <w:sz w:val="21"/>
        </w:rPr>
      </w:pPr>
      <w:r>
        <w:rPr>
          <w:spacing w:val="-1"/>
          <w:sz w:val="21"/>
        </w:rPr>
        <w:t>严格控制网络访问权限，确保网络安全。</w:t>
      </w:r>
    </w:p>
    <w:p>
      <w:pPr>
        <w:pStyle w:val="ListParagraph"/>
        <w:numPr>
          <w:ilvl w:val="2"/>
          <w:numId w:val="92"/>
        </w:numPr>
        <w:tabs>
          <w:tab w:val="left" w:pos="1275"/>
        </w:tabs>
        <w:spacing w:before="139" w:after="0" w:line="240" w:lineRule="auto"/>
        <w:ind w:left="1274" w:right="0" w:hanging="531"/>
        <w:jc w:val="left"/>
        <w:rPr>
          <w:sz w:val="21"/>
        </w:rPr>
      </w:pPr>
      <w:r>
        <w:rPr>
          <w:spacing w:val="-11"/>
          <w:sz w:val="21"/>
        </w:rPr>
        <w:t xml:space="preserve">扩容原有 </w:t>
      </w:r>
      <w:r>
        <w:rPr>
          <w:sz w:val="21"/>
        </w:rPr>
        <w:t>CDS</w:t>
      </w:r>
      <w:r>
        <w:rPr>
          <w:spacing w:val="-9"/>
          <w:sz w:val="21"/>
        </w:rPr>
        <w:t xml:space="preserve"> 系统，系统性能满足支队及工作站人员使用。</w:t>
      </w:r>
    </w:p>
    <w:p>
      <w:pPr>
        <w:pStyle w:val="ListParagraph"/>
        <w:numPr>
          <w:ilvl w:val="2"/>
          <w:numId w:val="92"/>
        </w:numPr>
        <w:tabs>
          <w:tab w:val="left" w:pos="1275"/>
        </w:tabs>
        <w:spacing w:before="140" w:after="0" w:line="240" w:lineRule="auto"/>
        <w:ind w:left="1274" w:right="0" w:hanging="531"/>
        <w:jc w:val="left"/>
        <w:rPr>
          <w:sz w:val="21"/>
        </w:rPr>
      </w:pPr>
      <w:r>
        <w:rPr>
          <w:spacing w:val="-18"/>
          <w:sz w:val="21"/>
        </w:rPr>
        <w:t xml:space="preserve">增加 </w:t>
      </w:r>
      <w:r>
        <w:rPr>
          <w:sz w:val="21"/>
        </w:rPr>
        <w:t>OMC</w:t>
      </w:r>
      <w:r>
        <w:rPr>
          <w:spacing w:val="-9"/>
          <w:sz w:val="21"/>
        </w:rPr>
        <w:t xml:space="preserve"> 系统，检测现有网络及办案系统工作状态，减轻人员维护工作，提高系统稳定性。</w:t>
      </w:r>
    </w:p>
    <w:p>
      <w:pPr>
        <w:spacing w:after="0" w:line="240" w:lineRule="auto"/>
        <w:jc w:val="left"/>
        <w:rPr>
          <w:sz w:val="21"/>
        </w:rPr>
        <w:sectPr>
          <w:headerReference w:type="default" r:id="rId20"/>
          <w:footerReference w:type="default" r:id="rId21"/>
          <w:pgSz w:w="11910" w:h="16840"/>
          <w:pgMar w:top="1340" w:right="1080" w:bottom="1000" w:left="880" w:header="822" w:footer="805"/>
          <w:pgNumType w:start="8"/>
          <w:cols w:space="708"/>
        </w:sectPr>
      </w:pPr>
    </w:p>
    <w:p>
      <w:pPr>
        <w:spacing w:before="0" w:line="492" w:lineRule="exact"/>
        <w:ind w:left="214" w:right="0" w:firstLine="0"/>
        <w:jc w:val="left"/>
        <w:rPr>
          <w:rFonts w:ascii="Microsoft JhengHei" w:eastAsia="Microsoft JhengHei"/>
          <w:b/>
          <w:sz w:val="28"/>
        </w:rPr>
      </w:pPr>
      <w:r>
        <w:rPr>
          <w:rFonts w:ascii="Microsoft JhengHei" w:eastAsia="Microsoft JhengHei"/>
          <w:b/>
          <w:spacing w:val="-2"/>
          <w:sz w:val="28"/>
        </w:rPr>
        <w:t>四、系统设计要求</w:t>
      </w:r>
    </w:p>
    <w:p>
      <w:pPr>
        <w:pStyle w:val="BodyText"/>
        <w:spacing w:before="121" w:line="364" w:lineRule="auto"/>
        <w:ind w:left="319" w:right="383" w:firstLine="424"/>
      </w:pPr>
      <w:r>
        <w:rPr>
          <w:spacing w:val="-2"/>
        </w:rPr>
        <w:t>根据中ft本地实际情况，利用宽带网络技术为中ft公安网络的互联互通和数据资源的高度共享，</w:t>
      </w:r>
      <w:r>
        <w:rPr>
          <w:spacing w:val="-2"/>
        </w:rPr>
        <w:t>为中ft公安部门执法监督和信息综合运用提供支撑和保障。本次建设的具体目标是：</w:t>
      </w:r>
    </w:p>
    <w:p>
      <w:pPr>
        <w:pStyle w:val="BodyText"/>
        <w:spacing w:line="268" w:lineRule="exact"/>
        <w:ind w:left="743"/>
      </w:pPr>
      <w:r>
        <w:rPr>
          <w:spacing w:val="-6"/>
        </w:rPr>
        <w:t xml:space="preserve">实现支队到各工作站 </w:t>
      </w:r>
      <w:r>
        <w:t>CDS</w:t>
      </w:r>
      <w:r>
        <w:rPr>
          <w:spacing w:val="-9"/>
        </w:rPr>
        <w:t xml:space="preserve"> 系统之间的互连互通，为增强信息的交互提供便利；</w:t>
      </w:r>
    </w:p>
    <w:p>
      <w:pPr>
        <w:pStyle w:val="BodyText"/>
        <w:spacing w:before="139" w:line="364" w:lineRule="auto"/>
        <w:ind w:left="319" w:right="593" w:firstLine="424"/>
      </w:pPr>
      <w:r>
        <w:rPr>
          <w:spacing w:val="-2"/>
        </w:rPr>
        <w:t>建立安全保障子系统，明确划分本地网络边界，部署相关安全设备，实现与其它网络的有效隔</w:t>
      </w:r>
      <w:r>
        <w:rPr>
          <w:spacing w:val="-2"/>
        </w:rPr>
        <w:t>离。采取必要技术措施确保信息安全，增加关键网络设备冗余备份，保障网络安全；</w:t>
      </w:r>
    </w:p>
    <w:p>
      <w:pPr>
        <w:pStyle w:val="BodyText"/>
        <w:spacing w:line="364" w:lineRule="auto"/>
        <w:ind w:left="319" w:right="383" w:firstLine="424"/>
        <w:jc w:val="both"/>
      </w:pPr>
      <w:r>
        <w:rPr>
          <w:spacing w:val="-2"/>
        </w:rPr>
        <w:t>建立运行维护子系统，监控二级网网元、链路、本级业务系统、专属传输设备和网络设备运行情</w:t>
      </w:r>
      <w:r>
        <w:rPr>
          <w:spacing w:val="-2"/>
        </w:rPr>
        <w:t>况，提供相关管理、告警功能，健全和完善运行维护工作应急保障预案及相应技术措施，确保各系统</w:t>
      </w:r>
      <w:r>
        <w:rPr>
          <w:spacing w:val="-2"/>
        </w:rPr>
        <w:t>的正常稳定运行。</w:t>
      </w:r>
    </w:p>
    <w:p>
      <w:pPr>
        <w:pStyle w:val="BodyText"/>
        <w:spacing w:before="7"/>
        <w:rPr>
          <w:sz w:val="24"/>
        </w:rPr>
      </w:pPr>
    </w:p>
    <w:p>
      <w:pPr>
        <w:spacing w:before="1"/>
        <w:ind w:left="214" w:right="0" w:firstLine="0"/>
        <w:jc w:val="left"/>
        <w:rPr>
          <w:rFonts w:ascii="Microsoft JhengHei" w:eastAsia="Microsoft JhengHei"/>
          <w:b/>
          <w:sz w:val="28"/>
        </w:rPr>
      </w:pPr>
      <w:r>
        <w:rPr>
          <w:rFonts w:ascii="Microsoft JhengHei" w:eastAsia="Microsoft JhengHei"/>
          <w:b/>
          <w:spacing w:val="-14"/>
          <w:sz w:val="28"/>
        </w:rPr>
        <w:t>五、VPN 安全设备配置子系统</w:t>
      </w:r>
    </w:p>
    <w:p>
      <w:pPr>
        <w:pStyle w:val="Heading3"/>
        <w:numPr>
          <w:ilvl w:val="1"/>
          <w:numId w:val="82"/>
        </w:numPr>
        <w:tabs>
          <w:tab w:val="left" w:pos="698"/>
        </w:tabs>
        <w:spacing w:before="42" w:after="0" w:line="240" w:lineRule="auto"/>
        <w:ind w:left="697" w:right="0" w:hanging="484"/>
        <w:jc w:val="left"/>
      </w:pPr>
      <w:r>
        <w:rPr>
          <w:spacing w:val="-1"/>
        </w:rPr>
        <w:t>工作站到支队的网络接入</w:t>
      </w:r>
    </w:p>
    <w:p>
      <w:pPr>
        <w:pStyle w:val="BodyText"/>
        <w:spacing w:before="104" w:line="364" w:lineRule="auto"/>
        <w:ind w:left="319" w:right="383" w:firstLine="424"/>
        <w:jc w:val="both"/>
      </w:pPr>
      <w:r>
        <w:rPr>
          <w:spacing w:val="-2"/>
        </w:rPr>
        <w:t>目前中ft支队到各个工作站计划租用运营商单模裸纤与各个工作站互联，采用单模光纤作为传输</w:t>
      </w:r>
      <w:r>
        <w:rPr>
          <w:spacing w:val="-4"/>
        </w:rPr>
        <w:t xml:space="preserve">介质，涉及三个网络，提供 </w:t>
      </w:r>
      <w:r>
        <w:rPr>
          <w:spacing w:val="-2"/>
        </w:rPr>
        <w:t>1</w:t>
      </w:r>
      <w:r>
        <w:rPr>
          <w:spacing w:val="-7"/>
        </w:rPr>
        <w:t xml:space="preserve"> 路物理单模裸纤实现三个网络隔离传输，每路传输带宽达千兆网络传输</w:t>
      </w:r>
      <w:r>
        <w:rPr>
          <w:spacing w:val="-2"/>
        </w:rPr>
        <w:t>至各个工作站，满足网络带宽应用。为了保证网络的数据传输安全，需提供完备的安全解决方案，确</w:t>
      </w:r>
      <w:r>
        <w:rPr>
          <w:spacing w:val="-2"/>
        </w:rPr>
        <w:t>保数据不被窃取。</w:t>
      </w:r>
    </w:p>
    <w:p>
      <w:pPr>
        <w:pStyle w:val="BodyText"/>
        <w:spacing w:before="8"/>
        <w:rPr>
          <w:sz w:val="25"/>
        </w:rPr>
      </w:pPr>
    </w:p>
    <w:p>
      <w:pPr>
        <w:pStyle w:val="Heading3"/>
        <w:numPr>
          <w:ilvl w:val="1"/>
          <w:numId w:val="82"/>
        </w:numPr>
        <w:tabs>
          <w:tab w:val="left" w:pos="698"/>
        </w:tabs>
        <w:spacing w:before="0" w:after="0" w:line="240" w:lineRule="auto"/>
        <w:ind w:left="697" w:right="0" w:hanging="484"/>
        <w:jc w:val="left"/>
      </w:pPr>
      <w:r>
        <w:rPr>
          <w:spacing w:val="-2"/>
        </w:rPr>
        <w:t>局域网内部安全</w:t>
      </w:r>
    </w:p>
    <w:p>
      <w:pPr>
        <w:pStyle w:val="BodyText"/>
        <w:spacing w:before="104" w:line="364" w:lineRule="auto"/>
        <w:ind w:left="319" w:right="383" w:firstLine="424"/>
        <w:jc w:val="both"/>
      </w:pPr>
      <w:r>
        <w:rPr>
          <w:spacing w:val="-2"/>
        </w:rPr>
        <w:t>局域网安全主要针对局域网内部，防范非法的信息访问、防范有害信息的传播、防范危险操作行</w:t>
      </w:r>
      <w:r>
        <w:rPr>
          <w:spacing w:val="-2"/>
        </w:rPr>
        <w:t>为的发生。根据安全界对安全事件的统计表明：百分之七十的安全事件来自于信息系统内部。虽然可</w:t>
      </w:r>
      <w:r>
        <w:rPr>
          <w:spacing w:val="-2"/>
        </w:rPr>
        <w:t>以通过安全管理规章制度降低来自内部安全事件的发生率，但对于安全保密要求比较高的用户业务系</w:t>
      </w:r>
      <w:r>
        <w:rPr>
          <w:spacing w:val="-2"/>
        </w:rPr>
        <w:t>统来说，辅以必要的内网安全监控等技术手段，确保信息系统网络访问行为的合法性和高敏感度数据</w:t>
      </w:r>
      <w:r>
        <w:rPr>
          <w:spacing w:val="-2"/>
        </w:rPr>
        <w:t>信息的安全。</w:t>
      </w:r>
    </w:p>
    <w:p>
      <w:pPr>
        <w:pStyle w:val="Heading4"/>
        <w:numPr>
          <w:ilvl w:val="2"/>
          <w:numId w:val="82"/>
        </w:numPr>
        <w:tabs>
          <w:tab w:val="left" w:pos="850"/>
        </w:tabs>
        <w:spacing w:before="0" w:after="0" w:line="314" w:lineRule="exact"/>
        <w:ind w:left="849" w:right="0" w:hanging="636"/>
        <w:jc w:val="left"/>
      </w:pPr>
      <w:r>
        <w:rPr>
          <w:spacing w:val="-2"/>
        </w:rPr>
        <w:t>操作系统安全</w:t>
      </w:r>
    </w:p>
    <w:p>
      <w:pPr>
        <w:pStyle w:val="BodyText"/>
        <w:spacing w:before="92" w:line="364" w:lineRule="auto"/>
        <w:ind w:left="319" w:right="383" w:firstLine="424"/>
        <w:jc w:val="both"/>
      </w:pPr>
      <w:r>
        <w:rPr>
          <w:spacing w:val="-5"/>
        </w:rPr>
        <w:t xml:space="preserve">采用安全性较高的 </w:t>
      </w:r>
      <w:r>
        <w:rPr>
          <w:spacing w:val="-2"/>
        </w:rPr>
        <w:t>LINUX</w:t>
      </w:r>
      <w:r>
        <w:rPr>
          <w:spacing w:val="-7"/>
        </w:rPr>
        <w:t xml:space="preserve"> 操作系统并进行必要的安全配置，仅保留系统必须使用的应用和端口，</w:t>
      </w:r>
      <w:r>
        <w:rPr>
          <w:spacing w:val="-2"/>
        </w:rPr>
        <w:t>对一些保存有用户信息及其口令的关键文件的使用权限进行严格限制，并加强口令字的使用管理。</w:t>
      </w:r>
    </w:p>
    <w:p>
      <w:pPr>
        <w:pStyle w:val="Heading4"/>
        <w:numPr>
          <w:ilvl w:val="2"/>
          <w:numId w:val="82"/>
        </w:numPr>
        <w:tabs>
          <w:tab w:val="left" w:pos="850"/>
        </w:tabs>
        <w:spacing w:before="0" w:after="0" w:line="316" w:lineRule="exact"/>
        <w:ind w:left="849" w:right="0" w:hanging="636"/>
        <w:jc w:val="left"/>
      </w:pPr>
      <w:r>
        <w:rPr>
          <w:spacing w:val="-3"/>
        </w:rPr>
        <w:t>应用安全</w:t>
      </w:r>
    </w:p>
    <w:p>
      <w:pPr>
        <w:pStyle w:val="BodyText"/>
        <w:spacing w:before="91" w:line="364" w:lineRule="auto"/>
        <w:ind w:left="319" w:right="278" w:firstLine="424"/>
        <w:jc w:val="both"/>
      </w:pPr>
      <w:r>
        <w:rPr>
          <w:spacing w:val="-2"/>
        </w:rPr>
        <w:t>应用系统包括：数据库系统、中间件和业务系统。所有应用系统均要求进行用户名/密码验证，业</w:t>
      </w:r>
      <w:r>
        <w:rPr>
          <w:spacing w:val="-8"/>
        </w:rPr>
        <w:t xml:space="preserve">务系统配置 </w:t>
      </w:r>
      <w:r>
        <w:rPr>
          <w:spacing w:val="-4"/>
        </w:rPr>
        <w:t>CA</w:t>
      </w:r>
      <w:r>
        <w:rPr>
          <w:spacing w:val="-11"/>
        </w:rPr>
        <w:t xml:space="preserve"> 数字认证 </w:t>
      </w:r>
      <w:r>
        <w:rPr>
          <w:spacing w:val="-4"/>
        </w:rPr>
        <w:t>UKey</w:t>
      </w:r>
      <w:r>
        <w:rPr>
          <w:spacing w:val="-9"/>
        </w:rPr>
        <w:t xml:space="preserve"> 进行登录用户身份验证，并限定访问终端的 </w:t>
      </w:r>
      <w:r>
        <w:rPr>
          <w:spacing w:val="-4"/>
        </w:rPr>
        <w:t>IP</w:t>
      </w:r>
      <w:r>
        <w:rPr>
          <w:spacing w:val="-8"/>
        </w:rPr>
        <w:t xml:space="preserve"> 地址，对用户登录时间、</w:t>
      </w:r>
      <w:r>
        <w:t>登录地点、IP</w:t>
      </w:r>
      <w:r>
        <w:rPr>
          <w:spacing w:val="-6"/>
        </w:rPr>
        <w:t xml:space="preserve"> 地址进行记录。通过权限管理模块严格控制用户操作权限和数据访问权限，对需要严格</w:t>
      </w:r>
      <w:r>
        <w:rPr>
          <w:spacing w:val="-2"/>
        </w:rPr>
        <w:t>控制的查询操作可选择配置流程审批。</w:t>
      </w:r>
    </w:p>
    <w:p>
      <w:pPr>
        <w:spacing w:after="0" w:line="364" w:lineRule="auto"/>
        <w:jc w:val="both"/>
        <w:sectPr>
          <w:headerReference w:type="default" r:id="rId22"/>
          <w:footerReference w:type="default" r:id="rId23"/>
          <w:pgSz w:w="11910" w:h="16840"/>
          <w:pgMar w:top="1340" w:right="1080" w:bottom="1000" w:left="880" w:header="822" w:footer="805"/>
          <w:pgNumType w:start="9"/>
          <w:cols w:space="708"/>
        </w:sectPr>
      </w:pPr>
    </w:p>
    <w:p>
      <w:pPr>
        <w:spacing w:before="0" w:line="492" w:lineRule="exact"/>
        <w:ind w:left="214" w:right="0" w:firstLine="0"/>
        <w:jc w:val="left"/>
        <w:rPr>
          <w:rFonts w:ascii="Microsoft JhengHei" w:eastAsia="Microsoft JhengHei"/>
          <w:b/>
          <w:sz w:val="28"/>
        </w:rPr>
      </w:pPr>
      <w:r>
        <w:rPr>
          <w:rFonts w:ascii="Microsoft JhengHei" w:eastAsia="Microsoft JhengHei"/>
          <w:b/>
          <w:spacing w:val="-12"/>
          <w:sz w:val="28"/>
        </w:rPr>
        <w:t>六、CDS 系统升级配置子系统</w:t>
      </w:r>
    </w:p>
    <w:p>
      <w:pPr>
        <w:pStyle w:val="BodyText"/>
        <w:spacing w:before="121" w:line="364" w:lineRule="auto"/>
        <w:ind w:left="319" w:right="278" w:firstLine="424"/>
      </w:pPr>
      <w:r>
        <w:rPr>
          <w:spacing w:val="-2"/>
        </w:rPr>
        <w:t>中ft</w:t>
      </w:r>
      <w:r>
        <w:rPr>
          <w:spacing w:val="-16"/>
        </w:rPr>
        <w:t xml:space="preserve">公安 </w:t>
      </w:r>
      <w:r>
        <w:rPr>
          <w:spacing w:val="-2"/>
        </w:rPr>
        <w:t>CDS</w:t>
      </w:r>
      <w:r>
        <w:rPr>
          <w:spacing w:val="-12"/>
        </w:rPr>
        <w:t xml:space="preserve"> 系统参照参考广东省公安 </w:t>
      </w:r>
      <w:r>
        <w:rPr>
          <w:spacing w:val="-2"/>
        </w:rPr>
        <w:t>CDS</w:t>
      </w:r>
      <w:r>
        <w:rPr>
          <w:spacing w:val="-12"/>
        </w:rPr>
        <w:t xml:space="preserve"> 系统建设的指导意见，于 </w:t>
      </w:r>
      <w:r>
        <w:rPr>
          <w:spacing w:val="-2"/>
        </w:rPr>
        <w:t>2011</w:t>
      </w:r>
      <w:r>
        <w:rPr>
          <w:spacing w:val="-9"/>
        </w:rPr>
        <w:t xml:space="preserve"> 年建成该系统，系统实</w:t>
      </w:r>
      <w:r>
        <w:t>现一个终端、一次登录、一站式全业务的综合全面的办案应用系统，达到预期建设目标，CDS</w:t>
      </w:r>
      <w:r>
        <w:rPr>
          <w:spacing w:val="-12"/>
        </w:rPr>
        <w:t xml:space="preserve"> 系统于</w:t>
      </w:r>
      <w:r>
        <w:t xml:space="preserve"> 2011</w:t>
      </w:r>
      <w:r>
        <w:rPr>
          <w:spacing w:val="-10"/>
        </w:rPr>
        <w:t xml:space="preserve"> 年建成投入使用，系统使用已经接近 </w:t>
      </w:r>
      <w:r>
        <w:t>4</w:t>
      </w:r>
      <w:r>
        <w:rPr>
          <w:spacing w:val="-7"/>
        </w:rPr>
        <w:t xml:space="preserve"> 年，部件硬件老化存在宕机风险，一旦硬件出现故障，系</w:t>
      </w:r>
      <w:r>
        <w:rPr>
          <w:spacing w:val="-2"/>
        </w:rPr>
        <w:t>统瘫痪数据丢失将对我支队工作造成巨大影响；随着系统运行二次开发功能的增加及增加工作站用户</w:t>
      </w:r>
      <w:r>
        <w:rPr>
          <w:spacing w:val="-2"/>
        </w:rPr>
        <w:t>使用，原有硬件运行现有系统已稍显吃力，急需扩容升级，增加备份硬件，提升硬件处理能力。</w:t>
      </w:r>
    </w:p>
    <w:p>
      <w:pPr>
        <w:pStyle w:val="BodyText"/>
        <w:spacing w:line="267" w:lineRule="exact"/>
        <w:ind w:left="743"/>
      </w:pPr>
      <w:r>
        <w:rPr>
          <w:spacing w:val="-1"/>
        </w:rPr>
        <w:t>本次主要增加服务单元如下：</w:t>
      </w:r>
    </w:p>
    <w:p>
      <w:pPr>
        <w:pStyle w:val="Heading3"/>
        <w:numPr>
          <w:ilvl w:val="1"/>
          <w:numId w:val="81"/>
        </w:numPr>
        <w:tabs>
          <w:tab w:val="left" w:pos="698"/>
        </w:tabs>
        <w:spacing w:before="60" w:after="0" w:line="240" w:lineRule="auto"/>
        <w:ind w:left="697" w:right="0" w:hanging="484"/>
        <w:jc w:val="left"/>
      </w:pPr>
      <w:r>
        <w:rPr>
          <w:spacing w:val="-2"/>
        </w:rPr>
        <w:t>综合代理单元</w:t>
      </w:r>
    </w:p>
    <w:p>
      <w:pPr>
        <w:pStyle w:val="BodyText"/>
        <w:spacing w:before="105" w:line="364" w:lineRule="auto"/>
        <w:ind w:left="319" w:right="383" w:firstLine="424"/>
        <w:jc w:val="both"/>
      </w:pPr>
      <w:r>
        <w:rPr>
          <w:spacing w:val="-2"/>
        </w:rPr>
        <w:t>综合代理单元负责管理并传输省厅后台系统与支队后台系统之间的相关数据，并对各类数据交换</w:t>
      </w:r>
      <w:r>
        <w:rPr>
          <w:spacing w:val="-2"/>
        </w:rPr>
        <w:t>进行鉴权、管理和传输控制。主要完成的功能包括：任务调度管理、请求分发、结果接收、其他数据</w:t>
      </w:r>
      <w:r>
        <w:rPr>
          <w:spacing w:val="-2"/>
        </w:rPr>
        <w:t>交换等功能。</w:t>
      </w:r>
    </w:p>
    <w:p>
      <w:pPr>
        <w:pStyle w:val="BodyText"/>
        <w:spacing w:before="8"/>
        <w:rPr>
          <w:sz w:val="25"/>
        </w:rPr>
      </w:pPr>
    </w:p>
    <w:p>
      <w:pPr>
        <w:pStyle w:val="Heading3"/>
        <w:numPr>
          <w:ilvl w:val="1"/>
          <w:numId w:val="81"/>
        </w:numPr>
        <w:tabs>
          <w:tab w:val="left" w:pos="698"/>
        </w:tabs>
        <w:spacing w:before="0" w:after="0" w:line="240" w:lineRule="auto"/>
        <w:ind w:left="697" w:right="0" w:hanging="484"/>
        <w:jc w:val="left"/>
      </w:pPr>
      <w:r>
        <w:rPr>
          <w:w w:val="61"/>
        </w:rPr>
        <w:t>G</w:t>
      </w:r>
      <w:r>
        <w:rPr>
          <w:w w:val="158"/>
        </w:rPr>
        <w:t>I</w:t>
      </w:r>
      <w:r>
        <w:rPr>
          <w:w w:val="80"/>
        </w:rPr>
        <w:t>S</w:t>
      </w:r>
      <w:r>
        <w:rPr>
          <w:spacing w:val="2"/>
        </w:rPr>
        <w:t xml:space="preserve"> 单元</w:t>
      </w:r>
    </w:p>
    <w:p>
      <w:pPr>
        <w:pStyle w:val="BodyText"/>
        <w:spacing w:before="104" w:line="364" w:lineRule="auto"/>
        <w:ind w:left="319" w:right="224" w:firstLine="424"/>
      </w:pPr>
      <w:r>
        <w:rPr>
          <w:spacing w:val="-2"/>
        </w:rPr>
        <w:t>GIS</w:t>
      </w:r>
      <w:r>
        <w:rPr>
          <w:spacing w:val="-9"/>
        </w:rPr>
        <w:t xml:space="preserve"> 单元配置专用地图引擎和图像处理及展现系统，负责为系统展现提供 </w:t>
      </w:r>
      <w:r>
        <w:rPr>
          <w:spacing w:val="-2"/>
        </w:rPr>
        <w:t>GIS</w:t>
      </w:r>
      <w:r>
        <w:rPr>
          <w:spacing w:val="-8"/>
        </w:rPr>
        <w:t xml:space="preserve"> 应用的服务支撑，实</w:t>
      </w:r>
      <w:r>
        <w:rPr>
          <w:spacing w:val="-2"/>
        </w:rPr>
        <w:t>现地理化基本功能、业务图层管理和目标地理化展现功能。</w:t>
      </w:r>
    </w:p>
    <w:p>
      <w:pPr>
        <w:pStyle w:val="BodyText"/>
        <w:rPr>
          <w:sz w:val="20"/>
        </w:rPr>
      </w:pPr>
    </w:p>
    <w:p>
      <w:pPr>
        <w:pStyle w:val="Heading3"/>
        <w:numPr>
          <w:ilvl w:val="1"/>
          <w:numId w:val="81"/>
        </w:numPr>
        <w:tabs>
          <w:tab w:val="left" w:pos="698"/>
        </w:tabs>
        <w:spacing w:before="131" w:after="0" w:line="240" w:lineRule="auto"/>
        <w:ind w:left="697" w:right="0" w:hanging="484"/>
        <w:jc w:val="left"/>
      </w:pPr>
      <w:r>
        <w:rPr>
          <w:w w:val="85"/>
        </w:rPr>
        <w:t>WEB</w:t>
      </w:r>
      <w:r>
        <w:rPr>
          <w:spacing w:val="9"/>
        </w:rPr>
        <w:t xml:space="preserve"> </w:t>
      </w:r>
      <w:r>
        <w:rPr>
          <w:w w:val="85"/>
        </w:rPr>
        <w:t>应</w:t>
      </w:r>
      <w:r>
        <w:rPr>
          <w:w w:val="85"/>
        </w:rPr>
        <w:t>用</w:t>
      </w:r>
      <w:r>
        <w:rPr>
          <w:w w:val="85"/>
        </w:rPr>
        <w:t>单</w:t>
      </w:r>
      <w:r>
        <w:rPr>
          <w:spacing w:val="-10"/>
          <w:w w:val="85"/>
        </w:rPr>
        <w:t>元</w:t>
      </w:r>
    </w:p>
    <w:p>
      <w:pPr>
        <w:pStyle w:val="BodyText"/>
        <w:spacing w:before="104" w:line="364" w:lineRule="auto"/>
        <w:ind w:left="319" w:right="224" w:firstLine="424"/>
      </w:pPr>
      <w:r>
        <w:rPr>
          <w:spacing w:val="-2"/>
        </w:rPr>
        <w:t>WEB</w:t>
      </w:r>
      <w:r>
        <w:rPr>
          <w:spacing w:val="-9"/>
        </w:rPr>
        <w:t xml:space="preserve"> 应用单元负责向终端用户提供操作交互和数据展现功能，实现相关数据分析、检索等功能的业</w:t>
      </w:r>
      <w:r>
        <w:rPr>
          <w:spacing w:val="-2"/>
        </w:rPr>
        <w:t>务逻辑展现和处理。</w:t>
      </w:r>
    </w:p>
    <w:p>
      <w:pPr>
        <w:pStyle w:val="BodyText"/>
        <w:rPr>
          <w:sz w:val="20"/>
        </w:rPr>
      </w:pPr>
    </w:p>
    <w:p>
      <w:pPr>
        <w:pStyle w:val="Heading3"/>
        <w:numPr>
          <w:ilvl w:val="1"/>
          <w:numId w:val="81"/>
        </w:numPr>
        <w:tabs>
          <w:tab w:val="left" w:pos="698"/>
        </w:tabs>
        <w:spacing w:before="131" w:after="0" w:line="240" w:lineRule="auto"/>
        <w:ind w:left="697" w:right="0" w:hanging="484"/>
        <w:jc w:val="left"/>
      </w:pPr>
      <w:r>
        <w:rPr>
          <w:spacing w:val="-1"/>
        </w:rPr>
        <w:t>数据接收、入库单元单元</w:t>
      </w:r>
    </w:p>
    <w:p>
      <w:pPr>
        <w:pStyle w:val="BodyText"/>
        <w:spacing w:before="104" w:line="364" w:lineRule="auto"/>
        <w:ind w:left="319" w:right="383" w:firstLine="424"/>
      </w:pPr>
      <w:r>
        <w:rPr>
          <w:spacing w:val="-2"/>
        </w:rPr>
        <w:t>数据接收、入库单元将各系统原始数据、各数据中心查询回来的结果数据或者从其他数据源获得</w:t>
      </w:r>
      <w:r>
        <w:rPr>
          <w:spacing w:val="-2"/>
        </w:rPr>
        <w:t>的数据存储至存储设备中，并通过入库程序实现数据入库实现在线应用。</w:t>
      </w:r>
    </w:p>
    <w:p>
      <w:pPr>
        <w:pStyle w:val="BodyText"/>
        <w:rPr>
          <w:sz w:val="20"/>
        </w:rPr>
      </w:pPr>
    </w:p>
    <w:p>
      <w:pPr>
        <w:pStyle w:val="Heading3"/>
        <w:numPr>
          <w:ilvl w:val="1"/>
          <w:numId w:val="81"/>
        </w:numPr>
        <w:tabs>
          <w:tab w:val="left" w:pos="698"/>
        </w:tabs>
        <w:spacing w:before="131" w:after="0" w:line="240" w:lineRule="auto"/>
        <w:ind w:left="697" w:right="0" w:hanging="484"/>
        <w:jc w:val="left"/>
      </w:pPr>
      <w:r>
        <w:rPr>
          <w:spacing w:val="-2"/>
        </w:rPr>
        <w:t>管理支撑单元</w:t>
      </w:r>
    </w:p>
    <w:p>
      <w:pPr>
        <w:pStyle w:val="BodyText"/>
        <w:spacing w:before="105"/>
        <w:ind w:left="743"/>
      </w:pPr>
      <w:r>
        <w:rPr>
          <w:spacing w:val="-1"/>
        </w:rPr>
        <w:t>管理支撑单元负责承载综合查询后台的业务逻辑的展现部分。</w:t>
      </w:r>
    </w:p>
    <w:p>
      <w:pPr>
        <w:pStyle w:val="BodyText"/>
        <w:rPr>
          <w:sz w:val="20"/>
        </w:rPr>
      </w:pPr>
    </w:p>
    <w:p>
      <w:pPr>
        <w:pStyle w:val="BodyText"/>
        <w:spacing w:before="2"/>
      </w:pPr>
    </w:p>
    <w:p>
      <w:pPr>
        <w:pStyle w:val="Heading3"/>
        <w:numPr>
          <w:ilvl w:val="1"/>
          <w:numId w:val="81"/>
        </w:numPr>
        <w:tabs>
          <w:tab w:val="left" w:pos="698"/>
        </w:tabs>
        <w:spacing w:before="0" w:after="0" w:line="240" w:lineRule="auto"/>
        <w:ind w:left="697" w:right="0" w:hanging="484"/>
        <w:jc w:val="left"/>
      </w:pPr>
      <w:r>
        <w:rPr>
          <w:spacing w:val="-2"/>
        </w:rPr>
        <w:t>主用数据中心</w:t>
      </w:r>
    </w:p>
    <w:p>
      <w:pPr>
        <w:pStyle w:val="BodyText"/>
        <w:spacing w:before="104"/>
        <w:ind w:left="743"/>
      </w:pPr>
      <w:r>
        <w:rPr>
          <w:spacing w:val="-1"/>
        </w:rPr>
        <w:t>数据中心负责数据库、中间库的管理，并为数据中心的查询分析管理功能提供各种存储过程。</w:t>
      </w:r>
    </w:p>
    <w:p>
      <w:pPr>
        <w:pStyle w:val="BodyText"/>
        <w:rPr>
          <w:sz w:val="20"/>
        </w:rPr>
      </w:pPr>
    </w:p>
    <w:p>
      <w:pPr>
        <w:pStyle w:val="BodyText"/>
        <w:spacing w:before="8"/>
        <w:rPr>
          <w:sz w:val="16"/>
        </w:rPr>
      </w:pPr>
    </w:p>
    <w:p>
      <w:pPr>
        <w:pStyle w:val="Heading3"/>
        <w:numPr>
          <w:ilvl w:val="1"/>
          <w:numId w:val="81"/>
        </w:numPr>
        <w:tabs>
          <w:tab w:val="left" w:pos="698"/>
        </w:tabs>
        <w:spacing w:before="0" w:after="0" w:line="240" w:lineRule="auto"/>
        <w:ind w:left="697" w:right="0" w:hanging="484"/>
        <w:jc w:val="left"/>
      </w:pPr>
      <w:r>
        <w:rPr>
          <w:w w:val="86"/>
        </w:rPr>
        <w:t>L</w:t>
      </w:r>
      <w:r>
        <w:rPr>
          <w:w w:val="154"/>
        </w:rPr>
        <w:t>I</w:t>
      </w:r>
      <w:r>
        <w:rPr>
          <w:w w:val="60"/>
        </w:rPr>
        <w:t>A</w:t>
      </w:r>
      <w:r>
        <w:rPr>
          <w:spacing w:val="2"/>
        </w:rPr>
        <w:t xml:space="preserve"> 通信服务器</w:t>
      </w:r>
    </w:p>
    <w:p>
      <w:pPr>
        <w:pStyle w:val="BodyText"/>
        <w:spacing w:before="104"/>
        <w:ind w:left="743"/>
      </w:pPr>
      <w:r>
        <w:rPr>
          <w:spacing w:val="-1"/>
        </w:rPr>
        <w:t>负责接收状态数据；对业务数据信息实时处理和存储。</w:t>
      </w:r>
    </w:p>
    <w:p>
      <w:pPr>
        <w:spacing w:after="0"/>
        <w:sectPr>
          <w:headerReference w:type="default" r:id="rId24"/>
          <w:footerReference w:type="default" r:id="rId25"/>
          <w:pgSz w:w="11910" w:h="16840"/>
          <w:pgMar w:top="1340" w:right="1080" w:bottom="1000" w:left="880" w:header="822" w:footer="805"/>
          <w:pgNumType w:start="10"/>
          <w:cols w:space="708"/>
        </w:sectPr>
      </w:pPr>
    </w:p>
    <w:p>
      <w:pPr>
        <w:pStyle w:val="Heading3"/>
        <w:numPr>
          <w:ilvl w:val="1"/>
          <w:numId w:val="81"/>
        </w:numPr>
        <w:tabs>
          <w:tab w:val="left" w:pos="698"/>
        </w:tabs>
        <w:spacing w:before="0" w:after="0" w:line="431" w:lineRule="exact"/>
        <w:ind w:left="697" w:right="0" w:hanging="484"/>
        <w:jc w:val="left"/>
      </w:pPr>
      <w:r>
        <w:rPr>
          <w:w w:val="86"/>
        </w:rPr>
        <w:t>L</w:t>
      </w:r>
      <w:r>
        <w:rPr>
          <w:w w:val="154"/>
        </w:rPr>
        <w:t>I</w:t>
      </w:r>
      <w:r>
        <w:rPr>
          <w:w w:val="60"/>
        </w:rPr>
        <w:t>A</w:t>
      </w:r>
      <w:r>
        <w:rPr>
          <w:spacing w:val="2"/>
        </w:rPr>
        <w:t xml:space="preserve"> 数据库服务器</w:t>
      </w:r>
    </w:p>
    <w:p>
      <w:pPr>
        <w:pStyle w:val="BodyText"/>
        <w:spacing w:before="104"/>
        <w:ind w:left="743"/>
      </w:pPr>
      <w:r>
        <w:rPr>
          <w:spacing w:val="-1"/>
        </w:rPr>
        <w:t>负责系统所有数据对象的存储管理，向应用处理单元提供数据入库、查询、分析等服务。</w:t>
      </w:r>
    </w:p>
    <w:p>
      <w:pPr>
        <w:pStyle w:val="BodyText"/>
        <w:rPr>
          <w:sz w:val="20"/>
        </w:rPr>
      </w:pPr>
    </w:p>
    <w:p>
      <w:pPr>
        <w:pStyle w:val="BodyText"/>
        <w:spacing w:before="8"/>
        <w:rPr>
          <w:sz w:val="15"/>
        </w:rPr>
      </w:pPr>
    </w:p>
    <w:p>
      <w:pPr>
        <w:spacing w:before="0"/>
        <w:ind w:left="214" w:right="0" w:firstLine="0"/>
        <w:jc w:val="left"/>
        <w:rPr>
          <w:rFonts w:ascii="Microsoft JhengHei" w:eastAsia="Microsoft JhengHei"/>
          <w:b/>
          <w:sz w:val="28"/>
        </w:rPr>
      </w:pPr>
      <w:r>
        <w:rPr>
          <w:rFonts w:ascii="Microsoft JhengHei" w:eastAsia="Microsoft JhengHei"/>
          <w:b/>
          <w:w w:val="80"/>
          <w:sz w:val="28"/>
        </w:rPr>
        <w:t>七</w:t>
      </w:r>
      <w:r>
        <w:rPr>
          <w:rFonts w:ascii="Microsoft JhengHei" w:eastAsia="Microsoft JhengHei"/>
          <w:b/>
          <w:w w:val="80"/>
          <w:sz w:val="28"/>
        </w:rPr>
        <w:t>、</w:t>
      </w:r>
      <w:r>
        <w:rPr>
          <w:rFonts w:ascii="Microsoft JhengHei" w:eastAsia="Microsoft JhengHei"/>
          <w:b/>
          <w:w w:val="80"/>
          <w:sz w:val="28"/>
        </w:rPr>
        <w:t>OMC</w:t>
      </w:r>
      <w:r>
        <w:rPr>
          <w:rFonts w:ascii="Microsoft JhengHei" w:eastAsia="Microsoft JhengHei"/>
          <w:b/>
          <w:spacing w:val="35"/>
          <w:sz w:val="28"/>
        </w:rPr>
        <w:t xml:space="preserve"> </w:t>
      </w:r>
      <w:r>
        <w:rPr>
          <w:rFonts w:ascii="Microsoft JhengHei" w:eastAsia="Microsoft JhengHei"/>
          <w:b/>
          <w:spacing w:val="-5"/>
          <w:w w:val="80"/>
          <w:sz w:val="28"/>
        </w:rPr>
        <w:t>系统</w:t>
      </w:r>
    </w:p>
    <w:p>
      <w:pPr>
        <w:pStyle w:val="BodyText"/>
        <w:spacing w:before="121" w:line="364" w:lineRule="auto"/>
        <w:ind w:left="319" w:right="383" w:firstLine="424"/>
      </w:pPr>
      <w:r>
        <w:rPr>
          <w:spacing w:val="-2"/>
        </w:rPr>
        <w:t>为提高系统的运行稳定性、安全性和可靠性，降低运维管理成本，提高维护和监测水平，建设一</w:t>
      </w:r>
      <w:r>
        <w:rPr>
          <w:spacing w:val="-2"/>
        </w:rPr>
        <w:t>套能自动监测，实时告警，具备辅助分析的网络监控平台，是本次系统建设的主要目标。</w:t>
      </w:r>
    </w:p>
    <w:p>
      <w:pPr>
        <w:pStyle w:val="BodyText"/>
        <w:spacing w:line="364" w:lineRule="auto"/>
        <w:ind w:left="319" w:right="593" w:firstLine="424"/>
      </w:pPr>
      <w:r>
        <w:rPr>
          <w:spacing w:val="-2"/>
        </w:rPr>
        <w:t>监测平台分为监控对象层和系统层。系统层次之间的关系为松耦合，每个层次模块都是独立运</w:t>
      </w:r>
      <w:r>
        <w:rPr>
          <w:spacing w:val="-2"/>
        </w:rPr>
        <w:t>行，方便分布式灵活部署。以下是各层次说明：</w:t>
      </w:r>
    </w:p>
    <w:p>
      <w:pPr>
        <w:pStyle w:val="Heading4"/>
        <w:tabs>
          <w:tab w:val="left" w:pos="743"/>
        </w:tabs>
        <w:spacing w:line="316" w:lineRule="exact"/>
        <w:ind w:left="213" w:firstLine="0"/>
      </w:pPr>
      <w:r>
        <w:rPr>
          <w:rFonts w:ascii="Times New Roman" w:eastAsia="Times New Roman"/>
        </w:rPr>
        <w:t>1</w:t>
      </w:r>
      <w:r>
        <w:rPr>
          <w:spacing w:val="-10"/>
        </w:rPr>
        <w:t>、</w:t>
      </w:r>
      <w:r>
        <w:tab/>
        <w:t>监控对象</w:t>
      </w:r>
      <w:r>
        <w:rPr>
          <w:spacing w:val="-10"/>
        </w:rPr>
        <w:t>层</w:t>
      </w:r>
    </w:p>
    <w:p>
      <w:pPr>
        <w:pStyle w:val="BodyText"/>
        <w:spacing w:before="91" w:line="364" w:lineRule="auto"/>
        <w:ind w:left="319" w:right="383" w:firstLine="424"/>
      </w:pPr>
      <w:r>
        <w:rPr>
          <w:spacing w:val="-2"/>
        </w:rPr>
        <w:t>监控对象层包括核心网络、业务系统等模块。系统可以通过无代理事件收集方式以及和其他产品</w:t>
      </w:r>
      <w:r>
        <w:rPr>
          <w:spacing w:val="-2"/>
        </w:rPr>
        <w:t>整合的方式来获取数据：</w:t>
      </w:r>
    </w:p>
    <w:p>
      <w:pPr>
        <w:pStyle w:val="ListParagraph"/>
        <w:numPr>
          <w:ilvl w:val="0"/>
          <w:numId w:val="80"/>
        </w:numPr>
        <w:tabs>
          <w:tab w:val="left" w:pos="1113"/>
          <w:tab w:val="left" w:pos="1114"/>
        </w:tabs>
        <w:spacing w:before="0" w:after="0" w:line="268" w:lineRule="exact"/>
        <w:ind w:left="1113" w:right="0" w:hanging="360"/>
        <w:jc w:val="left"/>
        <w:rPr>
          <w:sz w:val="21"/>
        </w:rPr>
      </w:pPr>
      <w:r>
        <w:rPr>
          <w:sz w:val="21"/>
        </w:rPr>
        <w:t>网络设备（交换机、防火墙、路由器、安全设备等</w:t>
      </w:r>
      <w:r>
        <w:rPr>
          <w:spacing w:val="-10"/>
          <w:sz w:val="21"/>
        </w:rPr>
        <w:t>）</w:t>
      </w:r>
    </w:p>
    <w:p>
      <w:pPr>
        <w:pStyle w:val="ListParagraph"/>
        <w:numPr>
          <w:ilvl w:val="0"/>
          <w:numId w:val="80"/>
        </w:numPr>
        <w:tabs>
          <w:tab w:val="left" w:pos="1113"/>
          <w:tab w:val="left" w:pos="1114"/>
        </w:tabs>
        <w:spacing w:before="139" w:after="0" w:line="240" w:lineRule="auto"/>
        <w:ind w:left="1113" w:right="0" w:hanging="360"/>
        <w:jc w:val="left"/>
        <w:rPr>
          <w:sz w:val="21"/>
        </w:rPr>
      </w:pPr>
      <w:r>
        <w:rPr>
          <w:sz w:val="21"/>
        </w:rPr>
        <w:t>主机（</w:t>
      </w:r>
      <w:r>
        <w:rPr>
          <w:rFonts w:ascii="Times New Roman" w:eastAsia="Times New Roman" w:hAnsi="Times New Roman"/>
          <w:sz w:val="21"/>
        </w:rPr>
        <w:t>Solaris</w:t>
      </w:r>
      <w:r>
        <w:rPr>
          <w:sz w:val="21"/>
        </w:rPr>
        <w:t>、</w:t>
      </w:r>
      <w:r>
        <w:rPr>
          <w:rFonts w:ascii="Times New Roman" w:eastAsia="Times New Roman" w:hAnsi="Times New Roman"/>
          <w:sz w:val="21"/>
        </w:rPr>
        <w:t>AIX</w:t>
      </w:r>
      <w:r>
        <w:rPr>
          <w:rFonts w:ascii="Times New Roman" w:eastAsia="Times New Roman" w:hAnsi="Times New Roman"/>
          <w:spacing w:val="-16"/>
          <w:sz w:val="21"/>
        </w:rPr>
        <w:t xml:space="preserve"> </w:t>
      </w:r>
      <w:r>
        <w:rPr>
          <w:sz w:val="21"/>
        </w:rPr>
        <w:t>、</w:t>
      </w:r>
      <w:r>
        <w:rPr>
          <w:rFonts w:ascii="Times New Roman" w:eastAsia="Times New Roman" w:hAnsi="Times New Roman"/>
          <w:sz w:val="21"/>
        </w:rPr>
        <w:t>HP-UX</w:t>
      </w:r>
      <w:r>
        <w:rPr>
          <w:sz w:val="21"/>
        </w:rPr>
        <w:t>、</w:t>
      </w:r>
      <w:r>
        <w:rPr>
          <w:rFonts w:ascii="Times New Roman" w:eastAsia="Times New Roman" w:hAnsi="Times New Roman"/>
          <w:sz w:val="21"/>
        </w:rPr>
        <w:t>AS400</w:t>
      </w:r>
      <w:r>
        <w:rPr>
          <w:sz w:val="21"/>
        </w:rPr>
        <w:t>、</w:t>
      </w:r>
      <w:r>
        <w:rPr>
          <w:rFonts w:ascii="Times New Roman" w:eastAsia="Times New Roman" w:hAnsi="Times New Roman"/>
          <w:sz w:val="21"/>
        </w:rPr>
        <w:t>SCO</w:t>
      </w:r>
      <w:r>
        <w:rPr>
          <w:rFonts w:ascii="Times New Roman" w:eastAsia="Times New Roman" w:hAnsi="Times New Roman"/>
          <w:spacing w:val="-9"/>
          <w:sz w:val="21"/>
        </w:rPr>
        <w:t xml:space="preserve"> </w:t>
      </w:r>
      <w:r>
        <w:rPr>
          <w:rFonts w:ascii="Times New Roman" w:eastAsia="Times New Roman" w:hAnsi="Times New Roman"/>
          <w:sz w:val="21"/>
        </w:rPr>
        <w:t>UNIX</w:t>
      </w:r>
      <w:r>
        <w:rPr>
          <w:sz w:val="21"/>
        </w:rPr>
        <w:t>、</w:t>
      </w:r>
      <w:r>
        <w:rPr>
          <w:rFonts w:ascii="Times New Roman" w:eastAsia="Times New Roman" w:hAnsi="Times New Roman"/>
          <w:sz w:val="21"/>
        </w:rPr>
        <w:t>Windows</w:t>
      </w:r>
      <w:r>
        <w:rPr>
          <w:sz w:val="21"/>
        </w:rPr>
        <w:t>、</w:t>
      </w:r>
      <w:r>
        <w:rPr>
          <w:rFonts w:ascii="Times New Roman" w:eastAsia="Times New Roman" w:hAnsi="Times New Roman"/>
          <w:sz w:val="21"/>
        </w:rPr>
        <w:t>Linux</w:t>
      </w:r>
      <w:r>
        <w:rPr>
          <w:rFonts w:ascii="Times New Roman" w:eastAsia="Times New Roman" w:hAnsi="Times New Roman"/>
          <w:spacing w:val="-13"/>
          <w:sz w:val="21"/>
        </w:rPr>
        <w:t xml:space="preserve"> </w:t>
      </w:r>
      <w:r>
        <w:rPr>
          <w:sz w:val="21"/>
        </w:rPr>
        <w:t>等</w:t>
      </w:r>
      <w:r>
        <w:rPr>
          <w:spacing w:val="-10"/>
          <w:sz w:val="21"/>
        </w:rPr>
        <w:t>）</w:t>
      </w:r>
    </w:p>
    <w:p>
      <w:pPr>
        <w:pStyle w:val="ListParagraph"/>
        <w:numPr>
          <w:ilvl w:val="0"/>
          <w:numId w:val="80"/>
        </w:numPr>
        <w:tabs>
          <w:tab w:val="left" w:pos="1113"/>
          <w:tab w:val="left" w:pos="1114"/>
        </w:tabs>
        <w:spacing w:before="140" w:after="0" w:line="240" w:lineRule="auto"/>
        <w:ind w:left="1113" w:right="0" w:hanging="360"/>
        <w:jc w:val="left"/>
        <w:rPr>
          <w:sz w:val="21"/>
        </w:rPr>
      </w:pPr>
      <w:r>
        <w:rPr>
          <w:spacing w:val="-2"/>
          <w:sz w:val="21"/>
        </w:rPr>
        <w:t>数据库（</w:t>
      </w:r>
      <w:r>
        <w:rPr>
          <w:rFonts w:ascii="Times New Roman" w:eastAsia="Times New Roman" w:hAnsi="Times New Roman"/>
          <w:spacing w:val="-2"/>
          <w:sz w:val="21"/>
        </w:rPr>
        <w:t>SQLServer</w:t>
      </w:r>
      <w:r>
        <w:rPr>
          <w:spacing w:val="-2"/>
          <w:sz w:val="21"/>
        </w:rPr>
        <w:t>、</w:t>
      </w:r>
      <w:r>
        <w:rPr>
          <w:rFonts w:ascii="Times New Roman" w:eastAsia="Times New Roman" w:hAnsi="Times New Roman"/>
          <w:spacing w:val="-2"/>
          <w:sz w:val="21"/>
        </w:rPr>
        <w:t>DB2</w:t>
      </w:r>
      <w:r>
        <w:rPr>
          <w:spacing w:val="-2"/>
          <w:sz w:val="21"/>
        </w:rPr>
        <w:t>、</w:t>
      </w:r>
      <w:r>
        <w:rPr>
          <w:rFonts w:ascii="Times New Roman" w:eastAsia="Times New Roman" w:hAnsi="Times New Roman"/>
          <w:spacing w:val="-2"/>
          <w:sz w:val="21"/>
        </w:rPr>
        <w:t>Oracle</w:t>
      </w:r>
      <w:r>
        <w:rPr>
          <w:spacing w:val="-2"/>
          <w:sz w:val="21"/>
        </w:rPr>
        <w:t>、</w:t>
      </w:r>
      <w:r>
        <w:rPr>
          <w:rFonts w:ascii="Times New Roman" w:eastAsia="Times New Roman" w:hAnsi="Times New Roman"/>
          <w:spacing w:val="-2"/>
          <w:sz w:val="21"/>
        </w:rPr>
        <w:t>Sybase</w:t>
      </w:r>
      <w:r>
        <w:rPr>
          <w:spacing w:val="-2"/>
          <w:sz w:val="21"/>
        </w:rPr>
        <w:t>、</w:t>
      </w:r>
      <w:r>
        <w:rPr>
          <w:rFonts w:ascii="Times New Roman" w:eastAsia="Times New Roman" w:hAnsi="Times New Roman"/>
          <w:spacing w:val="-2"/>
          <w:sz w:val="21"/>
        </w:rPr>
        <w:t>Informix</w:t>
      </w:r>
      <w:r>
        <w:rPr>
          <w:rFonts w:ascii="Times New Roman" w:eastAsia="Times New Roman" w:hAnsi="Times New Roman"/>
          <w:spacing w:val="58"/>
          <w:sz w:val="21"/>
        </w:rPr>
        <w:t xml:space="preserve"> </w:t>
      </w:r>
      <w:r>
        <w:rPr>
          <w:spacing w:val="-2"/>
          <w:sz w:val="21"/>
        </w:rPr>
        <w:t>等</w:t>
      </w:r>
      <w:r>
        <w:rPr>
          <w:spacing w:val="-10"/>
          <w:sz w:val="21"/>
        </w:rPr>
        <w:t>）</w:t>
      </w:r>
    </w:p>
    <w:p>
      <w:pPr>
        <w:pStyle w:val="ListParagraph"/>
        <w:numPr>
          <w:ilvl w:val="0"/>
          <w:numId w:val="80"/>
        </w:numPr>
        <w:tabs>
          <w:tab w:val="left" w:pos="1113"/>
          <w:tab w:val="left" w:pos="1114"/>
        </w:tabs>
        <w:spacing w:before="139" w:after="0" w:line="240" w:lineRule="auto"/>
        <w:ind w:left="1113" w:right="0" w:hanging="360"/>
        <w:jc w:val="left"/>
        <w:rPr>
          <w:sz w:val="21"/>
        </w:rPr>
      </w:pPr>
      <w:r>
        <w:rPr>
          <w:rFonts w:ascii="Times New Roman" w:eastAsia="Times New Roman" w:hAnsi="Times New Roman"/>
          <w:spacing w:val="-2"/>
          <w:sz w:val="21"/>
        </w:rPr>
        <w:t>J2EE</w:t>
      </w:r>
      <w:r>
        <w:rPr>
          <w:rFonts w:ascii="Times New Roman" w:eastAsia="Times New Roman" w:hAnsi="Times New Roman"/>
          <w:spacing w:val="24"/>
          <w:sz w:val="21"/>
        </w:rPr>
        <w:t xml:space="preserve"> </w:t>
      </w:r>
      <w:r>
        <w:rPr>
          <w:spacing w:val="-2"/>
          <w:sz w:val="21"/>
        </w:rPr>
        <w:t>平台（</w:t>
      </w:r>
      <w:r>
        <w:rPr>
          <w:rFonts w:ascii="Times New Roman" w:eastAsia="Times New Roman" w:hAnsi="Times New Roman"/>
          <w:spacing w:val="-2"/>
          <w:sz w:val="21"/>
        </w:rPr>
        <w:t>WebSphere</w:t>
      </w:r>
      <w:r>
        <w:rPr>
          <w:spacing w:val="-2"/>
          <w:sz w:val="21"/>
        </w:rPr>
        <w:t>、</w:t>
      </w:r>
      <w:r>
        <w:rPr>
          <w:rFonts w:ascii="Times New Roman" w:eastAsia="Times New Roman" w:hAnsi="Times New Roman"/>
          <w:spacing w:val="-2"/>
          <w:sz w:val="21"/>
        </w:rPr>
        <w:t>WebLogic</w:t>
      </w:r>
      <w:r>
        <w:rPr>
          <w:spacing w:val="-2"/>
          <w:sz w:val="21"/>
        </w:rPr>
        <w:t>、</w:t>
      </w:r>
      <w:r>
        <w:rPr>
          <w:rFonts w:ascii="Times New Roman" w:eastAsia="Times New Roman" w:hAnsi="Times New Roman"/>
          <w:spacing w:val="-2"/>
          <w:sz w:val="21"/>
        </w:rPr>
        <w:t>Tomcat</w:t>
      </w:r>
      <w:r>
        <w:rPr>
          <w:spacing w:val="-2"/>
          <w:sz w:val="21"/>
        </w:rPr>
        <w:t>、</w:t>
      </w:r>
      <w:r>
        <w:rPr>
          <w:rFonts w:ascii="Times New Roman" w:eastAsia="Times New Roman" w:hAnsi="Times New Roman"/>
          <w:spacing w:val="-2"/>
          <w:sz w:val="21"/>
        </w:rPr>
        <w:t>JBOSS</w:t>
      </w:r>
      <w:r>
        <w:rPr>
          <w:rFonts w:ascii="Times New Roman" w:eastAsia="Times New Roman" w:hAnsi="Times New Roman"/>
          <w:spacing w:val="24"/>
          <w:sz w:val="21"/>
        </w:rPr>
        <w:t xml:space="preserve"> </w:t>
      </w:r>
      <w:r>
        <w:rPr>
          <w:spacing w:val="-2"/>
          <w:sz w:val="21"/>
        </w:rPr>
        <w:t>等</w:t>
      </w:r>
      <w:r>
        <w:rPr>
          <w:spacing w:val="-10"/>
          <w:sz w:val="21"/>
        </w:rPr>
        <w:t>）</w:t>
      </w:r>
    </w:p>
    <w:p>
      <w:pPr>
        <w:pStyle w:val="ListParagraph"/>
        <w:numPr>
          <w:ilvl w:val="0"/>
          <w:numId w:val="80"/>
        </w:numPr>
        <w:tabs>
          <w:tab w:val="left" w:pos="1113"/>
          <w:tab w:val="left" w:pos="1114"/>
        </w:tabs>
        <w:spacing w:before="140" w:after="0" w:line="240" w:lineRule="auto"/>
        <w:ind w:left="1113" w:right="0" w:hanging="360"/>
        <w:jc w:val="left"/>
        <w:rPr>
          <w:sz w:val="21"/>
        </w:rPr>
      </w:pPr>
      <w:r>
        <w:rPr>
          <w:rFonts w:ascii="Times New Roman" w:eastAsia="Times New Roman" w:hAnsi="Times New Roman"/>
          <w:spacing w:val="-2"/>
          <w:sz w:val="21"/>
        </w:rPr>
        <w:t>Web</w:t>
      </w:r>
      <w:r>
        <w:rPr>
          <w:rFonts w:ascii="Times New Roman" w:eastAsia="Times New Roman" w:hAnsi="Times New Roman"/>
          <w:spacing w:val="4"/>
          <w:sz w:val="21"/>
        </w:rPr>
        <w:t xml:space="preserve"> </w:t>
      </w:r>
      <w:r>
        <w:rPr>
          <w:spacing w:val="-2"/>
          <w:sz w:val="21"/>
        </w:rPr>
        <w:t>服务器（</w:t>
      </w:r>
      <w:r>
        <w:rPr>
          <w:rFonts w:ascii="Times New Roman" w:eastAsia="Times New Roman" w:hAnsi="Times New Roman"/>
          <w:spacing w:val="-2"/>
          <w:sz w:val="21"/>
        </w:rPr>
        <w:t>Apache</w:t>
      </w:r>
      <w:r>
        <w:rPr>
          <w:spacing w:val="-2"/>
          <w:sz w:val="21"/>
        </w:rPr>
        <w:t>、</w:t>
      </w:r>
      <w:r>
        <w:rPr>
          <w:rFonts w:ascii="Times New Roman" w:eastAsia="Times New Roman" w:hAnsi="Times New Roman"/>
          <w:spacing w:val="-2"/>
          <w:sz w:val="21"/>
        </w:rPr>
        <w:t>IIS</w:t>
      </w:r>
      <w:r>
        <w:rPr>
          <w:rFonts w:ascii="Times New Roman" w:eastAsia="Times New Roman" w:hAnsi="Times New Roman"/>
          <w:spacing w:val="4"/>
          <w:sz w:val="21"/>
        </w:rPr>
        <w:t xml:space="preserve"> </w:t>
      </w:r>
      <w:r>
        <w:rPr>
          <w:spacing w:val="-2"/>
          <w:sz w:val="21"/>
        </w:rPr>
        <w:t>等</w:t>
      </w:r>
      <w:r>
        <w:rPr>
          <w:spacing w:val="-10"/>
          <w:sz w:val="21"/>
        </w:rPr>
        <w:t>）</w:t>
      </w:r>
    </w:p>
    <w:p>
      <w:pPr>
        <w:pStyle w:val="ListParagraph"/>
        <w:numPr>
          <w:ilvl w:val="0"/>
          <w:numId w:val="80"/>
        </w:numPr>
        <w:tabs>
          <w:tab w:val="left" w:pos="1113"/>
          <w:tab w:val="left" w:pos="1114"/>
        </w:tabs>
        <w:spacing w:before="139" w:after="0" w:line="240" w:lineRule="auto"/>
        <w:ind w:left="1113" w:right="0" w:hanging="360"/>
        <w:jc w:val="left"/>
        <w:rPr>
          <w:sz w:val="21"/>
        </w:rPr>
      </w:pPr>
      <w:r>
        <w:rPr>
          <w:sz w:val="21"/>
        </w:rPr>
        <w:t>中间件（</w:t>
      </w:r>
      <w:r>
        <w:rPr>
          <w:rFonts w:ascii="Times New Roman" w:eastAsia="Times New Roman" w:hAnsi="Times New Roman"/>
          <w:sz w:val="21"/>
        </w:rPr>
        <w:t>Tuxedo</w:t>
      </w:r>
      <w:r>
        <w:rPr>
          <w:sz w:val="21"/>
        </w:rPr>
        <w:t>、</w:t>
      </w:r>
      <w:r>
        <w:rPr>
          <w:rFonts w:ascii="Times New Roman" w:eastAsia="Times New Roman" w:hAnsi="Times New Roman"/>
          <w:sz w:val="21"/>
        </w:rPr>
        <w:t>MQ</w:t>
      </w:r>
      <w:r>
        <w:rPr>
          <w:rFonts w:ascii="Times New Roman" w:eastAsia="Times New Roman" w:hAnsi="Times New Roman"/>
          <w:spacing w:val="-12"/>
          <w:sz w:val="21"/>
        </w:rPr>
        <w:t xml:space="preserve"> </w:t>
      </w:r>
      <w:r>
        <w:rPr>
          <w:sz w:val="21"/>
        </w:rPr>
        <w:t>等</w:t>
      </w:r>
      <w:r>
        <w:rPr>
          <w:spacing w:val="-10"/>
          <w:sz w:val="21"/>
        </w:rPr>
        <w:t>）</w:t>
      </w:r>
    </w:p>
    <w:p>
      <w:pPr>
        <w:pStyle w:val="ListParagraph"/>
        <w:numPr>
          <w:ilvl w:val="0"/>
          <w:numId w:val="80"/>
        </w:numPr>
        <w:tabs>
          <w:tab w:val="left" w:pos="1113"/>
          <w:tab w:val="left" w:pos="1114"/>
        </w:tabs>
        <w:spacing w:before="140" w:after="0" w:line="240" w:lineRule="auto"/>
        <w:ind w:left="1113" w:right="0" w:hanging="360"/>
        <w:jc w:val="left"/>
        <w:rPr>
          <w:sz w:val="21"/>
        </w:rPr>
      </w:pPr>
      <w:r>
        <w:rPr>
          <w:sz w:val="21"/>
        </w:rPr>
        <w:t>邮件服务器（</w:t>
      </w:r>
      <w:r>
        <w:rPr>
          <w:rFonts w:ascii="Times New Roman" w:eastAsia="Times New Roman" w:hAnsi="Times New Roman"/>
          <w:sz w:val="21"/>
        </w:rPr>
        <w:t>Lotus</w:t>
      </w:r>
      <w:r>
        <w:rPr>
          <w:rFonts w:ascii="Times New Roman" w:eastAsia="Times New Roman" w:hAnsi="Times New Roman"/>
          <w:spacing w:val="-7"/>
          <w:sz w:val="21"/>
        </w:rPr>
        <w:t xml:space="preserve"> </w:t>
      </w:r>
      <w:r>
        <w:rPr>
          <w:rFonts w:ascii="Times New Roman" w:eastAsia="Times New Roman" w:hAnsi="Times New Roman"/>
          <w:sz w:val="21"/>
        </w:rPr>
        <w:t>Domino</w:t>
      </w:r>
      <w:r>
        <w:rPr>
          <w:sz w:val="21"/>
        </w:rPr>
        <w:t>、</w:t>
      </w:r>
      <w:r>
        <w:rPr>
          <w:rFonts w:ascii="Times New Roman" w:eastAsia="Times New Roman" w:hAnsi="Times New Roman"/>
          <w:sz w:val="21"/>
        </w:rPr>
        <w:t>Exchange</w:t>
      </w:r>
      <w:r>
        <w:rPr>
          <w:sz w:val="21"/>
        </w:rPr>
        <w:t>、其他通用邮件服务器</w:t>
      </w:r>
      <w:r>
        <w:rPr>
          <w:spacing w:val="-10"/>
          <w:sz w:val="21"/>
        </w:rPr>
        <w:t>）</w:t>
      </w:r>
    </w:p>
    <w:p>
      <w:pPr>
        <w:pStyle w:val="ListParagraph"/>
        <w:numPr>
          <w:ilvl w:val="0"/>
          <w:numId w:val="80"/>
        </w:numPr>
        <w:tabs>
          <w:tab w:val="left" w:pos="1113"/>
          <w:tab w:val="left" w:pos="1114"/>
        </w:tabs>
        <w:spacing w:before="139" w:after="0" w:line="240" w:lineRule="auto"/>
        <w:ind w:left="1113" w:right="0" w:hanging="360"/>
        <w:jc w:val="left"/>
        <w:rPr>
          <w:sz w:val="21"/>
        </w:rPr>
      </w:pPr>
      <w:r>
        <w:rPr>
          <w:sz w:val="21"/>
        </w:rPr>
        <w:t>存储（</w:t>
      </w:r>
      <w:r>
        <w:rPr>
          <w:rFonts w:ascii="Times New Roman" w:eastAsia="Times New Roman" w:hAnsi="Times New Roman"/>
          <w:sz w:val="21"/>
        </w:rPr>
        <w:t>EMC</w:t>
      </w:r>
      <w:r>
        <w:rPr>
          <w:rFonts w:ascii="Times New Roman" w:eastAsia="Times New Roman" w:hAnsi="Times New Roman"/>
          <w:spacing w:val="-1"/>
          <w:sz w:val="21"/>
        </w:rPr>
        <w:t xml:space="preserve"> </w:t>
      </w:r>
      <w:r>
        <w:rPr>
          <w:sz w:val="21"/>
        </w:rPr>
        <w:t>存储平台、</w:t>
      </w:r>
      <w:r>
        <w:rPr>
          <w:rFonts w:ascii="Times New Roman" w:eastAsia="Times New Roman" w:hAnsi="Times New Roman"/>
          <w:sz w:val="21"/>
        </w:rPr>
        <w:t>SUN</w:t>
      </w:r>
      <w:r>
        <w:rPr>
          <w:rFonts w:ascii="Times New Roman" w:eastAsia="Times New Roman" w:hAnsi="Times New Roman"/>
          <w:spacing w:val="-11"/>
          <w:sz w:val="21"/>
        </w:rPr>
        <w:t xml:space="preserve"> </w:t>
      </w:r>
      <w:r>
        <w:rPr>
          <w:sz w:val="21"/>
        </w:rPr>
        <w:t>存储平台等</w:t>
      </w:r>
      <w:r>
        <w:rPr>
          <w:spacing w:val="-10"/>
          <w:sz w:val="21"/>
        </w:rPr>
        <w:t>）</w:t>
      </w:r>
    </w:p>
    <w:p>
      <w:pPr>
        <w:pStyle w:val="ListParagraph"/>
        <w:numPr>
          <w:ilvl w:val="0"/>
          <w:numId w:val="80"/>
        </w:numPr>
        <w:tabs>
          <w:tab w:val="left" w:pos="1113"/>
          <w:tab w:val="left" w:pos="1114"/>
        </w:tabs>
        <w:spacing w:before="139" w:after="0" w:line="240" w:lineRule="auto"/>
        <w:ind w:left="1113" w:right="0" w:hanging="360"/>
        <w:jc w:val="left"/>
        <w:rPr>
          <w:sz w:val="21"/>
        </w:rPr>
      </w:pPr>
      <w:r>
        <w:rPr>
          <w:spacing w:val="-3"/>
          <w:sz w:val="21"/>
        </w:rPr>
        <w:t>业务系统</w:t>
      </w:r>
    </w:p>
    <w:p>
      <w:pPr>
        <w:pStyle w:val="Heading4"/>
        <w:tabs>
          <w:tab w:val="left" w:pos="743"/>
        </w:tabs>
        <w:spacing w:before="71"/>
        <w:ind w:left="213" w:firstLine="0"/>
      </w:pPr>
      <w:r>
        <w:rPr>
          <w:rFonts w:ascii="Times New Roman" w:eastAsia="Times New Roman"/>
        </w:rPr>
        <w:t>2</w:t>
      </w:r>
      <w:r>
        <w:rPr>
          <w:spacing w:val="-10"/>
        </w:rPr>
        <w:t>、</w:t>
      </w:r>
      <w:r>
        <w:tab/>
        <w:t>系统</w:t>
      </w:r>
      <w:r>
        <w:rPr>
          <w:spacing w:val="-10"/>
        </w:rPr>
        <w:t>层</w:t>
      </w:r>
    </w:p>
    <w:p>
      <w:pPr>
        <w:pStyle w:val="BodyText"/>
        <w:spacing w:before="91"/>
        <w:ind w:left="743"/>
      </w:pPr>
      <w:r>
        <w:rPr>
          <w:spacing w:val="-1"/>
        </w:rPr>
        <w:t>系统层包括采集服务器、传输服务器、应用服务器、数据库服务器、用户终端等。</w:t>
      </w:r>
    </w:p>
    <w:p>
      <w:pPr>
        <w:pStyle w:val="BodyText"/>
        <w:rPr>
          <w:sz w:val="20"/>
        </w:rPr>
      </w:pPr>
    </w:p>
    <w:p>
      <w:pPr>
        <w:pStyle w:val="BodyText"/>
        <w:spacing w:before="8"/>
        <w:rPr>
          <w:sz w:val="16"/>
        </w:rPr>
      </w:pPr>
    </w:p>
    <w:p>
      <w:pPr>
        <w:pStyle w:val="Heading3"/>
        <w:numPr>
          <w:ilvl w:val="1"/>
          <w:numId w:val="79"/>
        </w:numPr>
        <w:tabs>
          <w:tab w:val="left" w:pos="698"/>
        </w:tabs>
        <w:spacing w:before="0" w:after="0" w:line="240" w:lineRule="auto"/>
        <w:ind w:left="697" w:right="0" w:hanging="484"/>
        <w:jc w:val="left"/>
      </w:pPr>
      <w:r>
        <w:rPr>
          <w:spacing w:val="-3"/>
        </w:rPr>
        <w:t>系统功能</w:t>
      </w:r>
    </w:p>
    <w:p>
      <w:pPr>
        <w:pStyle w:val="Heading3"/>
        <w:numPr>
          <w:ilvl w:val="1"/>
          <w:numId w:val="79"/>
        </w:numPr>
        <w:tabs>
          <w:tab w:val="left" w:pos="698"/>
        </w:tabs>
        <w:spacing w:before="26" w:after="0" w:line="240" w:lineRule="auto"/>
        <w:ind w:left="697" w:right="0" w:hanging="484"/>
        <w:jc w:val="left"/>
      </w:pPr>
      <w:r>
        <w:rPr>
          <w:spacing w:val="-2"/>
        </w:rPr>
        <w:t>业务系统监控</w:t>
      </w:r>
    </w:p>
    <w:p>
      <w:pPr>
        <w:pStyle w:val="Heading4"/>
        <w:numPr>
          <w:ilvl w:val="2"/>
          <w:numId w:val="79"/>
        </w:numPr>
        <w:tabs>
          <w:tab w:val="left" w:pos="796"/>
        </w:tabs>
        <w:spacing w:before="35" w:after="0" w:line="240" w:lineRule="auto"/>
        <w:ind w:left="795" w:right="0" w:hanging="582"/>
        <w:jc w:val="left"/>
      </w:pPr>
      <w:r>
        <w:rPr>
          <w:spacing w:val="-2"/>
        </w:rPr>
        <w:t>业务系统监控架构</w:t>
      </w:r>
    </w:p>
    <w:p>
      <w:pPr>
        <w:pStyle w:val="ListParagraph"/>
        <w:numPr>
          <w:ilvl w:val="3"/>
          <w:numId w:val="79"/>
        </w:numPr>
        <w:tabs>
          <w:tab w:val="left" w:pos="850"/>
        </w:tabs>
        <w:spacing w:before="91" w:after="0" w:line="240" w:lineRule="auto"/>
        <w:ind w:left="849" w:right="0" w:hanging="318"/>
        <w:jc w:val="left"/>
        <w:rPr>
          <w:rFonts w:ascii="Arial" w:eastAsia="Arial" w:hAnsi="Arial"/>
          <w:sz w:val="21"/>
        </w:rPr>
      </w:pPr>
      <w:r>
        <w:rPr>
          <w:spacing w:val="-2"/>
          <w:sz w:val="21"/>
        </w:rPr>
        <w:t>数据源层</w:t>
      </w:r>
      <w:r>
        <w:rPr>
          <w:rFonts w:ascii="Arial" w:eastAsia="Arial" w:hAnsi="Arial"/>
          <w:spacing w:val="-2"/>
          <w:sz w:val="21"/>
        </w:rPr>
        <w:t>–</w:t>
      </w:r>
      <w:r>
        <w:rPr>
          <w:spacing w:val="-4"/>
          <w:sz w:val="21"/>
        </w:rPr>
        <w:t>各种业务数据。</w:t>
      </w:r>
    </w:p>
    <w:p>
      <w:pPr>
        <w:pStyle w:val="ListParagraph"/>
        <w:numPr>
          <w:ilvl w:val="3"/>
          <w:numId w:val="79"/>
        </w:numPr>
        <w:tabs>
          <w:tab w:val="left" w:pos="850"/>
        </w:tabs>
        <w:spacing w:before="140" w:after="0" w:line="240" w:lineRule="auto"/>
        <w:ind w:left="849" w:right="0" w:hanging="318"/>
        <w:jc w:val="left"/>
        <w:rPr>
          <w:rFonts w:ascii="Arial" w:eastAsia="Arial" w:hAnsi="Arial"/>
          <w:sz w:val="21"/>
        </w:rPr>
      </w:pPr>
      <w:r>
        <w:rPr>
          <w:spacing w:val="-2"/>
          <w:sz w:val="21"/>
        </w:rPr>
        <w:t>接口层</w:t>
      </w:r>
      <w:r>
        <w:rPr>
          <w:rFonts w:ascii="Arial" w:eastAsia="Arial" w:hAnsi="Arial"/>
          <w:spacing w:val="-2"/>
          <w:sz w:val="21"/>
        </w:rPr>
        <w:t>–</w:t>
      </w:r>
      <w:r>
        <w:rPr>
          <w:spacing w:val="-3"/>
          <w:sz w:val="21"/>
        </w:rPr>
        <w:t>分布式采集层通过统一标准的对外接口采集业务系统告警数据源。</w:t>
      </w:r>
    </w:p>
    <w:p>
      <w:pPr>
        <w:pStyle w:val="ListParagraph"/>
        <w:numPr>
          <w:ilvl w:val="3"/>
          <w:numId w:val="79"/>
        </w:numPr>
        <w:tabs>
          <w:tab w:val="left" w:pos="850"/>
        </w:tabs>
        <w:spacing w:before="139" w:after="0" w:line="240" w:lineRule="auto"/>
        <w:ind w:left="849" w:right="0" w:hanging="318"/>
        <w:jc w:val="left"/>
        <w:rPr>
          <w:rFonts w:ascii="Arial" w:eastAsia="Arial" w:hAnsi="Arial"/>
          <w:sz w:val="21"/>
        </w:rPr>
      </w:pPr>
      <w:r>
        <w:rPr>
          <w:spacing w:val="-2"/>
          <w:sz w:val="21"/>
        </w:rPr>
        <w:t>平台层</w:t>
      </w:r>
      <w:r>
        <w:rPr>
          <w:rFonts w:ascii="Arial" w:eastAsia="Arial" w:hAnsi="Arial"/>
          <w:spacing w:val="-2"/>
          <w:sz w:val="21"/>
        </w:rPr>
        <w:t>–</w:t>
      </w:r>
      <w:r>
        <w:rPr>
          <w:spacing w:val="-3"/>
          <w:sz w:val="21"/>
        </w:rPr>
        <w:t>终端用户基于综合运维支撑管理平台对主机、网络、应用及业务系统统一管理。</w:t>
      </w:r>
    </w:p>
    <w:p>
      <w:pPr>
        <w:pStyle w:val="Heading4"/>
        <w:numPr>
          <w:ilvl w:val="2"/>
          <w:numId w:val="79"/>
        </w:numPr>
        <w:tabs>
          <w:tab w:val="left" w:pos="850"/>
        </w:tabs>
        <w:spacing w:before="70" w:after="0" w:line="240" w:lineRule="auto"/>
        <w:ind w:left="849" w:right="0" w:hanging="636"/>
        <w:jc w:val="left"/>
      </w:pPr>
      <w:r>
        <w:rPr>
          <w:spacing w:val="-2"/>
        </w:rPr>
        <w:t>业务系统拓扑管理</w:t>
      </w:r>
    </w:p>
    <w:p>
      <w:pPr>
        <w:pStyle w:val="BodyText"/>
        <w:spacing w:before="92" w:line="364" w:lineRule="auto"/>
        <w:ind w:left="424" w:right="278" w:firstLine="424"/>
        <w:jc w:val="both"/>
      </w:pPr>
      <w:r>
        <w:rPr>
          <w:spacing w:val="-2"/>
        </w:rPr>
        <w:t>业务系统拓扑包括拓扑管理和拓扑展现两个功能模块，其中业务拓扑管理主要是让用户可以自定</w:t>
      </w:r>
      <w:r>
        <w:rPr>
          <w:spacing w:val="-2"/>
        </w:rPr>
        <w:t>义业务网络拓扑图；业务网络拓扑展现是根据用户定义的多层次拓扑图，实时地展现拓扑图图元的状</w:t>
      </w:r>
      <w:r>
        <w:rPr>
          <w:spacing w:val="-6"/>
        </w:rPr>
        <w:t>态。</w:t>
      </w:r>
    </w:p>
    <w:p>
      <w:pPr>
        <w:spacing w:after="0" w:line="364" w:lineRule="auto"/>
        <w:jc w:val="both"/>
        <w:sectPr>
          <w:headerReference w:type="default" r:id="rId26"/>
          <w:footerReference w:type="default" r:id="rId27"/>
          <w:pgSz w:w="11910" w:h="16840"/>
          <w:pgMar w:top="1340" w:right="1080" w:bottom="1000" w:left="880" w:header="822" w:footer="805"/>
          <w:pgNumType w:start="11"/>
          <w:cols w:space="708"/>
        </w:sectPr>
      </w:pPr>
    </w:p>
    <w:p>
      <w:pPr>
        <w:pStyle w:val="Heading4"/>
        <w:numPr>
          <w:ilvl w:val="2"/>
          <w:numId w:val="79"/>
        </w:numPr>
        <w:tabs>
          <w:tab w:val="left" w:pos="850"/>
        </w:tabs>
        <w:spacing w:before="0" w:after="0" w:line="386" w:lineRule="exact"/>
        <w:ind w:left="849" w:right="0" w:hanging="636"/>
        <w:jc w:val="left"/>
      </w:pPr>
      <w:r>
        <w:rPr>
          <w:spacing w:val="-1"/>
        </w:rPr>
        <w:t>业务系统告警与信息查询</w:t>
      </w:r>
    </w:p>
    <w:p>
      <w:pPr>
        <w:pStyle w:val="BodyText"/>
        <w:spacing w:before="91"/>
        <w:ind w:left="848"/>
      </w:pPr>
      <w:r>
        <w:rPr>
          <w:spacing w:val="-1"/>
        </w:rPr>
        <w:t>对业务系统进行日志查询，可以按具体时段查看业务系统的告警日志和事件日志的详细信息。</w:t>
      </w:r>
    </w:p>
    <w:p>
      <w:pPr>
        <w:pStyle w:val="Heading4"/>
        <w:numPr>
          <w:ilvl w:val="2"/>
          <w:numId w:val="79"/>
        </w:numPr>
        <w:tabs>
          <w:tab w:val="left" w:pos="850"/>
        </w:tabs>
        <w:spacing w:before="70" w:after="0" w:line="240" w:lineRule="auto"/>
        <w:ind w:left="849" w:right="0" w:hanging="636"/>
        <w:jc w:val="left"/>
      </w:pPr>
      <w:r>
        <w:rPr>
          <w:spacing w:val="-2"/>
        </w:rPr>
        <w:t>业务系统监控</w:t>
      </w:r>
    </w:p>
    <w:p>
      <w:pPr>
        <w:pStyle w:val="BodyText"/>
        <w:spacing w:before="92" w:line="364" w:lineRule="auto"/>
        <w:ind w:left="424" w:right="278" w:firstLine="424"/>
      </w:pPr>
      <w:r>
        <w:rPr>
          <w:spacing w:val="-2"/>
        </w:rPr>
        <w:t>对业务系统进行监控，可以实时查看业务系统的告警日志、事件日志、告警概况，以及日志的详</w:t>
      </w:r>
      <w:r>
        <w:rPr>
          <w:spacing w:val="-4"/>
        </w:rPr>
        <w:t>细信息。</w:t>
      </w:r>
    </w:p>
    <w:p>
      <w:pPr>
        <w:pStyle w:val="Heading4"/>
        <w:numPr>
          <w:ilvl w:val="2"/>
          <w:numId w:val="79"/>
        </w:numPr>
        <w:tabs>
          <w:tab w:val="left" w:pos="850"/>
        </w:tabs>
        <w:spacing w:before="0" w:after="0" w:line="316" w:lineRule="exact"/>
        <w:ind w:left="849" w:right="0" w:hanging="636"/>
        <w:jc w:val="left"/>
      </w:pPr>
      <w:r>
        <w:rPr>
          <w:spacing w:val="-2"/>
        </w:rPr>
        <w:t>业务系统策略定义</w:t>
      </w:r>
    </w:p>
    <w:p>
      <w:pPr>
        <w:pStyle w:val="BodyText"/>
        <w:spacing w:before="92" w:line="364" w:lineRule="auto"/>
        <w:ind w:left="424" w:right="278" w:firstLine="424"/>
      </w:pPr>
      <w:r>
        <w:rPr>
          <w:spacing w:val="-2"/>
        </w:rPr>
        <w:t>用户可以自定义监控业务检测策略，根据具体的检测规则，对每个节点类型的节点实例分配检测</w:t>
      </w:r>
      <w:r>
        <w:rPr>
          <w:spacing w:val="-4"/>
        </w:rPr>
        <w:t>策略。</w:t>
      </w:r>
    </w:p>
    <w:p>
      <w:pPr>
        <w:pStyle w:val="Heading4"/>
        <w:numPr>
          <w:ilvl w:val="2"/>
          <w:numId w:val="79"/>
        </w:numPr>
        <w:tabs>
          <w:tab w:val="left" w:pos="850"/>
        </w:tabs>
        <w:spacing w:before="0" w:after="0" w:line="316" w:lineRule="exact"/>
        <w:ind w:left="849" w:right="0" w:hanging="636"/>
        <w:jc w:val="left"/>
      </w:pPr>
      <w:r>
        <w:rPr>
          <w:spacing w:val="-2"/>
        </w:rPr>
        <w:t>业务系统模型管理</w:t>
      </w:r>
    </w:p>
    <w:p>
      <w:pPr>
        <w:pStyle w:val="BodyText"/>
        <w:spacing w:before="91"/>
        <w:ind w:left="848"/>
      </w:pPr>
      <w:r>
        <w:rPr>
          <w:spacing w:val="-1"/>
        </w:rPr>
        <w:t>业务系统管理包括节点类型管理、节点实例管理、状态指标定义、用户管理和操作日志。</w:t>
      </w:r>
    </w:p>
    <w:p>
      <w:pPr>
        <w:pStyle w:val="BodyText"/>
        <w:rPr>
          <w:sz w:val="20"/>
        </w:rPr>
      </w:pPr>
    </w:p>
    <w:p>
      <w:pPr>
        <w:pStyle w:val="BodyText"/>
        <w:spacing w:before="8"/>
        <w:rPr>
          <w:sz w:val="16"/>
        </w:rPr>
      </w:pPr>
    </w:p>
    <w:p>
      <w:pPr>
        <w:pStyle w:val="Heading3"/>
        <w:numPr>
          <w:ilvl w:val="1"/>
          <w:numId w:val="79"/>
        </w:numPr>
        <w:tabs>
          <w:tab w:val="left" w:pos="698"/>
        </w:tabs>
        <w:spacing w:before="0" w:after="0" w:line="240" w:lineRule="auto"/>
        <w:ind w:left="697" w:right="0" w:hanging="484"/>
        <w:jc w:val="left"/>
      </w:pPr>
      <w:r>
        <w:rPr>
          <w:spacing w:val="-2"/>
        </w:rPr>
        <w:t>网络通讯设备监控</w:t>
      </w:r>
    </w:p>
    <w:p>
      <w:pPr>
        <w:pStyle w:val="Heading4"/>
        <w:numPr>
          <w:ilvl w:val="2"/>
          <w:numId w:val="79"/>
        </w:numPr>
        <w:tabs>
          <w:tab w:val="left" w:pos="850"/>
        </w:tabs>
        <w:spacing w:before="35" w:after="0" w:line="240" w:lineRule="auto"/>
        <w:ind w:left="849" w:right="0" w:hanging="636"/>
        <w:jc w:val="left"/>
      </w:pPr>
      <w:r>
        <w:rPr>
          <w:spacing w:val="-2"/>
        </w:rPr>
        <w:t>网络拓扑发现</w:t>
      </w:r>
    </w:p>
    <w:p>
      <w:pPr>
        <w:pStyle w:val="BodyText"/>
        <w:spacing w:before="92" w:line="364" w:lineRule="auto"/>
        <w:ind w:left="424" w:right="278" w:firstLine="424"/>
      </w:pPr>
      <w:r>
        <w:rPr>
          <w:spacing w:val="-2"/>
        </w:rPr>
        <w:t>网络拓扑管理能够快速的发现企业中二层和三层的网络设备，并根据发现设备之间的关系自动生</w:t>
      </w:r>
      <w:r>
        <w:rPr>
          <w:spacing w:val="-2"/>
        </w:rPr>
        <w:t>成全局的二层或三层的网络拓扑结构图。</w:t>
      </w:r>
    </w:p>
    <w:p>
      <w:pPr>
        <w:pStyle w:val="Heading4"/>
        <w:numPr>
          <w:ilvl w:val="2"/>
          <w:numId w:val="79"/>
        </w:numPr>
        <w:tabs>
          <w:tab w:val="left" w:pos="850"/>
        </w:tabs>
        <w:spacing w:before="0" w:after="0" w:line="316" w:lineRule="exact"/>
        <w:ind w:left="849" w:right="0" w:hanging="636"/>
        <w:jc w:val="left"/>
      </w:pPr>
      <w:r>
        <w:rPr>
          <w:spacing w:val="-2"/>
        </w:rPr>
        <w:t>拓扑与告警信息</w:t>
      </w:r>
    </w:p>
    <w:p>
      <w:pPr>
        <w:pStyle w:val="BodyText"/>
        <w:spacing w:before="92"/>
        <w:ind w:left="848"/>
      </w:pPr>
      <w:r>
        <w:rPr>
          <w:spacing w:val="-1"/>
        </w:rPr>
        <w:t>可以支持在拓扑图醒目位置显示当前拓扑图中设备的监控报警情况。</w:t>
      </w:r>
    </w:p>
    <w:p>
      <w:pPr>
        <w:pStyle w:val="Heading4"/>
        <w:numPr>
          <w:ilvl w:val="2"/>
          <w:numId w:val="79"/>
        </w:numPr>
        <w:tabs>
          <w:tab w:val="left" w:pos="850"/>
        </w:tabs>
        <w:spacing w:before="70" w:after="0" w:line="240" w:lineRule="auto"/>
        <w:ind w:left="849" w:right="0" w:hanging="636"/>
        <w:jc w:val="left"/>
      </w:pPr>
      <w:r>
        <w:rPr>
          <w:spacing w:val="-2"/>
        </w:rPr>
        <w:t>网络资源管理</w:t>
      </w:r>
    </w:p>
    <w:p>
      <w:pPr>
        <w:pStyle w:val="BodyText"/>
        <w:spacing w:before="91" w:line="364" w:lineRule="auto"/>
        <w:ind w:left="424" w:right="228" w:firstLine="424"/>
        <w:jc w:val="both"/>
      </w:pPr>
      <w:r>
        <w:rPr>
          <w:spacing w:val="-2"/>
        </w:rPr>
        <w:t>运维支撑平台可对全局网络设备的可用性监控以不同颜色状态灯展示的同时，监视设备接口的状</w:t>
      </w:r>
      <w:r>
        <w:rPr>
          <w:spacing w:val="-2"/>
        </w:rPr>
        <w:t>态信息，包括接口名称，操作、管理状态、接口发送、接收速率等具体指标也进行实时的监测。IT 管</w:t>
      </w:r>
      <w:r>
        <w:rPr>
          <w:spacing w:val="-2"/>
        </w:rPr>
        <w:t>理员可以一目了然地看到发生故障的接口及当前接口的性能。</w:t>
      </w:r>
    </w:p>
    <w:p>
      <w:pPr>
        <w:pStyle w:val="Heading4"/>
        <w:numPr>
          <w:ilvl w:val="2"/>
          <w:numId w:val="79"/>
        </w:numPr>
        <w:tabs>
          <w:tab w:val="left" w:pos="796"/>
        </w:tabs>
        <w:spacing w:before="0" w:after="0" w:line="315" w:lineRule="exact"/>
        <w:ind w:left="795" w:right="0" w:hanging="582"/>
        <w:jc w:val="left"/>
      </w:pPr>
      <w:r>
        <w:rPr>
          <w:w w:val="90"/>
        </w:rPr>
        <w:t>设</w:t>
      </w:r>
      <w:r>
        <w:rPr>
          <w:w w:val="90"/>
        </w:rPr>
        <w:t>备</w:t>
      </w:r>
      <w:r>
        <w:rPr>
          <w:spacing w:val="24"/>
        </w:rPr>
        <w:t xml:space="preserve"> </w:t>
      </w:r>
      <w:r>
        <w:rPr>
          <w:w w:val="132"/>
        </w:rPr>
        <w:t>I</w:t>
      </w:r>
      <w:r>
        <w:rPr>
          <w:w w:val="48"/>
        </w:rPr>
        <w:t>P</w:t>
      </w:r>
      <w:r>
        <w:rPr>
          <w:w w:val="90"/>
        </w:rPr>
        <w:t>、MAC</w:t>
      </w:r>
      <w:r>
        <w:rPr>
          <w:spacing w:val="25"/>
        </w:rPr>
        <w:t xml:space="preserve"> </w:t>
      </w:r>
      <w:r>
        <w:rPr>
          <w:w w:val="90"/>
        </w:rPr>
        <w:t>安</w:t>
      </w:r>
      <w:r>
        <w:rPr>
          <w:w w:val="90"/>
        </w:rPr>
        <w:t>全</w:t>
      </w:r>
      <w:r>
        <w:rPr>
          <w:w w:val="90"/>
        </w:rPr>
        <w:t>管</w:t>
      </w:r>
      <w:r>
        <w:rPr>
          <w:spacing w:val="-10"/>
          <w:w w:val="90"/>
        </w:rPr>
        <w:t>理</w:t>
      </w:r>
    </w:p>
    <w:p>
      <w:pPr>
        <w:pStyle w:val="BodyText"/>
        <w:spacing w:before="92" w:line="364" w:lineRule="auto"/>
        <w:ind w:left="424" w:right="278" w:firstLine="424"/>
        <w:jc w:val="both"/>
      </w:pPr>
      <w:r>
        <w:rPr>
          <w:spacing w:val="-11"/>
        </w:rPr>
        <w:t xml:space="preserve">提供 </w:t>
      </w:r>
      <w:r>
        <w:rPr>
          <w:spacing w:val="-4"/>
        </w:rPr>
        <w:t>IP</w:t>
      </w:r>
      <w:r>
        <w:rPr>
          <w:spacing w:val="19"/>
        </w:rPr>
        <w:t xml:space="preserve"> </w:t>
      </w:r>
      <w:r>
        <w:rPr>
          <w:spacing w:val="-4"/>
        </w:rPr>
        <w:t>MAC</w:t>
      </w:r>
      <w:r>
        <w:rPr>
          <w:spacing w:val="-9"/>
        </w:rPr>
        <w:t xml:space="preserve"> 绑定以及可以将出现异常流量的网络用户直接断线的需求，一旦发现 </w:t>
      </w:r>
      <w:r>
        <w:rPr>
          <w:spacing w:val="-4"/>
        </w:rPr>
        <w:t>IP</w:t>
      </w:r>
      <w:r>
        <w:rPr>
          <w:spacing w:val="-9"/>
        </w:rPr>
        <w:t xml:space="preserve"> 地址盗用的</w:t>
      </w:r>
      <w:r>
        <w:rPr>
          <w:spacing w:val="-2"/>
        </w:rPr>
        <w:t>现象，会迅速产生告警通知管理员。</w:t>
      </w:r>
    </w:p>
    <w:p>
      <w:pPr>
        <w:pStyle w:val="Heading4"/>
        <w:numPr>
          <w:ilvl w:val="2"/>
          <w:numId w:val="79"/>
        </w:numPr>
        <w:tabs>
          <w:tab w:val="left" w:pos="796"/>
        </w:tabs>
        <w:spacing w:before="0" w:after="0" w:line="316" w:lineRule="exact"/>
        <w:ind w:left="795" w:right="0" w:hanging="582"/>
        <w:jc w:val="left"/>
      </w:pPr>
      <w:r>
        <w:rPr>
          <w:spacing w:val="-2"/>
        </w:rPr>
        <w:t>网络设备管理</w:t>
      </w:r>
    </w:p>
    <w:p>
      <w:pPr>
        <w:pStyle w:val="BodyText"/>
        <w:spacing w:before="92"/>
        <w:ind w:left="848"/>
      </w:pPr>
      <w:r>
        <w:rPr>
          <w:spacing w:val="-1"/>
        </w:rPr>
        <w:t>运维支撑平台从性能管理和可用性管理两个方面完成对于后台系统网络设备的管理。</w:t>
      </w:r>
    </w:p>
    <w:p>
      <w:pPr>
        <w:pStyle w:val="Heading4"/>
        <w:numPr>
          <w:ilvl w:val="2"/>
          <w:numId w:val="79"/>
        </w:numPr>
        <w:tabs>
          <w:tab w:val="left" w:pos="850"/>
        </w:tabs>
        <w:spacing w:before="70" w:after="0" w:line="240" w:lineRule="auto"/>
        <w:ind w:left="849" w:right="0" w:hanging="636"/>
        <w:jc w:val="left"/>
      </w:pPr>
      <w:r>
        <w:rPr>
          <w:spacing w:val="-2"/>
        </w:rPr>
        <w:t>网络设备发现</w:t>
      </w:r>
    </w:p>
    <w:p>
      <w:pPr>
        <w:pStyle w:val="BodyText"/>
        <w:spacing w:before="92" w:line="364" w:lineRule="auto"/>
        <w:ind w:left="424" w:right="329" w:firstLine="424"/>
        <w:jc w:val="both"/>
      </w:pPr>
      <w:r>
        <w:rPr>
          <w:spacing w:val="-3"/>
        </w:rPr>
        <w:t xml:space="preserve">在进行网络管理之前首先需要开启各个被监控网元的 </w:t>
      </w:r>
      <w:r>
        <w:rPr>
          <w:spacing w:val="-2"/>
        </w:rPr>
        <w:t>SNMP</w:t>
      </w:r>
      <w:r>
        <w:rPr>
          <w:spacing w:val="-9"/>
        </w:rPr>
        <w:t xml:space="preserve"> 协议，并设置好 </w:t>
      </w:r>
      <w:r>
        <w:rPr>
          <w:spacing w:val="-2"/>
        </w:rPr>
        <w:t>SNMP</w:t>
      </w:r>
      <w:r>
        <w:rPr>
          <w:spacing w:val="-22"/>
        </w:rPr>
        <w:t xml:space="preserve"> </w:t>
      </w:r>
      <w:r>
        <w:rPr>
          <w:spacing w:val="-2"/>
        </w:rPr>
        <w:t>Community。然</w:t>
      </w:r>
      <w:r>
        <w:rPr>
          <w:spacing w:val="-2"/>
        </w:rPr>
        <w:t>后按照网元类型进行设备发现，发现完成之后，会显示该设备的详细配置信息：</w:t>
      </w:r>
    </w:p>
    <w:p>
      <w:pPr>
        <w:pStyle w:val="Heading4"/>
        <w:numPr>
          <w:ilvl w:val="2"/>
          <w:numId w:val="79"/>
        </w:numPr>
        <w:tabs>
          <w:tab w:val="left" w:pos="850"/>
        </w:tabs>
        <w:spacing w:before="0" w:after="0" w:line="316" w:lineRule="exact"/>
        <w:ind w:left="849" w:right="0" w:hanging="636"/>
        <w:jc w:val="left"/>
      </w:pPr>
      <w:r>
        <w:rPr>
          <w:spacing w:val="-2"/>
        </w:rPr>
        <w:t>监控策略管理</w:t>
      </w:r>
    </w:p>
    <w:p>
      <w:pPr>
        <w:pStyle w:val="BodyText"/>
        <w:spacing w:before="91" w:line="364" w:lineRule="auto"/>
        <w:ind w:left="424" w:right="278" w:firstLine="424"/>
      </w:pPr>
      <w:r>
        <w:rPr>
          <w:spacing w:val="-2"/>
        </w:rPr>
        <w:t>在自动发现所有被管理网元后，可以通过定义监控策略来配置监控的频度、性能故障报警条件、</w:t>
      </w:r>
      <w:r>
        <w:rPr>
          <w:spacing w:val="-2"/>
        </w:rPr>
        <w:t>故障告警的发送方式。</w:t>
      </w:r>
    </w:p>
    <w:p>
      <w:pPr>
        <w:pStyle w:val="Heading4"/>
        <w:numPr>
          <w:ilvl w:val="2"/>
          <w:numId w:val="79"/>
        </w:numPr>
        <w:tabs>
          <w:tab w:val="left" w:pos="850"/>
        </w:tabs>
        <w:spacing w:before="0" w:after="0" w:line="316" w:lineRule="exact"/>
        <w:ind w:left="849" w:right="0" w:hanging="636"/>
        <w:jc w:val="left"/>
      </w:pPr>
      <w:r>
        <w:rPr>
          <w:spacing w:val="-2"/>
        </w:rPr>
        <w:t>实时性能分析</w:t>
      </w:r>
    </w:p>
    <w:p>
      <w:pPr>
        <w:spacing w:after="0" w:line="316" w:lineRule="exact"/>
        <w:jc w:val="left"/>
        <w:sectPr>
          <w:headerReference w:type="default" r:id="rId28"/>
          <w:footerReference w:type="default" r:id="rId29"/>
          <w:pgSz w:w="11910" w:h="16840"/>
          <w:pgMar w:top="1340" w:right="1080" w:bottom="1000" w:left="880" w:header="822" w:footer="805"/>
          <w:pgNumType w:start="12"/>
          <w:cols w:space="708"/>
        </w:sectPr>
      </w:pPr>
    </w:p>
    <w:p>
      <w:pPr>
        <w:pStyle w:val="BodyText"/>
        <w:spacing w:before="68" w:line="364" w:lineRule="auto"/>
        <w:ind w:left="424" w:right="278" w:firstLine="424"/>
      </w:pPr>
      <w:r>
        <w:rPr>
          <w:spacing w:val="-2"/>
        </w:rPr>
        <w:t>对网络设备的管理可以通过实时性能分析工具查看当前设备的实时负载情况，为管理员提供管理</w:t>
      </w:r>
      <w:r>
        <w:rPr>
          <w:spacing w:val="-4"/>
        </w:rPr>
        <w:t>依据。</w:t>
      </w:r>
    </w:p>
    <w:p>
      <w:pPr>
        <w:pStyle w:val="BodyText"/>
        <w:spacing w:before="9"/>
        <w:rPr>
          <w:sz w:val="25"/>
        </w:rPr>
      </w:pPr>
    </w:p>
    <w:p>
      <w:pPr>
        <w:pStyle w:val="Heading3"/>
        <w:numPr>
          <w:ilvl w:val="1"/>
          <w:numId w:val="79"/>
        </w:numPr>
        <w:tabs>
          <w:tab w:val="left" w:pos="698"/>
        </w:tabs>
        <w:spacing w:before="0" w:after="0" w:line="240" w:lineRule="auto"/>
        <w:ind w:left="697" w:right="0" w:hanging="484"/>
        <w:jc w:val="left"/>
      </w:pPr>
      <w:r>
        <w:rPr>
          <w:spacing w:val="-2"/>
        </w:rPr>
        <w:t>服务器主机系统监控</w:t>
      </w:r>
    </w:p>
    <w:p>
      <w:pPr>
        <w:pStyle w:val="Heading4"/>
        <w:numPr>
          <w:ilvl w:val="2"/>
          <w:numId w:val="79"/>
        </w:numPr>
        <w:tabs>
          <w:tab w:val="left" w:pos="796"/>
        </w:tabs>
        <w:spacing w:before="35" w:after="0" w:line="240" w:lineRule="auto"/>
        <w:ind w:left="795" w:right="0" w:hanging="582"/>
        <w:jc w:val="left"/>
      </w:pPr>
      <w:r>
        <w:rPr>
          <w:spacing w:val="-2"/>
        </w:rPr>
        <w:t>主机可视化监控</w:t>
      </w:r>
    </w:p>
    <w:p>
      <w:pPr>
        <w:pStyle w:val="BodyText"/>
        <w:spacing w:before="92"/>
        <w:ind w:left="634"/>
      </w:pPr>
      <w:r>
        <w:rPr>
          <w:spacing w:val="-1"/>
        </w:rPr>
        <w:t>运维支撑平台的主机可视化监控支持多种不同的操作系统，包括：</w:t>
      </w:r>
    </w:p>
    <w:p>
      <w:pPr>
        <w:pStyle w:val="ListParagraph"/>
        <w:numPr>
          <w:ilvl w:val="0"/>
          <w:numId w:val="78"/>
        </w:numPr>
        <w:tabs>
          <w:tab w:val="left" w:pos="1200"/>
          <w:tab w:val="left" w:pos="1201"/>
        </w:tabs>
        <w:spacing w:before="139" w:after="0" w:line="240" w:lineRule="auto"/>
        <w:ind w:left="1201" w:right="0" w:hanging="420"/>
        <w:jc w:val="left"/>
        <w:rPr>
          <w:sz w:val="21"/>
        </w:rPr>
      </w:pPr>
      <w:r>
        <w:rPr>
          <w:sz w:val="21"/>
        </w:rPr>
        <w:t>Windows 2000/2003</w:t>
      </w:r>
      <w:r>
        <w:rPr>
          <w:spacing w:val="-36"/>
          <w:sz w:val="21"/>
        </w:rPr>
        <w:t xml:space="preserve"> 的 </w:t>
      </w:r>
      <w:r>
        <w:rPr>
          <w:sz w:val="21"/>
        </w:rPr>
        <w:t>32</w:t>
      </w:r>
      <w:r>
        <w:rPr>
          <w:spacing w:val="-27"/>
          <w:sz w:val="21"/>
        </w:rPr>
        <w:t xml:space="preserve"> 位</w:t>
      </w:r>
      <w:r>
        <w:rPr>
          <w:sz w:val="21"/>
        </w:rPr>
        <w:t>/64</w:t>
      </w:r>
      <w:r>
        <w:rPr>
          <w:spacing w:val="-10"/>
          <w:sz w:val="21"/>
        </w:rPr>
        <w:t xml:space="preserve"> 位中英文各版本</w:t>
      </w:r>
    </w:p>
    <w:p>
      <w:pPr>
        <w:pStyle w:val="ListParagraph"/>
        <w:numPr>
          <w:ilvl w:val="0"/>
          <w:numId w:val="78"/>
        </w:numPr>
        <w:tabs>
          <w:tab w:val="left" w:pos="1200"/>
          <w:tab w:val="left" w:pos="1201"/>
        </w:tabs>
        <w:spacing w:before="139" w:after="0" w:line="240" w:lineRule="auto"/>
        <w:ind w:left="1201" w:right="0" w:hanging="420"/>
        <w:jc w:val="left"/>
        <w:rPr>
          <w:sz w:val="21"/>
        </w:rPr>
      </w:pPr>
      <w:r>
        <w:rPr>
          <w:sz w:val="21"/>
        </w:rPr>
        <w:t>RedHat Linux AS2.1、3.0、4.0</w:t>
      </w:r>
      <w:r>
        <w:rPr>
          <w:spacing w:val="-36"/>
          <w:sz w:val="21"/>
        </w:rPr>
        <w:t xml:space="preserve"> 等 </w:t>
      </w:r>
      <w:r>
        <w:rPr>
          <w:sz w:val="21"/>
        </w:rPr>
        <w:t>32</w:t>
      </w:r>
      <w:r>
        <w:rPr>
          <w:spacing w:val="-27"/>
          <w:sz w:val="21"/>
        </w:rPr>
        <w:t xml:space="preserve"> 位</w:t>
      </w:r>
      <w:r>
        <w:rPr>
          <w:sz w:val="21"/>
        </w:rPr>
        <w:t>/64</w:t>
      </w:r>
      <w:r>
        <w:rPr>
          <w:spacing w:val="-10"/>
          <w:sz w:val="21"/>
        </w:rPr>
        <w:t xml:space="preserve"> 位中英文各版本</w:t>
      </w:r>
    </w:p>
    <w:p>
      <w:pPr>
        <w:pStyle w:val="ListParagraph"/>
        <w:numPr>
          <w:ilvl w:val="0"/>
          <w:numId w:val="78"/>
        </w:numPr>
        <w:tabs>
          <w:tab w:val="left" w:pos="1200"/>
          <w:tab w:val="left" w:pos="1201"/>
        </w:tabs>
        <w:spacing w:before="140" w:after="0" w:line="240" w:lineRule="auto"/>
        <w:ind w:left="1201" w:right="0" w:hanging="420"/>
        <w:jc w:val="left"/>
        <w:rPr>
          <w:sz w:val="21"/>
        </w:rPr>
      </w:pPr>
      <w:r>
        <w:rPr>
          <w:sz w:val="21"/>
        </w:rPr>
        <w:t>AIX(</w:t>
      </w:r>
      <w:r>
        <w:rPr>
          <w:spacing w:val="-2"/>
          <w:sz w:val="21"/>
        </w:rPr>
        <w:t>中英文各版本)</w:t>
      </w:r>
    </w:p>
    <w:p>
      <w:pPr>
        <w:pStyle w:val="ListParagraph"/>
        <w:numPr>
          <w:ilvl w:val="0"/>
          <w:numId w:val="78"/>
        </w:numPr>
        <w:tabs>
          <w:tab w:val="left" w:pos="1200"/>
          <w:tab w:val="left" w:pos="1201"/>
        </w:tabs>
        <w:spacing w:before="139" w:after="0" w:line="240" w:lineRule="auto"/>
        <w:ind w:left="1201" w:right="0" w:hanging="420"/>
        <w:jc w:val="left"/>
        <w:rPr>
          <w:sz w:val="21"/>
        </w:rPr>
      </w:pPr>
      <w:r>
        <w:rPr>
          <w:sz w:val="21"/>
        </w:rPr>
        <w:t>Solaris(</w:t>
      </w:r>
      <w:r>
        <w:rPr>
          <w:spacing w:val="-2"/>
          <w:sz w:val="21"/>
        </w:rPr>
        <w:t>中英文各版本)</w:t>
      </w:r>
    </w:p>
    <w:p>
      <w:pPr>
        <w:pStyle w:val="ListParagraph"/>
        <w:numPr>
          <w:ilvl w:val="0"/>
          <w:numId w:val="78"/>
        </w:numPr>
        <w:tabs>
          <w:tab w:val="left" w:pos="1200"/>
          <w:tab w:val="left" w:pos="1201"/>
        </w:tabs>
        <w:spacing w:before="140" w:after="0" w:line="240" w:lineRule="auto"/>
        <w:ind w:left="1201" w:right="0" w:hanging="420"/>
        <w:jc w:val="left"/>
        <w:rPr>
          <w:sz w:val="21"/>
        </w:rPr>
      </w:pPr>
      <w:r>
        <w:rPr>
          <w:sz w:val="21"/>
        </w:rPr>
        <w:t>HP-UX(</w:t>
      </w:r>
      <w:r>
        <w:rPr>
          <w:spacing w:val="-2"/>
          <w:sz w:val="21"/>
        </w:rPr>
        <w:t>中英文各版本)</w:t>
      </w:r>
    </w:p>
    <w:p>
      <w:pPr>
        <w:pStyle w:val="BodyText"/>
        <w:spacing w:before="139" w:line="364" w:lineRule="auto"/>
        <w:ind w:left="214" w:right="282" w:firstLine="420"/>
      </w:pPr>
      <w:r>
        <w:rPr>
          <w:spacing w:val="-2"/>
        </w:rPr>
        <w:t>运维支撑平台对于服务器的监测能够提供多种信息输出方式，包括超过阀值自动告警、资源使用状</w:t>
      </w:r>
      <w:r>
        <w:rPr>
          <w:spacing w:val="-2"/>
        </w:rPr>
        <w:t>况曲线图及分析报表等。</w:t>
      </w:r>
    </w:p>
    <w:p>
      <w:pPr>
        <w:pStyle w:val="Heading4"/>
        <w:numPr>
          <w:ilvl w:val="2"/>
          <w:numId w:val="79"/>
        </w:numPr>
        <w:tabs>
          <w:tab w:val="left" w:pos="850"/>
        </w:tabs>
        <w:spacing w:before="0" w:after="0" w:line="316" w:lineRule="exact"/>
        <w:ind w:left="849" w:right="0" w:hanging="636"/>
        <w:jc w:val="left"/>
      </w:pPr>
      <w:r>
        <w:rPr>
          <w:w w:val="90"/>
        </w:rPr>
        <w:t>主</w:t>
      </w:r>
      <w:r>
        <w:rPr>
          <w:w w:val="90"/>
        </w:rPr>
        <w:t>机</w:t>
      </w:r>
      <w:r>
        <w:rPr>
          <w:spacing w:val="-1"/>
          <w:w w:val="90"/>
        </w:rPr>
        <w:t xml:space="preserve"> </w:t>
      </w:r>
      <w:r>
        <w:rPr>
          <w:w w:val="90"/>
        </w:rPr>
        <w:t>CPU</w:t>
      </w:r>
      <w:r>
        <w:rPr>
          <w:spacing w:val="-1"/>
          <w:w w:val="90"/>
        </w:rPr>
        <w:t xml:space="preserve"> </w:t>
      </w:r>
      <w:r>
        <w:rPr>
          <w:w w:val="90"/>
        </w:rPr>
        <w:t>监</w:t>
      </w:r>
      <w:r>
        <w:rPr>
          <w:spacing w:val="-10"/>
          <w:w w:val="90"/>
        </w:rPr>
        <w:t>控</w:t>
      </w:r>
    </w:p>
    <w:p>
      <w:pPr>
        <w:pStyle w:val="BodyText"/>
        <w:spacing w:before="92" w:line="364" w:lineRule="auto"/>
        <w:ind w:left="214" w:right="282" w:firstLine="420"/>
      </w:pPr>
      <w:r>
        <w:rPr>
          <w:spacing w:val="-15"/>
        </w:rPr>
        <w:t xml:space="preserve">针对 </w:t>
      </w:r>
      <w:r>
        <w:t>CPU</w:t>
      </w:r>
      <w:r>
        <w:rPr>
          <w:spacing w:val="-13"/>
        </w:rPr>
        <w:t xml:space="preserve"> 的监控，监控 </w:t>
      </w:r>
      <w:r>
        <w:t>CPU</w:t>
      </w:r>
      <w:r>
        <w:rPr>
          <w:spacing w:val="-30"/>
        </w:rPr>
        <w:t xml:space="preserve"> 的 </w:t>
      </w:r>
      <w:r>
        <w:t>1</w:t>
      </w:r>
      <w:r>
        <w:rPr>
          <w:spacing w:val="-12"/>
        </w:rPr>
        <w:t xml:space="preserve"> 分钟、</w:t>
      </w:r>
      <w:r>
        <w:t>5</w:t>
      </w:r>
      <w:r>
        <w:rPr>
          <w:spacing w:val="-19"/>
        </w:rPr>
        <w:t xml:space="preserve"> 分钟和 </w:t>
      </w:r>
      <w:r>
        <w:t>15</w:t>
      </w:r>
      <w:r>
        <w:rPr>
          <w:spacing w:val="-19"/>
        </w:rPr>
        <w:t xml:space="preserve"> 分钟的 </w:t>
      </w:r>
      <w:r>
        <w:t>CPU</w:t>
      </w:r>
      <w:r>
        <w:rPr>
          <w:spacing w:val="-14"/>
        </w:rPr>
        <w:t xml:space="preserve"> 负载，监控 </w:t>
      </w:r>
      <w:r>
        <w:t>CPU</w:t>
      </w:r>
      <w:r>
        <w:rPr>
          <w:spacing w:val="-7"/>
        </w:rPr>
        <w:t xml:space="preserve"> 用户态使用时间、</w:t>
      </w:r>
      <w:r>
        <w:t xml:space="preserve"> </w:t>
      </w:r>
      <w:r>
        <w:rPr>
          <w:spacing w:val="-2"/>
        </w:rPr>
        <w:t>CPU</w:t>
      </w:r>
      <w:r>
        <w:rPr>
          <w:spacing w:val="-9"/>
        </w:rPr>
        <w:t xml:space="preserve"> 系统态使用时间、</w:t>
      </w:r>
      <w:r>
        <w:rPr>
          <w:spacing w:val="-2"/>
        </w:rPr>
        <w:t>CPU</w:t>
      </w:r>
      <w:r>
        <w:rPr>
          <w:spacing w:val="-24"/>
        </w:rPr>
        <w:t xml:space="preserve"> 等待 </w:t>
      </w:r>
      <w:r>
        <w:rPr>
          <w:spacing w:val="-2"/>
        </w:rPr>
        <w:t>IO</w:t>
      </w:r>
      <w:r>
        <w:rPr>
          <w:spacing w:val="-18"/>
        </w:rPr>
        <w:t xml:space="preserve"> 的时间和 </w:t>
      </w:r>
      <w:r>
        <w:rPr>
          <w:spacing w:val="-2"/>
        </w:rPr>
        <w:t>CPU</w:t>
      </w:r>
      <w:r>
        <w:rPr>
          <w:spacing w:val="-13"/>
        </w:rPr>
        <w:t xml:space="preserve"> 空闲时间等，当 </w:t>
      </w:r>
      <w:r>
        <w:rPr>
          <w:spacing w:val="-2"/>
        </w:rPr>
        <w:t>CPU</w:t>
      </w:r>
      <w:r>
        <w:rPr>
          <w:spacing w:val="-9"/>
        </w:rPr>
        <w:t xml:space="preserve"> 的使用率超过阈值时，产生告警通</w:t>
      </w:r>
      <w:r>
        <w:rPr>
          <w:spacing w:val="-6"/>
        </w:rPr>
        <w:t>知。</w:t>
      </w:r>
    </w:p>
    <w:p>
      <w:pPr>
        <w:pStyle w:val="Heading4"/>
        <w:numPr>
          <w:ilvl w:val="2"/>
          <w:numId w:val="79"/>
        </w:numPr>
        <w:tabs>
          <w:tab w:val="left" w:pos="850"/>
        </w:tabs>
        <w:spacing w:before="0" w:after="0" w:line="315" w:lineRule="exact"/>
        <w:ind w:left="849" w:right="0" w:hanging="636"/>
        <w:jc w:val="left"/>
      </w:pPr>
      <w:r>
        <w:rPr>
          <w:spacing w:val="-2"/>
        </w:rPr>
        <w:t>主机内存监控</w:t>
      </w:r>
    </w:p>
    <w:p>
      <w:pPr>
        <w:pStyle w:val="BodyText"/>
        <w:spacing w:before="92" w:line="364" w:lineRule="auto"/>
        <w:ind w:left="214" w:right="282" w:firstLine="420"/>
        <w:jc w:val="both"/>
      </w:pPr>
      <w:r>
        <w:rPr>
          <w:spacing w:val="-2"/>
        </w:rPr>
        <w:t>针对内存的监控，运维支撑平台提供内存利用率、交换空间利用率、交换空间大小、交换空间使用</w:t>
      </w:r>
      <w:r>
        <w:rPr>
          <w:spacing w:val="-2"/>
        </w:rPr>
        <w:t>情况、内存页交换速率、内存错页率、内存页面调进速率、内存页面调出速率等指标来监控物理内存、</w:t>
      </w:r>
      <w:r>
        <w:rPr>
          <w:spacing w:val="-2"/>
        </w:rPr>
        <w:t>虚拟内存、以及系统页面调入、调出情况。当这些指标超过预先设定的阈值值，产生告警。</w:t>
      </w:r>
    </w:p>
    <w:p>
      <w:pPr>
        <w:pStyle w:val="Heading4"/>
        <w:numPr>
          <w:ilvl w:val="2"/>
          <w:numId w:val="79"/>
        </w:numPr>
        <w:tabs>
          <w:tab w:val="left" w:pos="850"/>
        </w:tabs>
        <w:spacing w:before="0" w:after="0" w:line="315" w:lineRule="exact"/>
        <w:ind w:left="849" w:right="0" w:hanging="636"/>
        <w:jc w:val="left"/>
      </w:pPr>
      <w:r>
        <w:rPr>
          <w:spacing w:val="-2"/>
        </w:rPr>
        <w:t>主机磁盘监控</w:t>
      </w:r>
    </w:p>
    <w:p>
      <w:pPr>
        <w:pStyle w:val="BodyText"/>
        <w:spacing w:before="91" w:line="364" w:lineRule="auto"/>
        <w:ind w:left="214" w:right="282" w:firstLine="420"/>
        <w:jc w:val="both"/>
      </w:pPr>
      <w:r>
        <w:rPr>
          <w:spacing w:val="-2"/>
        </w:rPr>
        <w:t>针对磁盘的监控，运维支撑平台通过分区利用率、分区容量、磁盘分区利用率、硬盘容量等指标监</w:t>
      </w:r>
      <w:r>
        <w:rPr>
          <w:spacing w:val="-2"/>
        </w:rPr>
        <w:t>控硬盘和分区的使用情况，通过硬盘读速率、硬盘写速率、硬盘平均读速度和硬盘平均写速率等指标监</w:t>
      </w:r>
      <w:r>
        <w:rPr>
          <w:spacing w:val="-2"/>
        </w:rPr>
        <w:t>控硬盘的使用情况。</w:t>
      </w:r>
    </w:p>
    <w:p>
      <w:pPr>
        <w:pStyle w:val="Heading4"/>
        <w:numPr>
          <w:ilvl w:val="2"/>
          <w:numId w:val="79"/>
        </w:numPr>
        <w:tabs>
          <w:tab w:val="left" w:pos="850"/>
        </w:tabs>
        <w:spacing w:before="0" w:after="0" w:line="315" w:lineRule="exact"/>
        <w:ind w:left="849" w:right="0" w:hanging="636"/>
        <w:jc w:val="left"/>
      </w:pPr>
      <w:r>
        <w:rPr>
          <w:spacing w:val="-2"/>
        </w:rPr>
        <w:t>主机进程监控</w:t>
      </w:r>
    </w:p>
    <w:p>
      <w:pPr>
        <w:pStyle w:val="BodyText"/>
        <w:spacing w:before="92" w:line="364" w:lineRule="auto"/>
        <w:ind w:left="214" w:right="387" w:firstLine="420"/>
      </w:pPr>
      <w:r>
        <w:rPr>
          <w:spacing w:val="-4"/>
        </w:rPr>
        <w:t xml:space="preserve">运维支撑平台提供对进程的进程名称、进程 </w:t>
      </w:r>
      <w:r>
        <w:rPr>
          <w:spacing w:val="-2"/>
        </w:rPr>
        <w:t>ID</w:t>
      </w:r>
      <w:r>
        <w:rPr>
          <w:spacing w:val="-7"/>
        </w:rPr>
        <w:t xml:space="preserve">、父进程 </w:t>
      </w:r>
      <w:r>
        <w:rPr>
          <w:spacing w:val="-2"/>
        </w:rPr>
        <w:t>ID、运行该进程的用户、进程优先级、运</w:t>
      </w:r>
      <w:r>
        <w:rPr>
          <w:spacing w:val="-2"/>
        </w:rPr>
        <w:t>行终端等的监控，其中有运行权限的用户可以修改进程的优先级和杀死进程。</w:t>
      </w:r>
    </w:p>
    <w:p>
      <w:pPr>
        <w:pStyle w:val="Heading4"/>
        <w:numPr>
          <w:ilvl w:val="2"/>
          <w:numId w:val="79"/>
        </w:numPr>
        <w:tabs>
          <w:tab w:val="left" w:pos="850"/>
        </w:tabs>
        <w:spacing w:before="0" w:after="0" w:line="316" w:lineRule="exact"/>
        <w:ind w:left="849" w:right="0" w:hanging="636"/>
        <w:jc w:val="left"/>
      </w:pPr>
      <w:r>
        <w:rPr>
          <w:spacing w:val="-2"/>
        </w:rPr>
        <w:t>应用系统平台管理</w:t>
      </w:r>
    </w:p>
    <w:p>
      <w:pPr>
        <w:pStyle w:val="BodyText"/>
        <w:spacing w:before="91"/>
        <w:ind w:left="634"/>
      </w:pPr>
      <w:r>
        <w:rPr>
          <w:spacing w:val="-1"/>
        </w:rPr>
        <w:t>应用系统管理主要包括中间件、邮件系统以及数据库系统的监控与管理。</w:t>
      </w:r>
    </w:p>
    <w:p>
      <w:pPr>
        <w:pStyle w:val="Heading4"/>
        <w:numPr>
          <w:ilvl w:val="2"/>
          <w:numId w:val="79"/>
        </w:numPr>
        <w:tabs>
          <w:tab w:val="left" w:pos="850"/>
        </w:tabs>
        <w:spacing w:before="71" w:after="0" w:line="240" w:lineRule="auto"/>
        <w:ind w:left="849" w:right="0" w:hanging="636"/>
        <w:jc w:val="left"/>
      </w:pPr>
      <w:r>
        <w:rPr>
          <w:spacing w:val="-2"/>
        </w:rPr>
        <w:t>中间件服务监控</w:t>
      </w:r>
    </w:p>
    <w:p>
      <w:pPr>
        <w:pStyle w:val="BodyText"/>
        <w:spacing w:before="91" w:line="364" w:lineRule="auto"/>
        <w:ind w:left="214" w:right="282" w:firstLine="420"/>
        <w:jc w:val="both"/>
      </w:pPr>
      <w:r>
        <w:rPr>
          <w:spacing w:val="-2"/>
        </w:rPr>
        <w:t>运维支撑平台应用可视化管理提供了对应用系统一目了然的可视化监控方式，降低了管理员的维护</w:t>
      </w:r>
      <w:r>
        <w:rPr>
          <w:spacing w:val="-2"/>
        </w:rPr>
        <w:t>门槛，并将应用维护所关注的信息集中到系统中进行集中展示，管理员无需再从应用的不同位置查询。</w:t>
      </w:r>
      <w:r>
        <w:rPr>
          <w:spacing w:val="-6"/>
        </w:rPr>
        <w:t xml:space="preserve">运维支撑平台支持对 </w:t>
      </w:r>
      <w:r>
        <w:t>Websphere、Weblogic、Tomcat、Tuxedo</w:t>
      </w:r>
      <w:r>
        <w:rPr>
          <w:spacing w:val="-9"/>
        </w:rPr>
        <w:t xml:space="preserve"> 等中间件服务的性能指标进行动态展现。</w:t>
      </w:r>
    </w:p>
    <w:p>
      <w:pPr>
        <w:spacing w:after="0" w:line="364" w:lineRule="auto"/>
        <w:jc w:val="both"/>
        <w:sectPr>
          <w:headerReference w:type="default" r:id="rId30"/>
          <w:footerReference w:type="default" r:id="rId31"/>
          <w:pgSz w:w="11910" w:h="16840"/>
          <w:pgMar w:top="1340" w:right="1080" w:bottom="1000" w:left="880" w:header="822" w:footer="805"/>
          <w:pgNumType w:start="13"/>
          <w:cols w:space="708"/>
        </w:sectPr>
      </w:pPr>
    </w:p>
    <w:p>
      <w:pPr>
        <w:pStyle w:val="Heading3"/>
        <w:numPr>
          <w:ilvl w:val="1"/>
          <w:numId w:val="79"/>
        </w:numPr>
        <w:tabs>
          <w:tab w:val="left" w:pos="637"/>
        </w:tabs>
        <w:spacing w:before="0" w:after="0" w:line="431" w:lineRule="exact"/>
        <w:ind w:left="636" w:right="0" w:hanging="423"/>
        <w:jc w:val="left"/>
      </w:pPr>
      <w:r>
        <w:rPr>
          <w:spacing w:val="-2"/>
        </w:rPr>
        <w:t>数据库系统监控</w:t>
      </w:r>
    </w:p>
    <w:p>
      <w:pPr>
        <w:pStyle w:val="Heading4"/>
        <w:numPr>
          <w:ilvl w:val="2"/>
          <w:numId w:val="79"/>
        </w:numPr>
        <w:tabs>
          <w:tab w:val="left" w:pos="850"/>
        </w:tabs>
        <w:spacing w:before="35" w:after="0" w:line="240" w:lineRule="auto"/>
        <w:ind w:left="849" w:right="0" w:hanging="636"/>
        <w:jc w:val="left"/>
      </w:pPr>
      <w:r>
        <w:rPr>
          <w:spacing w:val="-2"/>
        </w:rPr>
        <w:t>数据库可视化管理</w:t>
      </w:r>
    </w:p>
    <w:p>
      <w:pPr>
        <w:pStyle w:val="BodyText"/>
        <w:spacing w:before="91"/>
        <w:ind w:left="634"/>
      </w:pPr>
      <w:r>
        <w:rPr>
          <w:spacing w:val="-1"/>
        </w:rPr>
        <w:t>通过是用运维支撑平台可视图化的数据库管理工具可以实现对后台系统数据库系统的监控与管理。</w:t>
      </w:r>
    </w:p>
    <w:p>
      <w:pPr>
        <w:pStyle w:val="Heading4"/>
        <w:numPr>
          <w:ilvl w:val="2"/>
          <w:numId w:val="79"/>
        </w:numPr>
        <w:tabs>
          <w:tab w:val="left" w:pos="796"/>
        </w:tabs>
        <w:spacing w:before="70" w:after="0" w:line="240" w:lineRule="auto"/>
        <w:ind w:left="795" w:right="0" w:hanging="582"/>
        <w:jc w:val="left"/>
      </w:pPr>
      <w:r>
        <w:rPr>
          <w:spacing w:val="-1"/>
        </w:rPr>
        <w:t>数据库监控预定义指标</w:t>
      </w:r>
    </w:p>
    <w:p>
      <w:pPr>
        <w:pStyle w:val="BodyText"/>
        <w:spacing w:before="92"/>
        <w:ind w:left="634"/>
      </w:pPr>
      <w:r>
        <w:rPr>
          <w:spacing w:val="-1"/>
        </w:rPr>
        <w:t>运维支撑平台数据库监测模块可在数据库问题对应用及最终用户构成影响前主动加以识别。</w:t>
      </w:r>
    </w:p>
    <w:p>
      <w:pPr>
        <w:pStyle w:val="Heading4"/>
        <w:numPr>
          <w:ilvl w:val="2"/>
          <w:numId w:val="79"/>
        </w:numPr>
        <w:tabs>
          <w:tab w:val="left" w:pos="850"/>
        </w:tabs>
        <w:spacing w:before="70" w:after="0" w:line="240" w:lineRule="auto"/>
        <w:ind w:left="849" w:right="0" w:hanging="636"/>
        <w:jc w:val="left"/>
      </w:pPr>
      <w:r>
        <w:rPr>
          <w:w w:val="54"/>
        </w:rPr>
        <w:t>O</w:t>
      </w:r>
      <w:r>
        <w:rPr>
          <w:w w:val="119"/>
        </w:rPr>
        <w:t>r</w:t>
      </w:r>
      <w:r>
        <w:rPr>
          <w:w w:val="82"/>
        </w:rPr>
        <w:t>a</w:t>
      </w:r>
      <w:r>
        <w:rPr>
          <w:w w:val="91"/>
        </w:rPr>
        <w:t>c</w:t>
      </w:r>
      <w:r>
        <w:rPr>
          <w:w w:val="174"/>
        </w:rPr>
        <w:t>l</w:t>
      </w:r>
      <w:r>
        <w:rPr>
          <w:w w:val="80"/>
        </w:rPr>
        <w:t>e</w:t>
      </w:r>
      <w:r>
        <w:rPr>
          <w:spacing w:val="5"/>
        </w:rPr>
        <w:t xml:space="preserve"> 数据库监控</w:t>
      </w:r>
    </w:p>
    <w:p>
      <w:pPr>
        <w:pStyle w:val="BodyText"/>
        <w:spacing w:before="92" w:line="364" w:lineRule="auto"/>
        <w:ind w:left="214" w:right="387" w:firstLine="420"/>
      </w:pPr>
      <w:r>
        <w:rPr>
          <w:spacing w:val="-4"/>
        </w:rPr>
        <w:t xml:space="preserve">运维支撑平台数据库管理模块可对 </w:t>
      </w:r>
      <w:r>
        <w:t>Orcale</w:t>
      </w:r>
      <w:r>
        <w:rPr>
          <w:spacing w:val="-13"/>
        </w:rPr>
        <w:t xml:space="preserve"> 数据库进行监控，当 </w:t>
      </w:r>
      <w:r>
        <w:t>Oracle</w:t>
      </w:r>
      <w:r>
        <w:rPr>
          <w:spacing w:val="-27"/>
        </w:rPr>
        <w:t xml:space="preserve"> </w:t>
      </w:r>
      <w:r>
        <w:t>DB</w:t>
      </w:r>
      <w:r>
        <w:rPr>
          <w:spacing w:val="-8"/>
        </w:rPr>
        <w:t xml:space="preserve"> 工作异常以及表空间使</w:t>
      </w:r>
      <w:r>
        <w:rPr>
          <w:spacing w:val="-2"/>
        </w:rPr>
        <w:t>用率超过阀值、数据库会话数超过阀值时自动告警。</w:t>
      </w:r>
    </w:p>
    <w:p>
      <w:pPr>
        <w:pStyle w:val="Heading4"/>
        <w:numPr>
          <w:ilvl w:val="2"/>
          <w:numId w:val="79"/>
        </w:numPr>
        <w:tabs>
          <w:tab w:val="left" w:pos="850"/>
        </w:tabs>
        <w:spacing w:before="0" w:after="0" w:line="316" w:lineRule="exact"/>
        <w:ind w:left="849" w:right="0" w:hanging="636"/>
        <w:jc w:val="left"/>
      </w:pPr>
      <w:r>
        <w:rPr>
          <w:w w:val="90"/>
        </w:rPr>
        <w:t>DB2</w:t>
      </w:r>
      <w:r>
        <w:rPr>
          <w:spacing w:val="15"/>
        </w:rPr>
        <w:t xml:space="preserve"> </w:t>
      </w:r>
      <w:r>
        <w:rPr>
          <w:w w:val="90"/>
        </w:rPr>
        <w:t>数</w:t>
      </w:r>
      <w:r>
        <w:rPr>
          <w:w w:val="90"/>
        </w:rPr>
        <w:t>据</w:t>
      </w:r>
      <w:r>
        <w:rPr>
          <w:w w:val="90"/>
        </w:rPr>
        <w:t>库</w:t>
      </w:r>
      <w:r>
        <w:rPr>
          <w:w w:val="90"/>
        </w:rPr>
        <w:t>监</w:t>
      </w:r>
      <w:r>
        <w:rPr>
          <w:spacing w:val="-10"/>
          <w:w w:val="90"/>
        </w:rPr>
        <w:t>控</w:t>
      </w:r>
    </w:p>
    <w:p>
      <w:pPr>
        <w:pStyle w:val="BodyText"/>
        <w:spacing w:before="92" w:line="364" w:lineRule="auto"/>
        <w:ind w:left="214" w:right="282" w:firstLine="420"/>
      </w:pPr>
      <w:r>
        <w:rPr>
          <w:spacing w:val="-5"/>
        </w:rPr>
        <w:t xml:space="preserve">运维支撑平台数据库管理模块可对 </w:t>
      </w:r>
      <w:r>
        <w:rPr>
          <w:spacing w:val="-2"/>
        </w:rPr>
        <w:t>DB2</w:t>
      </w:r>
      <w:r>
        <w:rPr>
          <w:spacing w:val="-11"/>
        </w:rPr>
        <w:t xml:space="preserve"> 数据库进行监控，当 </w:t>
      </w:r>
      <w:r>
        <w:rPr>
          <w:spacing w:val="-2"/>
        </w:rPr>
        <w:t>DB2</w:t>
      </w:r>
      <w:r>
        <w:rPr>
          <w:spacing w:val="-8"/>
        </w:rPr>
        <w:t xml:space="preserve"> 工作异常时能够自动告警，并能生</w:t>
      </w:r>
      <w:r>
        <w:rPr>
          <w:spacing w:val="-2"/>
        </w:rPr>
        <w:t>成相应图表、报告供管理员使用。</w:t>
      </w:r>
    </w:p>
    <w:p>
      <w:pPr>
        <w:pStyle w:val="BodyText"/>
        <w:rPr>
          <w:sz w:val="20"/>
        </w:rPr>
      </w:pPr>
    </w:p>
    <w:p>
      <w:pPr>
        <w:pStyle w:val="Heading3"/>
        <w:numPr>
          <w:ilvl w:val="1"/>
          <w:numId w:val="79"/>
        </w:numPr>
        <w:tabs>
          <w:tab w:val="left" w:pos="698"/>
        </w:tabs>
        <w:spacing w:before="130" w:after="0" w:line="240" w:lineRule="auto"/>
        <w:ind w:left="697" w:right="0" w:hanging="484"/>
        <w:jc w:val="left"/>
      </w:pPr>
      <w:r>
        <w:rPr>
          <w:spacing w:val="-2"/>
        </w:rPr>
        <w:t>无代理方式</w:t>
      </w:r>
    </w:p>
    <w:p>
      <w:pPr>
        <w:pStyle w:val="BodyText"/>
        <w:spacing w:before="105" w:line="364" w:lineRule="auto"/>
        <w:ind w:left="214" w:right="492" w:firstLine="420"/>
      </w:pPr>
      <w:r>
        <w:rPr>
          <w:spacing w:val="-2"/>
        </w:rPr>
        <w:t>运维支撑平台无代理监控技术是真正的无代理，不需要在被管理的主机或者应用上安装任何的软</w:t>
      </w:r>
      <w:r>
        <w:rPr>
          <w:spacing w:val="-2"/>
        </w:rPr>
        <w:t>件。运维支撑平台无代理代理技术采用多种采集方式达到对主机、应用和数据库的监控。</w:t>
      </w:r>
    </w:p>
    <w:p>
      <w:pPr>
        <w:pStyle w:val="Heading4"/>
        <w:numPr>
          <w:ilvl w:val="2"/>
          <w:numId w:val="79"/>
        </w:numPr>
        <w:tabs>
          <w:tab w:val="left" w:pos="850"/>
        </w:tabs>
        <w:spacing w:before="0" w:after="0" w:line="316" w:lineRule="exact"/>
        <w:ind w:left="849" w:right="0" w:hanging="636"/>
        <w:jc w:val="left"/>
      </w:pPr>
      <w:r>
        <w:rPr>
          <w:spacing w:val="-2"/>
        </w:rPr>
        <w:t>事件的处理与展现</w:t>
      </w:r>
    </w:p>
    <w:p>
      <w:pPr>
        <w:pStyle w:val="BodyText"/>
        <w:spacing w:before="91" w:line="364" w:lineRule="auto"/>
        <w:ind w:left="214" w:right="282" w:firstLine="420"/>
      </w:pPr>
      <w:r>
        <w:rPr>
          <w:spacing w:val="-2"/>
        </w:rPr>
        <w:t>运维支撑平台可对系统收集到的各类系统事件和应用事件进行压缩、关联、过滤等分析处理，并可</w:t>
      </w:r>
      <w:r>
        <w:rPr>
          <w:spacing w:val="-2"/>
        </w:rPr>
        <w:t>统一进行展现。</w:t>
      </w:r>
    </w:p>
    <w:p>
      <w:pPr>
        <w:pStyle w:val="Heading4"/>
        <w:numPr>
          <w:ilvl w:val="2"/>
          <w:numId w:val="79"/>
        </w:numPr>
        <w:tabs>
          <w:tab w:val="left" w:pos="850"/>
        </w:tabs>
        <w:spacing w:before="0" w:after="0" w:line="316" w:lineRule="exact"/>
        <w:ind w:left="849" w:right="0" w:hanging="636"/>
        <w:jc w:val="left"/>
      </w:pPr>
      <w:r>
        <w:rPr>
          <w:spacing w:val="-2"/>
        </w:rPr>
        <w:t>事件的告警</w:t>
      </w:r>
    </w:p>
    <w:p>
      <w:pPr>
        <w:pStyle w:val="BodyText"/>
        <w:spacing w:before="92" w:line="364" w:lineRule="auto"/>
        <w:ind w:left="214" w:right="282" w:firstLine="420"/>
      </w:pPr>
      <w:r>
        <w:rPr>
          <w:spacing w:val="-2"/>
        </w:rPr>
        <w:t>运维支撑平台提供灵活的报警定义，可满足各种业务需求。管理人员可以根据监控需要，定义故障</w:t>
      </w:r>
      <w:r>
        <w:rPr>
          <w:spacing w:val="-2"/>
        </w:rPr>
        <w:t>事件是否触发报警、发送给哪个角色或人员、以及发送的时间段。</w:t>
      </w:r>
    </w:p>
    <w:p>
      <w:pPr>
        <w:pStyle w:val="Heading4"/>
        <w:numPr>
          <w:ilvl w:val="2"/>
          <w:numId w:val="79"/>
        </w:numPr>
        <w:tabs>
          <w:tab w:val="left" w:pos="850"/>
        </w:tabs>
        <w:spacing w:before="0" w:after="0" w:line="316" w:lineRule="exact"/>
        <w:ind w:left="849" w:right="0" w:hanging="636"/>
        <w:jc w:val="left"/>
      </w:pPr>
      <w:r>
        <w:rPr>
          <w:spacing w:val="-2"/>
        </w:rPr>
        <w:t>报警应急响应</w:t>
      </w:r>
    </w:p>
    <w:p>
      <w:pPr>
        <w:pStyle w:val="BodyText"/>
        <w:spacing w:before="92" w:line="364" w:lineRule="auto"/>
        <w:ind w:left="214" w:right="282" w:firstLine="420"/>
      </w:pPr>
      <w:r>
        <w:rPr>
          <w:spacing w:val="-2"/>
        </w:rPr>
        <w:t>运维支撑平台不仅可在系统产生告警事件时以邮件、客户端软件等方式通知管理员，还可进行报警</w:t>
      </w:r>
      <w:r>
        <w:rPr>
          <w:spacing w:val="-2"/>
        </w:rPr>
        <w:t>应急响应，并支持联动策略。</w:t>
      </w:r>
    </w:p>
    <w:p>
      <w:pPr>
        <w:pStyle w:val="Heading4"/>
        <w:numPr>
          <w:ilvl w:val="2"/>
          <w:numId w:val="79"/>
        </w:numPr>
        <w:tabs>
          <w:tab w:val="left" w:pos="850"/>
        </w:tabs>
        <w:spacing w:before="0" w:after="0" w:line="316" w:lineRule="exact"/>
        <w:ind w:left="849" w:right="0" w:hanging="636"/>
        <w:jc w:val="left"/>
      </w:pPr>
      <w:r>
        <w:rPr>
          <w:spacing w:val="-2"/>
        </w:rPr>
        <w:t>报警通知方式</w:t>
      </w:r>
    </w:p>
    <w:p>
      <w:pPr>
        <w:pStyle w:val="BodyText"/>
        <w:spacing w:before="91"/>
        <w:ind w:left="634"/>
      </w:pPr>
      <w:r>
        <w:rPr>
          <w:spacing w:val="-1"/>
        </w:rPr>
        <w:t>运维支撑平台在系统产生告警事件时，可通过桌面客户端告警。</w:t>
      </w:r>
    </w:p>
    <w:p>
      <w:pPr>
        <w:pStyle w:val="BodyText"/>
        <w:spacing w:before="140" w:line="364" w:lineRule="auto"/>
        <w:ind w:left="214" w:right="282" w:firstLine="420"/>
      </w:pPr>
      <w:r>
        <w:rPr>
          <w:spacing w:val="-2"/>
        </w:rPr>
        <w:t>同时运维支撑平台具备分级报警功能，运维支撑平台可以根据产生故障来源的重要程度不同采用不</w:t>
      </w:r>
      <w:r>
        <w:rPr>
          <w:spacing w:val="-2"/>
        </w:rPr>
        <w:t>同的告警方式，并且可以自定义故障告警的信息模板。</w:t>
      </w:r>
    </w:p>
    <w:p>
      <w:pPr>
        <w:pStyle w:val="BodyText"/>
        <w:spacing w:before="8"/>
        <w:rPr>
          <w:sz w:val="25"/>
        </w:rPr>
      </w:pPr>
    </w:p>
    <w:p>
      <w:pPr>
        <w:pStyle w:val="Heading3"/>
        <w:numPr>
          <w:ilvl w:val="1"/>
          <w:numId w:val="79"/>
        </w:numPr>
        <w:tabs>
          <w:tab w:val="left" w:pos="698"/>
        </w:tabs>
        <w:spacing w:before="0" w:after="0" w:line="240" w:lineRule="auto"/>
        <w:ind w:left="697" w:right="0" w:hanging="484"/>
        <w:jc w:val="left"/>
      </w:pPr>
      <w:r>
        <w:rPr>
          <w:spacing w:val="-2"/>
        </w:rPr>
        <w:t>系统安全与权限管理</w:t>
      </w:r>
    </w:p>
    <w:p>
      <w:pPr>
        <w:pStyle w:val="Heading4"/>
        <w:numPr>
          <w:ilvl w:val="2"/>
          <w:numId w:val="79"/>
        </w:numPr>
        <w:tabs>
          <w:tab w:val="left" w:pos="850"/>
        </w:tabs>
        <w:spacing w:before="35" w:after="0" w:line="240" w:lineRule="auto"/>
        <w:ind w:left="849" w:right="0" w:hanging="636"/>
        <w:jc w:val="left"/>
      </w:pPr>
      <w:r>
        <w:rPr>
          <w:spacing w:val="-2"/>
        </w:rPr>
        <w:t>用户安全机制</w:t>
      </w:r>
    </w:p>
    <w:p>
      <w:pPr>
        <w:pStyle w:val="BodyText"/>
        <w:spacing w:before="92" w:line="364" w:lineRule="auto"/>
        <w:ind w:left="214" w:right="282" w:firstLine="420"/>
      </w:pPr>
      <w:r>
        <w:rPr>
          <w:spacing w:val="-2"/>
        </w:rPr>
        <w:t>管理系统自身的安全性是保证管理工作正常进行的关键因素，因此在设计后台系统的管理需求时，</w:t>
      </w:r>
      <w:r>
        <w:rPr>
          <w:spacing w:val="-2"/>
        </w:rPr>
        <w:t>运维支撑平台充分考虑了管理系统的安全性，包括：</w:t>
      </w:r>
    </w:p>
    <w:p>
      <w:pPr>
        <w:pStyle w:val="ListParagraph"/>
        <w:numPr>
          <w:ilvl w:val="0"/>
          <w:numId w:val="77"/>
        </w:numPr>
        <w:tabs>
          <w:tab w:val="left" w:pos="973"/>
          <w:tab w:val="left" w:pos="974"/>
        </w:tabs>
        <w:spacing w:before="0" w:after="0" w:line="268" w:lineRule="exact"/>
        <w:ind w:left="974" w:right="0" w:hanging="420"/>
        <w:jc w:val="left"/>
        <w:rPr>
          <w:sz w:val="21"/>
        </w:rPr>
      </w:pPr>
      <w:r>
        <w:rPr>
          <w:spacing w:val="-1"/>
          <w:sz w:val="21"/>
        </w:rPr>
        <w:t>登录时间、登录用户失败次数限制，账号锁定规则。</w:t>
      </w:r>
    </w:p>
    <w:p>
      <w:pPr>
        <w:spacing w:after="0" w:line="268" w:lineRule="exact"/>
        <w:jc w:val="left"/>
        <w:rPr>
          <w:sz w:val="21"/>
        </w:rPr>
        <w:sectPr>
          <w:headerReference w:type="default" r:id="rId32"/>
          <w:footerReference w:type="default" r:id="rId33"/>
          <w:pgSz w:w="11910" w:h="16840"/>
          <w:pgMar w:top="1340" w:right="1080" w:bottom="1000" w:left="880" w:header="822" w:footer="805"/>
          <w:pgNumType w:start="14"/>
          <w:cols w:space="708"/>
        </w:sectPr>
      </w:pPr>
    </w:p>
    <w:p>
      <w:pPr>
        <w:pStyle w:val="ListParagraph"/>
        <w:numPr>
          <w:ilvl w:val="0"/>
          <w:numId w:val="77"/>
        </w:numPr>
        <w:tabs>
          <w:tab w:val="left" w:pos="973"/>
          <w:tab w:val="left" w:pos="974"/>
        </w:tabs>
        <w:spacing w:before="68" w:after="0" w:line="240" w:lineRule="auto"/>
        <w:ind w:left="974" w:right="0" w:hanging="420"/>
        <w:jc w:val="left"/>
        <w:rPr>
          <w:sz w:val="21"/>
        </w:rPr>
      </w:pPr>
      <w:r>
        <w:rPr>
          <w:spacing w:val="-3"/>
          <w:sz w:val="21"/>
        </w:rPr>
        <w:t xml:space="preserve">管理信息在运维支撑平台各个组件之间传输时全部采用 </w:t>
      </w:r>
      <w:r>
        <w:rPr>
          <w:sz w:val="21"/>
        </w:rPr>
        <w:t>SSH</w:t>
      </w:r>
      <w:r>
        <w:rPr>
          <w:spacing w:val="-12"/>
          <w:sz w:val="21"/>
        </w:rPr>
        <w:t xml:space="preserve"> 加密保护。</w:t>
      </w:r>
    </w:p>
    <w:p>
      <w:pPr>
        <w:pStyle w:val="ListParagraph"/>
        <w:numPr>
          <w:ilvl w:val="0"/>
          <w:numId w:val="77"/>
        </w:numPr>
        <w:tabs>
          <w:tab w:val="left" w:pos="973"/>
          <w:tab w:val="left" w:pos="974"/>
        </w:tabs>
        <w:spacing w:before="140" w:after="0" w:line="240" w:lineRule="auto"/>
        <w:ind w:left="974" w:right="0" w:hanging="420"/>
        <w:jc w:val="left"/>
        <w:rPr>
          <w:sz w:val="21"/>
        </w:rPr>
      </w:pPr>
      <w:r>
        <w:rPr>
          <w:spacing w:val="-2"/>
          <w:sz w:val="21"/>
        </w:rPr>
        <w:t xml:space="preserve">对数据库中的用户名、密码等敏感信息，全部采用不可反解的 </w:t>
      </w:r>
      <w:r>
        <w:rPr>
          <w:sz w:val="21"/>
        </w:rPr>
        <w:t>MD5</w:t>
      </w:r>
      <w:r>
        <w:rPr>
          <w:spacing w:val="-12"/>
          <w:sz w:val="21"/>
        </w:rPr>
        <w:t xml:space="preserve"> 加密存储。</w:t>
      </w:r>
    </w:p>
    <w:p>
      <w:pPr>
        <w:pStyle w:val="ListParagraph"/>
        <w:numPr>
          <w:ilvl w:val="0"/>
          <w:numId w:val="77"/>
        </w:numPr>
        <w:tabs>
          <w:tab w:val="left" w:pos="973"/>
          <w:tab w:val="left" w:pos="974"/>
        </w:tabs>
        <w:spacing w:before="139" w:after="0" w:line="240" w:lineRule="auto"/>
        <w:ind w:left="974" w:right="0" w:hanging="420"/>
        <w:jc w:val="left"/>
        <w:rPr>
          <w:sz w:val="21"/>
        </w:rPr>
      </w:pPr>
      <w:r>
        <w:rPr>
          <w:spacing w:val="-1"/>
          <w:sz w:val="21"/>
        </w:rPr>
        <w:t>运维支撑平台采用严格的权限控制机制，细致划分了每个用户的管理范围和权限。</w:t>
      </w:r>
    </w:p>
    <w:p>
      <w:pPr>
        <w:pStyle w:val="ListParagraph"/>
        <w:numPr>
          <w:ilvl w:val="0"/>
          <w:numId w:val="77"/>
        </w:numPr>
        <w:tabs>
          <w:tab w:val="left" w:pos="973"/>
          <w:tab w:val="left" w:pos="974"/>
        </w:tabs>
        <w:spacing w:before="140" w:after="0" w:line="240" w:lineRule="auto"/>
        <w:ind w:left="974" w:right="0" w:hanging="420"/>
        <w:jc w:val="left"/>
        <w:rPr>
          <w:sz w:val="21"/>
        </w:rPr>
      </w:pPr>
      <w:r>
        <w:rPr>
          <w:spacing w:val="-1"/>
          <w:sz w:val="21"/>
        </w:rPr>
        <w:t>对用户的操作做详细的系统日志记录。</w:t>
      </w:r>
    </w:p>
    <w:p>
      <w:pPr>
        <w:pStyle w:val="Heading4"/>
        <w:numPr>
          <w:ilvl w:val="2"/>
          <w:numId w:val="79"/>
        </w:numPr>
        <w:tabs>
          <w:tab w:val="left" w:pos="850"/>
        </w:tabs>
        <w:spacing w:before="70" w:after="0" w:line="240" w:lineRule="auto"/>
        <w:ind w:left="849" w:right="0" w:hanging="636"/>
        <w:jc w:val="left"/>
      </w:pPr>
      <w:r>
        <w:rPr>
          <w:spacing w:val="-2"/>
        </w:rPr>
        <w:t>权限控制分级管理</w:t>
      </w:r>
    </w:p>
    <w:p>
      <w:pPr>
        <w:pStyle w:val="BodyText"/>
        <w:spacing w:before="92" w:line="364" w:lineRule="auto"/>
        <w:ind w:left="214" w:right="492" w:firstLine="420"/>
      </w:pPr>
      <w:r>
        <w:rPr>
          <w:spacing w:val="-2"/>
        </w:rPr>
        <w:t>运维支撑平台可实现资源分类，分级管理，在系统中有资源，资源组，用户，角色，权限，用户</w:t>
      </w:r>
      <w:r>
        <w:rPr>
          <w:spacing w:val="-2"/>
        </w:rPr>
        <w:t>域，业务单位等属性支持以上功能实现具备严格的多用户管理权限设置。</w:t>
      </w:r>
    </w:p>
    <w:p>
      <w:pPr>
        <w:pStyle w:val="BodyText"/>
        <w:spacing w:line="364" w:lineRule="auto"/>
        <w:ind w:left="214" w:right="282" w:firstLine="420"/>
      </w:pPr>
      <w:r>
        <w:rPr>
          <w:spacing w:val="-2"/>
        </w:rPr>
        <w:t>运维支撑平台对资源分类和分级管理有自己独到的见解，在系统资源管理中，可以设置资源，资源</w:t>
      </w:r>
      <w:r>
        <w:rPr>
          <w:spacing w:val="-2"/>
        </w:rPr>
        <w:t>组，用户，角色，角色的权限，以及实际的业务单位等。</w:t>
      </w:r>
    </w:p>
    <w:p>
      <w:pPr>
        <w:pStyle w:val="Heading4"/>
        <w:numPr>
          <w:ilvl w:val="2"/>
          <w:numId w:val="79"/>
        </w:numPr>
        <w:tabs>
          <w:tab w:val="left" w:pos="850"/>
        </w:tabs>
        <w:spacing w:before="0" w:after="0" w:line="316" w:lineRule="exact"/>
        <w:ind w:left="849" w:right="0" w:hanging="636"/>
        <w:jc w:val="left"/>
      </w:pPr>
      <w:r>
        <w:rPr>
          <w:spacing w:val="-2"/>
        </w:rPr>
        <w:t>数据传输安全机制</w:t>
      </w:r>
    </w:p>
    <w:p>
      <w:pPr>
        <w:pStyle w:val="BodyText"/>
        <w:spacing w:before="90" w:line="364" w:lineRule="auto"/>
        <w:ind w:left="214" w:right="282" w:firstLine="420"/>
      </w:pPr>
      <w:r>
        <w:rPr>
          <w:spacing w:val="-3"/>
        </w:rPr>
        <w:t xml:space="preserve">运维支撑平台对数据传输中的安全性非常重视，无代理方式监控都采用 </w:t>
      </w:r>
      <w:r>
        <w:rPr>
          <w:spacing w:val="-2"/>
        </w:rPr>
        <w:t>SSH</w:t>
      </w:r>
      <w:r>
        <w:rPr>
          <w:spacing w:val="-7"/>
        </w:rPr>
        <w:t xml:space="preserve"> 加密保护，保证会各个</w:t>
      </w:r>
      <w:r>
        <w:rPr>
          <w:spacing w:val="-2"/>
        </w:rPr>
        <w:t>组件之间传输的高安全性。</w:t>
      </w:r>
    </w:p>
    <w:p>
      <w:pPr>
        <w:pStyle w:val="BodyText"/>
        <w:spacing w:before="9"/>
        <w:rPr>
          <w:sz w:val="25"/>
        </w:rPr>
      </w:pPr>
    </w:p>
    <w:p>
      <w:pPr>
        <w:pStyle w:val="Heading3"/>
        <w:numPr>
          <w:ilvl w:val="1"/>
          <w:numId w:val="79"/>
        </w:numPr>
        <w:tabs>
          <w:tab w:val="left" w:pos="698"/>
        </w:tabs>
        <w:spacing w:before="0" w:after="0" w:line="240" w:lineRule="auto"/>
        <w:ind w:left="697" w:right="0" w:hanging="484"/>
        <w:jc w:val="left"/>
      </w:pPr>
      <w:r>
        <w:rPr>
          <w:spacing w:val="-2"/>
        </w:rPr>
        <w:t>系统管理和展现界面</w:t>
      </w:r>
    </w:p>
    <w:p>
      <w:pPr>
        <w:pStyle w:val="Heading4"/>
        <w:numPr>
          <w:ilvl w:val="2"/>
          <w:numId w:val="79"/>
        </w:numPr>
        <w:tabs>
          <w:tab w:val="left" w:pos="850"/>
        </w:tabs>
        <w:spacing w:before="35" w:after="0" w:line="240" w:lineRule="auto"/>
        <w:ind w:left="849" w:right="0" w:hanging="636"/>
        <w:jc w:val="left"/>
      </w:pPr>
      <w:r>
        <w:rPr>
          <w:spacing w:val="-5"/>
        </w:rPr>
        <w:t xml:space="preserve">完全的 </w:t>
      </w:r>
      <w:r>
        <w:rPr>
          <w:spacing w:val="-4"/>
        </w:rPr>
        <w:t>B/S</w:t>
      </w:r>
      <w:r>
        <w:rPr>
          <w:spacing w:val="-7"/>
        </w:rPr>
        <w:t xml:space="preserve"> 架构</w:t>
      </w:r>
    </w:p>
    <w:p>
      <w:pPr>
        <w:pStyle w:val="BodyText"/>
        <w:spacing w:before="91"/>
        <w:ind w:left="634"/>
      </w:pPr>
      <w:r>
        <w:rPr>
          <w:spacing w:val="-5"/>
        </w:rPr>
        <w:t xml:space="preserve">运维支撑平台产品的全部为 </w:t>
      </w:r>
      <w:r>
        <w:t>B/S</w:t>
      </w:r>
      <w:r>
        <w:rPr>
          <w:spacing w:val="-9"/>
        </w:rPr>
        <w:t xml:space="preserve"> 架构，界面统一，使用门槛低，容易上手且维护简单。</w:t>
      </w:r>
    </w:p>
    <w:p>
      <w:pPr>
        <w:pStyle w:val="Heading4"/>
        <w:numPr>
          <w:ilvl w:val="2"/>
          <w:numId w:val="79"/>
        </w:numPr>
        <w:tabs>
          <w:tab w:val="left" w:pos="850"/>
        </w:tabs>
        <w:spacing w:before="70" w:after="0" w:line="240" w:lineRule="auto"/>
        <w:ind w:left="849" w:right="0" w:hanging="636"/>
        <w:jc w:val="left"/>
      </w:pPr>
      <w:r>
        <w:rPr>
          <w:spacing w:val="-2"/>
        </w:rPr>
        <w:t>可视化管理方式</w:t>
      </w:r>
    </w:p>
    <w:p>
      <w:pPr>
        <w:pStyle w:val="BodyText"/>
        <w:spacing w:before="92"/>
        <w:ind w:left="634"/>
      </w:pPr>
      <w:r>
        <w:rPr>
          <w:spacing w:val="-1"/>
        </w:rPr>
        <w:t>为了提高易用性减低技术门槛，系统具有友好的界面，并支持多种展现效果，可自定义显现方式。</w:t>
      </w:r>
    </w:p>
    <w:p>
      <w:pPr>
        <w:pStyle w:val="Heading4"/>
        <w:numPr>
          <w:ilvl w:val="2"/>
          <w:numId w:val="79"/>
        </w:numPr>
        <w:tabs>
          <w:tab w:val="left" w:pos="850"/>
        </w:tabs>
        <w:spacing w:before="70" w:after="0" w:line="240" w:lineRule="auto"/>
        <w:ind w:left="849" w:right="0" w:hanging="636"/>
        <w:jc w:val="left"/>
      </w:pPr>
      <w:r>
        <w:rPr>
          <w:spacing w:val="-2"/>
        </w:rPr>
        <w:t>自身日志管理</w:t>
      </w:r>
    </w:p>
    <w:p>
      <w:pPr>
        <w:pStyle w:val="BodyText"/>
        <w:spacing w:before="92" w:line="364" w:lineRule="auto"/>
        <w:ind w:left="214" w:right="282" w:firstLine="420"/>
      </w:pPr>
      <w:r>
        <w:rPr>
          <w:spacing w:val="-2"/>
        </w:rPr>
        <w:t>运维支撑平台具备自身日志管理功能，符合国际萨班斯法案要求。系统记录的日志包括系统运行日</w:t>
      </w:r>
      <w:r>
        <w:rPr>
          <w:spacing w:val="-2"/>
        </w:rPr>
        <w:t>志和用户操作日志。</w:t>
      </w:r>
    </w:p>
    <w:p>
      <w:pPr>
        <w:pStyle w:val="ListParagraph"/>
        <w:numPr>
          <w:ilvl w:val="0"/>
          <w:numId w:val="76"/>
        </w:numPr>
        <w:tabs>
          <w:tab w:val="left" w:pos="1167"/>
          <w:tab w:val="left" w:pos="1169"/>
        </w:tabs>
        <w:spacing w:before="0" w:after="0" w:line="268" w:lineRule="exact"/>
        <w:ind w:left="1168" w:right="0" w:hanging="527"/>
        <w:jc w:val="left"/>
        <w:rPr>
          <w:sz w:val="21"/>
        </w:rPr>
      </w:pPr>
      <w:r>
        <w:rPr>
          <w:spacing w:val="-2"/>
          <w:sz w:val="21"/>
        </w:rPr>
        <w:t>系统运行日志；</w:t>
      </w:r>
    </w:p>
    <w:p>
      <w:pPr>
        <w:pStyle w:val="ListParagraph"/>
        <w:numPr>
          <w:ilvl w:val="0"/>
          <w:numId w:val="76"/>
        </w:numPr>
        <w:tabs>
          <w:tab w:val="left" w:pos="1167"/>
          <w:tab w:val="left" w:pos="1169"/>
        </w:tabs>
        <w:spacing w:before="139" w:after="0" w:line="240" w:lineRule="auto"/>
        <w:ind w:left="1168" w:right="0" w:hanging="527"/>
        <w:jc w:val="left"/>
        <w:rPr>
          <w:sz w:val="21"/>
        </w:rPr>
      </w:pPr>
      <w:r>
        <w:rPr>
          <w:spacing w:val="-2"/>
          <w:sz w:val="21"/>
        </w:rPr>
        <w:t>用户操作日志</w:t>
      </w:r>
    </w:p>
    <w:p>
      <w:pPr>
        <w:pStyle w:val="ListParagraph"/>
        <w:numPr>
          <w:ilvl w:val="0"/>
          <w:numId w:val="76"/>
        </w:numPr>
        <w:tabs>
          <w:tab w:val="left" w:pos="1167"/>
          <w:tab w:val="left" w:pos="1169"/>
        </w:tabs>
        <w:spacing w:before="140" w:after="0" w:line="240" w:lineRule="auto"/>
        <w:ind w:left="1168" w:right="0" w:hanging="527"/>
        <w:jc w:val="left"/>
        <w:rPr>
          <w:sz w:val="21"/>
        </w:rPr>
      </w:pPr>
      <w:r>
        <w:rPr>
          <w:spacing w:val="-1"/>
          <w:sz w:val="21"/>
        </w:rPr>
        <w:t>日志管理支持对系统运行日志和用户操作日志的浏览、查询、删除和统计功能；</w:t>
      </w:r>
    </w:p>
    <w:p>
      <w:pPr>
        <w:pStyle w:val="ListParagraph"/>
        <w:numPr>
          <w:ilvl w:val="0"/>
          <w:numId w:val="76"/>
        </w:numPr>
        <w:tabs>
          <w:tab w:val="left" w:pos="1167"/>
          <w:tab w:val="left" w:pos="1169"/>
        </w:tabs>
        <w:spacing w:before="139" w:after="0" w:line="240" w:lineRule="auto"/>
        <w:ind w:left="1168" w:right="0" w:hanging="527"/>
        <w:jc w:val="left"/>
        <w:rPr>
          <w:sz w:val="21"/>
        </w:rPr>
      </w:pPr>
      <w:r>
        <w:rPr>
          <w:spacing w:val="-1"/>
          <w:sz w:val="21"/>
        </w:rPr>
        <w:t>当具备日志管理权限的管理员进入日志管理功能后，可以看到日志记录的列表显示；</w:t>
      </w:r>
    </w:p>
    <w:p>
      <w:pPr>
        <w:pStyle w:val="ListParagraph"/>
        <w:numPr>
          <w:ilvl w:val="0"/>
          <w:numId w:val="76"/>
        </w:numPr>
        <w:tabs>
          <w:tab w:val="left" w:pos="1167"/>
          <w:tab w:val="left" w:pos="1169"/>
        </w:tabs>
        <w:spacing w:before="140" w:after="0" w:line="240" w:lineRule="auto"/>
        <w:ind w:left="1168" w:right="0" w:hanging="527"/>
        <w:jc w:val="left"/>
        <w:rPr>
          <w:sz w:val="21"/>
        </w:rPr>
      </w:pPr>
      <w:r>
        <w:rPr>
          <w:spacing w:val="-1"/>
          <w:sz w:val="21"/>
        </w:rPr>
        <w:t>支持通过输入关键字查询统计相关的日志记录，关键字包括时间段、操作类型、操作人等；</w:t>
      </w:r>
    </w:p>
    <w:p>
      <w:pPr>
        <w:pStyle w:val="ListParagraph"/>
        <w:numPr>
          <w:ilvl w:val="0"/>
          <w:numId w:val="76"/>
        </w:numPr>
        <w:tabs>
          <w:tab w:val="left" w:pos="1167"/>
          <w:tab w:val="left" w:pos="1169"/>
        </w:tabs>
        <w:spacing w:before="139" w:after="0" w:line="240" w:lineRule="auto"/>
        <w:ind w:left="1168" w:right="0" w:hanging="527"/>
        <w:jc w:val="left"/>
        <w:rPr>
          <w:sz w:val="21"/>
        </w:rPr>
      </w:pPr>
      <w:r>
        <w:rPr>
          <w:spacing w:val="-1"/>
          <w:sz w:val="21"/>
        </w:rPr>
        <w:t>系统运行日志和用户操作日志都支持日志的备份和恢复。</w:t>
      </w:r>
    </w:p>
    <w:p>
      <w:pPr>
        <w:pStyle w:val="Heading4"/>
        <w:numPr>
          <w:ilvl w:val="2"/>
          <w:numId w:val="79"/>
        </w:numPr>
        <w:tabs>
          <w:tab w:val="left" w:pos="850"/>
        </w:tabs>
        <w:spacing w:before="70" w:after="0" w:line="240" w:lineRule="auto"/>
        <w:ind w:left="849" w:right="0" w:hanging="636"/>
        <w:jc w:val="left"/>
      </w:pPr>
      <w:r>
        <w:rPr>
          <w:spacing w:val="-2"/>
        </w:rPr>
        <w:t>自身组件管理</w:t>
      </w:r>
    </w:p>
    <w:p>
      <w:pPr>
        <w:pStyle w:val="BodyText"/>
        <w:spacing w:before="92"/>
        <w:ind w:left="634"/>
      </w:pPr>
      <w:r>
        <w:rPr>
          <w:spacing w:val="-1"/>
        </w:rPr>
        <w:t>系统提供自管理功能，通过自管理模块，实现对管理平台各个组件和代理软件的远程管理。</w:t>
      </w:r>
    </w:p>
    <w:p>
      <w:pPr>
        <w:pStyle w:val="Heading4"/>
        <w:numPr>
          <w:ilvl w:val="2"/>
          <w:numId w:val="79"/>
        </w:numPr>
        <w:tabs>
          <w:tab w:val="left" w:pos="850"/>
        </w:tabs>
        <w:spacing w:before="70" w:after="0" w:line="240" w:lineRule="auto"/>
        <w:ind w:left="849" w:right="0" w:hanging="636"/>
        <w:jc w:val="left"/>
      </w:pPr>
      <w:r>
        <w:rPr>
          <w:spacing w:val="-2"/>
        </w:rPr>
        <w:t>系统自身诊断</w:t>
      </w:r>
    </w:p>
    <w:p>
      <w:pPr>
        <w:pStyle w:val="BodyText"/>
        <w:spacing w:before="92" w:line="364" w:lineRule="auto"/>
        <w:ind w:left="214" w:right="228" w:firstLine="420"/>
        <w:jc w:val="both"/>
      </w:pPr>
      <w:r>
        <w:rPr>
          <w:spacing w:val="-2"/>
        </w:rPr>
        <w:t>系统提供常用的测试和诊断工具，方便管理员进行故障诊断，对于主机系统，支持执行远程命令和</w:t>
      </w:r>
      <w:r>
        <w:rPr>
          <w:spacing w:val="-2"/>
        </w:rPr>
        <w:t>脚本的功能。NT</w:t>
      </w:r>
      <w:r>
        <w:rPr>
          <w:spacing w:val="-8"/>
        </w:rPr>
        <w:t xml:space="preserve"> 系统，系统提供实用的远程管理方法，如查看、启动、停止 </w:t>
      </w:r>
      <w:r>
        <w:rPr>
          <w:spacing w:val="-2"/>
        </w:rPr>
        <w:t>windows</w:t>
      </w:r>
      <w:r>
        <w:rPr>
          <w:spacing w:val="-7"/>
        </w:rPr>
        <w:t xml:space="preserve"> 服务和进程。除以</w:t>
      </w:r>
      <w:r>
        <w:rPr>
          <w:spacing w:val="-2"/>
        </w:rPr>
        <w:t>上之外系统还支持其他常用远程操作系统命令的自定义扩展机制。</w:t>
      </w:r>
    </w:p>
    <w:p>
      <w:pPr>
        <w:spacing w:after="0" w:line="364" w:lineRule="auto"/>
        <w:jc w:val="both"/>
        <w:sectPr>
          <w:headerReference w:type="default" r:id="rId34"/>
          <w:footerReference w:type="default" r:id="rId35"/>
          <w:pgSz w:w="11910" w:h="16840"/>
          <w:pgMar w:top="1340" w:right="1080" w:bottom="1000" w:left="880" w:header="822" w:footer="805"/>
          <w:pgNumType w:start="15"/>
          <w:cols w:space="708"/>
        </w:sectPr>
      </w:pPr>
    </w:p>
    <w:p>
      <w:pPr>
        <w:pStyle w:val="Heading4"/>
        <w:numPr>
          <w:ilvl w:val="2"/>
          <w:numId w:val="79"/>
        </w:numPr>
        <w:tabs>
          <w:tab w:val="left" w:pos="850"/>
        </w:tabs>
        <w:spacing w:before="0" w:after="0" w:line="386" w:lineRule="exact"/>
        <w:ind w:left="849" w:right="0" w:hanging="636"/>
        <w:jc w:val="left"/>
      </w:pPr>
      <w:r>
        <w:rPr>
          <w:spacing w:val="-2"/>
        </w:rPr>
        <w:t>数据备份恢复</w:t>
      </w:r>
    </w:p>
    <w:p>
      <w:pPr>
        <w:pStyle w:val="BodyText"/>
        <w:spacing w:before="91"/>
        <w:ind w:left="634"/>
      </w:pPr>
      <w:r>
        <w:rPr>
          <w:spacing w:val="-1"/>
        </w:rPr>
        <w:t>运维支撑平台的数据备份恢复插件模块，可以实现下述功能：</w:t>
      </w:r>
    </w:p>
    <w:p>
      <w:pPr>
        <w:pStyle w:val="ListParagraph"/>
        <w:numPr>
          <w:ilvl w:val="0"/>
          <w:numId w:val="75"/>
        </w:numPr>
        <w:tabs>
          <w:tab w:val="left" w:pos="933"/>
          <w:tab w:val="left" w:pos="934"/>
        </w:tabs>
        <w:spacing w:before="140" w:after="0" w:line="240" w:lineRule="auto"/>
        <w:ind w:left="933" w:right="0" w:hanging="360"/>
        <w:jc w:val="left"/>
        <w:rPr>
          <w:sz w:val="21"/>
        </w:rPr>
      </w:pPr>
      <w:r>
        <w:rPr>
          <w:spacing w:val="-2"/>
          <w:sz w:val="21"/>
        </w:rPr>
        <w:t>配置信息备份</w:t>
      </w:r>
    </w:p>
    <w:p>
      <w:pPr>
        <w:pStyle w:val="ListParagraph"/>
        <w:numPr>
          <w:ilvl w:val="0"/>
          <w:numId w:val="75"/>
        </w:numPr>
        <w:tabs>
          <w:tab w:val="left" w:pos="933"/>
          <w:tab w:val="left" w:pos="934"/>
        </w:tabs>
        <w:spacing w:before="139" w:after="0" w:line="240" w:lineRule="auto"/>
        <w:ind w:left="933" w:right="0" w:hanging="360"/>
        <w:jc w:val="left"/>
        <w:rPr>
          <w:sz w:val="21"/>
        </w:rPr>
      </w:pPr>
      <w:r>
        <w:rPr>
          <w:spacing w:val="-2"/>
          <w:sz w:val="21"/>
        </w:rPr>
        <w:t>数据信息备份</w:t>
      </w:r>
    </w:p>
    <w:p>
      <w:pPr>
        <w:pStyle w:val="ListParagraph"/>
        <w:numPr>
          <w:ilvl w:val="0"/>
          <w:numId w:val="75"/>
        </w:numPr>
        <w:tabs>
          <w:tab w:val="left" w:pos="933"/>
          <w:tab w:val="left" w:pos="934"/>
        </w:tabs>
        <w:spacing w:before="140" w:after="0" w:line="240" w:lineRule="auto"/>
        <w:ind w:left="933" w:right="0" w:hanging="360"/>
        <w:jc w:val="left"/>
        <w:rPr>
          <w:sz w:val="21"/>
        </w:rPr>
      </w:pPr>
      <w:r>
        <w:rPr>
          <w:spacing w:val="-2"/>
          <w:sz w:val="21"/>
        </w:rPr>
        <w:t>配置信息恢复</w:t>
      </w:r>
    </w:p>
    <w:p>
      <w:pPr>
        <w:pStyle w:val="ListParagraph"/>
        <w:numPr>
          <w:ilvl w:val="0"/>
          <w:numId w:val="75"/>
        </w:numPr>
        <w:tabs>
          <w:tab w:val="left" w:pos="933"/>
          <w:tab w:val="left" w:pos="934"/>
        </w:tabs>
        <w:spacing w:before="139" w:after="0" w:line="240" w:lineRule="auto"/>
        <w:ind w:left="933" w:right="0" w:hanging="360"/>
        <w:jc w:val="left"/>
        <w:rPr>
          <w:sz w:val="21"/>
        </w:rPr>
      </w:pPr>
      <w:r>
        <w:rPr>
          <w:spacing w:val="-2"/>
          <w:sz w:val="21"/>
        </w:rPr>
        <w:t>数据信息恢复</w:t>
      </w:r>
    </w:p>
    <w:p>
      <w:pPr>
        <w:pStyle w:val="ListParagraph"/>
        <w:numPr>
          <w:ilvl w:val="0"/>
          <w:numId w:val="75"/>
        </w:numPr>
        <w:tabs>
          <w:tab w:val="left" w:pos="933"/>
          <w:tab w:val="left" w:pos="934"/>
        </w:tabs>
        <w:spacing w:before="140" w:after="0" w:line="240" w:lineRule="auto"/>
        <w:ind w:left="933" w:right="0" w:hanging="360"/>
        <w:jc w:val="left"/>
        <w:rPr>
          <w:sz w:val="21"/>
        </w:rPr>
      </w:pPr>
      <w:r>
        <w:rPr>
          <w:spacing w:val="-3"/>
          <w:sz w:val="21"/>
        </w:rPr>
        <w:t>数据清除</w:t>
      </w:r>
    </w:p>
    <w:p>
      <w:pPr>
        <w:pStyle w:val="ListParagraph"/>
        <w:numPr>
          <w:ilvl w:val="0"/>
          <w:numId w:val="75"/>
        </w:numPr>
        <w:tabs>
          <w:tab w:val="left" w:pos="933"/>
          <w:tab w:val="left" w:pos="934"/>
        </w:tabs>
        <w:spacing w:before="139" w:after="0" w:line="240" w:lineRule="auto"/>
        <w:ind w:left="933" w:right="0" w:hanging="360"/>
        <w:jc w:val="left"/>
        <w:rPr>
          <w:sz w:val="21"/>
        </w:rPr>
      </w:pPr>
      <w:r>
        <w:rPr>
          <w:spacing w:val="-3"/>
          <w:sz w:val="21"/>
        </w:rPr>
        <w:t>定时备份</w:t>
      </w:r>
    </w:p>
    <w:p>
      <w:pPr>
        <w:pStyle w:val="BodyText"/>
        <w:rPr>
          <w:sz w:val="22"/>
        </w:rPr>
      </w:pPr>
    </w:p>
    <w:p>
      <w:pPr>
        <w:spacing w:before="175"/>
        <w:ind w:left="214" w:right="0" w:firstLine="0"/>
        <w:jc w:val="left"/>
        <w:rPr>
          <w:rFonts w:ascii="Microsoft JhengHei" w:eastAsia="Microsoft JhengHei"/>
          <w:b/>
          <w:sz w:val="28"/>
        </w:rPr>
      </w:pPr>
      <w:r>
        <w:rPr>
          <w:rFonts w:ascii="Microsoft JhengHei" w:eastAsia="Microsoft JhengHei"/>
          <w:b/>
          <w:spacing w:val="-1"/>
          <w:sz w:val="28"/>
        </w:rPr>
        <w:t>八、系统配套硬件要求</w:t>
      </w:r>
    </w:p>
    <w:p>
      <w:pPr>
        <w:pStyle w:val="BodyText"/>
        <w:spacing w:before="17"/>
        <w:rPr>
          <w:rFonts w:ascii="Microsoft JhengHei"/>
          <w:b/>
          <w:sz w:val="6"/>
        </w:rPr>
      </w:pPr>
    </w:p>
    <w:tbl>
      <w:tblPr>
        <w:tblStyle w:val="TableNormal0"/>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679"/>
        <w:gridCol w:w="1846"/>
        <w:gridCol w:w="5747"/>
        <w:gridCol w:w="729"/>
        <w:gridCol w:w="724"/>
      </w:tblGrid>
      <w:tr>
        <w:tblPrEx>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660"/>
          <w:jc w:val="left"/>
        </w:trPr>
        <w:tc>
          <w:tcPr>
            <w:tcW w:w="679" w:type="dxa"/>
            <w:tcBorders>
              <w:bottom w:val="single" w:sz="6" w:space="0" w:color="000000"/>
              <w:right w:val="single" w:sz="6" w:space="0" w:color="000000"/>
            </w:tcBorders>
            <w:shd w:val="clear" w:color="auto" w:fill="CCFFCC"/>
          </w:tcPr>
          <w:p>
            <w:pPr>
              <w:pStyle w:val="TableParagraph"/>
              <w:spacing w:before="127"/>
              <w:ind w:left="107" w:right="98"/>
              <w:jc w:val="center"/>
              <w:rPr>
                <w:rFonts w:ascii="Microsoft JhengHei" w:eastAsia="Microsoft JhengHei"/>
                <w:b/>
                <w:sz w:val="21"/>
              </w:rPr>
            </w:pPr>
            <w:r>
              <w:rPr>
                <w:rFonts w:ascii="Microsoft JhengHei" w:eastAsia="Microsoft JhengHei"/>
                <w:b/>
                <w:spacing w:val="-5"/>
                <w:sz w:val="21"/>
              </w:rPr>
              <w:t>序号</w:t>
            </w:r>
          </w:p>
        </w:tc>
        <w:tc>
          <w:tcPr>
            <w:tcW w:w="1846" w:type="dxa"/>
            <w:tcBorders>
              <w:left w:val="single" w:sz="6" w:space="0" w:color="000000"/>
              <w:bottom w:val="single" w:sz="6" w:space="0" w:color="000000"/>
              <w:right w:val="single" w:sz="6" w:space="0" w:color="000000"/>
            </w:tcBorders>
            <w:shd w:val="clear" w:color="auto" w:fill="CCFFCC"/>
          </w:tcPr>
          <w:p>
            <w:pPr>
              <w:pStyle w:val="TableParagraph"/>
              <w:spacing w:before="127"/>
              <w:ind w:left="169" w:right="160"/>
              <w:jc w:val="center"/>
              <w:rPr>
                <w:rFonts w:ascii="Microsoft JhengHei" w:eastAsia="Microsoft JhengHei"/>
                <w:b/>
                <w:sz w:val="21"/>
              </w:rPr>
            </w:pPr>
            <w:r>
              <w:rPr>
                <w:rFonts w:ascii="Microsoft JhengHei" w:eastAsia="Microsoft JhengHei"/>
                <w:b/>
                <w:spacing w:val="-3"/>
                <w:sz w:val="21"/>
              </w:rPr>
              <w:t>设备名称</w:t>
            </w:r>
          </w:p>
        </w:tc>
        <w:tc>
          <w:tcPr>
            <w:tcW w:w="5747" w:type="dxa"/>
            <w:tcBorders>
              <w:left w:val="single" w:sz="6" w:space="0" w:color="000000"/>
              <w:bottom w:val="single" w:sz="6" w:space="0" w:color="000000"/>
              <w:right w:val="single" w:sz="6" w:space="0" w:color="000000"/>
            </w:tcBorders>
            <w:shd w:val="clear" w:color="auto" w:fill="CCFFCC"/>
          </w:tcPr>
          <w:p>
            <w:pPr>
              <w:pStyle w:val="TableParagraph"/>
              <w:spacing w:before="127"/>
              <w:ind w:left="2015" w:right="2006"/>
              <w:jc w:val="center"/>
              <w:rPr>
                <w:rFonts w:ascii="Microsoft JhengHei" w:eastAsia="Microsoft JhengHei"/>
                <w:b/>
                <w:sz w:val="21"/>
              </w:rPr>
            </w:pPr>
            <w:r>
              <w:rPr>
                <w:rFonts w:ascii="Microsoft JhengHei" w:eastAsia="Microsoft JhengHei"/>
                <w:b/>
                <w:spacing w:val="-3"/>
                <w:sz w:val="21"/>
              </w:rPr>
              <w:t>技术参数</w:t>
            </w:r>
          </w:p>
        </w:tc>
        <w:tc>
          <w:tcPr>
            <w:tcW w:w="729" w:type="dxa"/>
            <w:tcBorders>
              <w:left w:val="single" w:sz="6" w:space="0" w:color="000000"/>
              <w:bottom w:val="single" w:sz="6" w:space="0" w:color="000000"/>
              <w:right w:val="single" w:sz="6" w:space="0" w:color="000000"/>
            </w:tcBorders>
            <w:shd w:val="clear" w:color="auto" w:fill="CCFFCC"/>
          </w:tcPr>
          <w:p>
            <w:pPr>
              <w:pStyle w:val="TableParagraph"/>
              <w:spacing w:before="127"/>
              <w:ind w:left="136" w:right="127"/>
              <w:jc w:val="center"/>
              <w:rPr>
                <w:rFonts w:ascii="Microsoft JhengHei" w:eastAsia="Microsoft JhengHei"/>
                <w:b/>
                <w:sz w:val="21"/>
              </w:rPr>
            </w:pPr>
            <w:r>
              <w:rPr>
                <w:rFonts w:ascii="Microsoft JhengHei" w:eastAsia="Microsoft JhengHei"/>
                <w:b/>
                <w:spacing w:val="-5"/>
                <w:sz w:val="21"/>
              </w:rPr>
              <w:t>单位</w:t>
            </w:r>
          </w:p>
        </w:tc>
        <w:tc>
          <w:tcPr>
            <w:tcW w:w="724" w:type="dxa"/>
            <w:tcBorders>
              <w:left w:val="single" w:sz="6" w:space="0" w:color="000000"/>
              <w:bottom w:val="single" w:sz="6" w:space="0" w:color="000000"/>
            </w:tcBorders>
            <w:shd w:val="clear" w:color="auto" w:fill="CCFFCC"/>
          </w:tcPr>
          <w:p>
            <w:pPr>
              <w:pStyle w:val="TableParagraph"/>
              <w:spacing w:before="127"/>
              <w:ind w:left="130" w:right="121"/>
              <w:jc w:val="center"/>
              <w:rPr>
                <w:rFonts w:ascii="Microsoft JhengHei" w:eastAsia="Microsoft JhengHei"/>
                <w:b/>
                <w:sz w:val="21"/>
              </w:rPr>
            </w:pPr>
            <w:r>
              <w:rPr>
                <w:rFonts w:ascii="Microsoft JhengHei" w:eastAsia="Microsoft JhengHei"/>
                <w:b/>
                <w:spacing w:val="-5"/>
                <w:sz w:val="21"/>
              </w:rPr>
              <w:t>数量</w:t>
            </w: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9725" w:type="dxa"/>
            <w:gridSpan w:val="5"/>
            <w:tcBorders>
              <w:top w:val="single" w:sz="6" w:space="0" w:color="000000"/>
              <w:bottom w:val="single" w:sz="6" w:space="0" w:color="000000"/>
            </w:tcBorders>
            <w:shd w:val="clear" w:color="auto" w:fill="92D050"/>
          </w:tcPr>
          <w:p>
            <w:pPr>
              <w:pStyle w:val="TableParagraph"/>
              <w:spacing w:line="280" w:lineRule="exact"/>
              <w:ind w:left="98"/>
              <w:rPr>
                <w:rFonts w:ascii="Microsoft JhengHei" w:eastAsia="Microsoft JhengHei"/>
                <w:b/>
                <w:sz w:val="21"/>
              </w:rPr>
            </w:pPr>
            <w:r>
              <w:rPr>
                <w:rFonts w:ascii="Times New Roman" w:eastAsia="Times New Roman"/>
                <w:b/>
                <w:sz w:val="21"/>
              </w:rPr>
              <w:t>VPN</w:t>
            </w:r>
            <w:r>
              <w:rPr>
                <w:rFonts w:ascii="Times New Roman" w:eastAsia="Times New Roman"/>
                <w:b/>
                <w:spacing w:val="-13"/>
                <w:sz w:val="21"/>
              </w:rPr>
              <w:t xml:space="preserve"> </w:t>
            </w:r>
            <w:r>
              <w:rPr>
                <w:rFonts w:ascii="Microsoft JhengHei" w:eastAsia="Microsoft JhengHei"/>
                <w:b/>
                <w:spacing w:val="-2"/>
                <w:sz w:val="21"/>
              </w:rPr>
              <w:t>安全设备配置</w:t>
            </w:r>
          </w:p>
        </w:tc>
      </w:tr>
      <w:tr>
        <w:tblPrEx>
          <w:tblW w:w="0" w:type="auto"/>
          <w:jc w:val="left"/>
          <w:tblInd w:w="121" w:type="dxa"/>
          <w:tblLayout w:type="fixed"/>
          <w:tblCellMar>
            <w:top w:w="0" w:type="dxa"/>
            <w:left w:w="0" w:type="dxa"/>
            <w:bottom w:w="0" w:type="dxa"/>
            <w:right w:w="0" w:type="dxa"/>
          </w:tblCellMar>
          <w:tblLook w:val="01E0"/>
        </w:tblPrEx>
        <w:trPr>
          <w:trHeight w:val="1525"/>
          <w:jc w:val="left"/>
        </w:trPr>
        <w:tc>
          <w:tcPr>
            <w:tcW w:w="679" w:type="dxa"/>
            <w:tcBorders>
              <w:top w:val="single" w:sz="6" w:space="0" w:color="000000"/>
              <w:bottom w:val="single" w:sz="6" w:space="0" w:color="000000"/>
              <w:right w:val="single" w:sz="6" w:space="0" w:color="000000"/>
            </w:tcBorders>
          </w:tcPr>
          <w:p>
            <w:pPr>
              <w:pStyle w:val="TableParagraph"/>
              <w:rPr>
                <w:rFonts w:ascii="Microsoft JhengHei"/>
                <w:b/>
                <w:sz w:val="22"/>
              </w:rPr>
            </w:pPr>
          </w:p>
          <w:p>
            <w:pPr>
              <w:pStyle w:val="TableParagraph"/>
              <w:spacing w:before="16"/>
              <w:rPr>
                <w:rFonts w:ascii="Microsoft JhengHei"/>
                <w:b/>
                <w:sz w:val="12"/>
              </w:rPr>
            </w:pPr>
          </w:p>
          <w:p>
            <w:pPr>
              <w:pStyle w:val="TableParagraph"/>
              <w:ind w:left="10"/>
              <w:jc w:val="center"/>
              <w:rPr>
                <w:rFonts w:ascii="Times New Roman"/>
                <w:sz w:val="21"/>
              </w:rPr>
            </w:pPr>
            <w:r>
              <w:rPr>
                <w:rFonts w:ascii="Times New Roman"/>
                <w:sz w:val="21"/>
              </w:rPr>
              <w:t>1</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20"/>
              </w:rPr>
            </w:pPr>
          </w:p>
          <w:p>
            <w:pPr>
              <w:pStyle w:val="TableParagraph"/>
              <w:spacing w:before="4"/>
              <w:rPr>
                <w:rFonts w:ascii="Microsoft JhengHei"/>
                <w:b/>
                <w:sz w:val="14"/>
              </w:rPr>
            </w:pPr>
          </w:p>
          <w:p>
            <w:pPr>
              <w:pStyle w:val="TableParagraph"/>
              <w:ind w:left="170" w:right="160"/>
              <w:jc w:val="center"/>
              <w:rPr>
                <w:sz w:val="21"/>
              </w:rPr>
            </w:pPr>
            <w:r>
              <w:rPr>
                <w:sz w:val="21"/>
              </w:rPr>
              <w:t>网关（支队</w:t>
            </w:r>
            <w:r>
              <w:rPr>
                <w:spacing w:val="-10"/>
                <w:sz w:val="21"/>
              </w:rPr>
              <w:t>）</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85"/>
              <w:ind w:left="105"/>
              <w:rPr>
                <w:sz w:val="21"/>
              </w:rPr>
            </w:pPr>
            <w:r>
              <w:rPr>
                <w:rFonts w:ascii="Times New Roman" w:eastAsia="Times New Roman"/>
                <w:sz w:val="21"/>
              </w:rPr>
              <w:t>4</w:t>
            </w:r>
            <w:r>
              <w:rPr>
                <w:rFonts w:ascii="Times New Roman" w:eastAsia="Times New Roman"/>
                <w:spacing w:val="-11"/>
                <w:sz w:val="21"/>
              </w:rPr>
              <w:t xml:space="preserve"> </w:t>
            </w:r>
            <w:r>
              <w:rPr>
                <w:spacing w:val="-27"/>
                <w:sz w:val="21"/>
              </w:rPr>
              <w:t xml:space="preserve">个 </w:t>
            </w:r>
            <w:r>
              <w:rPr>
                <w:rFonts w:ascii="Times New Roman" w:eastAsia="Times New Roman"/>
                <w:sz w:val="21"/>
              </w:rPr>
              <w:t>10/100/1000M</w:t>
            </w:r>
            <w:r>
              <w:rPr>
                <w:rFonts w:ascii="Times New Roman" w:eastAsia="Times New Roman"/>
                <w:spacing w:val="-11"/>
                <w:sz w:val="21"/>
              </w:rPr>
              <w:t xml:space="preserve"> </w:t>
            </w:r>
            <w:r>
              <w:rPr>
                <w:spacing w:val="-5"/>
                <w:sz w:val="21"/>
              </w:rPr>
              <w:t xml:space="preserve">以太网光电可选接口，增配 </w:t>
            </w:r>
            <w:r>
              <w:rPr>
                <w:rFonts w:ascii="Times New Roman" w:eastAsia="Times New Roman"/>
                <w:sz w:val="21"/>
              </w:rPr>
              <w:t>8</w:t>
            </w:r>
            <w:r>
              <w:rPr>
                <w:rFonts w:ascii="Times New Roman" w:eastAsia="Times New Roman"/>
                <w:spacing w:val="-11"/>
                <w:sz w:val="21"/>
              </w:rPr>
              <w:t xml:space="preserve"> </w:t>
            </w:r>
            <w:r>
              <w:rPr>
                <w:spacing w:val="-10"/>
                <w:sz w:val="21"/>
              </w:rPr>
              <w:t>个</w:t>
            </w:r>
          </w:p>
          <w:p>
            <w:pPr>
              <w:pStyle w:val="TableParagraph"/>
              <w:spacing w:before="3"/>
              <w:ind w:left="105"/>
              <w:rPr>
                <w:sz w:val="21"/>
              </w:rPr>
            </w:pPr>
            <w:r>
              <w:rPr>
                <w:rFonts w:ascii="Times New Roman" w:eastAsia="Times New Roman"/>
                <w:sz w:val="21"/>
              </w:rPr>
              <w:t>10/100/1000M</w:t>
            </w:r>
            <w:r>
              <w:rPr>
                <w:rFonts w:ascii="Times New Roman" w:eastAsia="Times New Roman"/>
                <w:spacing w:val="-11"/>
                <w:sz w:val="21"/>
              </w:rPr>
              <w:t xml:space="preserve"> </w:t>
            </w:r>
            <w:r>
              <w:rPr>
                <w:spacing w:val="-5"/>
                <w:sz w:val="21"/>
              </w:rPr>
              <w:t xml:space="preserve">以太网光电可选接口，共计 </w:t>
            </w:r>
            <w:r>
              <w:rPr>
                <w:rFonts w:ascii="Times New Roman" w:eastAsia="Times New Roman"/>
                <w:sz w:val="21"/>
              </w:rPr>
              <w:t>12</w:t>
            </w:r>
            <w:r>
              <w:rPr>
                <w:rFonts w:ascii="Times New Roman" w:eastAsia="Times New Roman"/>
                <w:spacing w:val="-11"/>
                <w:sz w:val="21"/>
              </w:rPr>
              <w:t xml:space="preserve"> </w:t>
            </w:r>
            <w:r>
              <w:rPr>
                <w:spacing w:val="-10"/>
                <w:sz w:val="21"/>
              </w:rPr>
              <w:t>个</w:t>
            </w:r>
          </w:p>
          <w:p>
            <w:pPr>
              <w:pStyle w:val="TableParagraph"/>
              <w:spacing w:before="3" w:line="242" w:lineRule="auto"/>
              <w:ind w:left="105" w:right="163"/>
              <w:rPr>
                <w:rFonts w:ascii="Times New Roman" w:eastAsia="Times New Roman"/>
                <w:sz w:val="21"/>
              </w:rPr>
            </w:pPr>
            <w:r>
              <w:rPr>
                <w:rFonts w:ascii="Times New Roman" w:eastAsia="Times New Roman"/>
                <w:spacing w:val="-2"/>
                <w:sz w:val="21"/>
              </w:rPr>
              <w:t xml:space="preserve">10/100/1000M </w:t>
            </w:r>
            <w:r>
              <w:rPr>
                <w:spacing w:val="-5"/>
                <w:sz w:val="21"/>
              </w:rPr>
              <w:t xml:space="preserve">以太网光电可选接口。整机吞吐量 </w:t>
            </w:r>
            <w:r>
              <w:rPr>
                <w:rFonts w:ascii="Times New Roman" w:eastAsia="Times New Roman"/>
                <w:spacing w:val="-2"/>
                <w:sz w:val="21"/>
              </w:rPr>
              <w:t>4Gbps</w:t>
            </w:r>
            <w:r>
              <w:rPr>
                <w:spacing w:val="-2"/>
                <w:sz w:val="21"/>
              </w:rPr>
              <w:t>，每</w:t>
            </w:r>
            <w:r>
              <w:rPr>
                <w:spacing w:val="-3"/>
                <w:sz w:val="21"/>
              </w:rPr>
              <w:t xml:space="preserve">秒新建连接数 </w:t>
            </w:r>
            <w:r>
              <w:rPr>
                <w:rFonts w:ascii="Times New Roman" w:eastAsia="Times New Roman"/>
                <w:sz w:val="21"/>
              </w:rPr>
              <w:t>4w</w:t>
            </w:r>
            <w:r>
              <w:rPr>
                <w:spacing w:val="-3"/>
                <w:sz w:val="21"/>
              </w:rPr>
              <w:t xml:space="preserve">，并发连接数 </w:t>
            </w:r>
            <w:r>
              <w:rPr>
                <w:rFonts w:ascii="Times New Roman" w:eastAsia="Times New Roman"/>
                <w:sz w:val="21"/>
              </w:rPr>
              <w:t>300w</w:t>
            </w:r>
            <w:r>
              <w:rPr>
                <w:spacing w:val="-6"/>
                <w:sz w:val="21"/>
              </w:rPr>
              <w:t xml:space="preserve">，默认 </w:t>
            </w:r>
            <w:r>
              <w:rPr>
                <w:rFonts w:ascii="Times New Roman" w:eastAsia="Times New Roman"/>
                <w:sz w:val="21"/>
              </w:rPr>
              <w:t xml:space="preserve">4000 </w:t>
            </w:r>
            <w:r>
              <w:rPr>
                <w:spacing w:val="-11"/>
                <w:sz w:val="21"/>
              </w:rPr>
              <w:t xml:space="preserve">个 </w:t>
            </w:r>
            <w:r>
              <w:rPr>
                <w:rFonts w:ascii="Times New Roman" w:eastAsia="Times New Roman"/>
                <w:sz w:val="21"/>
              </w:rPr>
              <w:t xml:space="preserve">IPSec VPN </w:t>
            </w:r>
            <w:r>
              <w:rPr>
                <w:spacing w:val="-3"/>
                <w:sz w:val="21"/>
              </w:rPr>
              <w:t xml:space="preserve">隧道数，可选双 </w:t>
            </w:r>
            <w:r>
              <w:rPr>
                <w:rFonts w:ascii="Times New Roman" w:eastAsia="Times New Roman"/>
                <w:sz w:val="21"/>
              </w:rPr>
              <w:t>AC/DC</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20"/>
              </w:rPr>
            </w:pPr>
          </w:p>
          <w:p>
            <w:pPr>
              <w:pStyle w:val="TableParagraph"/>
              <w:spacing w:before="4"/>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rPr>
                <w:rFonts w:ascii="Microsoft JhengHei"/>
                <w:b/>
                <w:sz w:val="22"/>
              </w:rPr>
            </w:pPr>
          </w:p>
          <w:p>
            <w:pPr>
              <w:pStyle w:val="TableParagraph"/>
              <w:spacing w:before="16"/>
              <w:rPr>
                <w:rFonts w:ascii="Microsoft JhengHei"/>
                <w:b/>
                <w:sz w:val="12"/>
              </w:rPr>
            </w:pPr>
          </w:p>
          <w:p>
            <w:pPr>
              <w:pStyle w:val="TableParagraph"/>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1297"/>
          <w:jc w:val="left"/>
        </w:trPr>
        <w:tc>
          <w:tcPr>
            <w:tcW w:w="679" w:type="dxa"/>
            <w:tcBorders>
              <w:top w:val="single" w:sz="6" w:space="0" w:color="000000"/>
              <w:bottom w:val="single" w:sz="6" w:space="0" w:color="000000"/>
              <w:right w:val="single" w:sz="6" w:space="0" w:color="000000"/>
            </w:tcBorders>
          </w:tcPr>
          <w:p>
            <w:pPr>
              <w:pStyle w:val="TableParagraph"/>
              <w:spacing w:before="13"/>
              <w:rPr>
                <w:rFonts w:ascii="Microsoft JhengHei"/>
                <w:b/>
                <w:sz w:val="28"/>
              </w:rPr>
            </w:pPr>
          </w:p>
          <w:p>
            <w:pPr>
              <w:pStyle w:val="TableParagraph"/>
              <w:ind w:left="10"/>
              <w:jc w:val="center"/>
              <w:rPr>
                <w:rFonts w:ascii="Times New Roman"/>
                <w:sz w:val="21"/>
              </w:rPr>
            </w:pPr>
            <w:r>
              <w:rPr>
                <w:rFonts w:ascii="Times New Roman"/>
                <w:sz w:val="21"/>
              </w:rPr>
              <w:t>2</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
              <w:rPr>
                <w:rFonts w:ascii="Microsoft JhengHei"/>
                <w:b/>
                <w:sz w:val="28"/>
              </w:rPr>
            </w:pPr>
          </w:p>
          <w:p>
            <w:pPr>
              <w:pStyle w:val="TableParagraph"/>
              <w:ind w:left="170" w:right="160"/>
              <w:jc w:val="center"/>
              <w:rPr>
                <w:sz w:val="21"/>
              </w:rPr>
            </w:pPr>
            <w:r>
              <w:rPr>
                <w:sz w:val="21"/>
              </w:rPr>
              <w:t>网关（工作站</w:t>
            </w:r>
            <w:r>
              <w:rPr>
                <w:spacing w:val="-10"/>
                <w:sz w:val="21"/>
              </w:rPr>
              <w:t>）</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07" w:line="242" w:lineRule="auto"/>
              <w:ind w:left="105" w:right="103"/>
              <w:rPr>
                <w:rFonts w:ascii="Times New Roman" w:eastAsia="Times New Roman"/>
                <w:sz w:val="21"/>
              </w:rPr>
            </w:pPr>
            <w:r>
              <w:rPr>
                <w:spacing w:val="-16"/>
                <w:sz w:val="21"/>
              </w:rPr>
              <w:t xml:space="preserve">提供 </w:t>
            </w:r>
            <w:r>
              <w:rPr>
                <w:rFonts w:ascii="Times New Roman" w:eastAsia="Times New Roman"/>
                <w:spacing w:val="-2"/>
                <w:sz w:val="21"/>
              </w:rPr>
              <w:t>4</w:t>
            </w:r>
            <w:r>
              <w:rPr>
                <w:rFonts w:ascii="Times New Roman" w:eastAsia="Times New Roman"/>
                <w:spacing w:val="-4"/>
                <w:sz w:val="21"/>
              </w:rPr>
              <w:t xml:space="preserve"> </w:t>
            </w:r>
            <w:r>
              <w:rPr>
                <w:spacing w:val="-24"/>
                <w:sz w:val="21"/>
              </w:rPr>
              <w:t xml:space="preserve">个 </w:t>
            </w:r>
            <w:r>
              <w:rPr>
                <w:rFonts w:ascii="Times New Roman" w:eastAsia="Times New Roman"/>
                <w:spacing w:val="-2"/>
                <w:sz w:val="21"/>
              </w:rPr>
              <w:t>10/100/1000M</w:t>
            </w:r>
            <w:r>
              <w:rPr>
                <w:rFonts w:ascii="Times New Roman" w:eastAsia="Times New Roman"/>
                <w:spacing w:val="-4"/>
                <w:sz w:val="21"/>
              </w:rPr>
              <w:t xml:space="preserve"> </w:t>
            </w:r>
            <w:r>
              <w:rPr>
                <w:spacing w:val="-2"/>
                <w:sz w:val="21"/>
              </w:rPr>
              <w:t>以太网光电可选接口</w:t>
            </w:r>
            <w:r>
              <w:rPr>
                <w:spacing w:val="-2"/>
                <w:sz w:val="21"/>
              </w:rPr>
              <w:t>（</w:t>
            </w:r>
            <w:r>
              <w:rPr>
                <w:rFonts w:ascii="Times New Roman" w:eastAsia="Times New Roman"/>
                <w:spacing w:val="-2"/>
                <w:sz w:val="21"/>
              </w:rPr>
              <w:t>Combo</w:t>
            </w:r>
            <w:r>
              <w:rPr>
                <w:spacing w:val="-2"/>
                <w:sz w:val="21"/>
              </w:rPr>
              <w:t>），</w:t>
            </w:r>
            <w:r>
              <w:rPr>
                <w:rFonts w:ascii="Times New Roman" w:eastAsia="Times New Roman"/>
                <w:spacing w:val="-2"/>
                <w:sz w:val="21"/>
              </w:rPr>
              <w:t>10</w:t>
            </w:r>
            <w:r>
              <w:rPr>
                <w:sz w:val="21"/>
              </w:rPr>
              <w:t>个扩展插槽，</w:t>
            </w:r>
            <w:r>
              <w:rPr>
                <w:rFonts w:ascii="Times New Roman" w:eastAsia="Times New Roman"/>
                <w:sz w:val="21"/>
              </w:rPr>
              <w:t>64</w:t>
            </w:r>
            <w:r>
              <w:rPr>
                <w:rFonts w:ascii="Times New Roman" w:eastAsia="Times New Roman"/>
                <w:spacing w:val="-6"/>
                <w:sz w:val="21"/>
              </w:rPr>
              <w:t xml:space="preserve"> </w:t>
            </w:r>
            <w:r>
              <w:rPr>
                <w:spacing w:val="-6"/>
                <w:sz w:val="21"/>
              </w:rPr>
              <w:t xml:space="preserve">字节下的吞吐量 </w:t>
            </w:r>
            <w:r>
              <w:rPr>
                <w:rFonts w:ascii="Times New Roman" w:eastAsia="Times New Roman"/>
                <w:sz w:val="21"/>
              </w:rPr>
              <w:t>630M</w:t>
            </w:r>
            <w:r>
              <w:rPr>
                <w:sz w:val="21"/>
              </w:rPr>
              <w:t>，</w:t>
            </w:r>
            <w:r>
              <w:rPr>
                <w:rFonts w:ascii="Times New Roman" w:eastAsia="Times New Roman"/>
                <w:sz w:val="21"/>
              </w:rPr>
              <w:t>1518</w:t>
            </w:r>
            <w:r>
              <w:rPr>
                <w:rFonts w:ascii="Times New Roman" w:eastAsia="Times New Roman"/>
                <w:spacing w:val="-6"/>
                <w:sz w:val="21"/>
              </w:rPr>
              <w:t xml:space="preserve"> </w:t>
            </w:r>
            <w:r>
              <w:rPr>
                <w:sz w:val="21"/>
              </w:rPr>
              <w:t>字节下的吞吐</w:t>
            </w:r>
            <w:r>
              <w:rPr>
                <w:spacing w:val="-7"/>
                <w:sz w:val="21"/>
              </w:rPr>
              <w:t xml:space="preserve">量 </w:t>
            </w:r>
            <w:r>
              <w:rPr>
                <w:rFonts w:ascii="Times New Roman" w:eastAsia="Times New Roman"/>
                <w:sz w:val="21"/>
              </w:rPr>
              <w:t>4000M</w:t>
            </w:r>
            <w:r>
              <w:rPr>
                <w:sz w:val="21"/>
              </w:rPr>
              <w:t>，</w:t>
            </w:r>
            <w:r>
              <w:rPr>
                <w:rFonts w:ascii="Times New Roman" w:eastAsia="Times New Roman"/>
                <w:sz w:val="21"/>
              </w:rPr>
              <w:t xml:space="preserve">300 </w:t>
            </w:r>
            <w:r>
              <w:rPr>
                <w:spacing w:val="-2"/>
                <w:sz w:val="21"/>
              </w:rPr>
              <w:t xml:space="preserve">万并发连接数，支持双 </w:t>
            </w:r>
            <w:r>
              <w:rPr>
                <w:rFonts w:ascii="Times New Roman" w:eastAsia="Times New Roman"/>
                <w:sz w:val="21"/>
              </w:rPr>
              <w:t xml:space="preserve">AC/DC </w:t>
            </w:r>
            <w:r>
              <w:rPr>
                <w:sz w:val="21"/>
              </w:rPr>
              <w:t xml:space="preserve">冗余电源， </w:t>
            </w:r>
            <w:r>
              <w:rPr>
                <w:spacing w:val="-15"/>
                <w:sz w:val="21"/>
              </w:rPr>
              <w:t xml:space="preserve">功率 </w:t>
            </w:r>
            <w:r>
              <w:rPr>
                <w:rFonts w:ascii="Times New Roman" w:eastAsia="Times New Roman"/>
                <w:sz w:val="21"/>
              </w:rPr>
              <w:t>100W</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
              <w:rPr>
                <w:rFonts w:ascii="Microsoft JhengHei"/>
                <w:b/>
                <w:sz w:val="28"/>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3"/>
              <w:rPr>
                <w:rFonts w:ascii="Microsoft JhengHei"/>
                <w:b/>
                <w:sz w:val="28"/>
              </w:rPr>
            </w:pPr>
          </w:p>
          <w:p>
            <w:pPr>
              <w:pStyle w:val="TableParagraph"/>
              <w:ind w:left="130" w:right="121"/>
              <w:jc w:val="center"/>
              <w:rPr>
                <w:rFonts w:ascii="Times New Roman"/>
                <w:sz w:val="21"/>
              </w:rPr>
            </w:pPr>
            <w:r>
              <w:rPr>
                <w:rFonts w:ascii="Times New Roman"/>
                <w:spacing w:val="-5"/>
                <w:sz w:val="21"/>
              </w:rPr>
              <w:t>10</w:t>
            </w:r>
          </w:p>
        </w:tc>
      </w:tr>
      <w:tr>
        <w:tblPrEx>
          <w:tblW w:w="0" w:type="auto"/>
          <w:jc w:val="left"/>
          <w:tblInd w:w="121" w:type="dxa"/>
          <w:tblLayout w:type="fixed"/>
          <w:tblCellMar>
            <w:top w:w="0" w:type="dxa"/>
            <w:left w:w="0" w:type="dxa"/>
            <w:bottom w:w="0" w:type="dxa"/>
            <w:right w:w="0" w:type="dxa"/>
          </w:tblCellMar>
          <w:tblLook w:val="01E0"/>
        </w:tblPrEx>
        <w:trPr>
          <w:trHeight w:val="1115"/>
          <w:jc w:val="left"/>
        </w:trPr>
        <w:tc>
          <w:tcPr>
            <w:tcW w:w="679" w:type="dxa"/>
            <w:tcBorders>
              <w:top w:val="single" w:sz="6" w:space="0" w:color="000000"/>
              <w:bottom w:val="single" w:sz="6" w:space="0" w:color="000000"/>
              <w:right w:val="single" w:sz="6" w:space="0" w:color="000000"/>
            </w:tcBorders>
          </w:tcPr>
          <w:p>
            <w:pPr>
              <w:pStyle w:val="TableParagraph"/>
              <w:spacing w:before="13"/>
              <w:rPr>
                <w:rFonts w:ascii="Microsoft JhengHei"/>
                <w:b/>
                <w:sz w:val="23"/>
              </w:rPr>
            </w:pPr>
          </w:p>
          <w:p>
            <w:pPr>
              <w:pStyle w:val="TableParagraph"/>
              <w:spacing w:before="1"/>
              <w:ind w:left="10"/>
              <w:jc w:val="center"/>
              <w:rPr>
                <w:rFonts w:ascii="Times New Roman"/>
                <w:sz w:val="21"/>
              </w:rPr>
            </w:pPr>
            <w:r>
              <w:rPr>
                <w:rFonts w:ascii="Times New Roman"/>
                <w:sz w:val="21"/>
              </w:rPr>
              <w:t>3</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
              <w:rPr>
                <w:rFonts w:ascii="Microsoft JhengHei"/>
                <w:b/>
                <w:sz w:val="23"/>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1</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52" w:line="242" w:lineRule="auto"/>
              <w:ind w:left="105" w:right="164"/>
              <w:jc w:val="both"/>
              <w:rPr>
                <w:sz w:val="21"/>
              </w:rPr>
            </w:pPr>
            <w:r>
              <w:rPr>
                <w:rFonts w:ascii="Times New Roman" w:eastAsia="Times New Roman"/>
                <w:sz w:val="21"/>
              </w:rPr>
              <w:t>2*4</w:t>
            </w:r>
            <w:r>
              <w:rPr>
                <w:rFonts w:ascii="Times New Roman" w:eastAsia="Times New Roman"/>
                <w:spacing w:val="-9"/>
                <w:sz w:val="21"/>
              </w:rPr>
              <w:t xml:space="preserve"> </w:t>
            </w:r>
            <w:r>
              <w:rPr>
                <w:sz w:val="21"/>
              </w:rPr>
              <w:t xml:space="preserve">核 </w:t>
            </w:r>
            <w:r>
              <w:rPr>
                <w:rFonts w:ascii="Times New Roman" w:eastAsia="Times New Roman"/>
                <w:sz w:val="21"/>
              </w:rPr>
              <w:t>2.5GHz</w:t>
            </w:r>
            <w:r>
              <w:rPr>
                <w:sz w:val="21"/>
              </w:rPr>
              <w:t>，</w:t>
            </w:r>
            <w:r>
              <w:rPr>
                <w:rFonts w:ascii="Times New Roman" w:eastAsia="Times New Roman"/>
                <w:sz w:val="21"/>
              </w:rPr>
              <w:t>16GB</w:t>
            </w:r>
            <w:r>
              <w:rPr>
                <w:rFonts w:ascii="Times New Roman" w:eastAsia="Times New Roman"/>
                <w:spacing w:val="-9"/>
                <w:sz w:val="21"/>
              </w:rPr>
              <w:t xml:space="preserve"> </w:t>
            </w:r>
            <w:r>
              <w:rPr>
                <w:sz w:val="21"/>
              </w:rPr>
              <w:t>内存，</w:t>
            </w:r>
            <w:r>
              <w:rPr>
                <w:rFonts w:ascii="Times New Roman" w:eastAsia="Times New Roman"/>
                <w:sz w:val="21"/>
              </w:rPr>
              <w:t>4*300GB SAS</w:t>
            </w:r>
            <w:r>
              <w:rPr>
                <w:rFonts w:ascii="Times New Roman" w:eastAsia="Times New Roman"/>
                <w:spacing w:val="-9"/>
                <w:sz w:val="21"/>
              </w:rPr>
              <w:t xml:space="preserve"> </w:t>
            </w:r>
            <w:r>
              <w:rPr>
                <w:sz w:val="21"/>
              </w:rPr>
              <w:t>硬盘</w:t>
            </w:r>
            <w:r>
              <w:rPr>
                <w:rFonts w:ascii="Times New Roman" w:eastAsia="Times New Roman"/>
                <w:sz w:val="21"/>
              </w:rPr>
              <w:t>/Raid5</w:t>
            </w:r>
            <w:r>
              <w:rPr>
                <w:sz w:val="21"/>
              </w:rPr>
              <w:t>，</w:t>
            </w:r>
            <w:r>
              <w:rPr>
                <w:rFonts w:ascii="Times New Roman" w:eastAsia="Times New Roman"/>
                <w:sz w:val="21"/>
              </w:rPr>
              <w:t>4*</w:t>
            </w:r>
            <w:r>
              <w:rPr>
                <w:spacing w:val="-2"/>
                <w:sz w:val="21"/>
              </w:rPr>
              <w:t>千兆网口，冗余电源，配置远程管理模块，五年维保、硬盘</w:t>
            </w:r>
            <w:r>
              <w:rPr>
                <w:spacing w:val="-2"/>
                <w:sz w:val="21"/>
              </w:rPr>
              <w:t>原介质不返还的保修服务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
              <w:rPr>
                <w:rFonts w:ascii="Microsoft JhengHei"/>
                <w:b/>
                <w:sz w:val="23"/>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3"/>
              <w:rPr>
                <w:rFonts w:ascii="Microsoft JhengHei"/>
                <w:b/>
                <w:sz w:val="23"/>
              </w:rPr>
            </w:pPr>
          </w:p>
          <w:p>
            <w:pPr>
              <w:pStyle w:val="TableParagraph"/>
              <w:spacing w:before="1"/>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982"/>
          <w:jc w:val="left"/>
        </w:trPr>
        <w:tc>
          <w:tcPr>
            <w:tcW w:w="679" w:type="dxa"/>
            <w:tcBorders>
              <w:top w:val="single" w:sz="6" w:space="0" w:color="000000"/>
              <w:bottom w:val="single" w:sz="6" w:space="0" w:color="000000"/>
              <w:right w:val="single" w:sz="6" w:space="0" w:color="000000"/>
            </w:tcBorders>
          </w:tcPr>
          <w:p>
            <w:pPr>
              <w:pStyle w:val="TableParagraph"/>
              <w:spacing w:before="2"/>
              <w:rPr>
                <w:rFonts w:ascii="Microsoft JhengHei"/>
                <w:b/>
                <w:sz w:val="20"/>
              </w:rPr>
            </w:pPr>
          </w:p>
          <w:p>
            <w:pPr>
              <w:pStyle w:val="TableParagraph"/>
              <w:ind w:left="10"/>
              <w:jc w:val="center"/>
              <w:rPr>
                <w:rFonts w:ascii="Times New Roman"/>
                <w:sz w:val="21"/>
              </w:rPr>
            </w:pPr>
            <w:r>
              <w:rPr>
                <w:rFonts w:ascii="Times New Roman"/>
                <w:sz w:val="21"/>
              </w:rPr>
              <w:t>4</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8"/>
              <w:rPr>
                <w:rFonts w:ascii="Microsoft JhengHei"/>
                <w:b/>
                <w:sz w:val="19"/>
              </w:rPr>
            </w:pPr>
          </w:p>
          <w:p>
            <w:pPr>
              <w:pStyle w:val="TableParagraph"/>
              <w:ind w:left="170" w:right="160"/>
              <w:jc w:val="center"/>
              <w:rPr>
                <w:sz w:val="21"/>
              </w:rPr>
            </w:pPr>
            <w:r>
              <w:rPr>
                <w:spacing w:val="-3"/>
                <w:sz w:val="21"/>
              </w:rPr>
              <w:t>入侵检测</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85" w:line="242" w:lineRule="auto"/>
              <w:ind w:left="105" w:right="273"/>
              <w:jc w:val="both"/>
              <w:rPr>
                <w:sz w:val="21"/>
              </w:rPr>
            </w:pPr>
            <w:r>
              <w:rPr>
                <w:spacing w:val="-2"/>
                <w:sz w:val="21"/>
              </w:rPr>
              <w:t>百兆级，检测性能</w:t>
            </w:r>
            <w:r>
              <w:rPr>
                <w:rFonts w:ascii="Times New Roman" w:eastAsia="Times New Roman" w:hAnsi="Times New Roman"/>
                <w:spacing w:val="-2"/>
                <w:sz w:val="21"/>
              </w:rPr>
              <w:t>≥200Mbps</w:t>
            </w:r>
            <w:r>
              <w:rPr>
                <w:spacing w:val="-2"/>
                <w:sz w:val="21"/>
              </w:rPr>
              <w:t>，</w:t>
            </w:r>
            <w:r>
              <w:rPr>
                <w:rFonts w:ascii="Times New Roman" w:eastAsia="Times New Roman" w:hAnsi="Times New Roman"/>
                <w:spacing w:val="-2"/>
                <w:sz w:val="21"/>
              </w:rPr>
              <w:t>IDS</w:t>
            </w:r>
            <w:r>
              <w:rPr>
                <w:rFonts w:ascii="Times New Roman" w:eastAsia="Times New Roman" w:hAnsi="Times New Roman"/>
                <w:spacing w:val="-10"/>
                <w:sz w:val="21"/>
              </w:rPr>
              <w:t xml:space="preserve"> </w:t>
            </w:r>
            <w:r>
              <w:rPr>
                <w:spacing w:val="-2"/>
                <w:sz w:val="21"/>
              </w:rPr>
              <w:t>性能</w:t>
            </w:r>
            <w:r>
              <w:rPr>
                <w:rFonts w:ascii="Times New Roman" w:eastAsia="Times New Roman" w:hAnsi="Times New Roman"/>
                <w:spacing w:val="-2"/>
                <w:sz w:val="21"/>
              </w:rPr>
              <w:t>&gt;300Mbps</w:t>
            </w:r>
            <w:r>
              <w:rPr>
                <w:spacing w:val="-2"/>
                <w:sz w:val="21"/>
              </w:rPr>
              <w:t>，默认包</w:t>
            </w:r>
            <w:r>
              <w:rPr>
                <w:spacing w:val="-14"/>
                <w:sz w:val="21"/>
              </w:rPr>
              <w:t xml:space="preserve">括 </w:t>
            </w:r>
            <w:r>
              <w:rPr>
                <w:rFonts w:ascii="Times New Roman" w:eastAsia="Times New Roman" w:hAnsi="Times New Roman"/>
                <w:spacing w:val="-2"/>
                <w:sz w:val="21"/>
              </w:rPr>
              <w:t>4</w:t>
            </w:r>
            <w:r>
              <w:rPr>
                <w:rFonts w:ascii="Times New Roman" w:eastAsia="Times New Roman" w:hAnsi="Times New Roman"/>
                <w:spacing w:val="-11"/>
                <w:sz w:val="21"/>
              </w:rPr>
              <w:t xml:space="preserve"> </w:t>
            </w:r>
            <w:r>
              <w:rPr>
                <w:spacing w:val="-13"/>
                <w:sz w:val="21"/>
              </w:rPr>
              <w:t xml:space="preserve">个 </w:t>
            </w:r>
            <w:r>
              <w:rPr>
                <w:rFonts w:ascii="Times New Roman" w:eastAsia="Times New Roman" w:hAnsi="Times New Roman"/>
                <w:spacing w:val="-2"/>
                <w:sz w:val="21"/>
              </w:rPr>
              <w:t>10/100/1000Base-T</w:t>
            </w:r>
            <w:r>
              <w:rPr>
                <w:rFonts w:ascii="Times New Roman" w:eastAsia="Times New Roman" w:hAnsi="Times New Roman"/>
                <w:spacing w:val="-7"/>
                <w:sz w:val="21"/>
              </w:rPr>
              <w:t xml:space="preserve"> </w:t>
            </w:r>
            <w:r>
              <w:rPr>
                <w:spacing w:val="-2"/>
                <w:sz w:val="21"/>
              </w:rPr>
              <w:t>端口，三年质保及免费特征库升</w:t>
            </w:r>
            <w:r>
              <w:rPr>
                <w:spacing w:val="-10"/>
                <w:sz w:val="21"/>
              </w:rPr>
              <w:t>级</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8"/>
              <w:rPr>
                <w:rFonts w:ascii="Microsoft JhengHei"/>
                <w:b/>
                <w:sz w:val="19"/>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2"/>
              <w:rPr>
                <w:rFonts w:ascii="Microsoft JhengHei"/>
                <w:b/>
                <w:sz w:val="20"/>
              </w:rPr>
            </w:pPr>
          </w:p>
          <w:p>
            <w:pPr>
              <w:pStyle w:val="TableParagraph"/>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967"/>
          <w:jc w:val="left"/>
        </w:trPr>
        <w:tc>
          <w:tcPr>
            <w:tcW w:w="679" w:type="dxa"/>
            <w:tcBorders>
              <w:top w:val="single" w:sz="6" w:space="0" w:color="000000"/>
              <w:bottom w:val="single" w:sz="6" w:space="0" w:color="000000"/>
              <w:right w:val="single" w:sz="6" w:space="0" w:color="000000"/>
            </w:tcBorders>
          </w:tcPr>
          <w:p>
            <w:pPr>
              <w:pStyle w:val="TableParagraph"/>
              <w:spacing w:before="13"/>
              <w:rPr>
                <w:rFonts w:ascii="Microsoft JhengHei"/>
                <w:b/>
                <w:sz w:val="19"/>
              </w:rPr>
            </w:pPr>
          </w:p>
          <w:p>
            <w:pPr>
              <w:pStyle w:val="TableParagraph"/>
              <w:spacing w:before="1"/>
              <w:ind w:left="10"/>
              <w:jc w:val="center"/>
              <w:rPr>
                <w:rFonts w:ascii="Times New Roman"/>
                <w:sz w:val="21"/>
              </w:rPr>
            </w:pPr>
            <w:r>
              <w:rPr>
                <w:rFonts w:ascii="Times New Roman"/>
                <w:sz w:val="21"/>
              </w:rPr>
              <w:t>5</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
              <w:rPr>
                <w:rFonts w:ascii="Microsoft JhengHei"/>
                <w:b/>
                <w:sz w:val="19"/>
              </w:rPr>
            </w:pPr>
          </w:p>
          <w:p>
            <w:pPr>
              <w:pStyle w:val="TableParagraph"/>
              <w:ind w:left="170" w:right="160"/>
              <w:jc w:val="center"/>
              <w:rPr>
                <w:sz w:val="21"/>
              </w:rPr>
            </w:pPr>
            <w:r>
              <w:rPr>
                <w:spacing w:val="-3"/>
                <w:sz w:val="21"/>
              </w:rPr>
              <w:t>漏洞扫描</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2"/>
              <w:rPr>
                <w:rFonts w:ascii="Microsoft JhengHei"/>
                <w:b/>
                <w:sz w:val="11"/>
              </w:rPr>
            </w:pPr>
          </w:p>
          <w:p>
            <w:pPr>
              <w:pStyle w:val="TableParagraph"/>
              <w:spacing w:line="242" w:lineRule="auto"/>
              <w:ind w:left="105" w:right="198"/>
              <w:rPr>
                <w:sz w:val="21"/>
              </w:rPr>
            </w:pPr>
            <w:r>
              <w:rPr>
                <w:spacing w:val="-4"/>
                <w:sz w:val="21"/>
              </w:rPr>
              <w:t xml:space="preserve">网络设备以及应用系统的识别和漏洞扫描，无限 </w:t>
            </w:r>
            <w:r>
              <w:rPr>
                <w:rFonts w:ascii="Times New Roman" w:eastAsia="Times New Roman"/>
                <w:spacing w:val="-2"/>
                <w:sz w:val="21"/>
              </w:rPr>
              <w:t>IP</w:t>
            </w:r>
            <w:r>
              <w:rPr>
                <w:rFonts w:ascii="Times New Roman" w:eastAsia="Times New Roman"/>
                <w:spacing w:val="-4"/>
                <w:sz w:val="21"/>
              </w:rPr>
              <w:t xml:space="preserve"> </w:t>
            </w:r>
            <w:r>
              <w:rPr>
                <w:spacing w:val="-2"/>
                <w:sz w:val="21"/>
              </w:rPr>
              <w:t>授权。</w:t>
            </w:r>
            <w:r>
              <w:rPr>
                <w:rFonts w:ascii="Times New Roman" w:eastAsia="Times New Roman"/>
                <w:spacing w:val="-2"/>
                <w:sz w:val="21"/>
              </w:rPr>
              <w:t>3</w:t>
            </w:r>
            <w:r>
              <w:rPr>
                <w:sz w:val="21"/>
              </w:rPr>
              <w:t>年免费维修，</w:t>
            </w:r>
            <w:r>
              <w:rPr>
                <w:rFonts w:ascii="Times New Roman" w:eastAsia="Times New Roman"/>
                <w:sz w:val="21"/>
              </w:rPr>
              <w:t>3</w:t>
            </w:r>
            <w:r>
              <w:rPr>
                <w:rFonts w:ascii="Times New Roman" w:eastAsia="Times New Roman"/>
                <w:spacing w:val="-10"/>
                <w:sz w:val="21"/>
              </w:rPr>
              <w:t xml:space="preserve"> </w:t>
            </w:r>
            <w:r>
              <w:rPr>
                <w:sz w:val="21"/>
              </w:rPr>
              <w:t>年免费特征库升级授权，百兆</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
              <w:rPr>
                <w:rFonts w:ascii="Microsoft JhengHei"/>
                <w:b/>
                <w:sz w:val="19"/>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3"/>
              <w:rPr>
                <w:rFonts w:ascii="Microsoft JhengHei"/>
                <w:b/>
                <w:sz w:val="19"/>
              </w:rPr>
            </w:pPr>
          </w:p>
          <w:p>
            <w:pPr>
              <w:pStyle w:val="TableParagraph"/>
              <w:spacing w:before="1"/>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1250"/>
          <w:jc w:val="left"/>
        </w:trPr>
        <w:tc>
          <w:tcPr>
            <w:tcW w:w="679" w:type="dxa"/>
            <w:tcBorders>
              <w:top w:val="single" w:sz="6" w:space="0" w:color="000000"/>
              <w:right w:val="single" w:sz="6" w:space="0" w:color="000000"/>
            </w:tcBorders>
          </w:tcPr>
          <w:p>
            <w:pPr>
              <w:pStyle w:val="TableParagraph"/>
              <w:spacing w:before="8"/>
              <w:rPr>
                <w:rFonts w:ascii="Microsoft JhengHei"/>
                <w:b/>
                <w:sz w:val="27"/>
              </w:rPr>
            </w:pPr>
          </w:p>
          <w:p>
            <w:pPr>
              <w:pStyle w:val="TableParagraph"/>
              <w:ind w:left="10"/>
              <w:jc w:val="center"/>
              <w:rPr>
                <w:rFonts w:ascii="Times New Roman"/>
                <w:sz w:val="21"/>
              </w:rPr>
            </w:pPr>
            <w:r>
              <w:rPr>
                <w:rFonts w:ascii="Times New Roman"/>
                <w:sz w:val="21"/>
              </w:rPr>
              <w:t>6</w:t>
            </w:r>
          </w:p>
        </w:tc>
        <w:tc>
          <w:tcPr>
            <w:tcW w:w="1846" w:type="dxa"/>
            <w:tcBorders>
              <w:top w:val="single" w:sz="6" w:space="0" w:color="000000"/>
              <w:left w:val="single" w:sz="6" w:space="0" w:color="000000"/>
              <w:right w:val="single" w:sz="6" w:space="0" w:color="000000"/>
            </w:tcBorders>
          </w:tcPr>
          <w:p>
            <w:pPr>
              <w:pStyle w:val="TableParagraph"/>
              <w:spacing w:before="14"/>
              <w:rPr>
                <w:rFonts w:ascii="Microsoft JhengHei"/>
                <w:b/>
                <w:sz w:val="26"/>
              </w:rPr>
            </w:pPr>
          </w:p>
          <w:p>
            <w:pPr>
              <w:pStyle w:val="TableParagraph"/>
              <w:ind w:left="170" w:right="160"/>
              <w:jc w:val="center"/>
              <w:rPr>
                <w:sz w:val="21"/>
              </w:rPr>
            </w:pPr>
            <w:r>
              <w:rPr>
                <w:spacing w:val="-3"/>
                <w:sz w:val="21"/>
              </w:rPr>
              <w:t>安全审计</w:t>
            </w:r>
          </w:p>
        </w:tc>
        <w:tc>
          <w:tcPr>
            <w:tcW w:w="5747" w:type="dxa"/>
            <w:tcBorders>
              <w:top w:val="single" w:sz="6" w:space="0" w:color="000000"/>
              <w:left w:val="single" w:sz="6" w:space="0" w:color="000000"/>
              <w:right w:val="single" w:sz="6" w:space="0" w:color="000000"/>
            </w:tcBorders>
          </w:tcPr>
          <w:p>
            <w:pPr>
              <w:pStyle w:val="TableParagraph"/>
              <w:spacing w:before="17"/>
              <w:rPr>
                <w:rFonts w:ascii="Microsoft JhengHei"/>
                <w:b/>
                <w:sz w:val="11"/>
              </w:rPr>
            </w:pPr>
          </w:p>
          <w:p>
            <w:pPr>
              <w:pStyle w:val="TableParagraph"/>
              <w:spacing w:before="1" w:line="242" w:lineRule="auto"/>
              <w:ind w:left="105" w:right="164"/>
              <w:rPr>
                <w:sz w:val="21"/>
              </w:rPr>
            </w:pPr>
            <w:r>
              <w:rPr>
                <w:spacing w:val="-2"/>
                <w:sz w:val="21"/>
              </w:rPr>
              <w:t>安全审计系统，汇总防火墙、入侵检测、漏洞扫描等各个系</w:t>
            </w:r>
            <w:r>
              <w:rPr>
                <w:spacing w:val="-2"/>
                <w:sz w:val="21"/>
              </w:rPr>
              <w:t xml:space="preserve">统产生的日志，对网络总体安全进行分析评估，，支持 </w:t>
            </w:r>
            <w:r>
              <w:rPr>
                <w:rFonts w:ascii="Times New Roman" w:eastAsia="Times New Roman"/>
                <w:sz w:val="21"/>
              </w:rPr>
              <w:t>30</w:t>
            </w:r>
            <w:r>
              <w:rPr>
                <w:spacing w:val="-2"/>
                <w:sz w:val="21"/>
              </w:rPr>
              <w:t>台，安全设备的采集，保障网络总体安全。三年维保</w:t>
            </w:r>
          </w:p>
        </w:tc>
        <w:tc>
          <w:tcPr>
            <w:tcW w:w="729" w:type="dxa"/>
            <w:tcBorders>
              <w:top w:val="single" w:sz="6" w:space="0" w:color="000000"/>
              <w:left w:val="single" w:sz="6" w:space="0" w:color="000000"/>
              <w:right w:val="single" w:sz="6" w:space="0" w:color="000000"/>
            </w:tcBorders>
          </w:tcPr>
          <w:p>
            <w:pPr>
              <w:pStyle w:val="TableParagraph"/>
              <w:spacing w:before="14"/>
              <w:rPr>
                <w:rFonts w:ascii="Microsoft JhengHei"/>
                <w:b/>
                <w:sz w:val="26"/>
              </w:rPr>
            </w:pPr>
          </w:p>
          <w:p>
            <w:pPr>
              <w:pStyle w:val="TableParagraph"/>
              <w:ind w:left="10"/>
              <w:jc w:val="center"/>
              <w:rPr>
                <w:sz w:val="21"/>
              </w:rPr>
            </w:pPr>
            <w:r>
              <w:rPr>
                <w:sz w:val="21"/>
              </w:rPr>
              <w:t>台</w:t>
            </w:r>
          </w:p>
        </w:tc>
        <w:tc>
          <w:tcPr>
            <w:tcW w:w="724" w:type="dxa"/>
            <w:tcBorders>
              <w:top w:val="single" w:sz="6" w:space="0" w:color="000000"/>
              <w:left w:val="single" w:sz="6" w:space="0" w:color="000000"/>
            </w:tcBorders>
          </w:tcPr>
          <w:p>
            <w:pPr>
              <w:pStyle w:val="TableParagraph"/>
              <w:spacing w:before="8"/>
              <w:rPr>
                <w:rFonts w:ascii="Microsoft JhengHei"/>
                <w:b/>
                <w:sz w:val="27"/>
              </w:rPr>
            </w:pPr>
          </w:p>
          <w:p>
            <w:pPr>
              <w:pStyle w:val="TableParagraph"/>
              <w:ind w:left="9"/>
              <w:jc w:val="center"/>
              <w:rPr>
                <w:rFonts w:ascii="Times New Roman"/>
                <w:sz w:val="21"/>
              </w:rPr>
            </w:pPr>
            <w:r>
              <w:rPr>
                <w:rFonts w:ascii="Times New Roman"/>
                <w:sz w:val="21"/>
              </w:rPr>
              <w:t>2</w:t>
            </w:r>
          </w:p>
        </w:tc>
      </w:tr>
    </w:tbl>
    <w:p>
      <w:pPr>
        <w:spacing w:after="0"/>
        <w:jc w:val="center"/>
        <w:rPr>
          <w:rFonts w:ascii="Times New Roman"/>
          <w:sz w:val="21"/>
        </w:rPr>
        <w:sectPr>
          <w:headerReference w:type="default" r:id="rId36"/>
          <w:footerReference w:type="default" r:id="rId37"/>
          <w:pgSz w:w="11910" w:h="16840"/>
          <w:pgMar w:top="1340" w:right="1080" w:bottom="1000" w:left="880" w:header="822" w:footer="805"/>
          <w:pgNumType w:start="16"/>
          <w:cols w:space="708"/>
        </w:sectPr>
      </w:pPr>
    </w:p>
    <w:p>
      <w:pPr>
        <w:pStyle w:val="BodyText"/>
        <w:spacing w:before="1"/>
        <w:rPr>
          <w:rFonts w:ascii="Microsoft JhengHei"/>
          <w:b/>
          <w:sz w:val="4"/>
        </w:rPr>
      </w:pPr>
    </w:p>
    <w:tbl>
      <w:tblPr>
        <w:tblStyle w:val="TableNormal1"/>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679"/>
        <w:gridCol w:w="1846"/>
        <w:gridCol w:w="5747"/>
        <w:gridCol w:w="729"/>
        <w:gridCol w:w="724"/>
      </w:tblGrid>
      <w:tr>
        <w:tblPrEx>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660"/>
          <w:jc w:val="left"/>
        </w:trPr>
        <w:tc>
          <w:tcPr>
            <w:tcW w:w="679" w:type="dxa"/>
            <w:tcBorders>
              <w:bottom w:val="single" w:sz="6" w:space="0" w:color="000000"/>
              <w:right w:val="single" w:sz="6" w:space="0" w:color="000000"/>
            </w:tcBorders>
            <w:shd w:val="clear" w:color="auto" w:fill="CCFFCC"/>
          </w:tcPr>
          <w:p>
            <w:pPr>
              <w:pStyle w:val="TableParagraph"/>
              <w:spacing w:before="127"/>
              <w:ind w:left="107" w:right="98"/>
              <w:jc w:val="center"/>
              <w:rPr>
                <w:rFonts w:ascii="Microsoft JhengHei" w:eastAsia="Microsoft JhengHei"/>
                <w:b/>
                <w:sz w:val="21"/>
              </w:rPr>
            </w:pPr>
            <w:r>
              <w:rPr>
                <w:rFonts w:ascii="Microsoft JhengHei" w:eastAsia="Microsoft JhengHei"/>
                <w:b/>
                <w:spacing w:val="-5"/>
                <w:sz w:val="21"/>
              </w:rPr>
              <w:t>序号</w:t>
            </w:r>
          </w:p>
        </w:tc>
        <w:tc>
          <w:tcPr>
            <w:tcW w:w="1846" w:type="dxa"/>
            <w:tcBorders>
              <w:left w:val="single" w:sz="6" w:space="0" w:color="000000"/>
              <w:bottom w:val="single" w:sz="6" w:space="0" w:color="000000"/>
              <w:right w:val="single" w:sz="6" w:space="0" w:color="000000"/>
            </w:tcBorders>
            <w:shd w:val="clear" w:color="auto" w:fill="CCFFCC"/>
          </w:tcPr>
          <w:p>
            <w:pPr>
              <w:pStyle w:val="TableParagraph"/>
              <w:spacing w:before="127"/>
              <w:ind w:left="169" w:right="160"/>
              <w:jc w:val="center"/>
              <w:rPr>
                <w:rFonts w:ascii="Microsoft JhengHei" w:eastAsia="Microsoft JhengHei"/>
                <w:b/>
                <w:sz w:val="21"/>
              </w:rPr>
            </w:pPr>
            <w:r>
              <w:rPr>
                <w:rFonts w:ascii="Microsoft JhengHei" w:eastAsia="Microsoft JhengHei"/>
                <w:b/>
                <w:spacing w:val="-3"/>
                <w:sz w:val="21"/>
              </w:rPr>
              <w:t>设备名称</w:t>
            </w:r>
          </w:p>
        </w:tc>
        <w:tc>
          <w:tcPr>
            <w:tcW w:w="5747" w:type="dxa"/>
            <w:tcBorders>
              <w:left w:val="single" w:sz="6" w:space="0" w:color="000000"/>
              <w:bottom w:val="single" w:sz="6" w:space="0" w:color="000000"/>
              <w:right w:val="single" w:sz="6" w:space="0" w:color="000000"/>
            </w:tcBorders>
            <w:shd w:val="clear" w:color="auto" w:fill="CCFFCC"/>
          </w:tcPr>
          <w:p>
            <w:pPr>
              <w:pStyle w:val="TableParagraph"/>
              <w:spacing w:before="127"/>
              <w:ind w:left="2015" w:right="2006"/>
              <w:jc w:val="center"/>
              <w:rPr>
                <w:rFonts w:ascii="Microsoft JhengHei" w:eastAsia="Microsoft JhengHei"/>
                <w:b/>
                <w:sz w:val="21"/>
              </w:rPr>
            </w:pPr>
            <w:r>
              <w:rPr>
                <w:rFonts w:ascii="Microsoft JhengHei" w:eastAsia="Microsoft JhengHei"/>
                <w:b/>
                <w:spacing w:val="-3"/>
                <w:sz w:val="21"/>
              </w:rPr>
              <w:t>技术参数</w:t>
            </w:r>
          </w:p>
        </w:tc>
        <w:tc>
          <w:tcPr>
            <w:tcW w:w="729" w:type="dxa"/>
            <w:tcBorders>
              <w:left w:val="single" w:sz="6" w:space="0" w:color="000000"/>
              <w:bottom w:val="single" w:sz="6" w:space="0" w:color="000000"/>
              <w:right w:val="single" w:sz="6" w:space="0" w:color="000000"/>
            </w:tcBorders>
            <w:shd w:val="clear" w:color="auto" w:fill="CCFFCC"/>
          </w:tcPr>
          <w:p>
            <w:pPr>
              <w:pStyle w:val="TableParagraph"/>
              <w:spacing w:before="127"/>
              <w:ind w:left="136" w:right="127"/>
              <w:jc w:val="center"/>
              <w:rPr>
                <w:rFonts w:ascii="Microsoft JhengHei" w:eastAsia="Microsoft JhengHei"/>
                <w:b/>
                <w:sz w:val="21"/>
              </w:rPr>
            </w:pPr>
            <w:r>
              <w:rPr>
                <w:rFonts w:ascii="Microsoft JhengHei" w:eastAsia="Microsoft JhengHei"/>
                <w:b/>
                <w:spacing w:val="-5"/>
                <w:sz w:val="21"/>
              </w:rPr>
              <w:t>单位</w:t>
            </w:r>
          </w:p>
        </w:tc>
        <w:tc>
          <w:tcPr>
            <w:tcW w:w="724" w:type="dxa"/>
            <w:tcBorders>
              <w:left w:val="single" w:sz="6" w:space="0" w:color="000000"/>
              <w:bottom w:val="single" w:sz="6" w:space="0" w:color="000000"/>
            </w:tcBorders>
            <w:shd w:val="clear" w:color="auto" w:fill="CCFFCC"/>
          </w:tcPr>
          <w:p>
            <w:pPr>
              <w:pStyle w:val="TableParagraph"/>
              <w:spacing w:before="127"/>
              <w:ind w:left="130" w:right="121"/>
              <w:jc w:val="center"/>
              <w:rPr>
                <w:rFonts w:ascii="Microsoft JhengHei" w:eastAsia="Microsoft JhengHei"/>
                <w:b/>
                <w:sz w:val="21"/>
              </w:rPr>
            </w:pPr>
            <w:r>
              <w:rPr>
                <w:rFonts w:ascii="Microsoft JhengHei" w:eastAsia="Microsoft JhengHei"/>
                <w:b/>
                <w:spacing w:val="-5"/>
                <w:sz w:val="21"/>
              </w:rPr>
              <w:t>数量</w:t>
            </w:r>
          </w:p>
        </w:tc>
      </w:tr>
      <w:tr>
        <w:tblPrEx>
          <w:tblW w:w="0" w:type="auto"/>
          <w:jc w:val="left"/>
          <w:tblInd w:w="121" w:type="dxa"/>
          <w:tblLayout w:type="fixed"/>
          <w:tblCellMar>
            <w:top w:w="0" w:type="dxa"/>
            <w:left w:w="0" w:type="dxa"/>
            <w:bottom w:w="0" w:type="dxa"/>
            <w:right w:w="0" w:type="dxa"/>
          </w:tblCellMar>
          <w:tblLook w:val="01E0"/>
        </w:tblPrEx>
        <w:trPr>
          <w:trHeight w:val="1733"/>
          <w:jc w:val="left"/>
        </w:trPr>
        <w:tc>
          <w:tcPr>
            <w:tcW w:w="679" w:type="dxa"/>
            <w:tcBorders>
              <w:top w:val="single" w:sz="6" w:space="0" w:color="000000"/>
              <w:bottom w:val="single" w:sz="6" w:space="0" w:color="000000"/>
              <w:right w:val="single" w:sz="6" w:space="0" w:color="000000"/>
            </w:tcBorders>
          </w:tcPr>
          <w:p>
            <w:pPr>
              <w:pStyle w:val="TableParagraph"/>
              <w:rPr>
                <w:rFonts w:ascii="Microsoft JhengHei"/>
                <w:b/>
                <w:sz w:val="22"/>
              </w:rPr>
            </w:pPr>
          </w:p>
          <w:p>
            <w:pPr>
              <w:pStyle w:val="TableParagraph"/>
              <w:spacing w:before="10"/>
              <w:rPr>
                <w:rFonts w:ascii="Microsoft JhengHei"/>
                <w:b/>
                <w:sz w:val="18"/>
              </w:rPr>
            </w:pPr>
          </w:p>
          <w:p>
            <w:pPr>
              <w:pStyle w:val="TableParagraph"/>
              <w:ind w:left="10"/>
              <w:jc w:val="center"/>
              <w:rPr>
                <w:rFonts w:ascii="Times New Roman"/>
                <w:sz w:val="21"/>
              </w:rPr>
            </w:pPr>
            <w:r>
              <w:rPr>
                <w:rFonts w:ascii="Times New Roman"/>
                <w:sz w:val="21"/>
              </w:rPr>
              <w:t>7</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20"/>
              </w:rPr>
            </w:pPr>
          </w:p>
          <w:p>
            <w:pPr>
              <w:pStyle w:val="TableParagraph"/>
              <w:spacing w:before="16"/>
              <w:rPr>
                <w:rFonts w:ascii="Microsoft JhengHei"/>
                <w:b/>
                <w:sz w:val="19"/>
              </w:rPr>
            </w:pPr>
          </w:p>
          <w:p>
            <w:pPr>
              <w:pStyle w:val="TableParagraph"/>
              <w:ind w:left="170" w:right="160"/>
              <w:jc w:val="center"/>
              <w:rPr>
                <w:sz w:val="21"/>
              </w:rPr>
            </w:pPr>
            <w:r>
              <w:rPr>
                <w:spacing w:val="-3"/>
                <w:sz w:val="21"/>
              </w:rPr>
              <w:t>内网安全</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52" w:line="242" w:lineRule="auto"/>
              <w:ind w:left="105" w:right="128"/>
              <w:jc w:val="both"/>
              <w:rPr>
                <w:sz w:val="21"/>
              </w:rPr>
            </w:pPr>
            <w:r>
              <w:rPr>
                <w:spacing w:val="-2"/>
                <w:sz w:val="21"/>
              </w:rPr>
              <w:t>内网安全综合管理平台，包含桌面管理（文件安全、应用安</w:t>
            </w:r>
            <w:r>
              <w:rPr>
                <w:spacing w:val="-2"/>
                <w:sz w:val="21"/>
              </w:rPr>
              <w:t>全、终端维护管理、补丁分发管理、终端资产管理、上网行</w:t>
            </w:r>
            <w:r>
              <w:rPr>
                <w:spacing w:val="-2"/>
                <w:sz w:val="21"/>
              </w:rPr>
              <w:t>为管理、报警控制台等）、移动存储管理（</w:t>
            </w:r>
            <w:r>
              <w:rPr>
                <w:spacing w:val="-8"/>
                <w:sz w:val="21"/>
              </w:rPr>
              <w:t xml:space="preserve">对外来 </w:t>
            </w:r>
            <w:r>
              <w:rPr>
                <w:rFonts w:ascii="Times New Roman" w:eastAsia="Times New Roman"/>
                <w:spacing w:val="-2"/>
                <w:sz w:val="21"/>
              </w:rPr>
              <w:t>U</w:t>
            </w:r>
            <w:r>
              <w:rPr>
                <w:rFonts w:ascii="Times New Roman" w:eastAsia="Times New Roman"/>
                <w:spacing w:val="-11"/>
                <w:sz w:val="21"/>
              </w:rPr>
              <w:t xml:space="preserve"> </w:t>
            </w:r>
            <w:r>
              <w:rPr>
                <w:spacing w:val="-2"/>
                <w:sz w:val="21"/>
              </w:rPr>
              <w:t>盘的注</w:t>
            </w:r>
            <w:r>
              <w:rPr>
                <w:spacing w:val="-6"/>
                <w:sz w:val="21"/>
              </w:rPr>
              <w:t xml:space="preserve">册管理、保密 </w:t>
            </w:r>
            <w:r>
              <w:rPr>
                <w:rFonts w:ascii="Times New Roman" w:eastAsia="Times New Roman"/>
                <w:spacing w:val="-2"/>
                <w:sz w:val="21"/>
              </w:rPr>
              <w:t>U</w:t>
            </w:r>
            <w:r>
              <w:rPr>
                <w:rFonts w:ascii="Times New Roman" w:eastAsia="Times New Roman"/>
                <w:spacing w:val="-11"/>
                <w:sz w:val="21"/>
              </w:rPr>
              <w:t xml:space="preserve"> </w:t>
            </w:r>
            <w:r>
              <w:rPr>
                <w:spacing w:val="-2"/>
                <w:sz w:val="21"/>
              </w:rPr>
              <w:t>盘只能在内网使用、存储设备禁用、外设和</w:t>
            </w:r>
            <w:r>
              <w:rPr>
                <w:spacing w:val="-2"/>
                <w:sz w:val="21"/>
              </w:rPr>
              <w:t>接口禁用、设置移动存储设备只读、移动存储设备认证</w:t>
            </w:r>
          </w:p>
          <w:p>
            <w:pPr>
              <w:pStyle w:val="TableParagraph"/>
              <w:spacing w:before="3"/>
              <w:ind w:left="105"/>
              <w:jc w:val="both"/>
              <w:rPr>
                <w:sz w:val="21"/>
              </w:rPr>
            </w:pPr>
            <w:r>
              <w:rPr>
                <w:sz w:val="21"/>
              </w:rPr>
              <w:t>等），</w:t>
            </w:r>
            <w:r>
              <w:rPr>
                <w:rFonts w:ascii="Times New Roman" w:eastAsia="Times New Roman"/>
                <w:sz w:val="21"/>
              </w:rPr>
              <w:t>250</w:t>
            </w:r>
            <w:r>
              <w:rPr>
                <w:rFonts w:ascii="Times New Roman" w:eastAsia="Times New Roman"/>
                <w:spacing w:val="-16"/>
                <w:sz w:val="21"/>
              </w:rPr>
              <w:t xml:space="preserve"> </w:t>
            </w:r>
            <w:r>
              <w:rPr>
                <w:sz w:val="21"/>
              </w:rPr>
              <w:t>个客户端用户</w:t>
            </w:r>
            <w:r>
              <w:rPr>
                <w:rFonts w:ascii="Times New Roman" w:eastAsia="Times New Roman"/>
                <w:sz w:val="21"/>
              </w:rPr>
              <w:t>,</w:t>
            </w:r>
            <w:r>
              <w:rPr>
                <w:spacing w:val="-18"/>
                <w:sz w:val="21"/>
              </w:rPr>
              <w:t xml:space="preserve">支持 </w:t>
            </w:r>
            <w:r>
              <w:rPr>
                <w:rFonts w:ascii="Times New Roman" w:eastAsia="Times New Roman"/>
                <w:sz w:val="21"/>
              </w:rPr>
              <w:t>windows</w:t>
            </w:r>
            <w:r>
              <w:rPr>
                <w:rFonts w:ascii="Times New Roman" w:eastAsia="Times New Roman"/>
                <w:spacing w:val="-4"/>
                <w:sz w:val="21"/>
              </w:rPr>
              <w:t xml:space="preserve"> </w:t>
            </w:r>
            <w:r>
              <w:rPr>
                <w:rFonts w:ascii="Times New Roman" w:eastAsia="Times New Roman"/>
                <w:sz w:val="21"/>
              </w:rPr>
              <w:t>XP</w:t>
            </w:r>
            <w:r>
              <w:rPr>
                <w:sz w:val="21"/>
              </w:rPr>
              <w:t>。</w:t>
            </w:r>
            <w:r>
              <w:rPr>
                <w:rFonts w:ascii="Times New Roman" w:eastAsia="Times New Roman"/>
                <w:sz w:val="21"/>
              </w:rPr>
              <w:t>3</w:t>
            </w:r>
            <w:r>
              <w:rPr>
                <w:rFonts w:ascii="Times New Roman" w:eastAsia="Times New Roman"/>
                <w:spacing w:val="-12"/>
                <w:sz w:val="21"/>
              </w:rPr>
              <w:t xml:space="preserve"> </w:t>
            </w:r>
            <w:r>
              <w:rPr>
                <w:spacing w:val="-4"/>
                <w:sz w:val="21"/>
              </w:rPr>
              <w:t>年维保</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20"/>
              </w:rPr>
            </w:pPr>
          </w:p>
          <w:p>
            <w:pPr>
              <w:pStyle w:val="TableParagraph"/>
              <w:spacing w:before="16"/>
              <w:rPr>
                <w:rFonts w:ascii="Microsoft JhengHei"/>
                <w:b/>
                <w:sz w:val="19"/>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rPr>
                <w:rFonts w:ascii="Microsoft JhengHei"/>
                <w:b/>
                <w:sz w:val="22"/>
              </w:rPr>
            </w:pPr>
          </w:p>
          <w:p>
            <w:pPr>
              <w:pStyle w:val="TableParagraph"/>
              <w:spacing w:before="10"/>
              <w:rPr>
                <w:rFonts w:ascii="Microsoft JhengHei"/>
                <w:b/>
                <w:sz w:val="18"/>
              </w:rPr>
            </w:pPr>
          </w:p>
          <w:p>
            <w:pPr>
              <w:pStyle w:val="TableParagraph"/>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5504"/>
          <w:jc w:val="left"/>
        </w:trPr>
        <w:tc>
          <w:tcPr>
            <w:tcW w:w="679" w:type="dxa"/>
            <w:tcBorders>
              <w:top w:val="single" w:sz="6" w:space="0" w:color="000000"/>
              <w:bottom w:val="single" w:sz="6" w:space="0" w:color="000000"/>
              <w:right w:val="single" w:sz="6" w:space="0" w:color="000000"/>
            </w:tcBorders>
          </w:tcPr>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spacing w:before="1"/>
              <w:rPr>
                <w:rFonts w:ascii="Microsoft JhengHei"/>
                <w:b/>
                <w:sz w:val="11"/>
              </w:rPr>
            </w:pPr>
          </w:p>
          <w:p>
            <w:pPr>
              <w:pStyle w:val="TableParagraph"/>
              <w:ind w:left="10"/>
              <w:jc w:val="center"/>
              <w:rPr>
                <w:rFonts w:ascii="Times New Roman"/>
                <w:sz w:val="21"/>
              </w:rPr>
            </w:pPr>
            <w:r>
              <w:rPr>
                <w:rFonts w:ascii="Times New Roman"/>
                <w:sz w:val="21"/>
              </w:rPr>
              <w:t>8</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7"/>
              <w:rPr>
                <w:rFonts w:ascii="Microsoft JhengHei"/>
                <w:b/>
                <w:sz w:val="22"/>
              </w:rPr>
            </w:pPr>
          </w:p>
          <w:p>
            <w:pPr>
              <w:pStyle w:val="TableParagraph"/>
              <w:spacing w:before="1"/>
              <w:ind w:left="170" w:right="160"/>
              <w:jc w:val="center"/>
              <w:rPr>
                <w:sz w:val="21"/>
              </w:rPr>
            </w:pPr>
            <w:r>
              <w:rPr>
                <w:spacing w:val="-2"/>
                <w:sz w:val="21"/>
              </w:rPr>
              <w:t>网络版杀毒软件</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68" w:line="242" w:lineRule="auto"/>
              <w:ind w:left="105" w:right="1436"/>
              <w:rPr>
                <w:rFonts w:ascii="Times New Roman" w:eastAsia="Times New Roman" w:hAnsi="Times New Roman"/>
                <w:sz w:val="21"/>
              </w:rPr>
            </w:pPr>
            <w:r>
              <w:rPr>
                <w:spacing w:val="-2"/>
                <w:sz w:val="21"/>
              </w:rPr>
              <w:t>云安全</w:t>
            </w:r>
            <w:r>
              <w:rPr>
                <w:rFonts w:ascii="Times New Roman" w:eastAsia="Times New Roman" w:hAnsi="Times New Roman"/>
                <w:spacing w:val="-2"/>
                <w:sz w:val="21"/>
              </w:rPr>
              <w:t>”</w:t>
            </w:r>
            <w:r>
              <w:rPr>
                <w:spacing w:val="-2"/>
                <w:sz w:val="21"/>
              </w:rPr>
              <w:t>系统</w:t>
            </w:r>
            <w:r>
              <w:rPr>
                <w:rFonts w:ascii="Times New Roman" w:eastAsia="Times New Roman" w:hAnsi="Times New Roman"/>
                <w:spacing w:val="-2"/>
                <w:sz w:val="21"/>
              </w:rPr>
              <w:t>,</w:t>
            </w:r>
            <w:r>
              <w:rPr>
                <w:spacing w:val="-2"/>
                <w:sz w:val="21"/>
              </w:rPr>
              <w:t>智能主动防御</w:t>
            </w:r>
            <w:r>
              <w:rPr>
                <w:rFonts w:ascii="Times New Roman" w:eastAsia="Times New Roman" w:hAnsi="Times New Roman"/>
                <w:spacing w:val="-2"/>
                <w:sz w:val="21"/>
              </w:rPr>
              <w:t>,</w:t>
            </w:r>
            <w:r>
              <w:rPr>
                <w:spacing w:val="-2"/>
                <w:sz w:val="21"/>
              </w:rPr>
              <w:t>智能全网漏洞管理</w:t>
            </w:r>
            <w:r>
              <w:rPr>
                <w:spacing w:val="-2"/>
                <w:sz w:val="21"/>
              </w:rPr>
              <w:t>强大的网络管理能力</w:t>
            </w:r>
            <w:r>
              <w:rPr>
                <w:rFonts w:ascii="Times New Roman" w:eastAsia="Times New Roman" w:hAnsi="Times New Roman"/>
                <w:spacing w:val="-2"/>
                <w:sz w:val="21"/>
              </w:rPr>
              <w:t>:</w:t>
            </w:r>
          </w:p>
          <w:p>
            <w:pPr>
              <w:pStyle w:val="TableParagraph"/>
              <w:spacing w:before="1" w:line="242" w:lineRule="auto"/>
              <w:ind w:left="105" w:right="164"/>
              <w:rPr>
                <w:sz w:val="21"/>
              </w:rPr>
            </w:pPr>
            <w:r>
              <w:rPr>
                <w:spacing w:val="-2"/>
                <w:sz w:val="21"/>
              </w:rPr>
              <w:t>部署：针对国内复杂网络环境设计，轻松实现覆盖每台服务</w:t>
            </w:r>
            <w:r>
              <w:rPr>
                <w:spacing w:val="-2"/>
                <w:sz w:val="21"/>
              </w:rPr>
              <w:t xml:space="preserve">器和客户端的全网部署，支持 </w:t>
            </w:r>
            <w:r>
              <w:rPr>
                <w:rFonts w:ascii="Times New Roman" w:eastAsia="Times New Roman"/>
                <w:sz w:val="21"/>
              </w:rPr>
              <w:t xml:space="preserve">Web </w:t>
            </w:r>
            <w:r>
              <w:rPr>
                <w:sz w:val="21"/>
              </w:rPr>
              <w:t>安装、定制客户端安装</w:t>
            </w:r>
            <w:r>
              <w:rPr>
                <w:spacing w:val="-2"/>
                <w:sz w:val="21"/>
              </w:rPr>
              <w:t>包，提高全网安装效率。</w:t>
            </w:r>
          </w:p>
          <w:p>
            <w:pPr>
              <w:pStyle w:val="TableParagraph"/>
              <w:spacing w:before="2" w:line="242" w:lineRule="auto"/>
              <w:ind w:left="105" w:right="164"/>
              <w:jc w:val="both"/>
              <w:rPr>
                <w:sz w:val="21"/>
              </w:rPr>
            </w:pPr>
            <w:r>
              <w:rPr>
                <w:spacing w:val="-2"/>
                <w:sz w:val="21"/>
              </w:rPr>
              <w:t>管理：管理员可以智能、快速、全面、直观的对全网电脑配</w:t>
            </w:r>
            <w:r>
              <w:rPr>
                <w:spacing w:val="-2"/>
                <w:sz w:val="21"/>
              </w:rPr>
              <w:t>置木马查杀、主动防御、升级等功能，实时远程获取客户端</w:t>
            </w:r>
            <w:r>
              <w:rPr>
                <w:spacing w:val="-2"/>
                <w:sz w:val="21"/>
              </w:rPr>
              <w:t>安全信息、客户端按规则自动分组管理、管理员权限分级。</w:t>
            </w:r>
            <w:r>
              <w:rPr>
                <w:spacing w:val="-2"/>
                <w:sz w:val="21"/>
              </w:rPr>
              <w:t>执行：在木马查杀、漏洞扫描、升级更新等日常工作中，共享</w:t>
            </w:r>
            <w:r>
              <w:rPr>
                <w:rFonts w:ascii="Times New Roman" w:eastAsia="Times New Roman" w:hAnsi="Times New Roman"/>
                <w:spacing w:val="-2"/>
                <w:sz w:val="21"/>
              </w:rPr>
              <w:t>“</w:t>
            </w:r>
            <w:r>
              <w:rPr>
                <w:spacing w:val="-2"/>
                <w:sz w:val="21"/>
              </w:rPr>
              <w:t>云安全</w:t>
            </w:r>
            <w:r>
              <w:rPr>
                <w:rFonts w:ascii="Times New Roman" w:eastAsia="Times New Roman" w:hAnsi="Times New Roman"/>
                <w:spacing w:val="-2"/>
                <w:sz w:val="21"/>
              </w:rPr>
              <w:t>”</w:t>
            </w:r>
            <w:r>
              <w:rPr>
                <w:spacing w:val="-2"/>
                <w:sz w:val="21"/>
              </w:rPr>
              <w:t>系统的安全成果，利用智能全网管理中心，一个</w:t>
            </w:r>
            <w:r>
              <w:rPr>
                <w:spacing w:val="-2"/>
                <w:sz w:val="21"/>
              </w:rPr>
              <w:t>网管轻松承担所有安全管理工作。</w:t>
            </w:r>
          </w:p>
          <w:p>
            <w:pPr>
              <w:pStyle w:val="TableParagraph"/>
              <w:spacing w:before="3" w:line="242" w:lineRule="auto"/>
              <w:ind w:left="105" w:right="164"/>
              <w:jc w:val="both"/>
              <w:rPr>
                <w:sz w:val="21"/>
              </w:rPr>
            </w:pPr>
            <w:r>
              <w:rPr>
                <w:spacing w:val="-2"/>
                <w:sz w:val="21"/>
              </w:rPr>
              <w:t>升级：针对国内低带宽网络状况，拥有极高升级成功率，减</w:t>
            </w:r>
            <w:r>
              <w:rPr>
                <w:spacing w:val="-3"/>
                <w:sz w:val="21"/>
              </w:rPr>
              <w:t xml:space="preserve">少升级时间，支持客户端伪 </w:t>
            </w:r>
            <w:r>
              <w:rPr>
                <w:rFonts w:ascii="Times New Roman" w:eastAsia="Times New Roman"/>
                <w:sz w:val="21"/>
              </w:rPr>
              <w:t>BT</w:t>
            </w:r>
            <w:r>
              <w:rPr>
                <w:rFonts w:ascii="Times New Roman" w:eastAsia="Times New Roman"/>
                <w:spacing w:val="-13"/>
                <w:sz w:val="21"/>
              </w:rPr>
              <w:t xml:space="preserve"> </w:t>
            </w:r>
            <w:r>
              <w:rPr>
                <w:sz w:val="21"/>
              </w:rPr>
              <w:t>升级，支持锁定客户端升级</w:t>
            </w:r>
            <w:r>
              <w:rPr>
                <w:spacing w:val="-4"/>
                <w:sz w:val="21"/>
              </w:rPr>
              <w:t>代理。</w:t>
            </w:r>
          </w:p>
          <w:p>
            <w:pPr>
              <w:pStyle w:val="TableParagraph"/>
              <w:spacing w:before="2" w:line="242" w:lineRule="auto"/>
              <w:ind w:left="105" w:right="164"/>
              <w:rPr>
                <w:sz w:val="21"/>
              </w:rPr>
            </w:pPr>
            <w:r>
              <w:rPr>
                <w:spacing w:val="-2"/>
                <w:sz w:val="21"/>
              </w:rPr>
              <w:t>报警和日志：针对企业特点，全面优化报警中心，更加稳</w:t>
            </w:r>
            <w:r>
              <w:rPr>
                <w:spacing w:val="-2"/>
                <w:sz w:val="21"/>
              </w:rPr>
              <w:t xml:space="preserve"> </w:t>
            </w:r>
            <w:r>
              <w:rPr>
                <w:spacing w:val="-2"/>
                <w:sz w:val="21"/>
              </w:rPr>
              <w:t>定、节省网络带宽。可定制报警插件、报表内容，并制作详</w:t>
            </w:r>
            <w:r>
              <w:rPr>
                <w:spacing w:val="-2"/>
                <w:sz w:val="21"/>
              </w:rPr>
              <w:t>细病毒排行、客户端染毒排行和疫情趋势图。</w:t>
            </w:r>
          </w:p>
          <w:p>
            <w:pPr>
              <w:pStyle w:val="TableParagraph"/>
              <w:spacing w:before="2" w:line="242" w:lineRule="auto"/>
              <w:ind w:left="105" w:right="127"/>
              <w:rPr>
                <w:sz w:val="21"/>
              </w:rPr>
            </w:pPr>
            <w:r>
              <w:rPr>
                <w:spacing w:val="-2"/>
                <w:sz w:val="21"/>
              </w:rPr>
              <w:t>兼容多种平台</w:t>
            </w:r>
            <w:r>
              <w:rPr>
                <w:rFonts w:ascii="Times New Roman" w:eastAsia="Times New Roman"/>
                <w:spacing w:val="-2"/>
                <w:sz w:val="21"/>
              </w:rPr>
              <w:t>;</w:t>
            </w:r>
            <w:r>
              <w:rPr>
                <w:spacing w:val="-25"/>
                <w:sz w:val="21"/>
              </w:rPr>
              <w:t xml:space="preserve">含 </w:t>
            </w:r>
            <w:r>
              <w:rPr>
                <w:rFonts w:ascii="Times New Roman" w:eastAsia="Times New Roman"/>
                <w:spacing w:val="-2"/>
                <w:sz w:val="21"/>
              </w:rPr>
              <w:t>1</w:t>
            </w:r>
            <w:r>
              <w:rPr>
                <w:rFonts w:ascii="Times New Roman" w:eastAsia="Times New Roman"/>
                <w:spacing w:val="-7"/>
                <w:sz w:val="21"/>
              </w:rPr>
              <w:t xml:space="preserve"> </w:t>
            </w:r>
            <w:r>
              <w:rPr>
                <w:spacing w:val="-8"/>
                <w:sz w:val="21"/>
              </w:rPr>
              <w:t xml:space="preserve">个系统中心，支持 </w:t>
            </w:r>
            <w:r>
              <w:rPr>
                <w:rFonts w:ascii="Times New Roman" w:eastAsia="Times New Roman"/>
                <w:spacing w:val="-2"/>
                <w:sz w:val="21"/>
              </w:rPr>
              <w:t>200</w:t>
            </w:r>
            <w:r>
              <w:rPr>
                <w:rFonts w:ascii="Times New Roman" w:eastAsia="Times New Roman"/>
                <w:spacing w:val="-7"/>
                <w:sz w:val="21"/>
              </w:rPr>
              <w:t xml:space="preserve"> </w:t>
            </w:r>
            <w:r>
              <w:rPr>
                <w:spacing w:val="-2"/>
                <w:sz w:val="21"/>
              </w:rPr>
              <w:t>终端用户，网络版</w:t>
            </w:r>
            <w:r>
              <w:rPr>
                <w:spacing w:val="-2"/>
                <w:sz w:val="21"/>
              </w:rPr>
              <w:t>杀毒软件，一年病毒库升级</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7"/>
              <w:rPr>
                <w:rFonts w:ascii="Microsoft JhengHei"/>
                <w:b/>
                <w:sz w:val="22"/>
              </w:rPr>
            </w:pPr>
          </w:p>
          <w:p>
            <w:pPr>
              <w:pStyle w:val="TableParagraph"/>
              <w:spacing w:before="1"/>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rPr>
                <w:rFonts w:ascii="Microsoft JhengHei"/>
                <w:b/>
                <w:sz w:val="22"/>
              </w:rPr>
            </w:pPr>
          </w:p>
          <w:p>
            <w:pPr>
              <w:pStyle w:val="TableParagraph"/>
              <w:spacing w:before="1"/>
              <w:rPr>
                <w:rFonts w:ascii="Microsoft JhengHei"/>
                <w:b/>
                <w:sz w:val="11"/>
              </w:rPr>
            </w:pPr>
          </w:p>
          <w:p>
            <w:pPr>
              <w:pStyle w:val="TableParagraph"/>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999"/>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20"/>
              </w:rPr>
            </w:pPr>
          </w:p>
          <w:p>
            <w:pPr>
              <w:pStyle w:val="TableParagraph"/>
              <w:ind w:left="10"/>
              <w:jc w:val="center"/>
              <w:rPr>
                <w:rFonts w:ascii="Times New Roman"/>
                <w:sz w:val="21"/>
              </w:rPr>
            </w:pPr>
            <w:r>
              <w:rPr>
                <w:rFonts w:ascii="Times New Roman"/>
                <w:sz w:val="21"/>
              </w:rPr>
              <w:t>9</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7"/>
              <w:rPr>
                <w:rFonts w:ascii="Microsoft JhengHei"/>
                <w:b/>
                <w:sz w:val="19"/>
              </w:rPr>
            </w:pPr>
          </w:p>
          <w:p>
            <w:pPr>
              <w:pStyle w:val="TableParagraph"/>
              <w:ind w:left="170" w:right="160"/>
              <w:jc w:val="center"/>
              <w:rPr>
                <w:sz w:val="21"/>
              </w:rPr>
            </w:pPr>
            <w:r>
              <w:rPr>
                <w:spacing w:val="-4"/>
                <w:sz w:val="21"/>
              </w:rPr>
              <w:t>交换机</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9"/>
              <w:rPr>
                <w:rFonts w:ascii="Microsoft JhengHei"/>
                <w:b/>
                <w:sz w:val="12"/>
              </w:rPr>
            </w:pPr>
          </w:p>
          <w:p>
            <w:pPr>
              <w:pStyle w:val="TableParagraph"/>
              <w:spacing w:line="242" w:lineRule="auto"/>
              <w:ind w:left="105" w:right="302"/>
              <w:rPr>
                <w:sz w:val="21"/>
              </w:rPr>
            </w:pPr>
            <w:r>
              <w:rPr>
                <w:spacing w:val="-7"/>
                <w:sz w:val="21"/>
              </w:rPr>
              <w:t xml:space="preserve">交换机主机，提供 </w:t>
            </w:r>
            <w:r>
              <w:rPr>
                <w:rFonts w:ascii="Times New Roman" w:eastAsia="Times New Roman"/>
                <w:spacing w:val="-2"/>
                <w:sz w:val="21"/>
              </w:rPr>
              <w:t>24</w:t>
            </w:r>
            <w:r>
              <w:rPr>
                <w:rFonts w:ascii="Times New Roman" w:eastAsia="Times New Roman"/>
                <w:spacing w:val="-4"/>
                <w:sz w:val="21"/>
              </w:rPr>
              <w:t xml:space="preserve"> </w:t>
            </w:r>
            <w:r>
              <w:rPr>
                <w:spacing w:val="-23"/>
                <w:sz w:val="21"/>
              </w:rPr>
              <w:t xml:space="preserve">个 </w:t>
            </w:r>
            <w:r>
              <w:rPr>
                <w:rFonts w:ascii="Times New Roman" w:eastAsia="Times New Roman"/>
                <w:spacing w:val="-2"/>
                <w:sz w:val="21"/>
              </w:rPr>
              <w:t>10/100/1000Base-T</w:t>
            </w:r>
            <w:r>
              <w:rPr>
                <w:spacing w:val="-2"/>
                <w:sz w:val="21"/>
              </w:rPr>
              <w:t>，</w:t>
            </w:r>
            <w:r>
              <w:rPr>
                <w:rFonts w:ascii="Times New Roman" w:eastAsia="Times New Roman"/>
                <w:spacing w:val="-2"/>
                <w:sz w:val="21"/>
              </w:rPr>
              <w:t>4</w:t>
            </w:r>
            <w:r>
              <w:rPr>
                <w:rFonts w:ascii="Times New Roman" w:eastAsia="Times New Roman"/>
                <w:spacing w:val="-4"/>
                <w:sz w:val="21"/>
              </w:rPr>
              <w:t xml:space="preserve"> </w:t>
            </w:r>
            <w:r>
              <w:rPr>
                <w:spacing w:val="-2"/>
                <w:sz w:val="21"/>
              </w:rPr>
              <w:t>个复用的千</w:t>
            </w:r>
            <w:r>
              <w:rPr>
                <w:spacing w:val="-8"/>
                <w:sz w:val="21"/>
              </w:rPr>
              <w:t xml:space="preserve">兆 </w:t>
            </w:r>
            <w:r>
              <w:rPr>
                <w:rFonts w:ascii="Times New Roman" w:eastAsia="Times New Roman"/>
                <w:sz w:val="21"/>
              </w:rPr>
              <w:t xml:space="preserve">Combo SFP </w:t>
            </w:r>
            <w:r>
              <w:rPr>
                <w:sz w:val="21"/>
              </w:rPr>
              <w:t>端口，可选交流</w:t>
            </w:r>
            <w:r>
              <w:rPr>
                <w:rFonts w:ascii="Times New Roman" w:eastAsia="Times New Roman"/>
                <w:sz w:val="21"/>
              </w:rPr>
              <w:t>/</w:t>
            </w:r>
            <w:r>
              <w:rPr>
                <w:sz w:val="21"/>
              </w:rPr>
              <w:t>直流</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7"/>
              <w:rPr>
                <w:rFonts w:ascii="Microsoft JhengHei"/>
                <w:b/>
                <w:sz w:val="19"/>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20"/>
              </w:rPr>
            </w:pPr>
          </w:p>
          <w:p>
            <w:pPr>
              <w:pStyle w:val="TableParagraph"/>
              <w:ind w:left="130" w:right="121"/>
              <w:jc w:val="center"/>
              <w:rPr>
                <w:rFonts w:ascii="Times New Roman"/>
                <w:sz w:val="21"/>
              </w:rPr>
            </w:pPr>
            <w:r>
              <w:rPr>
                <w:rFonts w:ascii="Times New Roman"/>
                <w:spacing w:val="-5"/>
                <w:sz w:val="21"/>
              </w:rPr>
              <w:t>20</w:t>
            </w:r>
          </w:p>
        </w:tc>
      </w:tr>
      <w:tr>
        <w:tblPrEx>
          <w:tblW w:w="0" w:type="auto"/>
          <w:jc w:val="left"/>
          <w:tblInd w:w="121" w:type="dxa"/>
          <w:tblLayout w:type="fixed"/>
          <w:tblCellMar>
            <w:top w:w="0" w:type="dxa"/>
            <w:left w:w="0" w:type="dxa"/>
            <w:bottom w:w="0" w:type="dxa"/>
            <w:right w:w="0" w:type="dxa"/>
          </w:tblCellMar>
          <w:tblLook w:val="01E0"/>
        </w:tblPrEx>
        <w:trPr>
          <w:trHeight w:val="545"/>
          <w:jc w:val="left"/>
        </w:trPr>
        <w:tc>
          <w:tcPr>
            <w:tcW w:w="679" w:type="dxa"/>
            <w:tcBorders>
              <w:top w:val="single" w:sz="6" w:space="0" w:color="000000"/>
              <w:bottom w:val="single" w:sz="6" w:space="0" w:color="000000"/>
              <w:right w:val="single" w:sz="6" w:space="0" w:color="000000"/>
            </w:tcBorders>
          </w:tcPr>
          <w:p>
            <w:pPr>
              <w:pStyle w:val="TableParagraph"/>
              <w:spacing w:before="151"/>
              <w:ind w:left="107" w:right="97"/>
              <w:jc w:val="center"/>
              <w:rPr>
                <w:rFonts w:ascii="Times New Roman"/>
                <w:sz w:val="21"/>
              </w:rPr>
            </w:pPr>
            <w:r>
              <w:rPr>
                <w:rFonts w:ascii="Times New Roman"/>
                <w:spacing w:val="-5"/>
                <w:sz w:val="21"/>
              </w:rPr>
              <w:t>10</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39"/>
              <w:ind w:left="169" w:right="160"/>
              <w:jc w:val="center"/>
              <w:rPr>
                <w:rFonts w:ascii="Times New Roman" w:eastAsia="Times New Roman"/>
                <w:sz w:val="21"/>
              </w:rPr>
            </w:pPr>
            <w:r>
              <w:rPr>
                <w:spacing w:val="-11"/>
                <w:sz w:val="21"/>
              </w:rPr>
              <w:t xml:space="preserve">波分系统 </w:t>
            </w:r>
            <w:r>
              <w:rPr>
                <w:rFonts w:ascii="Times New Roman" w:eastAsia="Times New Roman"/>
                <w:spacing w:val="-10"/>
                <w:sz w:val="21"/>
              </w:rPr>
              <w:t>1</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85"/>
              <w:rPr>
                <w:sz w:val="21"/>
              </w:rPr>
            </w:pPr>
            <w:r>
              <w:rPr>
                <w:spacing w:val="-7"/>
                <w:sz w:val="21"/>
              </w:rPr>
              <w:t xml:space="preserve">波分复用设备，支持 </w:t>
            </w:r>
            <w:r>
              <w:rPr>
                <w:rFonts w:ascii="Times New Roman" w:eastAsia="Times New Roman"/>
                <w:spacing w:val="-2"/>
                <w:sz w:val="21"/>
              </w:rPr>
              <w:t>15</w:t>
            </w:r>
            <w:r>
              <w:rPr>
                <w:rFonts w:ascii="Times New Roman" w:eastAsia="Times New Roman"/>
                <w:spacing w:val="-7"/>
                <w:sz w:val="21"/>
              </w:rPr>
              <w:t xml:space="preserve"> </w:t>
            </w:r>
            <w:r>
              <w:rPr>
                <w:spacing w:val="-6"/>
                <w:sz w:val="21"/>
              </w:rPr>
              <w:t xml:space="preserve">路双向业务，最大扩展至 </w:t>
            </w:r>
            <w:r>
              <w:rPr>
                <w:rFonts w:ascii="Times New Roman" w:eastAsia="Times New Roman"/>
                <w:spacing w:val="-2"/>
                <w:sz w:val="21"/>
              </w:rPr>
              <w:t>16</w:t>
            </w:r>
            <w:r>
              <w:rPr>
                <w:rFonts w:ascii="Times New Roman" w:eastAsia="Times New Roman"/>
                <w:spacing w:val="-7"/>
                <w:sz w:val="21"/>
              </w:rPr>
              <w:t xml:space="preserve"> </w:t>
            </w:r>
            <w:r>
              <w:rPr>
                <w:spacing w:val="-2"/>
                <w:sz w:val="21"/>
              </w:rPr>
              <w:t>路双向</w:t>
            </w:r>
            <w:r>
              <w:rPr>
                <w:spacing w:val="-2"/>
                <w:sz w:val="21"/>
              </w:rPr>
              <w:t>业务，交流供电；</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39"/>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15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744"/>
          <w:jc w:val="left"/>
        </w:trPr>
        <w:tc>
          <w:tcPr>
            <w:tcW w:w="679" w:type="dxa"/>
            <w:tcBorders>
              <w:top w:val="single" w:sz="6" w:space="0" w:color="000000"/>
              <w:bottom w:val="single" w:sz="6" w:space="0" w:color="000000"/>
              <w:right w:val="single" w:sz="6" w:space="0" w:color="000000"/>
            </w:tcBorders>
          </w:tcPr>
          <w:p>
            <w:pPr>
              <w:pStyle w:val="TableParagraph"/>
              <w:spacing w:before="12"/>
              <w:rPr>
                <w:rFonts w:ascii="Microsoft JhengHei"/>
                <w:b/>
                <w:sz w:val="13"/>
              </w:rPr>
            </w:pPr>
          </w:p>
          <w:p>
            <w:pPr>
              <w:pStyle w:val="TableParagraph"/>
              <w:ind w:left="107" w:right="97"/>
              <w:jc w:val="center"/>
              <w:rPr>
                <w:rFonts w:ascii="Times New Roman"/>
                <w:sz w:val="21"/>
              </w:rPr>
            </w:pPr>
            <w:r>
              <w:rPr>
                <w:rFonts w:ascii="Times New Roman"/>
                <w:spacing w:val="-5"/>
                <w:sz w:val="21"/>
              </w:rPr>
              <w:t>11</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13"/>
              </w:rPr>
            </w:pPr>
          </w:p>
          <w:p>
            <w:pPr>
              <w:pStyle w:val="TableParagraph"/>
              <w:ind w:left="169" w:right="160"/>
              <w:jc w:val="center"/>
              <w:rPr>
                <w:rFonts w:ascii="Times New Roman" w:eastAsia="Times New Roman"/>
                <w:sz w:val="21"/>
              </w:rPr>
            </w:pPr>
            <w:r>
              <w:rPr>
                <w:spacing w:val="-11"/>
                <w:sz w:val="21"/>
              </w:rPr>
              <w:t xml:space="preserve">波分系统 </w:t>
            </w:r>
            <w:r>
              <w:rPr>
                <w:rFonts w:ascii="Times New Roman" w:eastAsia="Times New Roman"/>
                <w:spacing w:val="-10"/>
                <w:sz w:val="21"/>
              </w:rPr>
              <w:t>2</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03" w:line="242" w:lineRule="auto"/>
              <w:ind w:left="105" w:right="185"/>
              <w:rPr>
                <w:sz w:val="21"/>
              </w:rPr>
            </w:pPr>
            <w:r>
              <w:rPr>
                <w:spacing w:val="-7"/>
                <w:sz w:val="21"/>
              </w:rPr>
              <w:t xml:space="preserve">波分复用设备，支持 </w:t>
            </w:r>
            <w:r>
              <w:rPr>
                <w:rFonts w:ascii="Times New Roman" w:eastAsia="Times New Roman"/>
                <w:spacing w:val="-2"/>
                <w:sz w:val="21"/>
              </w:rPr>
              <w:t>3</w:t>
            </w:r>
            <w:r>
              <w:rPr>
                <w:rFonts w:ascii="Times New Roman" w:eastAsia="Times New Roman"/>
                <w:spacing w:val="-8"/>
                <w:sz w:val="21"/>
              </w:rPr>
              <w:t xml:space="preserve"> </w:t>
            </w:r>
            <w:r>
              <w:rPr>
                <w:spacing w:val="-6"/>
                <w:sz w:val="21"/>
              </w:rPr>
              <w:t xml:space="preserve">路双向业务，最大扩展至 </w:t>
            </w:r>
            <w:r>
              <w:rPr>
                <w:rFonts w:ascii="Times New Roman" w:eastAsia="Times New Roman"/>
                <w:spacing w:val="-2"/>
                <w:sz w:val="21"/>
              </w:rPr>
              <w:t>5</w:t>
            </w:r>
            <w:r>
              <w:rPr>
                <w:rFonts w:ascii="Times New Roman" w:eastAsia="Times New Roman"/>
                <w:spacing w:val="-8"/>
                <w:sz w:val="21"/>
              </w:rPr>
              <w:t xml:space="preserve"> </w:t>
            </w:r>
            <w:r>
              <w:rPr>
                <w:spacing w:val="-2"/>
                <w:sz w:val="21"/>
              </w:rPr>
              <w:t>路双向业</w:t>
            </w:r>
            <w:r>
              <w:rPr>
                <w:spacing w:val="-2"/>
                <w:sz w:val="21"/>
              </w:rPr>
              <w:t>务，交流供电；</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rPr>
                <w:rFonts w:ascii="Microsoft JhengHei"/>
                <w:b/>
                <w:sz w:val="13"/>
              </w:rPr>
            </w:pPr>
          </w:p>
          <w:p>
            <w:pPr>
              <w:pStyle w:val="TableParagraph"/>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12"/>
              <w:rPr>
                <w:rFonts w:ascii="Microsoft JhengHei"/>
                <w:b/>
                <w:sz w:val="13"/>
              </w:rPr>
            </w:pPr>
          </w:p>
          <w:p>
            <w:pPr>
              <w:pStyle w:val="TableParagraph"/>
              <w:ind w:left="9"/>
              <w:jc w:val="center"/>
              <w:rPr>
                <w:rFonts w:ascii="Times New Roman"/>
                <w:sz w:val="21"/>
              </w:rPr>
            </w:pPr>
            <w:r>
              <w:rPr>
                <w:rFonts w:ascii="Times New Roman"/>
                <w:sz w:val="21"/>
              </w:rPr>
              <w:t>5</w:t>
            </w: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9725" w:type="dxa"/>
            <w:gridSpan w:val="5"/>
            <w:tcBorders>
              <w:top w:val="single" w:sz="6" w:space="0" w:color="000000"/>
              <w:bottom w:val="single" w:sz="6" w:space="0" w:color="000000"/>
            </w:tcBorders>
            <w:shd w:val="clear" w:color="auto" w:fill="92D050"/>
          </w:tcPr>
          <w:p>
            <w:pPr>
              <w:pStyle w:val="TableParagraph"/>
              <w:spacing w:line="280" w:lineRule="exact"/>
              <w:ind w:left="98"/>
              <w:rPr>
                <w:rFonts w:ascii="Microsoft JhengHei" w:eastAsia="Microsoft JhengHei"/>
                <w:b/>
                <w:sz w:val="21"/>
              </w:rPr>
            </w:pPr>
            <w:r>
              <w:rPr>
                <w:rFonts w:ascii="Times New Roman" w:eastAsia="Times New Roman"/>
                <w:b/>
                <w:sz w:val="21"/>
              </w:rPr>
              <w:t>CDS</w:t>
            </w:r>
            <w:r>
              <w:rPr>
                <w:rFonts w:ascii="Times New Roman" w:eastAsia="Times New Roman"/>
                <w:b/>
                <w:spacing w:val="-13"/>
                <w:sz w:val="21"/>
              </w:rPr>
              <w:t xml:space="preserve"> </w:t>
            </w:r>
            <w:r>
              <w:rPr>
                <w:rFonts w:ascii="Microsoft JhengHei" w:eastAsia="Microsoft JhengHei"/>
                <w:b/>
                <w:spacing w:val="-2"/>
                <w:sz w:val="21"/>
              </w:rPr>
              <w:t>系统升级配置</w:t>
            </w:r>
          </w:p>
        </w:tc>
      </w:tr>
      <w:tr>
        <w:tblPrEx>
          <w:tblW w:w="0" w:type="auto"/>
          <w:jc w:val="left"/>
          <w:tblInd w:w="121" w:type="dxa"/>
          <w:tblLayout w:type="fixed"/>
          <w:tblCellMar>
            <w:top w:w="0" w:type="dxa"/>
            <w:left w:w="0" w:type="dxa"/>
            <w:bottom w:w="0" w:type="dxa"/>
            <w:right w:w="0" w:type="dxa"/>
          </w:tblCellMar>
          <w:tblLook w:val="01E0"/>
        </w:tblPrEx>
        <w:trPr>
          <w:trHeight w:val="1354"/>
          <w:jc w:val="left"/>
        </w:trPr>
        <w:tc>
          <w:tcPr>
            <w:tcW w:w="679" w:type="dxa"/>
            <w:tcBorders>
              <w:top w:val="single" w:sz="6" w:space="0" w:color="000000"/>
              <w:bottom w:val="single" w:sz="6" w:space="0" w:color="000000"/>
              <w:right w:val="single" w:sz="6" w:space="0" w:color="000000"/>
            </w:tcBorders>
          </w:tcPr>
          <w:p>
            <w:pPr>
              <w:pStyle w:val="TableParagraph"/>
              <w:spacing w:before="5"/>
              <w:rPr>
                <w:rFonts w:ascii="Microsoft JhengHei"/>
                <w:b/>
                <w:sz w:val="30"/>
              </w:rPr>
            </w:pPr>
          </w:p>
          <w:p>
            <w:pPr>
              <w:pStyle w:val="TableParagraph"/>
              <w:ind w:left="10"/>
              <w:jc w:val="center"/>
              <w:rPr>
                <w:rFonts w:ascii="Times New Roman"/>
                <w:sz w:val="21"/>
              </w:rPr>
            </w:pPr>
            <w:r>
              <w:rPr>
                <w:rFonts w:ascii="Times New Roman"/>
                <w:sz w:val="21"/>
              </w:rPr>
              <w:t>1</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rPr>
                <w:rFonts w:ascii="Microsoft JhengHei"/>
                <w:b/>
                <w:sz w:val="29"/>
              </w:rPr>
            </w:pPr>
          </w:p>
          <w:p>
            <w:pPr>
              <w:pStyle w:val="TableParagraph"/>
              <w:ind w:left="170" w:right="160"/>
              <w:jc w:val="center"/>
              <w:rPr>
                <w:sz w:val="21"/>
              </w:rPr>
            </w:pPr>
            <w:r>
              <w:rPr>
                <w:spacing w:val="-2"/>
                <w:sz w:val="21"/>
              </w:rPr>
              <w:t>综合代理单元</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4"/>
              <w:rPr>
                <w:rFonts w:ascii="Microsoft JhengHei"/>
                <w:b/>
                <w:sz w:val="14"/>
              </w:rPr>
            </w:pPr>
          </w:p>
          <w:p>
            <w:pPr>
              <w:pStyle w:val="TableParagraph"/>
              <w:spacing w:before="1" w:line="242" w:lineRule="auto"/>
              <w:ind w:left="105" w:right="132"/>
              <w:jc w:val="both"/>
              <w:rPr>
                <w:sz w:val="21"/>
              </w:rPr>
            </w:pPr>
            <w:r>
              <w:rPr>
                <w:rFonts w:ascii="Times New Roman" w:eastAsia="Times New Roman"/>
                <w:spacing w:val="-2"/>
                <w:sz w:val="21"/>
              </w:rPr>
              <w:t>2*</w:t>
            </w:r>
            <w:r>
              <w:rPr>
                <w:spacing w:val="-10"/>
                <w:sz w:val="21"/>
              </w:rPr>
              <w:t xml:space="preserve">六核 </w:t>
            </w:r>
            <w:r>
              <w:rPr>
                <w:rFonts w:ascii="Times New Roman" w:eastAsia="Times New Roman"/>
                <w:spacing w:val="-2"/>
                <w:sz w:val="21"/>
              </w:rPr>
              <w:t>2.1GHz</w:t>
            </w:r>
            <w:r>
              <w:rPr>
                <w:spacing w:val="-2"/>
                <w:sz w:val="21"/>
              </w:rPr>
              <w:t>，</w:t>
            </w:r>
            <w:r>
              <w:rPr>
                <w:rFonts w:ascii="Times New Roman" w:eastAsia="Times New Roman"/>
                <w:spacing w:val="-2"/>
                <w:sz w:val="21"/>
              </w:rPr>
              <w:t>64GB</w:t>
            </w:r>
            <w:r>
              <w:rPr>
                <w:rFonts w:ascii="Times New Roman" w:eastAsia="Times New Roman"/>
                <w:spacing w:val="-11"/>
                <w:sz w:val="21"/>
              </w:rPr>
              <w:t xml:space="preserve"> </w:t>
            </w:r>
            <w:r>
              <w:rPr>
                <w:spacing w:val="-2"/>
                <w:sz w:val="21"/>
              </w:rPr>
              <w:t>内存，</w:t>
            </w:r>
            <w:r>
              <w:rPr>
                <w:rFonts w:ascii="Times New Roman" w:eastAsia="Times New Roman"/>
                <w:spacing w:val="-2"/>
                <w:sz w:val="21"/>
              </w:rPr>
              <w:t>6*300GB SAS</w:t>
            </w:r>
            <w:r>
              <w:rPr>
                <w:rFonts w:ascii="Times New Roman" w:eastAsia="Times New Roman"/>
                <w:spacing w:val="-3"/>
                <w:sz w:val="21"/>
              </w:rPr>
              <w:t xml:space="preserve"> </w:t>
            </w:r>
            <w:r>
              <w:rPr>
                <w:spacing w:val="-2"/>
                <w:sz w:val="21"/>
              </w:rPr>
              <w:t xml:space="preserve">热插拔硬盘，含 </w:t>
            </w:r>
            <w:r>
              <w:rPr>
                <w:rFonts w:ascii="Times New Roman" w:eastAsia="Times New Roman"/>
                <w:sz w:val="21"/>
              </w:rPr>
              <w:t xml:space="preserve">raid5 </w:t>
            </w:r>
            <w:r>
              <w:rPr>
                <w:sz w:val="21"/>
              </w:rPr>
              <w:t>卡（</w:t>
            </w:r>
            <w:r>
              <w:rPr>
                <w:rFonts w:ascii="Times New Roman" w:eastAsia="Times New Roman"/>
                <w:sz w:val="21"/>
              </w:rPr>
              <w:t>256MB cache</w:t>
            </w:r>
            <w:r>
              <w:rPr>
                <w:sz w:val="21"/>
              </w:rPr>
              <w:t>，电池保护），</w:t>
            </w:r>
            <w:r>
              <w:rPr>
                <w:rFonts w:ascii="Times New Roman" w:eastAsia="Times New Roman"/>
                <w:sz w:val="21"/>
              </w:rPr>
              <w:t>4*</w:t>
            </w:r>
            <w:r>
              <w:rPr>
                <w:sz w:val="21"/>
              </w:rPr>
              <w:t>千兆网口，冗余电</w:t>
            </w:r>
            <w:r>
              <w:rPr>
                <w:spacing w:val="-2"/>
                <w:sz w:val="21"/>
              </w:rPr>
              <w:t>源，配置远程管理模块，五年维保，原介质不返还</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rPr>
                <w:rFonts w:ascii="Microsoft JhengHei"/>
                <w:b/>
                <w:sz w:val="29"/>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5"/>
              <w:rPr>
                <w:rFonts w:ascii="Microsoft JhengHei"/>
                <w:b/>
                <w:sz w:val="30"/>
              </w:rPr>
            </w:pPr>
          </w:p>
          <w:p>
            <w:pPr>
              <w:pStyle w:val="TableParagraph"/>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2</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sz w:val="21"/>
              </w:rPr>
            </w:pPr>
            <w:r>
              <w:rPr>
                <w:rFonts w:ascii="Times New Roman" w:eastAsia="Times New Roman"/>
                <w:sz w:val="21"/>
              </w:rPr>
              <w:t>GIS</w:t>
            </w:r>
            <w:r>
              <w:rPr>
                <w:rFonts w:ascii="Times New Roman" w:eastAsia="Times New Roman"/>
                <w:spacing w:val="-15"/>
                <w:sz w:val="21"/>
              </w:rPr>
              <w:t xml:space="preserve"> </w:t>
            </w:r>
            <w:r>
              <w:rPr>
                <w:spacing w:val="-5"/>
                <w:sz w:val="21"/>
              </w:rPr>
              <w:t>单元</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32"/>
              <w:jc w:val="both"/>
              <w:rPr>
                <w:sz w:val="21"/>
              </w:rPr>
            </w:pPr>
            <w:r>
              <w:rPr>
                <w:rFonts w:ascii="Times New Roman" w:eastAsia="Times New Roman"/>
                <w:spacing w:val="-2"/>
                <w:sz w:val="21"/>
              </w:rPr>
              <w:t>2*</w:t>
            </w:r>
            <w:r>
              <w:rPr>
                <w:spacing w:val="-10"/>
                <w:sz w:val="21"/>
              </w:rPr>
              <w:t xml:space="preserve">四核 </w:t>
            </w:r>
            <w:r>
              <w:rPr>
                <w:rFonts w:ascii="Times New Roman" w:eastAsia="Times New Roman"/>
                <w:spacing w:val="-2"/>
                <w:sz w:val="21"/>
              </w:rPr>
              <w:t>2.5GHz</w:t>
            </w:r>
            <w:r>
              <w:rPr>
                <w:spacing w:val="-2"/>
                <w:sz w:val="21"/>
              </w:rPr>
              <w:t>，</w:t>
            </w:r>
            <w:r>
              <w:rPr>
                <w:rFonts w:ascii="Times New Roman" w:eastAsia="Times New Roman"/>
                <w:spacing w:val="-2"/>
                <w:sz w:val="21"/>
              </w:rPr>
              <w:t>32GB</w:t>
            </w:r>
            <w:r>
              <w:rPr>
                <w:rFonts w:ascii="Times New Roman" w:eastAsia="Times New Roman"/>
                <w:spacing w:val="-11"/>
                <w:sz w:val="21"/>
              </w:rPr>
              <w:t xml:space="preserve"> </w:t>
            </w:r>
            <w:r>
              <w:rPr>
                <w:spacing w:val="-2"/>
                <w:sz w:val="21"/>
              </w:rPr>
              <w:t>内存，</w:t>
            </w:r>
            <w:r>
              <w:rPr>
                <w:rFonts w:ascii="Times New Roman" w:eastAsia="Times New Roman"/>
                <w:spacing w:val="-2"/>
                <w:sz w:val="21"/>
              </w:rPr>
              <w:t>4*300GB SAS</w:t>
            </w:r>
            <w:r>
              <w:rPr>
                <w:rFonts w:ascii="Times New Roman" w:eastAsia="Times New Roman"/>
                <w:spacing w:val="-3"/>
                <w:sz w:val="21"/>
              </w:rPr>
              <w:t xml:space="preserve"> </w:t>
            </w:r>
            <w:r>
              <w:rPr>
                <w:spacing w:val="-2"/>
                <w:sz w:val="21"/>
              </w:rPr>
              <w:t xml:space="preserve">热插拔硬盘，含 </w:t>
            </w:r>
            <w:r>
              <w:rPr>
                <w:rFonts w:ascii="Times New Roman" w:eastAsia="Times New Roman"/>
                <w:sz w:val="21"/>
              </w:rPr>
              <w:t>raid5</w:t>
            </w:r>
            <w:r>
              <w:rPr>
                <w:rFonts w:ascii="Times New Roman" w:eastAsia="Times New Roman"/>
                <w:spacing w:val="-14"/>
                <w:sz w:val="21"/>
              </w:rPr>
              <w:t xml:space="preserve"> </w:t>
            </w:r>
            <w:r>
              <w:rPr>
                <w:sz w:val="21"/>
              </w:rPr>
              <w:t>卡（</w:t>
            </w:r>
            <w:r>
              <w:rPr>
                <w:rFonts w:ascii="Times New Roman" w:eastAsia="Times New Roman"/>
                <w:sz w:val="21"/>
              </w:rPr>
              <w:t>256MB</w:t>
            </w:r>
            <w:r>
              <w:rPr>
                <w:rFonts w:ascii="Times New Roman" w:eastAsia="Times New Roman"/>
                <w:spacing w:val="-13"/>
                <w:sz w:val="21"/>
              </w:rPr>
              <w:t xml:space="preserve"> </w:t>
            </w:r>
            <w:r>
              <w:rPr>
                <w:rFonts w:ascii="Times New Roman" w:eastAsia="Times New Roman"/>
                <w:sz w:val="21"/>
              </w:rPr>
              <w:t>cache</w:t>
            </w:r>
            <w:r>
              <w:rPr>
                <w:sz w:val="21"/>
              </w:rPr>
              <w:t>，电池保护），</w:t>
            </w:r>
            <w:r>
              <w:rPr>
                <w:rFonts w:ascii="Times New Roman" w:eastAsia="Times New Roman"/>
                <w:sz w:val="21"/>
              </w:rPr>
              <w:t>2*8Gb</w:t>
            </w:r>
            <w:r>
              <w:rPr>
                <w:rFonts w:ascii="Times New Roman" w:eastAsia="Times New Roman"/>
                <w:spacing w:val="-12"/>
                <w:sz w:val="21"/>
              </w:rPr>
              <w:t xml:space="preserve"> </w:t>
            </w:r>
            <w:r>
              <w:rPr>
                <w:rFonts w:ascii="Times New Roman" w:eastAsia="Times New Roman"/>
                <w:sz w:val="21"/>
              </w:rPr>
              <w:t>HBA</w:t>
            </w:r>
            <w:r>
              <w:rPr>
                <w:rFonts w:ascii="Times New Roman" w:eastAsia="Times New Roman"/>
                <w:spacing w:val="-13"/>
                <w:sz w:val="21"/>
              </w:rPr>
              <w:t xml:space="preserve"> </w:t>
            </w:r>
            <w:r>
              <w:rPr>
                <w:sz w:val="21"/>
              </w:rPr>
              <w:t>卡，冗余</w:t>
            </w:r>
            <w:r>
              <w:rPr>
                <w:spacing w:val="-2"/>
                <w:sz w:val="21"/>
              </w:rPr>
              <w:t>电源，配置远程管理模块，五年维保，原介质不返还</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3</w:t>
            </w:r>
          </w:p>
        </w:tc>
        <w:tc>
          <w:tcPr>
            <w:tcW w:w="1846" w:type="dxa"/>
            <w:tcBorders>
              <w:top w:val="single" w:sz="6" w:space="0" w:color="000000"/>
              <w:left w:val="single" w:sz="6" w:space="0" w:color="000000"/>
              <w:right w:val="single" w:sz="6" w:space="0" w:color="000000"/>
            </w:tcBorders>
          </w:tcPr>
          <w:p>
            <w:pPr>
              <w:pStyle w:val="TableParagraph"/>
              <w:spacing w:before="18"/>
              <w:rPr>
                <w:rFonts w:ascii="Microsoft JhengHei"/>
                <w:b/>
                <w:sz w:val="14"/>
              </w:rPr>
            </w:pPr>
          </w:p>
          <w:p>
            <w:pPr>
              <w:pStyle w:val="TableParagraph"/>
              <w:ind w:left="170" w:right="160"/>
              <w:jc w:val="center"/>
              <w:rPr>
                <w:sz w:val="21"/>
              </w:rPr>
            </w:pPr>
            <w:r>
              <w:rPr>
                <w:rFonts w:ascii="Times New Roman" w:eastAsia="Times New Roman"/>
                <w:sz w:val="21"/>
              </w:rPr>
              <w:t>WEB</w:t>
            </w:r>
            <w:r>
              <w:rPr>
                <w:rFonts w:ascii="Times New Roman" w:eastAsia="Times New Roman"/>
                <w:spacing w:val="-11"/>
                <w:sz w:val="21"/>
              </w:rPr>
              <w:t xml:space="preserve"> </w:t>
            </w:r>
            <w:r>
              <w:rPr>
                <w:spacing w:val="-3"/>
                <w:sz w:val="21"/>
              </w:rPr>
              <w:t>应用单元</w:t>
            </w:r>
          </w:p>
        </w:tc>
        <w:tc>
          <w:tcPr>
            <w:tcW w:w="5747" w:type="dxa"/>
            <w:tcBorders>
              <w:top w:val="single" w:sz="6" w:space="0" w:color="000000"/>
              <w:left w:val="single" w:sz="6" w:space="0" w:color="000000"/>
              <w:right w:val="single" w:sz="6" w:space="0" w:color="000000"/>
            </w:tcBorders>
          </w:tcPr>
          <w:p>
            <w:pPr>
              <w:pStyle w:val="TableParagraph"/>
              <w:spacing w:line="270" w:lineRule="atLeast"/>
              <w:ind w:left="105" w:right="153"/>
              <w:rPr>
                <w:sz w:val="21"/>
              </w:rPr>
            </w:pPr>
            <w:r>
              <w:rPr>
                <w:rFonts w:ascii="Times New Roman" w:eastAsia="Times New Roman"/>
                <w:sz w:val="21"/>
              </w:rPr>
              <w:t>2*</w:t>
            </w:r>
            <w:r>
              <w:rPr>
                <w:spacing w:val="-5"/>
                <w:sz w:val="21"/>
              </w:rPr>
              <w:t xml:space="preserve">六核 </w:t>
            </w:r>
            <w:r>
              <w:rPr>
                <w:rFonts w:ascii="Times New Roman" w:eastAsia="Times New Roman"/>
                <w:sz w:val="21"/>
              </w:rPr>
              <w:t>2.1GHz</w:t>
            </w:r>
            <w:r>
              <w:rPr>
                <w:sz w:val="21"/>
              </w:rPr>
              <w:t>，</w:t>
            </w:r>
            <w:r>
              <w:rPr>
                <w:rFonts w:ascii="Times New Roman" w:eastAsia="Times New Roman"/>
                <w:sz w:val="21"/>
              </w:rPr>
              <w:t xml:space="preserve">64GB </w:t>
            </w:r>
            <w:r>
              <w:rPr>
                <w:sz w:val="21"/>
              </w:rPr>
              <w:t>内存，</w:t>
            </w:r>
            <w:r>
              <w:rPr>
                <w:rFonts w:ascii="Times New Roman" w:eastAsia="Times New Roman"/>
                <w:sz w:val="21"/>
              </w:rPr>
              <w:t xml:space="preserve">2*300GB SAS </w:t>
            </w:r>
            <w:r>
              <w:rPr>
                <w:sz w:val="21"/>
              </w:rPr>
              <w:t xml:space="preserve">热插拔硬盘， </w:t>
            </w:r>
            <w:r>
              <w:rPr>
                <w:rFonts w:ascii="Times New Roman" w:eastAsia="Times New Roman"/>
                <w:spacing w:val="-2"/>
                <w:sz w:val="21"/>
              </w:rPr>
              <w:t>raid1</w:t>
            </w:r>
            <w:r>
              <w:rPr>
                <w:spacing w:val="-2"/>
                <w:sz w:val="21"/>
              </w:rPr>
              <w:t>，</w:t>
            </w:r>
            <w:r>
              <w:rPr>
                <w:rFonts w:ascii="Times New Roman" w:eastAsia="Times New Roman"/>
                <w:spacing w:val="-2"/>
                <w:sz w:val="21"/>
              </w:rPr>
              <w:t>4*</w:t>
            </w:r>
            <w:r>
              <w:rPr>
                <w:spacing w:val="-2"/>
                <w:sz w:val="21"/>
              </w:rPr>
              <w:t>千兆网口，冗余电源，配置远程管理模块，五年维</w:t>
            </w:r>
            <w:r>
              <w:rPr>
                <w:spacing w:val="-2"/>
                <w:sz w:val="21"/>
              </w:rPr>
              <w:t>保，原介质不返还</w:t>
            </w:r>
          </w:p>
        </w:tc>
        <w:tc>
          <w:tcPr>
            <w:tcW w:w="729" w:type="dxa"/>
            <w:tcBorders>
              <w:top w:val="single" w:sz="6" w:space="0" w:color="000000"/>
              <w:left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bl>
    <w:p>
      <w:pPr>
        <w:spacing w:after="0"/>
        <w:jc w:val="center"/>
        <w:rPr>
          <w:rFonts w:ascii="Times New Roman"/>
          <w:sz w:val="21"/>
        </w:rPr>
        <w:sectPr>
          <w:headerReference w:type="default" r:id="rId38"/>
          <w:footerReference w:type="default" r:id="rId39"/>
          <w:pgSz w:w="11910" w:h="16840"/>
          <w:pgMar w:top="1340" w:right="1080" w:bottom="1000" w:left="880" w:header="822" w:footer="805"/>
          <w:pgNumType w:start="17"/>
          <w:cols w:space="708"/>
        </w:sectPr>
      </w:pPr>
    </w:p>
    <w:p>
      <w:pPr>
        <w:pStyle w:val="BodyText"/>
        <w:spacing w:before="1"/>
        <w:rPr>
          <w:rFonts w:ascii="Microsoft JhengHei"/>
          <w:b/>
          <w:sz w:val="4"/>
        </w:rPr>
      </w:pPr>
    </w:p>
    <w:tbl>
      <w:tblPr>
        <w:tblStyle w:val="TableNormal2"/>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679"/>
        <w:gridCol w:w="1846"/>
        <w:gridCol w:w="5747"/>
        <w:gridCol w:w="729"/>
        <w:gridCol w:w="724"/>
      </w:tblGrid>
      <w:tr>
        <w:tblPrEx>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660"/>
          <w:jc w:val="left"/>
        </w:trPr>
        <w:tc>
          <w:tcPr>
            <w:tcW w:w="679" w:type="dxa"/>
            <w:tcBorders>
              <w:bottom w:val="single" w:sz="6" w:space="0" w:color="000000"/>
              <w:right w:val="single" w:sz="6" w:space="0" w:color="000000"/>
            </w:tcBorders>
            <w:shd w:val="clear" w:color="auto" w:fill="CCFFCC"/>
          </w:tcPr>
          <w:p>
            <w:pPr>
              <w:pStyle w:val="TableParagraph"/>
              <w:spacing w:before="127"/>
              <w:ind w:left="107" w:right="98"/>
              <w:jc w:val="center"/>
              <w:rPr>
                <w:rFonts w:ascii="Microsoft JhengHei" w:eastAsia="Microsoft JhengHei"/>
                <w:b/>
                <w:sz w:val="21"/>
              </w:rPr>
            </w:pPr>
            <w:r>
              <w:rPr>
                <w:rFonts w:ascii="Microsoft JhengHei" w:eastAsia="Microsoft JhengHei"/>
                <w:b/>
                <w:spacing w:val="-5"/>
                <w:sz w:val="21"/>
              </w:rPr>
              <w:t>序号</w:t>
            </w:r>
          </w:p>
        </w:tc>
        <w:tc>
          <w:tcPr>
            <w:tcW w:w="1846" w:type="dxa"/>
            <w:tcBorders>
              <w:left w:val="single" w:sz="6" w:space="0" w:color="000000"/>
              <w:bottom w:val="single" w:sz="6" w:space="0" w:color="000000"/>
              <w:right w:val="single" w:sz="6" w:space="0" w:color="000000"/>
            </w:tcBorders>
            <w:shd w:val="clear" w:color="auto" w:fill="CCFFCC"/>
          </w:tcPr>
          <w:p>
            <w:pPr>
              <w:pStyle w:val="TableParagraph"/>
              <w:spacing w:before="127"/>
              <w:ind w:left="169" w:right="160"/>
              <w:jc w:val="center"/>
              <w:rPr>
                <w:rFonts w:ascii="Microsoft JhengHei" w:eastAsia="Microsoft JhengHei"/>
                <w:b/>
                <w:sz w:val="21"/>
              </w:rPr>
            </w:pPr>
            <w:r>
              <w:rPr>
                <w:rFonts w:ascii="Microsoft JhengHei" w:eastAsia="Microsoft JhengHei"/>
                <w:b/>
                <w:spacing w:val="-3"/>
                <w:sz w:val="21"/>
              </w:rPr>
              <w:t>设备名称</w:t>
            </w:r>
          </w:p>
        </w:tc>
        <w:tc>
          <w:tcPr>
            <w:tcW w:w="5747" w:type="dxa"/>
            <w:tcBorders>
              <w:left w:val="single" w:sz="6" w:space="0" w:color="000000"/>
              <w:bottom w:val="single" w:sz="6" w:space="0" w:color="000000"/>
              <w:right w:val="single" w:sz="6" w:space="0" w:color="000000"/>
            </w:tcBorders>
            <w:shd w:val="clear" w:color="auto" w:fill="CCFFCC"/>
          </w:tcPr>
          <w:p>
            <w:pPr>
              <w:pStyle w:val="TableParagraph"/>
              <w:spacing w:before="127"/>
              <w:ind w:left="2015" w:right="2006"/>
              <w:jc w:val="center"/>
              <w:rPr>
                <w:rFonts w:ascii="Microsoft JhengHei" w:eastAsia="Microsoft JhengHei"/>
                <w:b/>
                <w:sz w:val="21"/>
              </w:rPr>
            </w:pPr>
            <w:r>
              <w:rPr>
                <w:rFonts w:ascii="Microsoft JhengHei" w:eastAsia="Microsoft JhengHei"/>
                <w:b/>
                <w:spacing w:val="-3"/>
                <w:sz w:val="21"/>
              </w:rPr>
              <w:t>技术参数</w:t>
            </w:r>
          </w:p>
        </w:tc>
        <w:tc>
          <w:tcPr>
            <w:tcW w:w="729" w:type="dxa"/>
            <w:tcBorders>
              <w:left w:val="single" w:sz="6" w:space="0" w:color="000000"/>
              <w:bottom w:val="single" w:sz="6" w:space="0" w:color="000000"/>
              <w:right w:val="single" w:sz="6" w:space="0" w:color="000000"/>
            </w:tcBorders>
            <w:shd w:val="clear" w:color="auto" w:fill="CCFFCC"/>
          </w:tcPr>
          <w:p>
            <w:pPr>
              <w:pStyle w:val="TableParagraph"/>
              <w:spacing w:before="127"/>
              <w:ind w:left="136" w:right="127"/>
              <w:jc w:val="center"/>
              <w:rPr>
                <w:rFonts w:ascii="Microsoft JhengHei" w:eastAsia="Microsoft JhengHei"/>
                <w:b/>
                <w:sz w:val="21"/>
              </w:rPr>
            </w:pPr>
            <w:r>
              <w:rPr>
                <w:rFonts w:ascii="Microsoft JhengHei" w:eastAsia="Microsoft JhengHei"/>
                <w:b/>
                <w:spacing w:val="-5"/>
                <w:sz w:val="21"/>
              </w:rPr>
              <w:t>单位</w:t>
            </w:r>
          </w:p>
        </w:tc>
        <w:tc>
          <w:tcPr>
            <w:tcW w:w="724" w:type="dxa"/>
            <w:tcBorders>
              <w:left w:val="single" w:sz="6" w:space="0" w:color="000000"/>
              <w:bottom w:val="single" w:sz="6" w:space="0" w:color="000000"/>
            </w:tcBorders>
            <w:shd w:val="clear" w:color="auto" w:fill="CCFFCC"/>
          </w:tcPr>
          <w:p>
            <w:pPr>
              <w:pStyle w:val="TableParagraph"/>
              <w:spacing w:before="127"/>
              <w:ind w:left="130" w:right="121"/>
              <w:jc w:val="center"/>
              <w:rPr>
                <w:rFonts w:ascii="Microsoft JhengHei" w:eastAsia="Microsoft JhengHei"/>
                <w:b/>
                <w:sz w:val="21"/>
              </w:rPr>
            </w:pPr>
            <w:r>
              <w:rPr>
                <w:rFonts w:ascii="Microsoft JhengHei" w:eastAsia="Microsoft JhengHei"/>
                <w:b/>
                <w:spacing w:val="-5"/>
                <w:sz w:val="21"/>
              </w:rPr>
              <w:t>数量</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4</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70" w:right="160"/>
              <w:jc w:val="center"/>
              <w:rPr>
                <w:sz w:val="21"/>
              </w:rPr>
            </w:pPr>
            <w:r>
              <w:rPr>
                <w:spacing w:val="-2"/>
                <w:sz w:val="21"/>
              </w:rPr>
              <w:t>数据接收单元</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32"/>
              <w:jc w:val="both"/>
              <w:rPr>
                <w:sz w:val="21"/>
              </w:rPr>
            </w:pPr>
            <w:r>
              <w:rPr>
                <w:rFonts w:ascii="Times New Roman" w:eastAsia="Times New Roman"/>
                <w:spacing w:val="-2"/>
                <w:sz w:val="21"/>
              </w:rPr>
              <w:t>2*</w:t>
            </w:r>
            <w:r>
              <w:rPr>
                <w:spacing w:val="-10"/>
                <w:sz w:val="21"/>
              </w:rPr>
              <w:t xml:space="preserve">四核 </w:t>
            </w:r>
            <w:r>
              <w:rPr>
                <w:rFonts w:ascii="Times New Roman" w:eastAsia="Times New Roman"/>
                <w:spacing w:val="-2"/>
                <w:sz w:val="21"/>
              </w:rPr>
              <w:t>2.5GHz</w:t>
            </w:r>
            <w:r>
              <w:rPr>
                <w:spacing w:val="-2"/>
                <w:sz w:val="21"/>
              </w:rPr>
              <w:t>，</w:t>
            </w:r>
            <w:r>
              <w:rPr>
                <w:rFonts w:ascii="Times New Roman" w:eastAsia="Times New Roman"/>
                <w:spacing w:val="-2"/>
                <w:sz w:val="21"/>
              </w:rPr>
              <w:t>32GB</w:t>
            </w:r>
            <w:r>
              <w:rPr>
                <w:rFonts w:ascii="Times New Roman" w:eastAsia="Times New Roman"/>
                <w:spacing w:val="-11"/>
                <w:sz w:val="21"/>
              </w:rPr>
              <w:t xml:space="preserve"> </w:t>
            </w:r>
            <w:r>
              <w:rPr>
                <w:spacing w:val="-2"/>
                <w:sz w:val="21"/>
              </w:rPr>
              <w:t>内存，</w:t>
            </w:r>
            <w:r>
              <w:rPr>
                <w:rFonts w:ascii="Times New Roman" w:eastAsia="Times New Roman"/>
                <w:spacing w:val="-2"/>
                <w:sz w:val="21"/>
              </w:rPr>
              <w:t>6*300GB SAS</w:t>
            </w:r>
            <w:r>
              <w:rPr>
                <w:rFonts w:ascii="Times New Roman" w:eastAsia="Times New Roman"/>
                <w:spacing w:val="-3"/>
                <w:sz w:val="21"/>
              </w:rPr>
              <w:t xml:space="preserve"> </w:t>
            </w:r>
            <w:r>
              <w:rPr>
                <w:spacing w:val="-2"/>
                <w:sz w:val="21"/>
              </w:rPr>
              <w:t xml:space="preserve">热插拔硬盘，含 </w:t>
            </w:r>
            <w:r>
              <w:rPr>
                <w:rFonts w:ascii="Times New Roman" w:eastAsia="Times New Roman"/>
                <w:sz w:val="21"/>
              </w:rPr>
              <w:t xml:space="preserve">raid5 </w:t>
            </w:r>
            <w:r>
              <w:rPr>
                <w:sz w:val="21"/>
              </w:rPr>
              <w:t>卡（</w:t>
            </w:r>
            <w:r>
              <w:rPr>
                <w:rFonts w:ascii="Times New Roman" w:eastAsia="Times New Roman"/>
                <w:sz w:val="21"/>
              </w:rPr>
              <w:t>256MB cache</w:t>
            </w:r>
            <w:r>
              <w:rPr>
                <w:sz w:val="21"/>
              </w:rPr>
              <w:t>，电池保护），</w:t>
            </w:r>
            <w:r>
              <w:rPr>
                <w:rFonts w:ascii="Times New Roman" w:eastAsia="Times New Roman"/>
                <w:sz w:val="21"/>
              </w:rPr>
              <w:t>4*</w:t>
            </w:r>
            <w:r>
              <w:rPr>
                <w:sz w:val="21"/>
              </w:rPr>
              <w:t>千兆网口，冗余电</w:t>
            </w:r>
            <w:r>
              <w:rPr>
                <w:spacing w:val="-2"/>
                <w:sz w:val="21"/>
              </w:rPr>
              <w:t>源，配置远程管理模块，五年维保，原介质不返还</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5</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70" w:right="160"/>
              <w:jc w:val="center"/>
              <w:rPr>
                <w:sz w:val="21"/>
              </w:rPr>
            </w:pPr>
            <w:r>
              <w:rPr>
                <w:spacing w:val="-2"/>
                <w:sz w:val="21"/>
              </w:rPr>
              <w:t>数据入库单元</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303"/>
              <w:jc w:val="both"/>
              <w:rPr>
                <w:sz w:val="21"/>
              </w:rPr>
            </w:pPr>
            <w:r>
              <w:rPr>
                <w:rFonts w:ascii="Times New Roman" w:eastAsia="Times New Roman"/>
                <w:sz w:val="21"/>
              </w:rPr>
              <w:t>2*</w:t>
            </w:r>
            <w:r>
              <w:rPr>
                <w:spacing w:val="-9"/>
                <w:sz w:val="21"/>
              </w:rPr>
              <w:t xml:space="preserve">四核 </w:t>
            </w:r>
            <w:r>
              <w:rPr>
                <w:rFonts w:ascii="Times New Roman" w:eastAsia="Times New Roman"/>
                <w:sz w:val="21"/>
              </w:rPr>
              <w:t>2.5GHz</w:t>
            </w:r>
            <w:r>
              <w:rPr>
                <w:sz w:val="21"/>
              </w:rPr>
              <w:t>，</w:t>
            </w:r>
            <w:r>
              <w:rPr>
                <w:rFonts w:ascii="Times New Roman" w:eastAsia="Times New Roman"/>
                <w:sz w:val="21"/>
              </w:rPr>
              <w:t>32GB</w:t>
            </w:r>
            <w:r>
              <w:rPr>
                <w:rFonts w:ascii="Times New Roman" w:eastAsia="Times New Roman"/>
                <w:spacing w:val="-13"/>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 xml:space="preserve">热插拔硬盘， </w:t>
            </w:r>
            <w:r>
              <w:rPr>
                <w:rFonts w:ascii="Times New Roman" w:eastAsia="Times New Roman"/>
                <w:sz w:val="21"/>
              </w:rPr>
              <w:t>raid1</w:t>
            </w:r>
            <w:r>
              <w:rPr>
                <w:sz w:val="21"/>
              </w:rPr>
              <w:t>，</w:t>
            </w:r>
            <w:r>
              <w:rPr>
                <w:rFonts w:ascii="Times New Roman" w:eastAsia="Times New Roman"/>
                <w:sz w:val="21"/>
              </w:rPr>
              <w:t>2*8Gb</w:t>
            </w:r>
            <w:r>
              <w:rPr>
                <w:rFonts w:ascii="Times New Roman" w:eastAsia="Times New Roman"/>
                <w:spacing w:val="-14"/>
                <w:sz w:val="21"/>
              </w:rPr>
              <w:t xml:space="preserve"> </w:t>
            </w:r>
            <w:r>
              <w:rPr>
                <w:rFonts w:ascii="Times New Roman" w:eastAsia="Times New Roman"/>
                <w:sz w:val="21"/>
              </w:rPr>
              <w:t>HBA</w:t>
            </w:r>
            <w:r>
              <w:rPr>
                <w:rFonts w:ascii="Times New Roman" w:eastAsia="Times New Roman"/>
                <w:spacing w:val="-13"/>
                <w:sz w:val="21"/>
              </w:rPr>
              <w:t xml:space="preserve"> </w:t>
            </w:r>
            <w:r>
              <w:rPr>
                <w:sz w:val="21"/>
              </w:rPr>
              <w:t>卡，冗余电源，配置远程管理模块，五</w:t>
            </w:r>
            <w:r>
              <w:rPr>
                <w:spacing w:val="-2"/>
                <w:sz w:val="21"/>
              </w:rPr>
              <w:t>年维保，原介质不返还</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6</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70" w:right="160"/>
              <w:jc w:val="center"/>
              <w:rPr>
                <w:sz w:val="21"/>
              </w:rPr>
            </w:pPr>
            <w:r>
              <w:rPr>
                <w:spacing w:val="-2"/>
                <w:sz w:val="21"/>
              </w:rPr>
              <w:t>管理支撑单元</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53"/>
              <w:rPr>
                <w:sz w:val="21"/>
              </w:rPr>
            </w:pPr>
            <w:r>
              <w:rPr>
                <w:rFonts w:ascii="Times New Roman" w:eastAsia="Times New Roman"/>
                <w:sz w:val="21"/>
              </w:rPr>
              <w:t>2*</w:t>
            </w:r>
            <w:r>
              <w:rPr>
                <w:spacing w:val="-5"/>
                <w:sz w:val="21"/>
              </w:rPr>
              <w:t xml:space="preserve">四核 </w:t>
            </w:r>
            <w:r>
              <w:rPr>
                <w:rFonts w:ascii="Times New Roman" w:eastAsia="Times New Roman"/>
                <w:sz w:val="21"/>
              </w:rPr>
              <w:t>2.5GHz</w:t>
            </w:r>
            <w:r>
              <w:rPr>
                <w:sz w:val="21"/>
              </w:rPr>
              <w:t>，</w:t>
            </w:r>
            <w:r>
              <w:rPr>
                <w:rFonts w:ascii="Times New Roman" w:eastAsia="Times New Roman"/>
                <w:sz w:val="21"/>
              </w:rPr>
              <w:t xml:space="preserve">32GB </w:t>
            </w:r>
            <w:r>
              <w:rPr>
                <w:sz w:val="21"/>
              </w:rPr>
              <w:t>内存，</w:t>
            </w:r>
            <w:r>
              <w:rPr>
                <w:rFonts w:ascii="Times New Roman" w:eastAsia="Times New Roman"/>
                <w:sz w:val="21"/>
              </w:rPr>
              <w:t xml:space="preserve">2*300GB SAS </w:t>
            </w:r>
            <w:r>
              <w:rPr>
                <w:sz w:val="21"/>
              </w:rPr>
              <w:t xml:space="preserve">热插拔硬盘， </w:t>
            </w:r>
            <w:r>
              <w:rPr>
                <w:rFonts w:ascii="Times New Roman" w:eastAsia="Times New Roman"/>
                <w:spacing w:val="-2"/>
                <w:sz w:val="21"/>
              </w:rPr>
              <w:t>raid1</w:t>
            </w:r>
            <w:r>
              <w:rPr>
                <w:spacing w:val="-2"/>
                <w:sz w:val="21"/>
              </w:rPr>
              <w:t>，冗余电源，配置远程管理模块，五年维保，原介质不</w:t>
            </w:r>
            <w:r>
              <w:rPr>
                <w:spacing w:val="-6"/>
                <w:sz w:val="21"/>
              </w:rPr>
              <w:t>返还</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7</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70" w:right="160"/>
              <w:jc w:val="center"/>
              <w:rPr>
                <w:sz w:val="21"/>
              </w:rPr>
            </w:pPr>
            <w:r>
              <w:rPr>
                <w:spacing w:val="-2"/>
                <w:sz w:val="21"/>
              </w:rPr>
              <w:t>主用数据中心</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237"/>
              <w:jc w:val="both"/>
              <w:rPr>
                <w:sz w:val="21"/>
              </w:rPr>
            </w:pPr>
            <w:r>
              <w:rPr>
                <w:rFonts w:ascii="Times New Roman" w:eastAsia="Times New Roman"/>
                <w:spacing w:val="-2"/>
                <w:sz w:val="21"/>
              </w:rPr>
              <w:t>4*</w:t>
            </w:r>
            <w:r>
              <w:rPr>
                <w:spacing w:val="-10"/>
                <w:sz w:val="21"/>
              </w:rPr>
              <w:t xml:space="preserve">八核 </w:t>
            </w:r>
            <w:r>
              <w:rPr>
                <w:rFonts w:ascii="Times New Roman" w:eastAsia="Times New Roman"/>
                <w:spacing w:val="-2"/>
                <w:sz w:val="21"/>
              </w:rPr>
              <w:t>2.0GHz</w:t>
            </w:r>
            <w:r>
              <w:rPr>
                <w:spacing w:val="-2"/>
                <w:sz w:val="21"/>
              </w:rPr>
              <w:t>，</w:t>
            </w:r>
            <w:r>
              <w:rPr>
                <w:rFonts w:ascii="Times New Roman" w:eastAsia="Times New Roman"/>
                <w:spacing w:val="-2"/>
                <w:sz w:val="21"/>
              </w:rPr>
              <w:t>128GB</w:t>
            </w:r>
            <w:r>
              <w:rPr>
                <w:rFonts w:ascii="Times New Roman" w:eastAsia="Times New Roman"/>
                <w:spacing w:val="-11"/>
                <w:sz w:val="21"/>
              </w:rPr>
              <w:t xml:space="preserve"> </w:t>
            </w:r>
            <w:r>
              <w:rPr>
                <w:spacing w:val="-2"/>
                <w:sz w:val="21"/>
              </w:rPr>
              <w:t>内存，</w:t>
            </w:r>
            <w:r>
              <w:rPr>
                <w:rFonts w:ascii="Times New Roman" w:eastAsia="Times New Roman"/>
                <w:spacing w:val="-2"/>
                <w:sz w:val="21"/>
              </w:rPr>
              <w:t>2*300GB SAS</w:t>
            </w:r>
            <w:r>
              <w:rPr>
                <w:rFonts w:ascii="Times New Roman" w:eastAsia="Times New Roman"/>
                <w:spacing w:val="-3"/>
                <w:sz w:val="21"/>
              </w:rPr>
              <w:t xml:space="preserve"> </w:t>
            </w:r>
            <w:r>
              <w:rPr>
                <w:spacing w:val="-2"/>
                <w:sz w:val="21"/>
              </w:rPr>
              <w:t xml:space="preserve">热插拔硬盘， </w:t>
            </w:r>
            <w:r>
              <w:rPr>
                <w:rFonts w:ascii="Times New Roman" w:eastAsia="Times New Roman"/>
                <w:sz w:val="21"/>
              </w:rPr>
              <w:t>raid1</w:t>
            </w:r>
            <w:r>
              <w:rPr>
                <w:sz w:val="21"/>
              </w:rPr>
              <w:t>，</w:t>
            </w:r>
            <w:r>
              <w:rPr>
                <w:rFonts w:ascii="Times New Roman" w:eastAsia="Times New Roman"/>
                <w:sz w:val="21"/>
              </w:rPr>
              <w:t>4*</w:t>
            </w:r>
            <w:r>
              <w:rPr>
                <w:sz w:val="21"/>
              </w:rPr>
              <w:t>千兆网口，</w:t>
            </w:r>
            <w:r>
              <w:rPr>
                <w:rFonts w:ascii="Times New Roman" w:eastAsia="Times New Roman"/>
                <w:sz w:val="21"/>
              </w:rPr>
              <w:t xml:space="preserve">2*8Gb HBA </w:t>
            </w:r>
            <w:r>
              <w:rPr>
                <w:sz w:val="21"/>
              </w:rPr>
              <w:t>卡，冗余电源，配置远程</w:t>
            </w:r>
            <w:r>
              <w:rPr>
                <w:spacing w:val="-2"/>
                <w:sz w:val="21"/>
              </w:rPr>
              <w:t>管理模块，五年维保，原介质不返还）</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1123"/>
          <w:jc w:val="left"/>
        </w:trPr>
        <w:tc>
          <w:tcPr>
            <w:tcW w:w="679" w:type="dxa"/>
            <w:tcBorders>
              <w:top w:val="single" w:sz="6" w:space="0" w:color="000000"/>
              <w:bottom w:val="single" w:sz="6" w:space="0" w:color="000000"/>
              <w:right w:val="single" w:sz="6" w:space="0" w:color="000000"/>
            </w:tcBorders>
          </w:tcPr>
          <w:p>
            <w:pPr>
              <w:pStyle w:val="TableParagraph"/>
              <w:spacing w:before="18"/>
              <w:rPr>
                <w:rFonts w:ascii="Microsoft JhengHei"/>
                <w:b/>
                <w:sz w:val="23"/>
              </w:rPr>
            </w:pPr>
          </w:p>
          <w:p>
            <w:pPr>
              <w:pStyle w:val="TableParagraph"/>
              <w:ind w:left="10"/>
              <w:jc w:val="center"/>
              <w:rPr>
                <w:rFonts w:ascii="Times New Roman"/>
                <w:sz w:val="21"/>
              </w:rPr>
            </w:pPr>
            <w:r>
              <w:rPr>
                <w:rFonts w:ascii="Times New Roman"/>
                <w:sz w:val="21"/>
              </w:rPr>
              <w:t>8</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6"/>
              <w:rPr>
                <w:rFonts w:ascii="Microsoft JhengHei"/>
                <w:b/>
                <w:sz w:val="23"/>
              </w:rPr>
            </w:pPr>
          </w:p>
          <w:p>
            <w:pPr>
              <w:pStyle w:val="TableParagraph"/>
              <w:ind w:left="170" w:right="160"/>
              <w:jc w:val="center"/>
              <w:rPr>
                <w:sz w:val="21"/>
              </w:rPr>
            </w:pPr>
            <w:r>
              <w:rPr>
                <w:spacing w:val="-2"/>
                <w:sz w:val="21"/>
              </w:rPr>
              <w:t>备用数据中心</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9" w:line="270" w:lineRule="atLeast"/>
              <w:ind w:left="105" w:right="99"/>
              <w:rPr>
                <w:sz w:val="21"/>
              </w:rPr>
            </w:pPr>
            <w:r>
              <w:rPr>
                <w:rFonts w:ascii="Times New Roman" w:eastAsia="Times New Roman"/>
                <w:sz w:val="21"/>
              </w:rPr>
              <w:t>2*</w:t>
            </w:r>
            <w:r>
              <w:rPr>
                <w:spacing w:val="-18"/>
                <w:sz w:val="21"/>
              </w:rPr>
              <w:t xml:space="preserve">六核 </w:t>
            </w:r>
            <w:r>
              <w:rPr>
                <w:rFonts w:ascii="Times New Roman" w:eastAsia="Times New Roman"/>
                <w:sz w:val="21"/>
              </w:rPr>
              <w:t>2.1GHz</w:t>
            </w:r>
            <w:r>
              <w:rPr>
                <w:sz w:val="21"/>
              </w:rPr>
              <w:t>，</w:t>
            </w:r>
            <w:r>
              <w:rPr>
                <w:rFonts w:ascii="Times New Roman" w:eastAsia="Times New Roman"/>
                <w:sz w:val="21"/>
              </w:rPr>
              <w:t>64GB</w:t>
            </w:r>
            <w:r>
              <w:rPr>
                <w:rFonts w:ascii="Times New Roman" w:eastAsia="Times New Roman"/>
                <w:spacing w:val="-13"/>
                <w:sz w:val="21"/>
              </w:rPr>
              <w:t xml:space="preserve"> </w:t>
            </w:r>
            <w:r>
              <w:rPr>
                <w:sz w:val="21"/>
              </w:rPr>
              <w:t>内存，</w:t>
            </w:r>
            <w:r>
              <w:rPr>
                <w:rFonts w:ascii="Times New Roman" w:eastAsia="Times New Roman"/>
                <w:sz w:val="21"/>
              </w:rPr>
              <w:t>6*300GB</w:t>
            </w:r>
            <w:r>
              <w:rPr>
                <w:rFonts w:ascii="Times New Roman" w:eastAsia="Times New Roman"/>
                <w:spacing w:val="-1"/>
                <w:sz w:val="21"/>
              </w:rPr>
              <w:t xml:space="preserve"> </w:t>
            </w:r>
            <w:r>
              <w:rPr>
                <w:rFonts w:ascii="Times New Roman" w:eastAsia="Times New Roman"/>
                <w:sz w:val="21"/>
              </w:rPr>
              <w:t>SAS</w:t>
            </w:r>
            <w:r>
              <w:rPr>
                <w:rFonts w:ascii="Times New Roman" w:eastAsia="Times New Roman"/>
                <w:spacing w:val="-12"/>
                <w:sz w:val="21"/>
              </w:rPr>
              <w:t xml:space="preserve"> </w:t>
            </w:r>
            <w:r>
              <w:rPr>
                <w:sz w:val="21"/>
              </w:rPr>
              <w:t xml:space="preserve">热插拔硬盘，含 </w:t>
            </w:r>
            <w:r>
              <w:rPr>
                <w:rFonts w:ascii="Times New Roman" w:eastAsia="Times New Roman"/>
                <w:sz w:val="21"/>
              </w:rPr>
              <w:t xml:space="preserve">raid5 </w:t>
            </w:r>
            <w:r>
              <w:rPr>
                <w:sz w:val="21"/>
              </w:rPr>
              <w:t>卡（</w:t>
            </w:r>
            <w:r>
              <w:rPr>
                <w:rFonts w:ascii="Times New Roman" w:eastAsia="Times New Roman"/>
                <w:sz w:val="21"/>
              </w:rPr>
              <w:t>256MB cache</w:t>
            </w:r>
            <w:r>
              <w:rPr>
                <w:sz w:val="21"/>
              </w:rPr>
              <w:t>，电池保护），</w:t>
            </w:r>
            <w:r>
              <w:rPr>
                <w:rFonts w:ascii="Times New Roman" w:eastAsia="Times New Roman"/>
                <w:sz w:val="21"/>
              </w:rPr>
              <w:t>4*</w:t>
            </w:r>
            <w:r>
              <w:rPr>
                <w:sz w:val="21"/>
              </w:rPr>
              <w:t>千兆网口，</w:t>
            </w:r>
            <w:r>
              <w:rPr>
                <w:rFonts w:ascii="Times New Roman" w:eastAsia="Times New Roman"/>
                <w:sz w:val="21"/>
              </w:rPr>
              <w:t xml:space="preserve">2*8Gb </w:t>
            </w:r>
            <w:r>
              <w:rPr>
                <w:rFonts w:ascii="Times New Roman" w:eastAsia="Times New Roman"/>
                <w:spacing w:val="-2"/>
                <w:sz w:val="21"/>
              </w:rPr>
              <w:t>HBA</w:t>
            </w:r>
            <w:r>
              <w:rPr>
                <w:rFonts w:ascii="Times New Roman" w:eastAsia="Times New Roman"/>
                <w:spacing w:val="-10"/>
                <w:sz w:val="21"/>
              </w:rPr>
              <w:t xml:space="preserve"> </w:t>
            </w:r>
            <w:r>
              <w:rPr>
                <w:spacing w:val="-2"/>
                <w:sz w:val="21"/>
              </w:rPr>
              <w:t>卡，冗余电源，配置远程管理模块，五年维保，原介质</w:t>
            </w:r>
            <w:r>
              <w:rPr>
                <w:spacing w:val="-4"/>
                <w:sz w:val="21"/>
              </w:rPr>
              <w:t>不返还）</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6"/>
              <w:rPr>
                <w:rFonts w:ascii="Microsoft JhengHei"/>
                <w:b/>
                <w:sz w:val="23"/>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8"/>
              <w:rPr>
                <w:rFonts w:ascii="Microsoft JhengHei"/>
                <w:b/>
                <w:sz w:val="23"/>
              </w:rPr>
            </w:pPr>
          </w:p>
          <w:p>
            <w:pPr>
              <w:pStyle w:val="TableParagraph"/>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9</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2</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64"/>
              <w:jc w:val="both"/>
              <w:rPr>
                <w:sz w:val="21"/>
              </w:rPr>
            </w:pPr>
            <w:r>
              <w:rPr>
                <w:rFonts w:ascii="Times New Roman" w:eastAsia="Times New Roman"/>
                <w:sz w:val="21"/>
              </w:rPr>
              <w:t>2*</w:t>
            </w:r>
            <w:r>
              <w:rPr>
                <w:spacing w:val="-9"/>
                <w:sz w:val="21"/>
              </w:rPr>
              <w:t xml:space="preserve">四核 </w:t>
            </w:r>
            <w:r>
              <w:rPr>
                <w:rFonts w:ascii="Times New Roman" w:eastAsia="Times New Roman"/>
                <w:sz w:val="21"/>
              </w:rPr>
              <w:t>2.5GHz</w:t>
            </w:r>
            <w:r>
              <w:rPr>
                <w:sz w:val="21"/>
              </w:rPr>
              <w:t>，</w:t>
            </w:r>
            <w:r>
              <w:rPr>
                <w:rFonts w:ascii="Times New Roman" w:eastAsia="Times New Roman"/>
                <w:sz w:val="21"/>
              </w:rPr>
              <w:t>16GB</w:t>
            </w:r>
            <w:r>
              <w:rPr>
                <w:rFonts w:ascii="Times New Roman" w:eastAsia="Times New Roman"/>
                <w:spacing w:val="-13"/>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pacing w:val="-2"/>
                <w:sz w:val="21"/>
              </w:rPr>
              <w:t>千兆网口，冗余电源，配置远程管理模块，五年维保、硬盘</w:t>
            </w:r>
            <w:r>
              <w:rPr>
                <w:spacing w:val="-2"/>
                <w:sz w:val="21"/>
              </w:rPr>
              <w:t>盘芯不返还的保修服务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7" w:right="97"/>
              <w:jc w:val="center"/>
              <w:rPr>
                <w:rFonts w:ascii="Times New Roman"/>
                <w:sz w:val="21"/>
              </w:rPr>
            </w:pPr>
            <w:r>
              <w:rPr>
                <w:rFonts w:ascii="Times New Roman"/>
                <w:spacing w:val="-5"/>
                <w:sz w:val="21"/>
              </w:rPr>
              <w:t>10</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3</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64"/>
              <w:jc w:val="both"/>
              <w:rPr>
                <w:sz w:val="21"/>
              </w:rPr>
            </w:pPr>
            <w:r>
              <w:rPr>
                <w:rFonts w:ascii="Times New Roman" w:eastAsia="Times New Roman"/>
                <w:sz w:val="21"/>
              </w:rPr>
              <w:t>2*</w:t>
            </w:r>
            <w:r>
              <w:rPr>
                <w:spacing w:val="-9"/>
                <w:sz w:val="21"/>
              </w:rPr>
              <w:t xml:space="preserve">四核 </w:t>
            </w:r>
            <w:r>
              <w:rPr>
                <w:rFonts w:ascii="Times New Roman" w:eastAsia="Times New Roman"/>
                <w:sz w:val="21"/>
              </w:rPr>
              <w:t>2.5GHz</w:t>
            </w:r>
            <w:r>
              <w:rPr>
                <w:sz w:val="21"/>
              </w:rPr>
              <w:t>，</w:t>
            </w:r>
            <w:r>
              <w:rPr>
                <w:rFonts w:ascii="Times New Roman" w:eastAsia="Times New Roman"/>
                <w:sz w:val="21"/>
              </w:rPr>
              <w:t>16GB</w:t>
            </w:r>
            <w:r>
              <w:rPr>
                <w:rFonts w:ascii="Times New Roman" w:eastAsia="Times New Roman"/>
                <w:spacing w:val="-13"/>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pacing w:val="-2"/>
                <w:sz w:val="21"/>
              </w:rPr>
              <w:t>千兆网口，冗余电源，配置远程管理模块，五年维保、硬盘</w:t>
            </w:r>
            <w:r>
              <w:rPr>
                <w:spacing w:val="-2"/>
                <w:sz w:val="21"/>
              </w:rPr>
              <w:t>盘芯不返还的保修服务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7" w:right="97"/>
              <w:jc w:val="center"/>
              <w:rPr>
                <w:rFonts w:ascii="Times New Roman"/>
                <w:sz w:val="21"/>
              </w:rPr>
            </w:pPr>
            <w:r>
              <w:rPr>
                <w:rFonts w:ascii="Times New Roman"/>
                <w:spacing w:val="-5"/>
                <w:sz w:val="21"/>
              </w:rPr>
              <w:t>11</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4</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04"/>
              <w:rPr>
                <w:sz w:val="21"/>
              </w:rPr>
            </w:pPr>
            <w:r>
              <w:rPr>
                <w:rFonts w:ascii="Times New Roman" w:eastAsia="Times New Roman"/>
                <w:sz w:val="21"/>
              </w:rPr>
              <w:t>2*</w:t>
            </w:r>
            <w:r>
              <w:rPr>
                <w:spacing w:val="-13"/>
                <w:sz w:val="21"/>
              </w:rPr>
              <w:t xml:space="preserve">四核 </w:t>
            </w:r>
            <w:r>
              <w:rPr>
                <w:rFonts w:ascii="Times New Roman" w:eastAsia="Times New Roman"/>
                <w:sz w:val="21"/>
              </w:rPr>
              <w:t>2.5GHz</w:t>
            </w:r>
            <w:r>
              <w:rPr>
                <w:sz w:val="21"/>
              </w:rPr>
              <w:t>，</w:t>
            </w:r>
            <w:r>
              <w:rPr>
                <w:rFonts w:ascii="Times New Roman" w:eastAsia="Times New Roman"/>
                <w:sz w:val="21"/>
              </w:rPr>
              <w:t xml:space="preserve">64GB </w:t>
            </w:r>
            <w:r>
              <w:rPr>
                <w:sz w:val="21"/>
              </w:rPr>
              <w:t>内存，</w:t>
            </w:r>
            <w:r>
              <w:rPr>
                <w:rFonts w:ascii="Times New Roman" w:eastAsia="Times New Roman"/>
                <w:sz w:val="21"/>
              </w:rPr>
              <w:t xml:space="preserve">2*300GB SAS </w:t>
            </w:r>
            <w:r>
              <w:rPr>
                <w:sz w:val="21"/>
              </w:rPr>
              <w:t>硬盘</w:t>
            </w:r>
            <w:r>
              <w:rPr>
                <w:rFonts w:ascii="Times New Roman" w:eastAsia="Times New Roman"/>
                <w:sz w:val="21"/>
              </w:rPr>
              <w:t>/Raid1</w:t>
            </w:r>
            <w:r>
              <w:rPr>
                <w:sz w:val="21"/>
              </w:rPr>
              <w:t>，</w:t>
            </w:r>
            <w:r>
              <w:rPr>
                <w:rFonts w:ascii="Times New Roman" w:eastAsia="Times New Roman"/>
                <w:sz w:val="21"/>
              </w:rPr>
              <w:t>4*</w:t>
            </w:r>
            <w:r>
              <w:rPr>
                <w:sz w:val="21"/>
              </w:rPr>
              <w:t>千兆网口，</w:t>
            </w:r>
            <w:r>
              <w:rPr>
                <w:rFonts w:ascii="Times New Roman" w:eastAsia="Times New Roman"/>
                <w:sz w:val="21"/>
              </w:rPr>
              <w:t>2*8Gb</w:t>
            </w:r>
            <w:r>
              <w:rPr>
                <w:rFonts w:ascii="Times New Roman" w:eastAsia="Times New Roman"/>
                <w:spacing w:val="-14"/>
                <w:sz w:val="21"/>
              </w:rPr>
              <w:t xml:space="preserve"> </w:t>
            </w:r>
            <w:r>
              <w:rPr>
                <w:rFonts w:ascii="Times New Roman" w:eastAsia="Times New Roman"/>
                <w:sz w:val="21"/>
              </w:rPr>
              <w:t>HBA</w:t>
            </w:r>
            <w:r>
              <w:rPr>
                <w:rFonts w:ascii="Times New Roman" w:eastAsia="Times New Roman"/>
                <w:spacing w:val="-13"/>
                <w:sz w:val="21"/>
              </w:rPr>
              <w:t xml:space="preserve"> </w:t>
            </w:r>
            <w:r>
              <w:rPr>
                <w:sz w:val="21"/>
              </w:rPr>
              <w:t>卡，冗余电源，配置远程管理模块，</w:t>
            </w:r>
            <w:r>
              <w:rPr>
                <w:spacing w:val="-2"/>
                <w:sz w:val="21"/>
              </w:rPr>
              <w:t>五年维保、硬盘盘芯不返还的保修服务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7" w:right="97"/>
              <w:jc w:val="center"/>
              <w:rPr>
                <w:rFonts w:ascii="Times New Roman"/>
                <w:sz w:val="21"/>
              </w:rPr>
            </w:pPr>
            <w:r>
              <w:rPr>
                <w:rFonts w:ascii="Times New Roman"/>
                <w:spacing w:val="-5"/>
                <w:sz w:val="21"/>
              </w:rPr>
              <w:t>12</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5</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64"/>
              <w:jc w:val="both"/>
              <w:rPr>
                <w:sz w:val="21"/>
              </w:rPr>
            </w:pPr>
            <w:r>
              <w:rPr>
                <w:rFonts w:ascii="Times New Roman" w:eastAsia="Times New Roman"/>
                <w:sz w:val="21"/>
              </w:rPr>
              <w:t>2*</w:t>
            </w:r>
            <w:r>
              <w:rPr>
                <w:spacing w:val="-9"/>
                <w:sz w:val="21"/>
              </w:rPr>
              <w:t xml:space="preserve">四核 </w:t>
            </w:r>
            <w:r>
              <w:rPr>
                <w:rFonts w:ascii="Times New Roman" w:eastAsia="Times New Roman"/>
                <w:sz w:val="21"/>
              </w:rPr>
              <w:t>2.5GHz</w:t>
            </w:r>
            <w:r>
              <w:rPr>
                <w:sz w:val="21"/>
              </w:rPr>
              <w:t>，</w:t>
            </w:r>
            <w:r>
              <w:rPr>
                <w:rFonts w:ascii="Times New Roman" w:eastAsia="Times New Roman"/>
                <w:sz w:val="21"/>
              </w:rPr>
              <w:t>16GB</w:t>
            </w:r>
            <w:r>
              <w:rPr>
                <w:rFonts w:ascii="Times New Roman" w:eastAsia="Times New Roman"/>
                <w:spacing w:val="-13"/>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pacing w:val="-2"/>
                <w:sz w:val="21"/>
              </w:rPr>
              <w:t>千兆网口，冗余电源，配置远程管理模块，五年维保、硬盘</w:t>
            </w:r>
            <w:r>
              <w:rPr>
                <w:spacing w:val="-2"/>
                <w:sz w:val="21"/>
              </w:rPr>
              <w:t>盘芯不返还的保修服务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7" w:right="97"/>
              <w:jc w:val="center"/>
              <w:rPr>
                <w:rFonts w:ascii="Times New Roman"/>
                <w:sz w:val="21"/>
              </w:rPr>
            </w:pPr>
            <w:r>
              <w:rPr>
                <w:rFonts w:ascii="Times New Roman"/>
                <w:spacing w:val="-5"/>
                <w:sz w:val="21"/>
              </w:rPr>
              <w:t>13</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6</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97"/>
              <w:rPr>
                <w:sz w:val="21"/>
              </w:rPr>
            </w:pPr>
            <w:r>
              <w:rPr>
                <w:rFonts w:ascii="Times New Roman" w:eastAsia="Times New Roman"/>
                <w:sz w:val="21"/>
              </w:rPr>
              <w:t>2*</w:t>
            </w:r>
            <w:r>
              <w:rPr>
                <w:spacing w:val="-18"/>
                <w:sz w:val="21"/>
              </w:rPr>
              <w:t xml:space="preserve">四核 </w:t>
            </w:r>
            <w:r>
              <w:rPr>
                <w:rFonts w:ascii="Times New Roman" w:eastAsia="Times New Roman"/>
                <w:sz w:val="21"/>
              </w:rPr>
              <w:t>2.5GHz</w:t>
            </w:r>
            <w:r>
              <w:rPr>
                <w:sz w:val="21"/>
              </w:rPr>
              <w:t>，</w:t>
            </w:r>
            <w:r>
              <w:rPr>
                <w:rFonts w:ascii="Times New Roman" w:eastAsia="Times New Roman"/>
                <w:sz w:val="21"/>
              </w:rPr>
              <w:t>4*4GB</w:t>
            </w:r>
            <w:r>
              <w:rPr>
                <w:rFonts w:ascii="Times New Roman" w:eastAsia="Times New Roman"/>
                <w:spacing w:val="-14"/>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pacing w:val="-2"/>
                <w:sz w:val="21"/>
              </w:rPr>
              <w:t>千兆网卡，冗余电源，</w:t>
            </w:r>
            <w:r>
              <w:rPr>
                <w:rFonts w:ascii="Times New Roman" w:eastAsia="Times New Roman"/>
                <w:spacing w:val="-2"/>
                <w:sz w:val="21"/>
              </w:rPr>
              <w:t>AC</w:t>
            </w:r>
            <w:r>
              <w:rPr>
                <w:spacing w:val="-2"/>
                <w:sz w:val="21"/>
              </w:rPr>
              <w:t>，五年维保，原介质不返还的保</w:t>
            </w:r>
            <w:r>
              <w:rPr>
                <w:spacing w:val="-2"/>
                <w:sz w:val="21"/>
              </w:rPr>
              <w:t xml:space="preserve"> </w:t>
            </w:r>
            <w:r>
              <w:rPr>
                <w:spacing w:val="-4"/>
                <w:sz w:val="21"/>
              </w:rPr>
              <w:t>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7" w:right="97"/>
              <w:jc w:val="center"/>
              <w:rPr>
                <w:rFonts w:ascii="Times New Roman"/>
                <w:sz w:val="21"/>
              </w:rPr>
            </w:pPr>
            <w:r>
              <w:rPr>
                <w:rFonts w:ascii="Times New Roman"/>
                <w:spacing w:val="-5"/>
                <w:sz w:val="21"/>
              </w:rPr>
              <w:t>14</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7</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28"/>
              <w:jc w:val="both"/>
              <w:rPr>
                <w:sz w:val="21"/>
              </w:rPr>
            </w:pPr>
            <w:r>
              <w:rPr>
                <w:rFonts w:ascii="Times New Roman" w:eastAsia="Times New Roman"/>
                <w:sz w:val="21"/>
              </w:rPr>
              <w:t>2*</w:t>
            </w:r>
            <w:r>
              <w:rPr>
                <w:spacing w:val="-9"/>
                <w:sz w:val="21"/>
              </w:rPr>
              <w:t xml:space="preserve">八核 </w:t>
            </w:r>
            <w:r>
              <w:rPr>
                <w:rFonts w:ascii="Times New Roman" w:eastAsia="Times New Roman"/>
                <w:sz w:val="21"/>
              </w:rPr>
              <w:t>2.0GHz</w:t>
            </w:r>
            <w:r>
              <w:rPr>
                <w:sz w:val="21"/>
              </w:rPr>
              <w:t>，</w:t>
            </w:r>
            <w:r>
              <w:rPr>
                <w:rFonts w:ascii="Times New Roman" w:eastAsia="Times New Roman"/>
                <w:sz w:val="21"/>
              </w:rPr>
              <w:t>32GB</w:t>
            </w:r>
            <w:r>
              <w:rPr>
                <w:rFonts w:ascii="Times New Roman" w:eastAsia="Times New Roman"/>
                <w:spacing w:val="-13"/>
                <w:sz w:val="21"/>
              </w:rPr>
              <w:t xml:space="preserve"> </w:t>
            </w:r>
            <w:r>
              <w:rPr>
                <w:sz w:val="21"/>
              </w:rPr>
              <w:t>内存，</w:t>
            </w:r>
            <w:r>
              <w:rPr>
                <w:rFonts w:ascii="Times New Roman" w:eastAsia="Times New Roman"/>
                <w:sz w:val="21"/>
              </w:rPr>
              <w:t>8*300GB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w:t>
            </w:r>
            <w:r>
              <w:rPr>
                <w:rFonts w:ascii="Times New Roman" w:eastAsia="Times New Roman"/>
                <w:spacing w:val="-13"/>
                <w:sz w:val="21"/>
              </w:rPr>
              <w:t xml:space="preserve"> </w:t>
            </w:r>
            <w:r>
              <w:rPr>
                <w:rFonts w:ascii="Times New Roman" w:eastAsia="Times New Roman"/>
                <w:sz w:val="21"/>
              </w:rPr>
              <w:t>5</w:t>
            </w:r>
            <w:r>
              <w:rPr>
                <w:sz w:val="21"/>
              </w:rPr>
              <w:t xml:space="preserve">，含 </w:t>
            </w:r>
            <w:r>
              <w:rPr>
                <w:rFonts w:ascii="Times New Roman" w:eastAsia="Times New Roman"/>
                <w:sz w:val="21"/>
              </w:rPr>
              <w:t>Raid5</w:t>
            </w:r>
            <w:r>
              <w:rPr>
                <w:rFonts w:ascii="Times New Roman" w:eastAsia="Times New Roman"/>
                <w:spacing w:val="-14"/>
                <w:sz w:val="21"/>
              </w:rPr>
              <w:t xml:space="preserve"> </w:t>
            </w:r>
            <w:r>
              <w:rPr>
                <w:sz w:val="21"/>
              </w:rPr>
              <w:t>卡（</w:t>
            </w:r>
            <w:r>
              <w:rPr>
                <w:rFonts w:ascii="Times New Roman" w:eastAsia="Times New Roman"/>
                <w:sz w:val="21"/>
              </w:rPr>
              <w:t>512MB</w:t>
            </w:r>
            <w:r>
              <w:rPr>
                <w:rFonts w:ascii="Times New Roman" w:eastAsia="Times New Roman"/>
                <w:spacing w:val="-13"/>
                <w:sz w:val="21"/>
              </w:rPr>
              <w:t xml:space="preserve"> </w:t>
            </w:r>
            <w:r>
              <w:rPr>
                <w:rFonts w:ascii="Times New Roman" w:eastAsia="Times New Roman"/>
                <w:sz w:val="21"/>
              </w:rPr>
              <w:t>cache</w:t>
            </w:r>
            <w:r>
              <w:rPr>
                <w:sz w:val="21"/>
              </w:rPr>
              <w:t>，电池保护），</w:t>
            </w:r>
            <w:r>
              <w:rPr>
                <w:rFonts w:ascii="Times New Roman" w:eastAsia="Times New Roman"/>
                <w:sz w:val="21"/>
              </w:rPr>
              <w:t>2*</w:t>
            </w:r>
            <w:r>
              <w:rPr>
                <w:sz w:val="21"/>
              </w:rPr>
              <w:t>千兆网卡，冗余电</w:t>
            </w:r>
            <w:r>
              <w:rPr>
                <w:spacing w:val="-2"/>
                <w:sz w:val="21"/>
              </w:rPr>
              <w:t>源，五年维保，原介质不返还的保修服务）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7" w:right="97"/>
              <w:jc w:val="center"/>
              <w:rPr>
                <w:rFonts w:ascii="Times New Roman"/>
                <w:sz w:val="21"/>
              </w:rPr>
            </w:pPr>
            <w:r>
              <w:rPr>
                <w:rFonts w:ascii="Times New Roman"/>
                <w:spacing w:val="-5"/>
                <w:sz w:val="21"/>
              </w:rPr>
              <w:t>15</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8</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97"/>
              <w:rPr>
                <w:sz w:val="21"/>
              </w:rPr>
            </w:pPr>
            <w:r>
              <w:rPr>
                <w:rFonts w:ascii="Times New Roman" w:eastAsia="Times New Roman"/>
                <w:sz w:val="21"/>
              </w:rPr>
              <w:t>2*</w:t>
            </w:r>
            <w:r>
              <w:rPr>
                <w:spacing w:val="-18"/>
                <w:sz w:val="21"/>
              </w:rPr>
              <w:t xml:space="preserve">四核 </w:t>
            </w:r>
            <w:r>
              <w:rPr>
                <w:rFonts w:ascii="Times New Roman" w:eastAsia="Times New Roman"/>
                <w:sz w:val="21"/>
              </w:rPr>
              <w:t>2.5GHz</w:t>
            </w:r>
            <w:r>
              <w:rPr>
                <w:sz w:val="21"/>
              </w:rPr>
              <w:t>，</w:t>
            </w:r>
            <w:r>
              <w:rPr>
                <w:rFonts w:ascii="Times New Roman" w:eastAsia="Times New Roman"/>
                <w:sz w:val="21"/>
              </w:rPr>
              <w:t>4*4GB</w:t>
            </w:r>
            <w:r>
              <w:rPr>
                <w:rFonts w:ascii="Times New Roman" w:eastAsia="Times New Roman"/>
                <w:spacing w:val="-14"/>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pacing w:val="-2"/>
                <w:sz w:val="21"/>
              </w:rPr>
              <w:t>千兆网卡，冗余电源，</w:t>
            </w:r>
            <w:r>
              <w:rPr>
                <w:rFonts w:ascii="Times New Roman" w:eastAsia="Times New Roman"/>
                <w:spacing w:val="-2"/>
                <w:sz w:val="21"/>
              </w:rPr>
              <w:t>AC</w:t>
            </w:r>
            <w:r>
              <w:rPr>
                <w:spacing w:val="-2"/>
                <w:sz w:val="21"/>
              </w:rPr>
              <w:t>，五年维保，原介质不返还的保</w:t>
            </w:r>
            <w:r>
              <w:rPr>
                <w:spacing w:val="-2"/>
                <w:sz w:val="21"/>
              </w:rPr>
              <w:t xml:space="preserve"> </w:t>
            </w:r>
            <w:r>
              <w:rPr>
                <w:spacing w:val="-4"/>
                <w:sz w:val="21"/>
              </w:rPr>
              <w:t>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7" w:right="97"/>
              <w:jc w:val="center"/>
              <w:rPr>
                <w:rFonts w:ascii="Times New Roman"/>
                <w:sz w:val="21"/>
              </w:rPr>
            </w:pPr>
            <w:r>
              <w:rPr>
                <w:rFonts w:ascii="Times New Roman"/>
                <w:spacing w:val="-5"/>
                <w:sz w:val="21"/>
              </w:rPr>
              <w:t>16</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10"/>
                <w:sz w:val="21"/>
              </w:rPr>
              <w:t>9</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97"/>
              <w:rPr>
                <w:sz w:val="21"/>
              </w:rPr>
            </w:pPr>
            <w:r>
              <w:rPr>
                <w:rFonts w:ascii="Times New Roman" w:eastAsia="Times New Roman"/>
                <w:sz w:val="21"/>
              </w:rPr>
              <w:t>2*</w:t>
            </w:r>
            <w:r>
              <w:rPr>
                <w:spacing w:val="-18"/>
                <w:sz w:val="21"/>
              </w:rPr>
              <w:t xml:space="preserve">四核 </w:t>
            </w:r>
            <w:r>
              <w:rPr>
                <w:rFonts w:ascii="Times New Roman" w:eastAsia="Times New Roman"/>
                <w:sz w:val="21"/>
              </w:rPr>
              <w:t>2.5GHz</w:t>
            </w:r>
            <w:r>
              <w:rPr>
                <w:sz w:val="21"/>
              </w:rPr>
              <w:t>，</w:t>
            </w:r>
            <w:r>
              <w:rPr>
                <w:rFonts w:ascii="Times New Roman" w:eastAsia="Times New Roman"/>
                <w:sz w:val="21"/>
              </w:rPr>
              <w:t>4*4GB</w:t>
            </w:r>
            <w:r>
              <w:rPr>
                <w:rFonts w:ascii="Times New Roman" w:eastAsia="Times New Roman"/>
                <w:spacing w:val="-14"/>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pacing w:val="-2"/>
                <w:sz w:val="21"/>
              </w:rPr>
              <w:t>千兆网卡，冗余电源，</w:t>
            </w:r>
            <w:r>
              <w:rPr>
                <w:rFonts w:ascii="Times New Roman" w:eastAsia="Times New Roman"/>
                <w:spacing w:val="-2"/>
                <w:sz w:val="21"/>
              </w:rPr>
              <w:t>AC</w:t>
            </w:r>
            <w:r>
              <w:rPr>
                <w:spacing w:val="-2"/>
                <w:sz w:val="21"/>
              </w:rPr>
              <w:t>，五年维保，原介质不返还的保</w:t>
            </w:r>
            <w:r>
              <w:rPr>
                <w:spacing w:val="-2"/>
                <w:sz w:val="21"/>
              </w:rPr>
              <w:t xml:space="preserve"> </w:t>
            </w:r>
            <w:r>
              <w:rPr>
                <w:spacing w:val="-4"/>
                <w:sz w:val="21"/>
              </w:rPr>
              <w:t>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9725" w:type="dxa"/>
            <w:gridSpan w:val="5"/>
            <w:tcBorders>
              <w:top w:val="single" w:sz="6" w:space="0" w:color="000000"/>
              <w:bottom w:val="single" w:sz="6" w:space="0" w:color="000000"/>
            </w:tcBorders>
            <w:shd w:val="clear" w:color="auto" w:fill="92D050"/>
          </w:tcPr>
          <w:p>
            <w:pPr>
              <w:pStyle w:val="TableParagraph"/>
              <w:spacing w:line="280" w:lineRule="exact"/>
              <w:ind w:left="98"/>
              <w:rPr>
                <w:rFonts w:ascii="Microsoft JhengHei" w:eastAsia="Microsoft JhengHei"/>
                <w:b/>
                <w:sz w:val="21"/>
              </w:rPr>
            </w:pPr>
            <w:r>
              <w:rPr>
                <w:rFonts w:ascii="Times New Roman" w:eastAsia="Times New Roman"/>
                <w:b/>
                <w:sz w:val="21"/>
              </w:rPr>
              <w:t>OMC</w:t>
            </w:r>
            <w:r>
              <w:rPr>
                <w:rFonts w:ascii="Times New Roman" w:eastAsia="Times New Roman"/>
                <w:b/>
                <w:spacing w:val="-11"/>
                <w:sz w:val="21"/>
              </w:rPr>
              <w:t xml:space="preserve"> </w:t>
            </w:r>
            <w:r>
              <w:rPr>
                <w:rFonts w:ascii="Microsoft JhengHei" w:eastAsia="Microsoft JhengHei"/>
                <w:b/>
                <w:sz w:val="21"/>
              </w:rPr>
              <w:t>系统</w:t>
            </w:r>
            <w:r>
              <w:rPr>
                <w:rFonts w:ascii="Microsoft JhengHei" w:eastAsia="Microsoft JhengHei"/>
                <w:b/>
                <w:spacing w:val="-5"/>
                <w:sz w:val="21"/>
              </w:rPr>
              <w:t>（</w:t>
            </w:r>
            <w:r>
              <w:rPr>
                <w:rFonts w:ascii="Times New Roman" w:eastAsia="Times New Roman"/>
                <w:b/>
                <w:spacing w:val="-5"/>
                <w:sz w:val="21"/>
              </w:rPr>
              <w:t>1</w:t>
            </w:r>
            <w:r>
              <w:rPr>
                <w:rFonts w:ascii="Microsoft JhengHei" w:eastAsia="Microsoft JhengHei"/>
                <w:b/>
                <w:spacing w:val="-5"/>
                <w:sz w:val="21"/>
              </w:rPr>
              <w:t>）</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1</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5"/>
                <w:sz w:val="21"/>
              </w:rPr>
              <w:t>10</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50" w:firstLine="52"/>
              <w:rPr>
                <w:sz w:val="21"/>
              </w:rPr>
            </w:pPr>
            <w:r>
              <w:rPr>
                <w:rFonts w:ascii="Times New Roman" w:eastAsia="Times New Roman"/>
                <w:sz w:val="21"/>
              </w:rPr>
              <w:t>2*</w:t>
            </w:r>
            <w:r>
              <w:rPr>
                <w:spacing w:val="-18"/>
                <w:sz w:val="21"/>
              </w:rPr>
              <w:t xml:space="preserve">四核 </w:t>
            </w:r>
            <w:r>
              <w:rPr>
                <w:rFonts w:ascii="Times New Roman" w:eastAsia="Times New Roman"/>
                <w:sz w:val="21"/>
              </w:rPr>
              <w:t>2.5GHz</w:t>
            </w:r>
            <w:r>
              <w:rPr>
                <w:sz w:val="21"/>
              </w:rPr>
              <w:t>，</w:t>
            </w:r>
            <w:r>
              <w:rPr>
                <w:rFonts w:ascii="Times New Roman" w:eastAsia="Times New Roman"/>
                <w:sz w:val="21"/>
              </w:rPr>
              <w:t>16GB</w:t>
            </w:r>
            <w:r>
              <w:rPr>
                <w:rFonts w:ascii="Times New Roman" w:eastAsia="Times New Roman"/>
                <w:spacing w:val="-14"/>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z w:val="21"/>
              </w:rPr>
              <w:t>千兆网口，冗余电源，配置远程管理模块，</w:t>
            </w:r>
            <w:r>
              <w:rPr>
                <w:rFonts w:ascii="Times New Roman" w:eastAsia="Times New Roman"/>
                <w:sz w:val="21"/>
              </w:rPr>
              <w:t>3</w:t>
            </w:r>
            <w:r>
              <w:rPr>
                <w:rFonts w:ascii="Times New Roman" w:eastAsia="Times New Roman"/>
                <w:spacing w:val="-10"/>
                <w:sz w:val="21"/>
              </w:rPr>
              <w:t xml:space="preserve"> </w:t>
            </w:r>
            <w:r>
              <w:rPr>
                <w:sz w:val="21"/>
              </w:rPr>
              <w:t>年维保服务、</w:t>
            </w:r>
            <w:r>
              <w:rPr>
                <w:spacing w:val="-2"/>
                <w:sz w:val="21"/>
              </w:rPr>
              <w:t>硬盘盘芯不返还的保修服务）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2</w:t>
            </w:r>
          </w:p>
        </w:tc>
        <w:tc>
          <w:tcPr>
            <w:tcW w:w="1846" w:type="dxa"/>
            <w:tcBorders>
              <w:top w:val="single" w:sz="6" w:space="0" w:color="000000"/>
              <w:left w:val="single" w:sz="6" w:space="0" w:color="000000"/>
              <w:right w:val="single" w:sz="6" w:space="0" w:color="000000"/>
            </w:tcBorders>
          </w:tcPr>
          <w:p>
            <w:pPr>
              <w:pStyle w:val="TableParagraph"/>
              <w:spacing w:before="18"/>
              <w:rPr>
                <w:rFonts w:ascii="Microsoft JhengHei"/>
                <w:b/>
                <w:sz w:val="14"/>
              </w:rPr>
            </w:pPr>
          </w:p>
          <w:p>
            <w:pPr>
              <w:pStyle w:val="TableParagraph"/>
              <w:ind w:left="169" w:right="160"/>
              <w:jc w:val="center"/>
              <w:rPr>
                <w:rFonts w:ascii="Times New Roman" w:eastAsia="Times New Roman"/>
                <w:sz w:val="21"/>
              </w:rPr>
            </w:pPr>
            <w:r>
              <w:rPr>
                <w:spacing w:val="-14"/>
                <w:sz w:val="21"/>
              </w:rPr>
              <w:t xml:space="preserve">服务器 </w:t>
            </w:r>
            <w:r>
              <w:rPr>
                <w:rFonts w:ascii="Times New Roman" w:eastAsia="Times New Roman"/>
                <w:spacing w:val="-5"/>
                <w:sz w:val="21"/>
              </w:rPr>
              <w:t>11</w:t>
            </w:r>
          </w:p>
        </w:tc>
        <w:tc>
          <w:tcPr>
            <w:tcW w:w="5747" w:type="dxa"/>
            <w:tcBorders>
              <w:top w:val="single" w:sz="6" w:space="0" w:color="000000"/>
              <w:left w:val="single" w:sz="6" w:space="0" w:color="000000"/>
              <w:right w:val="single" w:sz="6" w:space="0" w:color="000000"/>
            </w:tcBorders>
          </w:tcPr>
          <w:p>
            <w:pPr>
              <w:pStyle w:val="TableParagraph"/>
              <w:spacing w:line="270" w:lineRule="atLeast"/>
              <w:ind w:left="105" w:right="202"/>
              <w:jc w:val="both"/>
              <w:rPr>
                <w:sz w:val="21"/>
              </w:rPr>
            </w:pPr>
            <w:r>
              <w:rPr>
                <w:rFonts w:ascii="Times New Roman" w:eastAsia="Times New Roman"/>
                <w:spacing w:val="-2"/>
                <w:sz w:val="21"/>
              </w:rPr>
              <w:t>2*</w:t>
            </w:r>
            <w:r>
              <w:rPr>
                <w:spacing w:val="-10"/>
                <w:sz w:val="21"/>
              </w:rPr>
              <w:t xml:space="preserve">四核 </w:t>
            </w:r>
            <w:r>
              <w:rPr>
                <w:rFonts w:ascii="Times New Roman" w:eastAsia="Times New Roman"/>
                <w:spacing w:val="-2"/>
                <w:sz w:val="21"/>
              </w:rPr>
              <w:t>2.5GHz</w:t>
            </w:r>
            <w:r>
              <w:rPr>
                <w:spacing w:val="-2"/>
                <w:sz w:val="21"/>
              </w:rPr>
              <w:t>，</w:t>
            </w:r>
            <w:r>
              <w:rPr>
                <w:rFonts w:ascii="Times New Roman" w:eastAsia="Times New Roman"/>
                <w:spacing w:val="-2"/>
                <w:sz w:val="21"/>
              </w:rPr>
              <w:t>16GB</w:t>
            </w:r>
            <w:r>
              <w:rPr>
                <w:rFonts w:ascii="Times New Roman" w:eastAsia="Times New Roman"/>
                <w:spacing w:val="-11"/>
                <w:sz w:val="21"/>
              </w:rPr>
              <w:t xml:space="preserve"> </w:t>
            </w:r>
            <w:r>
              <w:rPr>
                <w:spacing w:val="-2"/>
                <w:sz w:val="21"/>
              </w:rPr>
              <w:t>内存，</w:t>
            </w:r>
            <w:r>
              <w:rPr>
                <w:rFonts w:ascii="Times New Roman" w:eastAsia="Times New Roman"/>
                <w:spacing w:val="-2"/>
                <w:sz w:val="21"/>
              </w:rPr>
              <w:t>2*300GB</w:t>
            </w:r>
            <w:r>
              <w:rPr>
                <w:rFonts w:ascii="Times New Roman" w:eastAsia="Times New Roman"/>
                <w:spacing w:val="5"/>
                <w:sz w:val="21"/>
              </w:rPr>
              <w:t xml:space="preserve"> </w:t>
            </w:r>
            <w:r>
              <w:rPr>
                <w:rFonts w:ascii="Times New Roman" w:eastAsia="Times New Roman"/>
                <w:spacing w:val="-2"/>
                <w:sz w:val="21"/>
              </w:rPr>
              <w:t xml:space="preserve">SAS </w:t>
            </w:r>
            <w:r>
              <w:rPr>
                <w:spacing w:val="-2"/>
                <w:sz w:val="21"/>
              </w:rPr>
              <w:t>硬盘</w:t>
            </w:r>
            <w:r>
              <w:rPr>
                <w:rFonts w:ascii="Times New Roman" w:eastAsia="Times New Roman"/>
                <w:spacing w:val="-2"/>
                <w:sz w:val="21"/>
              </w:rPr>
              <w:t>/Raid1</w:t>
            </w:r>
            <w:r>
              <w:rPr>
                <w:spacing w:val="-2"/>
                <w:sz w:val="21"/>
              </w:rPr>
              <w:t>，</w:t>
            </w:r>
            <w:r>
              <w:rPr>
                <w:rFonts w:ascii="Times New Roman" w:eastAsia="Times New Roman"/>
                <w:spacing w:val="-2"/>
                <w:sz w:val="21"/>
              </w:rPr>
              <w:t>4*</w:t>
            </w:r>
            <w:r>
              <w:rPr>
                <w:sz w:val="21"/>
              </w:rPr>
              <w:t>千兆网口，冗余电源，配置远程管理模块，</w:t>
            </w:r>
            <w:r>
              <w:rPr>
                <w:rFonts w:ascii="Times New Roman" w:eastAsia="Times New Roman"/>
                <w:sz w:val="21"/>
              </w:rPr>
              <w:t>3</w:t>
            </w:r>
            <w:r>
              <w:rPr>
                <w:rFonts w:ascii="Times New Roman" w:eastAsia="Times New Roman"/>
                <w:spacing w:val="-14"/>
                <w:sz w:val="21"/>
              </w:rPr>
              <w:t xml:space="preserve"> </w:t>
            </w:r>
            <w:r>
              <w:rPr>
                <w:sz w:val="21"/>
              </w:rPr>
              <w:t>年维保服务、</w:t>
            </w:r>
            <w:r>
              <w:rPr>
                <w:spacing w:val="-2"/>
                <w:sz w:val="21"/>
              </w:rPr>
              <w:t>硬盘盘芯不返还的保修服务）</w:t>
            </w:r>
          </w:p>
        </w:tc>
        <w:tc>
          <w:tcPr>
            <w:tcW w:w="729" w:type="dxa"/>
            <w:tcBorders>
              <w:top w:val="single" w:sz="6" w:space="0" w:color="000000"/>
              <w:left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bl>
    <w:p>
      <w:pPr>
        <w:spacing w:after="0"/>
        <w:jc w:val="center"/>
        <w:rPr>
          <w:rFonts w:ascii="Times New Roman"/>
          <w:sz w:val="21"/>
        </w:rPr>
        <w:sectPr>
          <w:headerReference w:type="default" r:id="rId40"/>
          <w:footerReference w:type="default" r:id="rId41"/>
          <w:pgSz w:w="11910" w:h="16840"/>
          <w:pgMar w:top="1340" w:right="1080" w:bottom="1000" w:left="880" w:header="822" w:footer="805"/>
          <w:pgNumType w:start="18"/>
          <w:cols w:space="708"/>
        </w:sectPr>
      </w:pPr>
    </w:p>
    <w:p>
      <w:pPr>
        <w:pStyle w:val="BodyText"/>
        <w:spacing w:before="1"/>
        <w:rPr>
          <w:rFonts w:ascii="Microsoft JhengHei"/>
          <w:b/>
          <w:sz w:val="4"/>
        </w:rPr>
      </w:pPr>
    </w:p>
    <w:tbl>
      <w:tblPr>
        <w:tblStyle w:val="TableNormal3"/>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679"/>
        <w:gridCol w:w="1846"/>
        <w:gridCol w:w="5747"/>
        <w:gridCol w:w="729"/>
        <w:gridCol w:w="724"/>
      </w:tblGrid>
      <w:tr>
        <w:tblPrEx>
          <w:tblW w:w="0" w:type="auto"/>
          <w:jc w:val="left"/>
          <w:tblInd w:w="1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660"/>
          <w:jc w:val="left"/>
        </w:trPr>
        <w:tc>
          <w:tcPr>
            <w:tcW w:w="679" w:type="dxa"/>
            <w:tcBorders>
              <w:bottom w:val="single" w:sz="6" w:space="0" w:color="000000"/>
              <w:right w:val="single" w:sz="6" w:space="0" w:color="000000"/>
            </w:tcBorders>
            <w:shd w:val="clear" w:color="auto" w:fill="CCFFCC"/>
          </w:tcPr>
          <w:p>
            <w:pPr>
              <w:pStyle w:val="TableParagraph"/>
              <w:spacing w:before="127"/>
              <w:ind w:left="107" w:right="98"/>
              <w:jc w:val="center"/>
              <w:rPr>
                <w:rFonts w:ascii="Microsoft JhengHei" w:eastAsia="Microsoft JhengHei"/>
                <w:b/>
                <w:sz w:val="21"/>
              </w:rPr>
            </w:pPr>
            <w:r>
              <w:rPr>
                <w:rFonts w:ascii="Microsoft JhengHei" w:eastAsia="Microsoft JhengHei"/>
                <w:b/>
                <w:spacing w:val="-5"/>
                <w:sz w:val="21"/>
              </w:rPr>
              <w:t>序号</w:t>
            </w:r>
          </w:p>
        </w:tc>
        <w:tc>
          <w:tcPr>
            <w:tcW w:w="1846" w:type="dxa"/>
            <w:tcBorders>
              <w:left w:val="single" w:sz="6" w:space="0" w:color="000000"/>
              <w:bottom w:val="single" w:sz="6" w:space="0" w:color="000000"/>
              <w:right w:val="single" w:sz="6" w:space="0" w:color="000000"/>
            </w:tcBorders>
            <w:shd w:val="clear" w:color="auto" w:fill="CCFFCC"/>
          </w:tcPr>
          <w:p>
            <w:pPr>
              <w:pStyle w:val="TableParagraph"/>
              <w:spacing w:before="127"/>
              <w:ind w:left="498"/>
              <w:rPr>
                <w:rFonts w:ascii="Microsoft JhengHei" w:eastAsia="Microsoft JhengHei"/>
                <w:b/>
                <w:sz w:val="21"/>
              </w:rPr>
            </w:pPr>
            <w:r>
              <w:rPr>
                <w:rFonts w:ascii="Microsoft JhengHei" w:eastAsia="Microsoft JhengHei"/>
                <w:b/>
                <w:spacing w:val="-3"/>
                <w:sz w:val="21"/>
              </w:rPr>
              <w:t>设备名称</w:t>
            </w:r>
          </w:p>
        </w:tc>
        <w:tc>
          <w:tcPr>
            <w:tcW w:w="5747" w:type="dxa"/>
            <w:tcBorders>
              <w:left w:val="single" w:sz="6" w:space="0" w:color="000000"/>
              <w:bottom w:val="single" w:sz="6" w:space="0" w:color="000000"/>
              <w:right w:val="single" w:sz="6" w:space="0" w:color="000000"/>
            </w:tcBorders>
            <w:shd w:val="clear" w:color="auto" w:fill="CCFFCC"/>
          </w:tcPr>
          <w:p>
            <w:pPr>
              <w:pStyle w:val="TableParagraph"/>
              <w:spacing w:before="127"/>
              <w:ind w:left="2015" w:right="2006"/>
              <w:jc w:val="center"/>
              <w:rPr>
                <w:rFonts w:ascii="Microsoft JhengHei" w:eastAsia="Microsoft JhengHei"/>
                <w:b/>
                <w:sz w:val="21"/>
              </w:rPr>
            </w:pPr>
            <w:r>
              <w:rPr>
                <w:rFonts w:ascii="Microsoft JhengHei" w:eastAsia="Microsoft JhengHei"/>
                <w:b/>
                <w:spacing w:val="-3"/>
                <w:sz w:val="21"/>
              </w:rPr>
              <w:t>技术参数</w:t>
            </w:r>
          </w:p>
        </w:tc>
        <w:tc>
          <w:tcPr>
            <w:tcW w:w="729" w:type="dxa"/>
            <w:tcBorders>
              <w:left w:val="single" w:sz="6" w:space="0" w:color="000000"/>
              <w:bottom w:val="single" w:sz="6" w:space="0" w:color="000000"/>
              <w:right w:val="single" w:sz="6" w:space="0" w:color="000000"/>
            </w:tcBorders>
            <w:shd w:val="clear" w:color="auto" w:fill="CCFFCC"/>
          </w:tcPr>
          <w:p>
            <w:pPr>
              <w:pStyle w:val="TableParagraph"/>
              <w:spacing w:before="127"/>
              <w:ind w:left="136" w:right="127"/>
              <w:jc w:val="center"/>
              <w:rPr>
                <w:rFonts w:ascii="Microsoft JhengHei" w:eastAsia="Microsoft JhengHei"/>
                <w:b/>
                <w:sz w:val="21"/>
              </w:rPr>
            </w:pPr>
            <w:r>
              <w:rPr>
                <w:rFonts w:ascii="Microsoft JhengHei" w:eastAsia="Microsoft JhengHei"/>
                <w:b/>
                <w:spacing w:val="-5"/>
                <w:sz w:val="21"/>
              </w:rPr>
              <w:t>单位</w:t>
            </w:r>
          </w:p>
        </w:tc>
        <w:tc>
          <w:tcPr>
            <w:tcW w:w="724" w:type="dxa"/>
            <w:tcBorders>
              <w:left w:val="single" w:sz="6" w:space="0" w:color="000000"/>
              <w:bottom w:val="single" w:sz="6" w:space="0" w:color="000000"/>
            </w:tcBorders>
            <w:shd w:val="clear" w:color="auto" w:fill="CCFFCC"/>
          </w:tcPr>
          <w:p>
            <w:pPr>
              <w:pStyle w:val="TableParagraph"/>
              <w:spacing w:before="127"/>
              <w:ind w:left="130" w:right="121"/>
              <w:jc w:val="center"/>
              <w:rPr>
                <w:rFonts w:ascii="Microsoft JhengHei" w:eastAsia="Microsoft JhengHei"/>
                <w:b/>
                <w:sz w:val="21"/>
              </w:rPr>
            </w:pPr>
            <w:r>
              <w:rPr>
                <w:rFonts w:ascii="Microsoft JhengHei" w:eastAsia="Microsoft JhengHei"/>
                <w:b/>
                <w:spacing w:val="-5"/>
                <w:sz w:val="21"/>
              </w:rPr>
              <w:t>数量</w:t>
            </w: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679" w:type="dxa"/>
            <w:tcBorders>
              <w:top w:val="single" w:sz="6" w:space="0" w:color="000000"/>
              <w:bottom w:val="single" w:sz="6" w:space="0" w:color="000000"/>
              <w:right w:val="single" w:sz="6" w:space="0" w:color="000000"/>
            </w:tcBorders>
          </w:tcPr>
          <w:p>
            <w:pPr>
              <w:pStyle w:val="TableParagraph"/>
              <w:spacing w:before="151"/>
              <w:ind w:left="10"/>
              <w:jc w:val="center"/>
              <w:rPr>
                <w:rFonts w:ascii="Times New Roman"/>
                <w:sz w:val="21"/>
              </w:rPr>
            </w:pPr>
            <w:r>
              <w:rPr>
                <w:rFonts w:ascii="Times New Roman"/>
                <w:sz w:val="21"/>
              </w:rPr>
              <w:t>3</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39"/>
              <w:ind w:left="105"/>
              <w:rPr>
                <w:sz w:val="21"/>
              </w:rPr>
            </w:pPr>
            <w:r>
              <w:rPr>
                <w:spacing w:val="-2"/>
                <w:sz w:val="21"/>
              </w:rPr>
              <w:t>专用采集设备</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97"/>
              <w:rPr>
                <w:sz w:val="21"/>
              </w:rPr>
            </w:pPr>
            <w:r>
              <w:rPr>
                <w:rFonts w:ascii="Times New Roman" w:eastAsia="Times New Roman"/>
                <w:sz w:val="21"/>
              </w:rPr>
              <w:t>2*</w:t>
            </w:r>
            <w:r>
              <w:rPr>
                <w:spacing w:val="-18"/>
                <w:sz w:val="21"/>
              </w:rPr>
              <w:t xml:space="preserve">四核 </w:t>
            </w:r>
            <w:r>
              <w:rPr>
                <w:rFonts w:ascii="Times New Roman" w:eastAsia="Times New Roman"/>
                <w:sz w:val="21"/>
              </w:rPr>
              <w:t>2.5GHz</w:t>
            </w:r>
            <w:r>
              <w:rPr>
                <w:sz w:val="21"/>
              </w:rPr>
              <w:t>，</w:t>
            </w:r>
            <w:r>
              <w:rPr>
                <w:rFonts w:ascii="Times New Roman" w:eastAsia="Times New Roman"/>
                <w:sz w:val="21"/>
              </w:rPr>
              <w:t>2*4GB</w:t>
            </w:r>
            <w:r>
              <w:rPr>
                <w:rFonts w:ascii="Times New Roman" w:eastAsia="Times New Roman"/>
                <w:spacing w:val="-14"/>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2*</w:t>
            </w:r>
            <w:r>
              <w:rPr>
                <w:spacing w:val="-2"/>
                <w:sz w:val="21"/>
              </w:rPr>
              <w:t>千兆网口，冗余电源</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39"/>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51"/>
              <w:ind w:left="9"/>
              <w:jc w:val="center"/>
              <w:rPr>
                <w:rFonts w:ascii="Times New Roman"/>
                <w:sz w:val="21"/>
              </w:rPr>
            </w:pPr>
            <w:r>
              <w:rPr>
                <w:rFonts w:ascii="Times New Roman"/>
                <w:sz w:val="21"/>
              </w:rPr>
              <w:t>2</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4</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474"/>
              <w:rPr>
                <w:rFonts w:ascii="Times New Roman" w:eastAsia="Times New Roman"/>
                <w:sz w:val="21"/>
              </w:rPr>
            </w:pPr>
            <w:r>
              <w:rPr>
                <w:spacing w:val="-14"/>
                <w:sz w:val="21"/>
              </w:rPr>
              <w:t xml:space="preserve">服务器 </w:t>
            </w:r>
            <w:r>
              <w:rPr>
                <w:rFonts w:ascii="Times New Roman" w:eastAsia="Times New Roman"/>
                <w:spacing w:val="-5"/>
                <w:sz w:val="21"/>
              </w:rPr>
              <w:t>12</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202"/>
              <w:jc w:val="both"/>
              <w:rPr>
                <w:sz w:val="21"/>
              </w:rPr>
            </w:pPr>
            <w:r>
              <w:rPr>
                <w:rFonts w:ascii="Times New Roman" w:eastAsia="Times New Roman"/>
                <w:spacing w:val="-2"/>
                <w:sz w:val="21"/>
              </w:rPr>
              <w:t>2*</w:t>
            </w:r>
            <w:r>
              <w:rPr>
                <w:spacing w:val="-10"/>
                <w:sz w:val="21"/>
              </w:rPr>
              <w:t xml:space="preserve">四核 </w:t>
            </w:r>
            <w:r>
              <w:rPr>
                <w:rFonts w:ascii="Times New Roman" w:eastAsia="Times New Roman"/>
                <w:spacing w:val="-2"/>
                <w:sz w:val="21"/>
              </w:rPr>
              <w:t>2.5GHz</w:t>
            </w:r>
            <w:r>
              <w:rPr>
                <w:spacing w:val="-2"/>
                <w:sz w:val="21"/>
              </w:rPr>
              <w:t>，</w:t>
            </w:r>
            <w:r>
              <w:rPr>
                <w:rFonts w:ascii="Times New Roman" w:eastAsia="Times New Roman"/>
                <w:spacing w:val="-2"/>
                <w:sz w:val="21"/>
              </w:rPr>
              <w:t>16GB</w:t>
            </w:r>
            <w:r>
              <w:rPr>
                <w:rFonts w:ascii="Times New Roman" w:eastAsia="Times New Roman"/>
                <w:spacing w:val="-11"/>
                <w:sz w:val="21"/>
              </w:rPr>
              <w:t xml:space="preserve"> </w:t>
            </w:r>
            <w:r>
              <w:rPr>
                <w:spacing w:val="-2"/>
                <w:sz w:val="21"/>
              </w:rPr>
              <w:t>内存，</w:t>
            </w:r>
            <w:r>
              <w:rPr>
                <w:rFonts w:ascii="Times New Roman" w:eastAsia="Times New Roman"/>
                <w:spacing w:val="-2"/>
                <w:sz w:val="21"/>
              </w:rPr>
              <w:t>2*300GB</w:t>
            </w:r>
            <w:r>
              <w:rPr>
                <w:rFonts w:ascii="Times New Roman" w:eastAsia="Times New Roman"/>
                <w:spacing w:val="5"/>
                <w:sz w:val="21"/>
              </w:rPr>
              <w:t xml:space="preserve"> </w:t>
            </w:r>
            <w:r>
              <w:rPr>
                <w:rFonts w:ascii="Times New Roman" w:eastAsia="Times New Roman"/>
                <w:spacing w:val="-2"/>
                <w:sz w:val="21"/>
              </w:rPr>
              <w:t xml:space="preserve">SAS </w:t>
            </w:r>
            <w:r>
              <w:rPr>
                <w:spacing w:val="-2"/>
                <w:sz w:val="21"/>
              </w:rPr>
              <w:t>硬盘</w:t>
            </w:r>
            <w:r>
              <w:rPr>
                <w:rFonts w:ascii="Times New Roman" w:eastAsia="Times New Roman"/>
                <w:spacing w:val="-2"/>
                <w:sz w:val="21"/>
              </w:rPr>
              <w:t>/Raid1</w:t>
            </w:r>
            <w:r>
              <w:rPr>
                <w:spacing w:val="-2"/>
                <w:sz w:val="21"/>
              </w:rPr>
              <w:t>，</w:t>
            </w:r>
            <w:r>
              <w:rPr>
                <w:rFonts w:ascii="Times New Roman" w:eastAsia="Times New Roman"/>
                <w:spacing w:val="-2"/>
                <w:sz w:val="21"/>
              </w:rPr>
              <w:t>4*</w:t>
            </w:r>
            <w:r>
              <w:rPr>
                <w:sz w:val="21"/>
              </w:rPr>
              <w:t>千兆网口冗余电源，配置远程管理模块，</w:t>
            </w:r>
            <w:r>
              <w:rPr>
                <w:rFonts w:ascii="Times New Roman" w:eastAsia="Times New Roman"/>
                <w:sz w:val="21"/>
              </w:rPr>
              <w:t>3</w:t>
            </w:r>
            <w:r>
              <w:rPr>
                <w:rFonts w:ascii="Times New Roman" w:eastAsia="Times New Roman"/>
                <w:spacing w:val="-14"/>
                <w:sz w:val="21"/>
              </w:rPr>
              <w:t xml:space="preserve"> </w:t>
            </w:r>
            <w:r>
              <w:rPr>
                <w:sz w:val="21"/>
              </w:rPr>
              <w:t>年维保服务、硬</w:t>
            </w:r>
            <w:r>
              <w:rPr>
                <w:spacing w:val="-2"/>
                <w:sz w:val="21"/>
              </w:rPr>
              <w:t>盘盘芯不返还的保修服务）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台</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679" w:type="dxa"/>
            <w:tcBorders>
              <w:top w:val="single" w:sz="6" w:space="0" w:color="000000"/>
              <w:bottom w:val="single" w:sz="6" w:space="0" w:color="000000"/>
              <w:right w:val="single" w:sz="6" w:space="0" w:color="000000"/>
            </w:tcBorders>
          </w:tcPr>
          <w:p>
            <w:pPr>
              <w:pStyle w:val="TableParagraph"/>
              <w:spacing w:before="151"/>
              <w:ind w:left="10"/>
              <w:jc w:val="center"/>
              <w:rPr>
                <w:rFonts w:ascii="Times New Roman"/>
                <w:sz w:val="21"/>
              </w:rPr>
            </w:pPr>
            <w:r>
              <w:rPr>
                <w:rFonts w:ascii="Times New Roman"/>
                <w:sz w:val="21"/>
              </w:rPr>
              <w:t>5</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253"/>
              <w:rPr>
                <w:sz w:val="21"/>
              </w:rPr>
            </w:pPr>
            <w:r>
              <w:rPr>
                <w:spacing w:val="-2"/>
                <w:sz w:val="21"/>
              </w:rPr>
              <w:t>交换机配置管理</w:t>
            </w:r>
            <w:r>
              <w:rPr>
                <w:spacing w:val="-6"/>
                <w:sz w:val="21"/>
              </w:rPr>
              <w:t>软件</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39"/>
              <w:ind w:left="105"/>
              <w:rPr>
                <w:sz w:val="21"/>
              </w:rPr>
            </w:pPr>
            <w:r>
              <w:rPr>
                <w:spacing w:val="-2"/>
                <w:sz w:val="21"/>
              </w:rPr>
              <w:t>交换机配置管理软件</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39"/>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15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679" w:type="dxa"/>
            <w:tcBorders>
              <w:top w:val="single" w:sz="6" w:space="0" w:color="000000"/>
              <w:bottom w:val="single" w:sz="6" w:space="0" w:color="000000"/>
              <w:right w:val="single" w:sz="6" w:space="0" w:color="000000"/>
            </w:tcBorders>
          </w:tcPr>
          <w:p>
            <w:pPr>
              <w:pStyle w:val="TableParagraph"/>
              <w:spacing w:before="151"/>
              <w:ind w:left="10"/>
              <w:jc w:val="center"/>
              <w:rPr>
                <w:rFonts w:ascii="Times New Roman"/>
                <w:sz w:val="21"/>
              </w:rPr>
            </w:pPr>
            <w:r>
              <w:rPr>
                <w:rFonts w:ascii="Times New Roman"/>
                <w:sz w:val="21"/>
              </w:rPr>
              <w:t>6</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463"/>
              <w:rPr>
                <w:sz w:val="21"/>
              </w:rPr>
            </w:pPr>
            <w:r>
              <w:rPr>
                <w:spacing w:val="-2"/>
                <w:sz w:val="21"/>
              </w:rPr>
              <w:t>集成机柜（</w:t>
            </w:r>
            <w:r>
              <w:rPr>
                <w:spacing w:val="-2"/>
                <w:sz w:val="21"/>
              </w:rPr>
              <w:t>选</w:t>
            </w:r>
            <w:r>
              <w:rPr>
                <w:spacing w:val="-6"/>
                <w:sz w:val="21"/>
              </w:rPr>
              <w:t>配）</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425"/>
              <w:rPr>
                <w:sz w:val="21"/>
              </w:rPr>
            </w:pPr>
            <w:r>
              <w:rPr>
                <w:spacing w:val="-11"/>
                <w:sz w:val="21"/>
              </w:rPr>
              <w:t xml:space="preserve">标准机柜 </w:t>
            </w:r>
            <w:r>
              <w:rPr>
                <w:rFonts w:ascii="Times New Roman" w:eastAsia="Times New Roman"/>
                <w:spacing w:val="-2"/>
                <w:sz w:val="21"/>
              </w:rPr>
              <w:t>2045*600*1100</w:t>
            </w:r>
            <w:r>
              <w:rPr>
                <w:spacing w:val="-2"/>
                <w:sz w:val="21"/>
              </w:rPr>
              <w:t>（</w:t>
            </w:r>
            <w:r>
              <w:rPr>
                <w:rFonts w:ascii="Times New Roman" w:eastAsia="Times New Roman"/>
                <w:spacing w:val="-2"/>
                <w:sz w:val="21"/>
              </w:rPr>
              <w:t>mm</w:t>
            </w:r>
            <w:r>
              <w:rPr>
                <w:spacing w:val="-2"/>
                <w:sz w:val="21"/>
              </w:rPr>
              <w:t>），</w:t>
            </w:r>
            <w:r>
              <w:rPr>
                <w:rFonts w:ascii="Times New Roman" w:eastAsia="Times New Roman"/>
                <w:spacing w:val="-2"/>
                <w:sz w:val="21"/>
              </w:rPr>
              <w:t>16</w:t>
            </w:r>
            <w:r>
              <w:rPr>
                <w:rFonts w:ascii="Times New Roman" w:eastAsia="Times New Roman"/>
                <w:spacing w:val="-3"/>
                <w:sz w:val="21"/>
              </w:rPr>
              <w:t xml:space="preserve"> </w:t>
            </w:r>
            <w:r>
              <w:rPr>
                <w:spacing w:val="-16"/>
                <w:sz w:val="21"/>
              </w:rPr>
              <w:t xml:space="preserve">电位 </w:t>
            </w:r>
            <w:r>
              <w:rPr>
                <w:rFonts w:ascii="Times New Roman" w:eastAsia="Times New Roman"/>
                <w:spacing w:val="-2"/>
                <w:sz w:val="21"/>
              </w:rPr>
              <w:t>PDU</w:t>
            </w:r>
            <w:r>
              <w:rPr>
                <w:spacing w:val="-2"/>
                <w:sz w:val="21"/>
              </w:rPr>
              <w:t xml:space="preserve">，一体化 </w:t>
            </w:r>
            <w:r>
              <w:rPr>
                <w:rFonts w:ascii="Times New Roman" w:eastAsia="Times New Roman"/>
                <w:spacing w:val="-2"/>
                <w:sz w:val="21"/>
              </w:rPr>
              <w:t>KVM</w:t>
            </w:r>
            <w:r>
              <w:rPr>
                <w:spacing w:val="-2"/>
                <w:sz w:val="21"/>
              </w:rPr>
              <w:t>（含液晶显示器，鼠标键盘，共享器）</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39"/>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15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491"/>
          <w:jc w:val="left"/>
        </w:trPr>
        <w:tc>
          <w:tcPr>
            <w:tcW w:w="679" w:type="dxa"/>
            <w:tcBorders>
              <w:top w:val="single" w:sz="6" w:space="0" w:color="000000"/>
              <w:bottom w:val="single" w:sz="6" w:space="0" w:color="000000"/>
              <w:right w:val="single" w:sz="6" w:space="0" w:color="000000"/>
            </w:tcBorders>
          </w:tcPr>
          <w:p>
            <w:pPr>
              <w:pStyle w:val="TableParagraph"/>
              <w:spacing w:before="125"/>
              <w:ind w:left="10"/>
              <w:jc w:val="center"/>
              <w:rPr>
                <w:rFonts w:ascii="Times New Roman"/>
                <w:sz w:val="21"/>
              </w:rPr>
            </w:pPr>
            <w:r>
              <w:rPr>
                <w:rFonts w:ascii="Times New Roman"/>
                <w:sz w:val="21"/>
              </w:rPr>
              <w:t>7</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3"/>
              <w:ind w:left="105"/>
              <w:rPr>
                <w:sz w:val="21"/>
              </w:rPr>
            </w:pPr>
            <w:r>
              <w:rPr>
                <w:rFonts w:ascii="Times New Roman" w:eastAsia="Times New Roman"/>
                <w:sz w:val="21"/>
              </w:rPr>
              <w:t>ZK</w:t>
            </w:r>
            <w:r>
              <w:rPr>
                <w:rFonts w:ascii="Times New Roman" w:eastAsia="Times New Roman"/>
                <w:spacing w:val="-11"/>
                <w:sz w:val="21"/>
              </w:rPr>
              <w:t xml:space="preserve"> </w:t>
            </w:r>
            <w:r>
              <w:rPr>
                <w:spacing w:val="-2"/>
                <w:sz w:val="21"/>
              </w:rPr>
              <w:t>网运维软件</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3"/>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125"/>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9725" w:type="dxa"/>
            <w:gridSpan w:val="5"/>
            <w:tcBorders>
              <w:top w:val="single" w:sz="6" w:space="0" w:color="000000"/>
              <w:bottom w:val="single" w:sz="6" w:space="0" w:color="000000"/>
            </w:tcBorders>
            <w:shd w:val="clear" w:color="auto" w:fill="92D050"/>
          </w:tcPr>
          <w:p>
            <w:pPr>
              <w:pStyle w:val="TableParagraph"/>
              <w:spacing w:line="280" w:lineRule="exact"/>
              <w:ind w:left="98"/>
              <w:rPr>
                <w:rFonts w:ascii="Microsoft JhengHei" w:eastAsia="Microsoft JhengHei"/>
                <w:b/>
                <w:sz w:val="21"/>
              </w:rPr>
            </w:pPr>
            <w:r>
              <w:rPr>
                <w:rFonts w:ascii="Times New Roman" w:eastAsia="Times New Roman"/>
                <w:b/>
                <w:sz w:val="21"/>
              </w:rPr>
              <w:t>OMC</w:t>
            </w:r>
            <w:r>
              <w:rPr>
                <w:rFonts w:ascii="Times New Roman" w:eastAsia="Times New Roman"/>
                <w:b/>
                <w:spacing w:val="-11"/>
                <w:sz w:val="21"/>
              </w:rPr>
              <w:t xml:space="preserve"> </w:t>
            </w:r>
            <w:r>
              <w:rPr>
                <w:rFonts w:ascii="Microsoft JhengHei" w:eastAsia="Microsoft JhengHei"/>
                <w:b/>
                <w:sz w:val="21"/>
              </w:rPr>
              <w:t>系统</w:t>
            </w:r>
            <w:r>
              <w:rPr>
                <w:rFonts w:ascii="Microsoft JhengHei" w:eastAsia="Microsoft JhengHei"/>
                <w:b/>
                <w:spacing w:val="-5"/>
                <w:sz w:val="21"/>
              </w:rPr>
              <w:t>（</w:t>
            </w:r>
            <w:r>
              <w:rPr>
                <w:rFonts w:ascii="Times New Roman" w:eastAsia="Times New Roman"/>
                <w:b/>
                <w:spacing w:val="-5"/>
                <w:sz w:val="21"/>
              </w:rPr>
              <w:t>2</w:t>
            </w:r>
            <w:r>
              <w:rPr>
                <w:rFonts w:ascii="Microsoft JhengHei" w:eastAsia="Microsoft JhengHei"/>
                <w:b/>
                <w:spacing w:val="-5"/>
                <w:sz w:val="21"/>
              </w:rPr>
              <w:t>）</w:t>
            </w:r>
          </w:p>
        </w:tc>
      </w:tr>
      <w:tr>
        <w:tblPrEx>
          <w:tblW w:w="0" w:type="auto"/>
          <w:jc w:val="left"/>
          <w:tblInd w:w="121" w:type="dxa"/>
          <w:tblLayout w:type="fixed"/>
          <w:tblCellMar>
            <w:top w:w="0" w:type="dxa"/>
            <w:left w:w="0" w:type="dxa"/>
            <w:bottom w:w="0" w:type="dxa"/>
            <w:right w:w="0" w:type="dxa"/>
          </w:tblCellMar>
          <w:tblLook w:val="01E0"/>
        </w:tblPrEx>
        <w:trPr>
          <w:trHeight w:val="817"/>
          <w:jc w:val="left"/>
        </w:trPr>
        <w:tc>
          <w:tcPr>
            <w:tcW w:w="679" w:type="dxa"/>
            <w:tcBorders>
              <w:top w:val="single" w:sz="6" w:space="0" w:color="000000"/>
              <w:bottom w:val="single" w:sz="6" w:space="0" w:color="000000"/>
              <w:right w:val="single" w:sz="6" w:space="0" w:color="000000"/>
            </w:tcBorders>
          </w:tcPr>
          <w:p>
            <w:pPr>
              <w:pStyle w:val="TableParagraph"/>
              <w:spacing w:before="11"/>
              <w:rPr>
                <w:rFonts w:ascii="Microsoft JhengHei"/>
                <w:b/>
                <w:sz w:val="15"/>
              </w:rPr>
            </w:pPr>
          </w:p>
          <w:p>
            <w:pPr>
              <w:pStyle w:val="TableParagraph"/>
              <w:spacing w:before="1"/>
              <w:ind w:left="10"/>
              <w:jc w:val="center"/>
              <w:rPr>
                <w:rFonts w:ascii="Times New Roman"/>
                <w:sz w:val="21"/>
              </w:rPr>
            </w:pPr>
            <w:r>
              <w:rPr>
                <w:rFonts w:ascii="Times New Roman"/>
                <w:sz w:val="21"/>
              </w:rPr>
              <w:t>1</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5"/>
              <w:rPr>
                <w:sz w:val="21"/>
              </w:rPr>
            </w:pPr>
            <w:r>
              <w:rPr>
                <w:spacing w:val="-2"/>
                <w:sz w:val="21"/>
              </w:rPr>
              <w:t>运维监测服务器</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line="270" w:lineRule="atLeast"/>
              <w:ind w:left="105" w:right="150" w:firstLine="52"/>
              <w:rPr>
                <w:sz w:val="21"/>
              </w:rPr>
            </w:pPr>
            <w:r>
              <w:rPr>
                <w:rFonts w:ascii="Times New Roman" w:eastAsia="Times New Roman"/>
                <w:sz w:val="21"/>
              </w:rPr>
              <w:t>2*</w:t>
            </w:r>
            <w:r>
              <w:rPr>
                <w:spacing w:val="-18"/>
                <w:sz w:val="21"/>
              </w:rPr>
              <w:t xml:space="preserve">四核 </w:t>
            </w:r>
            <w:r>
              <w:rPr>
                <w:rFonts w:ascii="Times New Roman" w:eastAsia="Times New Roman"/>
                <w:sz w:val="21"/>
              </w:rPr>
              <w:t>2.5GHz</w:t>
            </w:r>
            <w:r>
              <w:rPr>
                <w:sz w:val="21"/>
              </w:rPr>
              <w:t>，</w:t>
            </w:r>
            <w:r>
              <w:rPr>
                <w:rFonts w:ascii="Times New Roman" w:eastAsia="Times New Roman"/>
                <w:sz w:val="21"/>
              </w:rPr>
              <w:t>16GB</w:t>
            </w:r>
            <w:r>
              <w:rPr>
                <w:rFonts w:ascii="Times New Roman" w:eastAsia="Times New Roman"/>
                <w:spacing w:val="-14"/>
                <w:sz w:val="21"/>
              </w:rPr>
              <w:t xml:space="preserve"> </w:t>
            </w:r>
            <w:r>
              <w:rPr>
                <w:sz w:val="21"/>
              </w:rPr>
              <w:t>内存，</w:t>
            </w:r>
            <w:r>
              <w:rPr>
                <w:rFonts w:ascii="Times New Roman" w:eastAsia="Times New Roman"/>
                <w:sz w:val="21"/>
              </w:rPr>
              <w:t>2*300GB</w:t>
            </w:r>
            <w:r>
              <w:rPr>
                <w:rFonts w:ascii="Times New Roman" w:eastAsia="Times New Roman"/>
                <w:spacing w:val="-13"/>
                <w:sz w:val="21"/>
              </w:rPr>
              <w:t xml:space="preserve"> </w:t>
            </w:r>
            <w:r>
              <w:rPr>
                <w:rFonts w:ascii="Times New Roman" w:eastAsia="Times New Roman"/>
                <w:sz w:val="21"/>
              </w:rPr>
              <w:t>SAS</w:t>
            </w:r>
            <w:r>
              <w:rPr>
                <w:rFonts w:ascii="Times New Roman" w:eastAsia="Times New Roman"/>
                <w:spacing w:val="-13"/>
                <w:sz w:val="21"/>
              </w:rPr>
              <w:t xml:space="preserve"> </w:t>
            </w:r>
            <w:r>
              <w:rPr>
                <w:sz w:val="21"/>
              </w:rPr>
              <w:t>硬盘</w:t>
            </w:r>
            <w:r>
              <w:rPr>
                <w:rFonts w:ascii="Times New Roman" w:eastAsia="Times New Roman"/>
                <w:sz w:val="21"/>
              </w:rPr>
              <w:t>/Raid1</w:t>
            </w:r>
            <w:r>
              <w:rPr>
                <w:sz w:val="21"/>
              </w:rPr>
              <w:t>，</w:t>
            </w:r>
            <w:r>
              <w:rPr>
                <w:rFonts w:ascii="Times New Roman" w:eastAsia="Times New Roman"/>
                <w:sz w:val="21"/>
              </w:rPr>
              <w:t>4*</w:t>
            </w:r>
            <w:r>
              <w:rPr>
                <w:sz w:val="21"/>
              </w:rPr>
              <w:t>千兆网口，冗余电源，配置远程管理模块，</w:t>
            </w:r>
            <w:r>
              <w:rPr>
                <w:rFonts w:ascii="Times New Roman" w:eastAsia="Times New Roman"/>
                <w:sz w:val="21"/>
              </w:rPr>
              <w:t>3</w:t>
            </w:r>
            <w:r>
              <w:rPr>
                <w:rFonts w:ascii="Times New Roman" w:eastAsia="Times New Roman"/>
                <w:spacing w:val="-10"/>
                <w:sz w:val="21"/>
              </w:rPr>
              <w:t xml:space="preserve"> </w:t>
            </w:r>
            <w:r>
              <w:rPr>
                <w:sz w:val="21"/>
              </w:rPr>
              <w:t>年维保服务、</w:t>
            </w:r>
            <w:r>
              <w:rPr>
                <w:spacing w:val="-2"/>
                <w:sz w:val="21"/>
              </w:rPr>
              <w:t>硬盘盘芯不返还的保修服务）</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8"/>
              <w:rPr>
                <w:rFonts w:ascii="Microsoft JhengHei"/>
                <w:b/>
                <w:sz w:val="14"/>
              </w:rPr>
            </w:pPr>
          </w:p>
          <w:p>
            <w:pPr>
              <w:pStyle w:val="TableParagraph"/>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11"/>
              <w:rPr>
                <w:rFonts w:ascii="Microsoft JhengHei"/>
                <w:b/>
                <w:sz w:val="15"/>
              </w:rPr>
            </w:pPr>
          </w:p>
          <w:p>
            <w:pPr>
              <w:pStyle w:val="TableParagraph"/>
              <w:spacing w:before="1"/>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492"/>
          <w:jc w:val="left"/>
        </w:trPr>
        <w:tc>
          <w:tcPr>
            <w:tcW w:w="679" w:type="dxa"/>
            <w:tcBorders>
              <w:top w:val="single" w:sz="6" w:space="0" w:color="000000"/>
              <w:bottom w:val="single" w:sz="6" w:space="0" w:color="000000"/>
              <w:right w:val="single" w:sz="6" w:space="0" w:color="000000"/>
            </w:tcBorders>
          </w:tcPr>
          <w:p>
            <w:pPr>
              <w:pStyle w:val="TableParagraph"/>
              <w:spacing w:before="125"/>
              <w:ind w:left="10"/>
              <w:jc w:val="center"/>
              <w:rPr>
                <w:rFonts w:ascii="Times New Roman"/>
                <w:sz w:val="21"/>
              </w:rPr>
            </w:pPr>
            <w:r>
              <w:rPr>
                <w:rFonts w:ascii="Times New Roman"/>
                <w:sz w:val="21"/>
              </w:rPr>
              <w:t>2</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3"/>
              <w:ind w:left="105"/>
              <w:rPr>
                <w:sz w:val="21"/>
              </w:rPr>
            </w:pPr>
            <w:r>
              <w:rPr>
                <w:rFonts w:ascii="Times New Roman" w:eastAsia="Times New Roman"/>
                <w:sz w:val="21"/>
              </w:rPr>
              <w:t>XX</w:t>
            </w:r>
            <w:r>
              <w:rPr>
                <w:rFonts w:ascii="Times New Roman" w:eastAsia="Times New Roman"/>
                <w:spacing w:val="-12"/>
                <w:sz w:val="21"/>
              </w:rPr>
              <w:t xml:space="preserve"> </w:t>
            </w:r>
            <w:r>
              <w:rPr>
                <w:spacing w:val="-2"/>
                <w:sz w:val="21"/>
              </w:rPr>
              <w:t>网运维软件</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20"/>
              </w:rPr>
            </w:pP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3"/>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125"/>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552"/>
          <w:jc w:val="left"/>
        </w:trPr>
        <w:tc>
          <w:tcPr>
            <w:tcW w:w="679" w:type="dxa"/>
            <w:tcBorders>
              <w:top w:val="single" w:sz="6" w:space="0" w:color="000000"/>
              <w:bottom w:val="single" w:sz="6" w:space="0" w:color="000000"/>
              <w:right w:val="single" w:sz="6" w:space="0" w:color="000000"/>
            </w:tcBorders>
            <w:shd w:val="clear" w:color="auto" w:fill="CCFFCC"/>
          </w:tcPr>
          <w:p>
            <w:pPr>
              <w:pStyle w:val="TableParagraph"/>
              <w:spacing w:before="73"/>
              <w:ind w:left="107" w:right="98"/>
              <w:jc w:val="center"/>
              <w:rPr>
                <w:rFonts w:ascii="Microsoft JhengHei" w:eastAsia="Microsoft JhengHei"/>
                <w:b/>
                <w:sz w:val="21"/>
              </w:rPr>
            </w:pPr>
            <w:r>
              <w:rPr>
                <w:rFonts w:ascii="Microsoft JhengHei" w:eastAsia="Microsoft JhengHei"/>
                <w:b/>
                <w:spacing w:val="-5"/>
                <w:sz w:val="21"/>
              </w:rPr>
              <w:t>序号</w:t>
            </w:r>
          </w:p>
        </w:tc>
        <w:tc>
          <w:tcPr>
            <w:tcW w:w="1846" w:type="dxa"/>
            <w:tcBorders>
              <w:top w:val="single" w:sz="6" w:space="0" w:color="000000"/>
              <w:left w:val="single" w:sz="6" w:space="0" w:color="000000"/>
              <w:bottom w:val="single" w:sz="6" w:space="0" w:color="000000"/>
              <w:right w:val="single" w:sz="6" w:space="0" w:color="000000"/>
            </w:tcBorders>
            <w:shd w:val="clear" w:color="auto" w:fill="CCFFCC"/>
          </w:tcPr>
          <w:p>
            <w:pPr>
              <w:pStyle w:val="TableParagraph"/>
              <w:spacing w:before="73"/>
              <w:ind w:left="498"/>
              <w:rPr>
                <w:rFonts w:ascii="Microsoft JhengHei" w:eastAsia="Microsoft JhengHei"/>
                <w:b/>
                <w:sz w:val="21"/>
              </w:rPr>
            </w:pPr>
            <w:r>
              <w:rPr>
                <w:rFonts w:ascii="Microsoft JhengHei" w:eastAsia="Microsoft JhengHei"/>
                <w:b/>
                <w:spacing w:val="-3"/>
                <w:sz w:val="21"/>
              </w:rPr>
              <w:t>产品名称</w:t>
            </w:r>
          </w:p>
        </w:tc>
        <w:tc>
          <w:tcPr>
            <w:tcW w:w="5747" w:type="dxa"/>
            <w:tcBorders>
              <w:top w:val="single" w:sz="6" w:space="0" w:color="000000"/>
              <w:left w:val="single" w:sz="6" w:space="0" w:color="000000"/>
              <w:bottom w:val="single" w:sz="6" w:space="0" w:color="000000"/>
              <w:right w:val="single" w:sz="6" w:space="0" w:color="000000"/>
            </w:tcBorders>
            <w:shd w:val="clear" w:color="auto" w:fill="CCFFCC"/>
          </w:tcPr>
          <w:p>
            <w:pPr>
              <w:pStyle w:val="TableParagraph"/>
              <w:spacing w:before="73"/>
              <w:ind w:left="2015" w:right="2006"/>
              <w:jc w:val="center"/>
              <w:rPr>
                <w:rFonts w:ascii="Microsoft JhengHei" w:eastAsia="Microsoft JhengHei"/>
                <w:b/>
                <w:sz w:val="21"/>
              </w:rPr>
            </w:pPr>
            <w:r>
              <w:rPr>
                <w:rFonts w:ascii="Microsoft JhengHei" w:eastAsia="Microsoft JhengHei"/>
                <w:b/>
                <w:spacing w:val="-5"/>
                <w:sz w:val="21"/>
              </w:rPr>
              <w:t>描述</w:t>
            </w:r>
          </w:p>
        </w:tc>
        <w:tc>
          <w:tcPr>
            <w:tcW w:w="729" w:type="dxa"/>
            <w:tcBorders>
              <w:top w:val="single" w:sz="6" w:space="0" w:color="000000"/>
              <w:left w:val="single" w:sz="6" w:space="0" w:color="000000"/>
              <w:bottom w:val="single" w:sz="6" w:space="0" w:color="000000"/>
              <w:right w:val="single" w:sz="6" w:space="0" w:color="000000"/>
            </w:tcBorders>
            <w:shd w:val="clear" w:color="auto" w:fill="CCFFCC"/>
          </w:tcPr>
          <w:p>
            <w:pPr>
              <w:pStyle w:val="TableParagraph"/>
              <w:spacing w:before="73"/>
              <w:ind w:left="136" w:right="127"/>
              <w:jc w:val="center"/>
              <w:rPr>
                <w:rFonts w:ascii="Microsoft JhengHei" w:eastAsia="Microsoft JhengHei"/>
                <w:b/>
                <w:sz w:val="21"/>
              </w:rPr>
            </w:pPr>
            <w:r>
              <w:rPr>
                <w:rFonts w:ascii="Microsoft JhengHei" w:eastAsia="Microsoft JhengHei"/>
                <w:b/>
                <w:spacing w:val="-5"/>
                <w:sz w:val="21"/>
              </w:rPr>
              <w:t>单位</w:t>
            </w:r>
          </w:p>
        </w:tc>
        <w:tc>
          <w:tcPr>
            <w:tcW w:w="724" w:type="dxa"/>
            <w:tcBorders>
              <w:top w:val="single" w:sz="6" w:space="0" w:color="000000"/>
              <w:left w:val="single" w:sz="6" w:space="0" w:color="000000"/>
              <w:bottom w:val="single" w:sz="6" w:space="0" w:color="000000"/>
            </w:tcBorders>
            <w:shd w:val="clear" w:color="auto" w:fill="CCFFCC"/>
          </w:tcPr>
          <w:p>
            <w:pPr>
              <w:pStyle w:val="TableParagraph"/>
              <w:spacing w:before="73"/>
              <w:ind w:left="130" w:right="121"/>
              <w:jc w:val="center"/>
              <w:rPr>
                <w:rFonts w:ascii="Microsoft JhengHei" w:eastAsia="Microsoft JhengHei"/>
                <w:b/>
                <w:sz w:val="21"/>
              </w:rPr>
            </w:pPr>
            <w:r>
              <w:rPr>
                <w:rFonts w:ascii="Microsoft JhengHei" w:eastAsia="Microsoft JhengHei"/>
                <w:b/>
                <w:spacing w:val="-5"/>
                <w:sz w:val="21"/>
              </w:rPr>
              <w:t>数量</w:t>
            </w:r>
          </w:p>
        </w:tc>
      </w:tr>
      <w:tr>
        <w:tblPrEx>
          <w:tblW w:w="0" w:type="auto"/>
          <w:jc w:val="left"/>
          <w:tblInd w:w="121" w:type="dxa"/>
          <w:tblLayout w:type="fixed"/>
          <w:tblCellMar>
            <w:top w:w="0" w:type="dxa"/>
            <w:left w:w="0" w:type="dxa"/>
            <w:bottom w:w="0" w:type="dxa"/>
            <w:right w:w="0" w:type="dxa"/>
          </w:tblCellMar>
          <w:tblLook w:val="01E0"/>
        </w:tblPrEx>
        <w:trPr>
          <w:trHeight w:val="513"/>
          <w:jc w:val="left"/>
        </w:trPr>
        <w:tc>
          <w:tcPr>
            <w:tcW w:w="679" w:type="dxa"/>
            <w:tcBorders>
              <w:top w:val="single" w:sz="6" w:space="0" w:color="000000"/>
              <w:bottom w:val="single" w:sz="6" w:space="0" w:color="000000"/>
              <w:right w:val="single" w:sz="6" w:space="0" w:color="000000"/>
            </w:tcBorders>
          </w:tcPr>
          <w:p>
            <w:pPr>
              <w:pStyle w:val="TableParagraph"/>
              <w:spacing w:before="136"/>
              <w:ind w:left="10"/>
              <w:jc w:val="center"/>
              <w:rPr>
                <w:rFonts w:ascii="Times New Roman"/>
                <w:sz w:val="21"/>
              </w:rPr>
            </w:pPr>
            <w:r>
              <w:rPr>
                <w:rFonts w:ascii="Times New Roman"/>
                <w:sz w:val="21"/>
              </w:rPr>
              <w:t>1</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3"/>
              <w:ind w:left="105"/>
              <w:rPr>
                <w:sz w:val="21"/>
              </w:rPr>
            </w:pPr>
            <w:r>
              <w:rPr>
                <w:spacing w:val="-5"/>
                <w:sz w:val="21"/>
              </w:rPr>
              <w:t>机柜</w:t>
            </w:r>
          </w:p>
          <w:p>
            <w:pPr>
              <w:pStyle w:val="TableParagraph"/>
              <w:spacing w:line="221" w:lineRule="exact"/>
              <w:ind w:left="105"/>
              <w:rPr>
                <w:rFonts w:ascii="Times New Roman"/>
                <w:sz w:val="21"/>
              </w:rPr>
            </w:pPr>
            <w:r>
              <w:rPr>
                <w:rFonts w:ascii="Times New Roman"/>
                <w:spacing w:val="-2"/>
                <w:sz w:val="21"/>
              </w:rPr>
              <w:t>(800*950*2050)</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24"/>
              <w:ind w:left="2015" w:right="2006"/>
              <w:jc w:val="center"/>
              <w:rPr>
                <w:rFonts w:ascii="Times New Roman" w:eastAsia="Times New Roman"/>
                <w:sz w:val="21"/>
              </w:rPr>
            </w:pPr>
            <w:r>
              <w:rPr>
                <w:spacing w:val="-11"/>
                <w:sz w:val="21"/>
              </w:rPr>
              <w:t xml:space="preserve">金盾网孔 </w:t>
            </w:r>
            <w:r>
              <w:rPr>
                <w:rFonts w:ascii="Times New Roman" w:eastAsia="Times New Roman"/>
                <w:spacing w:val="-2"/>
                <w:sz w:val="21"/>
              </w:rPr>
              <w:t>PSR8942</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24"/>
              <w:ind w:left="10"/>
              <w:jc w:val="center"/>
              <w:rPr>
                <w:sz w:val="21"/>
              </w:rPr>
            </w:pPr>
            <w:r>
              <w:rPr>
                <w:sz w:val="21"/>
              </w:rPr>
              <w:t>个</w:t>
            </w:r>
          </w:p>
        </w:tc>
        <w:tc>
          <w:tcPr>
            <w:tcW w:w="724" w:type="dxa"/>
            <w:tcBorders>
              <w:top w:val="single" w:sz="6" w:space="0" w:color="000000"/>
              <w:left w:val="single" w:sz="6" w:space="0" w:color="000000"/>
              <w:bottom w:val="single" w:sz="6" w:space="0" w:color="000000"/>
            </w:tcBorders>
          </w:tcPr>
          <w:p>
            <w:pPr>
              <w:pStyle w:val="TableParagraph"/>
              <w:spacing w:before="136"/>
              <w:ind w:left="130" w:right="121"/>
              <w:jc w:val="center"/>
              <w:rPr>
                <w:rFonts w:ascii="Times New Roman"/>
                <w:sz w:val="21"/>
              </w:rPr>
            </w:pPr>
            <w:r>
              <w:rPr>
                <w:rFonts w:ascii="Times New Roman"/>
                <w:spacing w:val="-5"/>
                <w:sz w:val="21"/>
              </w:rPr>
              <w:t>11</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2</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2"/>
                <w:sz w:val="21"/>
              </w:rPr>
              <w:t>机柜电源插排</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2015" w:right="2005"/>
              <w:jc w:val="center"/>
              <w:rPr>
                <w:sz w:val="21"/>
              </w:rPr>
            </w:pPr>
            <w:r>
              <w:rPr>
                <w:spacing w:val="-5"/>
                <w:sz w:val="21"/>
              </w:rPr>
              <w:t>金盾</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个</w:t>
            </w:r>
          </w:p>
        </w:tc>
        <w:tc>
          <w:tcPr>
            <w:tcW w:w="724" w:type="dxa"/>
            <w:tcBorders>
              <w:top w:val="single" w:sz="6" w:space="0" w:color="000000"/>
              <w:left w:val="single" w:sz="6" w:space="0" w:color="000000"/>
              <w:bottom w:val="single" w:sz="6" w:space="0" w:color="000000"/>
            </w:tcBorders>
          </w:tcPr>
          <w:p>
            <w:pPr>
              <w:pStyle w:val="TableParagraph"/>
              <w:spacing w:before="23"/>
              <w:ind w:left="130" w:right="121"/>
              <w:jc w:val="center"/>
              <w:rPr>
                <w:rFonts w:ascii="Times New Roman"/>
                <w:sz w:val="21"/>
              </w:rPr>
            </w:pPr>
            <w:r>
              <w:rPr>
                <w:rFonts w:ascii="Times New Roman"/>
                <w:spacing w:val="-5"/>
                <w:sz w:val="21"/>
              </w:rPr>
              <w:t>11</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3</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4"/>
                <w:sz w:val="21"/>
              </w:rPr>
              <w:t>配线架</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2015" w:right="2005"/>
              <w:jc w:val="center"/>
              <w:rPr>
                <w:sz w:val="21"/>
              </w:rPr>
            </w:pPr>
            <w:r>
              <w:rPr>
                <w:rFonts w:ascii="Times New Roman" w:eastAsia="Times New Roman"/>
                <w:sz w:val="21"/>
              </w:rPr>
              <w:t>AMP</w:t>
            </w:r>
            <w:r>
              <w:rPr>
                <w:rFonts w:ascii="Times New Roman" w:eastAsia="Times New Roman"/>
                <w:spacing w:val="-2"/>
                <w:sz w:val="21"/>
              </w:rPr>
              <w:t xml:space="preserve"> </w:t>
            </w:r>
            <w:r>
              <w:rPr>
                <w:spacing w:val="-5"/>
                <w:sz w:val="21"/>
              </w:rPr>
              <w:t>六类</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个</w:t>
            </w:r>
          </w:p>
        </w:tc>
        <w:tc>
          <w:tcPr>
            <w:tcW w:w="724" w:type="dxa"/>
            <w:tcBorders>
              <w:top w:val="single" w:sz="6" w:space="0" w:color="000000"/>
              <w:left w:val="single" w:sz="6" w:space="0" w:color="000000"/>
              <w:bottom w:val="single" w:sz="6" w:space="0" w:color="000000"/>
            </w:tcBorders>
          </w:tcPr>
          <w:p>
            <w:pPr>
              <w:pStyle w:val="TableParagraph"/>
              <w:spacing w:before="23"/>
              <w:ind w:left="130" w:right="121"/>
              <w:jc w:val="center"/>
              <w:rPr>
                <w:rFonts w:ascii="Times New Roman"/>
                <w:sz w:val="21"/>
              </w:rPr>
            </w:pPr>
            <w:r>
              <w:rPr>
                <w:rFonts w:ascii="Times New Roman"/>
                <w:spacing w:val="-5"/>
                <w:sz w:val="21"/>
              </w:rPr>
              <w:t>11</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4</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5"/>
                <w:sz w:val="21"/>
              </w:rPr>
              <w:t>模块</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2015" w:right="2005"/>
              <w:jc w:val="center"/>
              <w:rPr>
                <w:sz w:val="21"/>
              </w:rPr>
            </w:pPr>
            <w:r>
              <w:rPr>
                <w:rFonts w:ascii="Times New Roman" w:eastAsia="Times New Roman"/>
                <w:sz w:val="21"/>
              </w:rPr>
              <w:t>AMP</w:t>
            </w:r>
            <w:r>
              <w:rPr>
                <w:rFonts w:ascii="Times New Roman" w:eastAsia="Times New Roman"/>
                <w:spacing w:val="-2"/>
                <w:sz w:val="21"/>
              </w:rPr>
              <w:t xml:space="preserve"> </w:t>
            </w:r>
            <w:r>
              <w:rPr>
                <w:spacing w:val="-5"/>
                <w:sz w:val="21"/>
              </w:rPr>
              <w:t>六类</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个</w:t>
            </w:r>
          </w:p>
        </w:tc>
        <w:tc>
          <w:tcPr>
            <w:tcW w:w="724" w:type="dxa"/>
            <w:tcBorders>
              <w:top w:val="single" w:sz="6" w:space="0" w:color="000000"/>
              <w:left w:val="single" w:sz="6" w:space="0" w:color="000000"/>
              <w:bottom w:val="single" w:sz="6" w:space="0" w:color="000000"/>
            </w:tcBorders>
          </w:tcPr>
          <w:p>
            <w:pPr>
              <w:pStyle w:val="TableParagraph"/>
              <w:spacing w:before="23"/>
              <w:ind w:left="130" w:right="121"/>
              <w:jc w:val="center"/>
              <w:rPr>
                <w:rFonts w:ascii="Times New Roman"/>
                <w:sz w:val="21"/>
              </w:rPr>
            </w:pPr>
            <w:r>
              <w:rPr>
                <w:rFonts w:ascii="Times New Roman"/>
                <w:spacing w:val="-5"/>
                <w:sz w:val="21"/>
              </w:rPr>
              <w:t>132</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5</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3"/>
                <w:sz w:val="21"/>
              </w:rPr>
              <w:t>网络跳线</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2015" w:right="2005"/>
              <w:jc w:val="center"/>
              <w:rPr>
                <w:sz w:val="21"/>
              </w:rPr>
            </w:pPr>
            <w:r>
              <w:rPr>
                <w:rFonts w:ascii="Times New Roman" w:eastAsia="Times New Roman"/>
                <w:sz w:val="21"/>
              </w:rPr>
              <w:t>AMP</w:t>
            </w:r>
            <w:r>
              <w:rPr>
                <w:rFonts w:ascii="Times New Roman" w:eastAsia="Times New Roman"/>
                <w:spacing w:val="-4"/>
                <w:sz w:val="21"/>
              </w:rPr>
              <w:t xml:space="preserve"> </w:t>
            </w:r>
            <w:r>
              <w:rPr>
                <w:spacing w:val="-18"/>
                <w:sz w:val="21"/>
              </w:rPr>
              <w:t xml:space="preserve">六类 </w:t>
            </w:r>
            <w:r>
              <w:rPr>
                <w:rFonts w:ascii="Times New Roman" w:eastAsia="Times New Roman"/>
                <w:sz w:val="21"/>
              </w:rPr>
              <w:t>2</w:t>
            </w:r>
            <w:r>
              <w:rPr>
                <w:rFonts w:ascii="Times New Roman" w:eastAsia="Times New Roman"/>
                <w:spacing w:val="-11"/>
                <w:sz w:val="21"/>
              </w:rPr>
              <w:t xml:space="preserve"> </w:t>
            </w:r>
            <w:r>
              <w:rPr>
                <w:spacing w:val="-10"/>
                <w:sz w:val="21"/>
              </w:rPr>
              <w:t>米</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条</w:t>
            </w:r>
          </w:p>
        </w:tc>
        <w:tc>
          <w:tcPr>
            <w:tcW w:w="724" w:type="dxa"/>
            <w:tcBorders>
              <w:top w:val="single" w:sz="6" w:space="0" w:color="000000"/>
              <w:left w:val="single" w:sz="6" w:space="0" w:color="000000"/>
              <w:bottom w:val="single" w:sz="6" w:space="0" w:color="000000"/>
            </w:tcBorders>
          </w:tcPr>
          <w:p>
            <w:pPr>
              <w:pStyle w:val="TableParagraph"/>
              <w:spacing w:before="23"/>
              <w:ind w:left="130" w:right="121"/>
              <w:jc w:val="center"/>
              <w:rPr>
                <w:rFonts w:ascii="Times New Roman"/>
                <w:sz w:val="21"/>
              </w:rPr>
            </w:pPr>
            <w:r>
              <w:rPr>
                <w:rFonts w:ascii="Times New Roman"/>
                <w:spacing w:val="-5"/>
                <w:sz w:val="21"/>
              </w:rPr>
              <w:t>264</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6</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5"/>
                <w:sz w:val="21"/>
              </w:rPr>
              <w:t>面板</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23"/>
              <w:ind w:left="2015" w:right="2006"/>
              <w:jc w:val="center"/>
              <w:rPr>
                <w:rFonts w:ascii="Times New Roman"/>
                <w:sz w:val="21"/>
              </w:rPr>
            </w:pPr>
            <w:r>
              <w:rPr>
                <w:rFonts w:ascii="Times New Roman"/>
                <w:spacing w:val="-5"/>
                <w:sz w:val="21"/>
              </w:rPr>
              <w:t>AMP</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个</w:t>
            </w:r>
          </w:p>
        </w:tc>
        <w:tc>
          <w:tcPr>
            <w:tcW w:w="724" w:type="dxa"/>
            <w:tcBorders>
              <w:top w:val="single" w:sz="6" w:space="0" w:color="000000"/>
              <w:left w:val="single" w:sz="6" w:space="0" w:color="000000"/>
              <w:bottom w:val="single" w:sz="6" w:space="0" w:color="000000"/>
            </w:tcBorders>
          </w:tcPr>
          <w:p>
            <w:pPr>
              <w:pStyle w:val="TableParagraph"/>
              <w:spacing w:before="23"/>
              <w:ind w:left="130" w:right="121"/>
              <w:jc w:val="center"/>
              <w:rPr>
                <w:rFonts w:ascii="Times New Roman"/>
                <w:sz w:val="21"/>
              </w:rPr>
            </w:pPr>
            <w:r>
              <w:rPr>
                <w:rFonts w:ascii="Times New Roman"/>
                <w:spacing w:val="-5"/>
                <w:sz w:val="21"/>
              </w:rPr>
              <w:t>132</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7</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5"/>
                <w:sz w:val="21"/>
              </w:rPr>
              <w:t>网线</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2015" w:right="2005"/>
              <w:jc w:val="center"/>
              <w:rPr>
                <w:sz w:val="21"/>
              </w:rPr>
            </w:pPr>
            <w:r>
              <w:rPr>
                <w:rFonts w:ascii="Times New Roman" w:eastAsia="Times New Roman"/>
                <w:sz w:val="21"/>
              </w:rPr>
              <w:t>AMP</w:t>
            </w:r>
            <w:r>
              <w:rPr>
                <w:rFonts w:ascii="Times New Roman" w:eastAsia="Times New Roman"/>
                <w:spacing w:val="-2"/>
                <w:sz w:val="21"/>
              </w:rPr>
              <w:t xml:space="preserve"> </w:t>
            </w:r>
            <w:r>
              <w:rPr>
                <w:spacing w:val="-3"/>
                <w:sz w:val="21"/>
              </w:rPr>
              <w:t>六类屏蔽</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箱</w:t>
            </w:r>
          </w:p>
        </w:tc>
        <w:tc>
          <w:tcPr>
            <w:tcW w:w="724" w:type="dxa"/>
            <w:tcBorders>
              <w:top w:val="single" w:sz="6" w:space="0" w:color="000000"/>
              <w:left w:val="single" w:sz="6" w:space="0" w:color="000000"/>
              <w:bottom w:val="single" w:sz="6" w:space="0" w:color="000000"/>
            </w:tcBorders>
          </w:tcPr>
          <w:p>
            <w:pPr>
              <w:pStyle w:val="TableParagraph"/>
              <w:spacing w:before="23"/>
              <w:ind w:left="130" w:right="121"/>
              <w:jc w:val="center"/>
              <w:rPr>
                <w:rFonts w:ascii="Times New Roman"/>
                <w:sz w:val="21"/>
              </w:rPr>
            </w:pPr>
            <w:r>
              <w:rPr>
                <w:rFonts w:ascii="Times New Roman"/>
                <w:spacing w:val="-5"/>
                <w:sz w:val="21"/>
              </w:rPr>
              <w:t>13</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8</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5"/>
                <w:sz w:val="21"/>
              </w:rPr>
              <w:t>电源</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2015" w:right="2005"/>
              <w:jc w:val="center"/>
              <w:rPr>
                <w:sz w:val="21"/>
              </w:rPr>
            </w:pPr>
            <w:r>
              <w:rPr>
                <w:spacing w:val="-2"/>
                <w:sz w:val="21"/>
              </w:rPr>
              <w:t>含电源线及面板</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套</w:t>
            </w:r>
          </w:p>
        </w:tc>
        <w:tc>
          <w:tcPr>
            <w:tcW w:w="724" w:type="dxa"/>
            <w:tcBorders>
              <w:top w:val="single" w:sz="6" w:space="0" w:color="000000"/>
              <w:left w:val="single" w:sz="6" w:space="0" w:color="000000"/>
              <w:bottom w:val="single" w:sz="6" w:space="0" w:color="000000"/>
            </w:tcBorders>
          </w:tcPr>
          <w:p>
            <w:pPr>
              <w:pStyle w:val="TableParagraph"/>
              <w:spacing w:before="23"/>
              <w:ind w:left="130" w:right="121"/>
              <w:jc w:val="center"/>
              <w:rPr>
                <w:rFonts w:ascii="Times New Roman"/>
                <w:sz w:val="21"/>
              </w:rPr>
            </w:pPr>
            <w:r>
              <w:rPr>
                <w:rFonts w:ascii="Times New Roman"/>
                <w:spacing w:val="-5"/>
                <w:sz w:val="21"/>
              </w:rPr>
              <w:t>11</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bottom w:val="single" w:sz="6" w:space="0" w:color="000000"/>
              <w:right w:val="single" w:sz="6" w:space="0" w:color="000000"/>
            </w:tcBorders>
          </w:tcPr>
          <w:p>
            <w:pPr>
              <w:pStyle w:val="TableParagraph"/>
              <w:spacing w:before="23"/>
              <w:ind w:left="10"/>
              <w:jc w:val="center"/>
              <w:rPr>
                <w:rFonts w:ascii="Times New Roman"/>
                <w:sz w:val="21"/>
              </w:rPr>
            </w:pPr>
            <w:r>
              <w:rPr>
                <w:rFonts w:ascii="Times New Roman"/>
                <w:sz w:val="21"/>
              </w:rPr>
              <w:t>9</w:t>
            </w:r>
          </w:p>
        </w:tc>
        <w:tc>
          <w:tcPr>
            <w:tcW w:w="1846"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5"/>
              <w:rPr>
                <w:sz w:val="21"/>
              </w:rPr>
            </w:pPr>
            <w:r>
              <w:rPr>
                <w:spacing w:val="-2"/>
                <w:sz w:val="21"/>
              </w:rPr>
              <w:t>工程施工费</w:t>
            </w:r>
          </w:p>
        </w:tc>
        <w:tc>
          <w:tcPr>
            <w:tcW w:w="5747"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2015" w:right="2005"/>
              <w:jc w:val="center"/>
              <w:rPr>
                <w:sz w:val="21"/>
              </w:rPr>
            </w:pPr>
            <w:r>
              <w:rPr>
                <w:spacing w:val="-4"/>
                <w:sz w:val="21"/>
              </w:rPr>
              <w:t>含辅材</w:t>
            </w:r>
          </w:p>
        </w:tc>
        <w:tc>
          <w:tcPr>
            <w:tcW w:w="729" w:type="dxa"/>
            <w:tcBorders>
              <w:top w:val="single" w:sz="6" w:space="0" w:color="000000"/>
              <w:left w:val="single" w:sz="6" w:space="0" w:color="000000"/>
              <w:bottom w:val="single" w:sz="6" w:space="0" w:color="000000"/>
              <w:right w:val="single" w:sz="6" w:space="0" w:color="000000"/>
            </w:tcBorders>
          </w:tcPr>
          <w:p>
            <w:pPr>
              <w:pStyle w:val="TableParagraph"/>
              <w:spacing w:before="11" w:line="257" w:lineRule="exact"/>
              <w:ind w:left="10"/>
              <w:jc w:val="center"/>
              <w:rPr>
                <w:sz w:val="21"/>
              </w:rPr>
            </w:pPr>
            <w:r>
              <w:rPr>
                <w:sz w:val="21"/>
              </w:rPr>
              <w:t>项</w:t>
            </w:r>
          </w:p>
        </w:tc>
        <w:tc>
          <w:tcPr>
            <w:tcW w:w="724" w:type="dxa"/>
            <w:tcBorders>
              <w:top w:val="single" w:sz="6" w:space="0" w:color="000000"/>
              <w:left w:val="single" w:sz="6" w:space="0" w:color="000000"/>
              <w:bottom w:val="single" w:sz="6" w:space="0" w:color="000000"/>
            </w:tcBorders>
          </w:tcPr>
          <w:p>
            <w:pPr>
              <w:pStyle w:val="TableParagraph"/>
              <w:spacing w:before="23"/>
              <w:ind w:left="9"/>
              <w:jc w:val="center"/>
              <w:rPr>
                <w:rFonts w:ascii="Times New Roman"/>
                <w:sz w:val="21"/>
              </w:rPr>
            </w:pPr>
            <w:r>
              <w:rPr>
                <w:rFonts w:ascii="Times New Roman"/>
                <w:sz w:val="21"/>
              </w:rPr>
              <w:t>1</w:t>
            </w:r>
          </w:p>
        </w:tc>
      </w:tr>
      <w:tr>
        <w:tblPrEx>
          <w:tblW w:w="0" w:type="auto"/>
          <w:jc w:val="left"/>
          <w:tblInd w:w="121" w:type="dxa"/>
          <w:tblLayout w:type="fixed"/>
          <w:tblCellMar>
            <w:top w:w="0" w:type="dxa"/>
            <w:left w:w="0" w:type="dxa"/>
            <w:bottom w:w="0" w:type="dxa"/>
            <w:right w:w="0" w:type="dxa"/>
          </w:tblCellMar>
          <w:tblLook w:val="01E0"/>
        </w:tblPrEx>
        <w:trPr>
          <w:trHeight w:val="287"/>
          <w:jc w:val="left"/>
        </w:trPr>
        <w:tc>
          <w:tcPr>
            <w:tcW w:w="679" w:type="dxa"/>
            <w:tcBorders>
              <w:top w:val="single" w:sz="6" w:space="0" w:color="000000"/>
              <w:right w:val="single" w:sz="6" w:space="0" w:color="000000"/>
            </w:tcBorders>
          </w:tcPr>
          <w:p>
            <w:pPr>
              <w:pStyle w:val="TableParagraph"/>
              <w:spacing w:before="23"/>
              <w:ind w:left="107" w:right="97"/>
              <w:jc w:val="center"/>
              <w:rPr>
                <w:rFonts w:ascii="Times New Roman"/>
                <w:sz w:val="21"/>
              </w:rPr>
            </w:pPr>
            <w:r>
              <w:rPr>
                <w:rFonts w:ascii="Times New Roman"/>
                <w:spacing w:val="-5"/>
                <w:sz w:val="21"/>
              </w:rPr>
              <w:t>10</w:t>
            </w:r>
          </w:p>
        </w:tc>
        <w:tc>
          <w:tcPr>
            <w:tcW w:w="1846" w:type="dxa"/>
            <w:tcBorders>
              <w:top w:val="single" w:sz="6" w:space="0" w:color="000000"/>
              <w:left w:val="single" w:sz="6" w:space="0" w:color="000000"/>
              <w:right w:val="single" w:sz="6" w:space="0" w:color="000000"/>
            </w:tcBorders>
          </w:tcPr>
          <w:p>
            <w:pPr>
              <w:pStyle w:val="TableParagraph"/>
              <w:spacing w:before="11" w:line="257" w:lineRule="exact"/>
              <w:ind w:left="105"/>
              <w:rPr>
                <w:sz w:val="21"/>
              </w:rPr>
            </w:pPr>
            <w:r>
              <w:rPr>
                <w:spacing w:val="-2"/>
                <w:sz w:val="21"/>
              </w:rPr>
              <w:t>施工监理费</w:t>
            </w:r>
          </w:p>
        </w:tc>
        <w:tc>
          <w:tcPr>
            <w:tcW w:w="5747" w:type="dxa"/>
            <w:tcBorders>
              <w:top w:val="single" w:sz="6" w:space="0" w:color="000000"/>
              <w:left w:val="single" w:sz="6" w:space="0" w:color="000000"/>
              <w:right w:val="single" w:sz="6" w:space="0" w:color="000000"/>
            </w:tcBorders>
          </w:tcPr>
          <w:p>
            <w:pPr>
              <w:pStyle w:val="TableParagraph"/>
              <w:rPr>
                <w:rFonts w:ascii="Times New Roman"/>
                <w:sz w:val="20"/>
              </w:rPr>
            </w:pPr>
          </w:p>
        </w:tc>
        <w:tc>
          <w:tcPr>
            <w:tcW w:w="729" w:type="dxa"/>
            <w:tcBorders>
              <w:top w:val="single" w:sz="6" w:space="0" w:color="000000"/>
              <w:left w:val="single" w:sz="6" w:space="0" w:color="000000"/>
              <w:right w:val="single" w:sz="6" w:space="0" w:color="000000"/>
            </w:tcBorders>
          </w:tcPr>
          <w:p>
            <w:pPr>
              <w:pStyle w:val="TableParagraph"/>
              <w:spacing w:before="11" w:line="257" w:lineRule="exact"/>
              <w:ind w:left="10"/>
              <w:jc w:val="center"/>
              <w:rPr>
                <w:sz w:val="21"/>
              </w:rPr>
            </w:pPr>
            <w:r>
              <w:rPr>
                <w:sz w:val="21"/>
              </w:rPr>
              <w:t>项</w:t>
            </w:r>
          </w:p>
        </w:tc>
        <w:tc>
          <w:tcPr>
            <w:tcW w:w="724" w:type="dxa"/>
            <w:tcBorders>
              <w:top w:val="single" w:sz="6" w:space="0" w:color="000000"/>
              <w:left w:val="single" w:sz="6" w:space="0" w:color="000000"/>
            </w:tcBorders>
          </w:tcPr>
          <w:p>
            <w:pPr>
              <w:pStyle w:val="TableParagraph"/>
              <w:spacing w:before="23"/>
              <w:ind w:left="9"/>
              <w:jc w:val="center"/>
              <w:rPr>
                <w:rFonts w:ascii="Times New Roman"/>
                <w:sz w:val="21"/>
              </w:rPr>
            </w:pPr>
            <w:r>
              <w:rPr>
                <w:rFonts w:ascii="Times New Roman"/>
                <w:sz w:val="21"/>
              </w:rPr>
              <w:t>1</w:t>
            </w:r>
          </w:p>
        </w:tc>
      </w:tr>
    </w:tbl>
    <w:p>
      <w:pPr>
        <w:pStyle w:val="BodyText"/>
        <w:spacing w:before="6"/>
        <w:rPr>
          <w:rFonts w:ascii="Microsoft JhengHei"/>
          <w:b/>
          <w:sz w:val="19"/>
        </w:rPr>
      </w:pPr>
    </w:p>
    <w:p>
      <w:pPr>
        <w:spacing w:before="0" w:line="484" w:lineRule="exact"/>
        <w:ind w:left="214" w:right="0" w:firstLine="0"/>
        <w:jc w:val="left"/>
        <w:rPr>
          <w:rFonts w:ascii="Microsoft JhengHei" w:eastAsia="Microsoft JhengHei"/>
          <w:b/>
          <w:sz w:val="28"/>
        </w:rPr>
      </w:pPr>
      <w:r>
        <w:rPr>
          <w:rFonts w:ascii="Microsoft JhengHei" w:eastAsia="Microsoft JhengHei"/>
          <w:b/>
          <w:spacing w:val="-2"/>
          <w:sz w:val="28"/>
        </w:rPr>
        <w:t>九、项目其他要求</w:t>
      </w:r>
    </w:p>
    <w:p>
      <w:pPr>
        <w:pStyle w:val="ListParagraph"/>
        <w:numPr>
          <w:ilvl w:val="3"/>
          <w:numId w:val="93"/>
        </w:numPr>
        <w:tabs>
          <w:tab w:val="left" w:pos="850"/>
        </w:tabs>
        <w:spacing w:before="121" w:after="0" w:line="240" w:lineRule="auto"/>
        <w:ind w:left="850" w:right="0" w:hanging="424"/>
        <w:jc w:val="both"/>
        <w:rPr>
          <w:sz w:val="21"/>
        </w:rPr>
      </w:pPr>
      <w:r>
        <w:rPr>
          <w:spacing w:val="-1"/>
          <w:sz w:val="21"/>
        </w:rPr>
        <w:t>投标人提供的目标应用软件系统结构必须具备足够的开放性、易用性以及开发文档完整性。</w:t>
      </w:r>
    </w:p>
    <w:p>
      <w:pPr>
        <w:pStyle w:val="ListParagraph"/>
        <w:numPr>
          <w:ilvl w:val="3"/>
          <w:numId w:val="93"/>
        </w:numPr>
        <w:tabs>
          <w:tab w:val="left" w:pos="852"/>
        </w:tabs>
        <w:spacing w:before="139" w:after="0" w:line="364" w:lineRule="auto"/>
        <w:ind w:left="850" w:right="222" w:hanging="424"/>
        <w:jc w:val="both"/>
        <w:rPr>
          <w:sz w:val="21"/>
        </w:rPr>
      </w:pPr>
      <w:r>
        <w:rPr>
          <w:spacing w:val="-2"/>
          <w:sz w:val="21"/>
        </w:rPr>
        <w:t>为保证该系统今后的扩容升级建设需求，投标人在总体方案制定中应留有扩容升级余地，应用软</w:t>
      </w:r>
      <w:r>
        <w:rPr>
          <w:spacing w:val="-2"/>
          <w:sz w:val="21"/>
        </w:rPr>
        <w:t>件系统不设置许可证限制。</w:t>
      </w:r>
    </w:p>
    <w:p>
      <w:pPr>
        <w:pStyle w:val="ListParagraph"/>
        <w:numPr>
          <w:ilvl w:val="3"/>
          <w:numId w:val="93"/>
        </w:numPr>
        <w:tabs>
          <w:tab w:val="left" w:pos="850"/>
        </w:tabs>
        <w:spacing w:before="0" w:after="0" w:line="364" w:lineRule="auto"/>
        <w:ind w:left="850" w:right="222" w:hanging="424"/>
        <w:jc w:val="both"/>
        <w:rPr>
          <w:sz w:val="21"/>
        </w:rPr>
      </w:pPr>
      <w:r>
        <w:rPr>
          <w:spacing w:val="-2"/>
          <w:sz w:val="21"/>
        </w:rPr>
        <w:t>因“DW09 工程”中ft后台系统升级扩容的涉及面非常广泛，此需求说明书中提及的内容未能完全</w:t>
      </w:r>
      <w:r>
        <w:rPr>
          <w:spacing w:val="-2"/>
          <w:sz w:val="21"/>
        </w:rPr>
        <w:t>涵盖“DW09 工程”中ft后台系统升级扩容的所有需求，投标人中标后，须按照采购人要求，在需</w:t>
      </w:r>
      <w:r>
        <w:rPr>
          <w:spacing w:val="-2"/>
          <w:sz w:val="21"/>
        </w:rPr>
        <w:t>求调研过程中不断完善用户需求。此项要求作为招标文件重要响应指标之一，投标人在投标时需</w:t>
      </w:r>
      <w:r>
        <w:rPr>
          <w:spacing w:val="-2"/>
          <w:sz w:val="21"/>
        </w:rPr>
        <w:t>完全响应。</w:t>
      </w:r>
    </w:p>
    <w:p>
      <w:pPr>
        <w:spacing w:after="0" w:line="364" w:lineRule="auto"/>
        <w:jc w:val="both"/>
        <w:rPr>
          <w:sz w:val="21"/>
        </w:rPr>
        <w:sectPr>
          <w:headerReference w:type="default" r:id="rId42"/>
          <w:footerReference w:type="default" r:id="rId43"/>
          <w:pgSz w:w="11910" w:h="16840"/>
          <w:pgMar w:top="1340" w:right="1080" w:bottom="1000" w:left="880" w:header="822" w:footer="805"/>
          <w:pgNumType w:start="19"/>
          <w:cols w:space="708"/>
        </w:sectPr>
      </w:pPr>
    </w:p>
    <w:p>
      <w:pPr>
        <w:spacing w:before="0" w:line="492" w:lineRule="exact"/>
        <w:ind w:left="214" w:right="0" w:firstLine="0"/>
        <w:jc w:val="left"/>
        <w:rPr>
          <w:rFonts w:ascii="Microsoft JhengHei" w:eastAsia="Microsoft JhengHei"/>
          <w:b/>
          <w:sz w:val="28"/>
        </w:rPr>
      </w:pPr>
      <w:r>
        <w:rPr>
          <w:rFonts w:ascii="Microsoft JhengHei" w:eastAsia="Microsoft JhengHei"/>
          <w:b/>
          <w:spacing w:val="-1"/>
          <w:sz w:val="28"/>
        </w:rPr>
        <w:t>十、包装、运输、保管及保险</w:t>
      </w:r>
    </w:p>
    <w:p>
      <w:pPr>
        <w:pStyle w:val="ListParagraph"/>
        <w:numPr>
          <w:ilvl w:val="0"/>
          <w:numId w:val="94"/>
        </w:numPr>
        <w:tabs>
          <w:tab w:val="left" w:pos="850"/>
        </w:tabs>
        <w:spacing w:before="121" w:after="0" w:line="364" w:lineRule="auto"/>
        <w:ind w:left="850" w:right="275" w:hanging="424"/>
        <w:jc w:val="left"/>
        <w:rPr>
          <w:sz w:val="21"/>
        </w:rPr>
      </w:pPr>
      <w:r>
        <w:rPr>
          <w:spacing w:val="-2"/>
          <w:sz w:val="21"/>
        </w:rPr>
        <w:t>中标人所供货物必须为制造商原厂包装，包装质量符合国家相关标准，设备的包装均应有良好的</w:t>
      </w:r>
      <w:r>
        <w:rPr>
          <w:spacing w:val="-2"/>
          <w:sz w:val="21"/>
        </w:rPr>
        <w:t>防湿、防锈、防潮、防雨、防腐及防碰撞的措施。货物要求有包装材料保护运至现场。</w:t>
      </w:r>
    </w:p>
    <w:p>
      <w:pPr>
        <w:pStyle w:val="ListParagraph"/>
        <w:numPr>
          <w:ilvl w:val="0"/>
          <w:numId w:val="94"/>
        </w:numPr>
        <w:tabs>
          <w:tab w:val="left" w:pos="850"/>
        </w:tabs>
        <w:spacing w:before="0" w:after="0" w:line="364" w:lineRule="auto"/>
        <w:ind w:left="850" w:right="275" w:hanging="424"/>
        <w:jc w:val="left"/>
        <w:rPr>
          <w:sz w:val="21"/>
        </w:rPr>
      </w:pPr>
      <w:r>
        <w:rPr>
          <w:spacing w:val="-2"/>
          <w:sz w:val="21"/>
        </w:rPr>
        <w:t>中标人负责根据用户指定的安装地点，将货物材料送到现场过程中的全部运输，包括装卸车、货</w:t>
      </w:r>
      <w:r>
        <w:rPr>
          <w:spacing w:val="-2"/>
          <w:sz w:val="21"/>
        </w:rPr>
        <w:t>物现场的搬运。</w:t>
      </w:r>
    </w:p>
    <w:p>
      <w:pPr>
        <w:pStyle w:val="ListParagraph"/>
        <w:numPr>
          <w:ilvl w:val="0"/>
          <w:numId w:val="94"/>
        </w:numPr>
        <w:tabs>
          <w:tab w:val="left" w:pos="850"/>
        </w:tabs>
        <w:spacing w:before="0" w:after="0" w:line="268" w:lineRule="exact"/>
        <w:ind w:left="850" w:right="0" w:hanging="424"/>
        <w:jc w:val="left"/>
        <w:rPr>
          <w:sz w:val="21"/>
        </w:rPr>
      </w:pPr>
      <w:r>
        <w:rPr>
          <w:spacing w:val="-1"/>
          <w:sz w:val="21"/>
        </w:rPr>
        <w:t>各种设备，必须提供装箱清单，按装箱清单验收货物。</w:t>
      </w:r>
    </w:p>
    <w:p>
      <w:pPr>
        <w:pStyle w:val="ListParagraph"/>
        <w:numPr>
          <w:ilvl w:val="0"/>
          <w:numId w:val="94"/>
        </w:numPr>
        <w:tabs>
          <w:tab w:val="left" w:pos="850"/>
        </w:tabs>
        <w:spacing w:before="138" w:after="0" w:line="240" w:lineRule="auto"/>
        <w:ind w:left="850" w:right="0" w:hanging="424"/>
        <w:jc w:val="left"/>
        <w:rPr>
          <w:sz w:val="21"/>
        </w:rPr>
      </w:pPr>
      <w:r>
        <w:rPr>
          <w:spacing w:val="-1"/>
          <w:sz w:val="21"/>
        </w:rPr>
        <w:t>货物在现场的保管由中标人负责，直至项目安装、验收完毕。</w:t>
      </w:r>
    </w:p>
    <w:p>
      <w:pPr>
        <w:pStyle w:val="ListParagraph"/>
        <w:numPr>
          <w:ilvl w:val="0"/>
          <w:numId w:val="94"/>
        </w:numPr>
        <w:tabs>
          <w:tab w:val="left" w:pos="850"/>
        </w:tabs>
        <w:spacing w:before="140" w:after="0" w:line="364" w:lineRule="auto"/>
        <w:ind w:left="850" w:right="275" w:hanging="424"/>
        <w:jc w:val="left"/>
        <w:rPr>
          <w:sz w:val="21"/>
        </w:rPr>
      </w:pPr>
      <w:r>
        <w:rPr>
          <w:spacing w:val="-2"/>
          <w:sz w:val="21"/>
        </w:rPr>
        <w:t>货物在安装调试验收合格前的保险由中标人负责，中标人负责其派出的现场服务人员人身意外保</w:t>
      </w:r>
      <w:r>
        <w:rPr>
          <w:spacing w:val="-6"/>
          <w:sz w:val="21"/>
        </w:rPr>
        <w:t>险。</w:t>
      </w:r>
    </w:p>
    <w:p>
      <w:pPr>
        <w:pStyle w:val="BodyText"/>
        <w:spacing w:before="8"/>
        <w:rPr>
          <w:sz w:val="24"/>
        </w:rPr>
      </w:pPr>
    </w:p>
    <w:p>
      <w:pPr>
        <w:spacing w:before="0"/>
        <w:ind w:left="214" w:right="0" w:firstLine="0"/>
        <w:jc w:val="left"/>
        <w:rPr>
          <w:rFonts w:ascii="Microsoft JhengHei" w:eastAsia="Microsoft JhengHei"/>
          <w:b/>
          <w:sz w:val="28"/>
        </w:rPr>
      </w:pPr>
      <w:r>
        <w:rPr>
          <w:rFonts w:ascii="Microsoft JhengHei" w:eastAsia="Microsoft JhengHei"/>
          <w:b/>
          <w:spacing w:val="-2"/>
          <w:sz w:val="28"/>
        </w:rPr>
        <w:t>十一、安装调试</w:t>
      </w:r>
    </w:p>
    <w:p>
      <w:pPr>
        <w:pStyle w:val="ListParagraph"/>
        <w:numPr>
          <w:ilvl w:val="0"/>
          <w:numId w:val="73"/>
        </w:numPr>
        <w:tabs>
          <w:tab w:val="left" w:pos="850"/>
        </w:tabs>
        <w:spacing w:before="122" w:after="0" w:line="240" w:lineRule="auto"/>
        <w:ind w:left="850" w:right="0" w:hanging="424"/>
        <w:jc w:val="left"/>
        <w:rPr>
          <w:sz w:val="21"/>
        </w:rPr>
      </w:pPr>
      <w:r>
        <w:rPr>
          <w:spacing w:val="-1"/>
          <w:sz w:val="21"/>
        </w:rPr>
        <w:t>中标人负责到用户指定的安装地点进行安装调试。</w:t>
      </w:r>
    </w:p>
    <w:p>
      <w:pPr>
        <w:pStyle w:val="ListParagraph"/>
        <w:numPr>
          <w:ilvl w:val="0"/>
          <w:numId w:val="73"/>
        </w:numPr>
        <w:tabs>
          <w:tab w:val="left" w:pos="850"/>
        </w:tabs>
        <w:spacing w:before="139" w:after="0" w:line="240" w:lineRule="auto"/>
        <w:ind w:left="850" w:right="0" w:hanging="424"/>
        <w:jc w:val="left"/>
        <w:rPr>
          <w:sz w:val="21"/>
        </w:rPr>
      </w:pPr>
      <w:r>
        <w:rPr>
          <w:spacing w:val="-1"/>
          <w:sz w:val="21"/>
        </w:rPr>
        <w:t>中标人应提交详细安装进度表。</w:t>
      </w:r>
    </w:p>
    <w:p>
      <w:pPr>
        <w:pStyle w:val="ListParagraph"/>
        <w:numPr>
          <w:ilvl w:val="0"/>
          <w:numId w:val="73"/>
        </w:numPr>
        <w:tabs>
          <w:tab w:val="left" w:pos="850"/>
        </w:tabs>
        <w:spacing w:before="139" w:after="0" w:line="240" w:lineRule="auto"/>
        <w:ind w:left="850" w:right="0" w:hanging="424"/>
        <w:jc w:val="left"/>
        <w:rPr>
          <w:sz w:val="21"/>
        </w:rPr>
      </w:pPr>
      <w:r>
        <w:rPr>
          <w:spacing w:val="-1"/>
          <w:sz w:val="21"/>
        </w:rPr>
        <w:t>中标人应设安装负责人，负责安装协调管理工作。</w:t>
      </w:r>
    </w:p>
    <w:p>
      <w:pPr>
        <w:pStyle w:val="ListParagraph"/>
        <w:numPr>
          <w:ilvl w:val="0"/>
          <w:numId w:val="73"/>
        </w:numPr>
        <w:tabs>
          <w:tab w:val="left" w:pos="850"/>
        </w:tabs>
        <w:spacing w:before="140" w:after="0" w:line="240" w:lineRule="auto"/>
        <w:ind w:left="850" w:right="0" w:hanging="424"/>
        <w:jc w:val="left"/>
        <w:rPr>
          <w:sz w:val="21"/>
        </w:rPr>
      </w:pPr>
      <w:r>
        <w:rPr>
          <w:spacing w:val="-1"/>
          <w:sz w:val="21"/>
        </w:rPr>
        <w:t>安装所需工具设施物料由中标人自备、自费运到现场，完工后自费搬走。</w:t>
      </w:r>
    </w:p>
    <w:p>
      <w:pPr>
        <w:pStyle w:val="ListParagraph"/>
        <w:numPr>
          <w:ilvl w:val="0"/>
          <w:numId w:val="73"/>
        </w:numPr>
        <w:tabs>
          <w:tab w:val="left" w:pos="850"/>
        </w:tabs>
        <w:spacing w:before="139" w:after="0" w:line="240" w:lineRule="auto"/>
        <w:ind w:left="850" w:right="0" w:hanging="424"/>
        <w:jc w:val="left"/>
        <w:rPr>
          <w:sz w:val="21"/>
        </w:rPr>
      </w:pPr>
      <w:r>
        <w:rPr>
          <w:spacing w:val="-1"/>
          <w:sz w:val="21"/>
        </w:rPr>
        <w:t>调试：按国家相关验收规范进行。</w:t>
      </w:r>
    </w:p>
    <w:p>
      <w:pPr>
        <w:pStyle w:val="ListParagraph"/>
        <w:numPr>
          <w:ilvl w:val="0"/>
          <w:numId w:val="73"/>
        </w:numPr>
        <w:tabs>
          <w:tab w:val="left" w:pos="850"/>
        </w:tabs>
        <w:spacing w:before="140" w:after="0" w:line="364" w:lineRule="auto"/>
        <w:ind w:left="850" w:right="485" w:hanging="424"/>
        <w:jc w:val="left"/>
        <w:rPr>
          <w:sz w:val="21"/>
        </w:rPr>
      </w:pPr>
      <w:r>
        <w:rPr>
          <w:spacing w:val="-2"/>
          <w:sz w:val="21"/>
        </w:rPr>
        <w:t>设备的拆箱、安装、通电、调试等项工作由中标人负责，但必须在采购人指定人员的参与下进</w:t>
      </w:r>
      <w:r>
        <w:rPr>
          <w:spacing w:val="-2"/>
          <w:sz w:val="21"/>
        </w:rPr>
        <w:t>行。调试的原始记录须经各方签字后作为验收的文件之一。</w:t>
      </w:r>
    </w:p>
    <w:p>
      <w:pPr>
        <w:pStyle w:val="BodyText"/>
        <w:spacing w:before="8"/>
        <w:rPr>
          <w:sz w:val="24"/>
        </w:rPr>
      </w:pPr>
    </w:p>
    <w:p>
      <w:pPr>
        <w:spacing w:before="1"/>
        <w:ind w:left="214" w:right="0" w:firstLine="0"/>
        <w:jc w:val="left"/>
        <w:rPr>
          <w:rFonts w:ascii="Microsoft JhengHei" w:eastAsia="Microsoft JhengHei"/>
          <w:b/>
          <w:sz w:val="28"/>
        </w:rPr>
      </w:pPr>
      <w:r>
        <w:rPr>
          <w:rFonts w:ascii="Microsoft JhengHei" w:eastAsia="Microsoft JhengHei"/>
          <w:b/>
          <w:spacing w:val="-1"/>
          <w:sz w:val="28"/>
        </w:rPr>
        <w:t>十二、项目实施和项目管理</w:t>
      </w:r>
    </w:p>
    <w:p>
      <w:pPr>
        <w:pStyle w:val="BodyText"/>
        <w:spacing w:before="121" w:line="364" w:lineRule="auto"/>
        <w:ind w:left="214" w:right="282" w:firstLine="420"/>
      </w:pPr>
      <w:r>
        <w:rPr>
          <w:spacing w:val="-2"/>
        </w:rPr>
        <w:t>项目实施和项目管理是工程成败和影响工程质量好坏的重要环节。为保证项目建设顺利实施，投标</w:t>
      </w:r>
      <w:r>
        <w:rPr>
          <w:spacing w:val="-2"/>
        </w:rPr>
        <w:t>人需就项目管理及工程实施组织保障等方面提出详细的计划。对该计划的主要如下要求：</w:t>
      </w:r>
    </w:p>
    <w:p>
      <w:pPr>
        <w:pStyle w:val="Heading3"/>
        <w:numPr>
          <w:ilvl w:val="1"/>
          <w:numId w:val="73"/>
        </w:numPr>
        <w:tabs>
          <w:tab w:val="left" w:pos="957"/>
        </w:tabs>
        <w:spacing w:before="0" w:after="0" w:line="362" w:lineRule="exact"/>
        <w:ind w:left="956" w:right="0" w:hanging="425"/>
        <w:jc w:val="left"/>
      </w:pPr>
      <w:r>
        <w:rPr>
          <w:spacing w:val="-1"/>
        </w:rPr>
        <w:t>项目实施的组织结构保障</w:t>
      </w:r>
    </w:p>
    <w:p>
      <w:pPr>
        <w:pStyle w:val="ListParagraph"/>
        <w:numPr>
          <w:ilvl w:val="0"/>
          <w:numId w:val="72"/>
        </w:numPr>
        <w:tabs>
          <w:tab w:val="left" w:pos="957"/>
        </w:tabs>
        <w:spacing w:before="104" w:after="0" w:line="240" w:lineRule="auto"/>
        <w:ind w:left="956" w:right="0" w:hanging="637"/>
        <w:jc w:val="left"/>
        <w:rPr>
          <w:sz w:val="21"/>
        </w:rPr>
      </w:pPr>
      <w:r>
        <w:rPr>
          <w:spacing w:val="-1"/>
          <w:sz w:val="21"/>
        </w:rPr>
        <w:t>项目实施的组织结构体系，即为项目实施所设立的组织的情况。</w:t>
      </w:r>
    </w:p>
    <w:p>
      <w:pPr>
        <w:pStyle w:val="ListParagraph"/>
        <w:numPr>
          <w:ilvl w:val="0"/>
          <w:numId w:val="72"/>
        </w:numPr>
        <w:tabs>
          <w:tab w:val="left" w:pos="957"/>
        </w:tabs>
        <w:spacing w:before="139" w:after="0" w:line="240" w:lineRule="auto"/>
        <w:ind w:left="956" w:right="0" w:hanging="637"/>
        <w:jc w:val="left"/>
        <w:rPr>
          <w:sz w:val="21"/>
        </w:rPr>
      </w:pPr>
      <w:r>
        <w:rPr>
          <w:sz w:val="21"/>
        </w:rPr>
        <w:t>各组织的职责（任务）</w:t>
      </w:r>
      <w:r>
        <w:rPr>
          <w:spacing w:val="-1"/>
          <w:sz w:val="21"/>
        </w:rPr>
        <w:t>、工作方式、人员构成包括主要人员的专业水平及经验方面的情况。</w:t>
      </w:r>
    </w:p>
    <w:p>
      <w:pPr>
        <w:pStyle w:val="ListParagraph"/>
        <w:numPr>
          <w:ilvl w:val="0"/>
          <w:numId w:val="72"/>
        </w:numPr>
        <w:tabs>
          <w:tab w:val="left" w:pos="957"/>
        </w:tabs>
        <w:spacing w:before="140" w:after="0" w:line="240" w:lineRule="auto"/>
        <w:ind w:left="956" w:right="0" w:hanging="637"/>
        <w:jc w:val="left"/>
        <w:rPr>
          <w:sz w:val="21"/>
        </w:rPr>
      </w:pPr>
      <w:r>
        <w:rPr>
          <w:spacing w:val="-1"/>
          <w:sz w:val="21"/>
        </w:rPr>
        <w:t>用户方负责协调内部业务部门，提供各类业务数据的访问接口。</w:t>
      </w:r>
    </w:p>
    <w:p>
      <w:pPr>
        <w:pStyle w:val="ListParagraph"/>
        <w:numPr>
          <w:ilvl w:val="0"/>
          <w:numId w:val="72"/>
        </w:numPr>
        <w:tabs>
          <w:tab w:val="left" w:pos="957"/>
        </w:tabs>
        <w:spacing w:before="139" w:after="0" w:line="240" w:lineRule="auto"/>
        <w:ind w:left="956" w:right="0" w:hanging="637"/>
        <w:jc w:val="left"/>
        <w:rPr>
          <w:sz w:val="21"/>
        </w:rPr>
      </w:pPr>
      <w:r>
        <w:rPr>
          <w:spacing w:val="-1"/>
          <w:sz w:val="21"/>
        </w:rPr>
        <w:t>用户方负责提供系统的硬件运行环境。</w:t>
      </w:r>
    </w:p>
    <w:p>
      <w:pPr>
        <w:pStyle w:val="Heading3"/>
        <w:numPr>
          <w:ilvl w:val="1"/>
          <w:numId w:val="73"/>
        </w:numPr>
        <w:tabs>
          <w:tab w:val="left" w:pos="957"/>
        </w:tabs>
        <w:spacing w:before="61" w:after="0" w:line="240" w:lineRule="auto"/>
        <w:ind w:left="956" w:right="0" w:hanging="425"/>
        <w:jc w:val="left"/>
      </w:pPr>
      <w:r>
        <w:rPr>
          <w:spacing w:val="-1"/>
        </w:rPr>
        <w:t>项目实施的进度计划及控制</w:t>
      </w:r>
    </w:p>
    <w:p>
      <w:pPr>
        <w:pStyle w:val="BodyText"/>
        <w:spacing w:before="104"/>
        <w:ind w:left="634"/>
      </w:pPr>
      <w:r>
        <w:rPr>
          <w:spacing w:val="-4"/>
        </w:rPr>
        <w:t xml:space="preserve">项目实施进度要求：合同签订之日 </w:t>
      </w:r>
      <w:r>
        <w:t>50</w:t>
      </w:r>
      <w:r>
        <w:rPr>
          <w:spacing w:val="-10"/>
        </w:rPr>
        <w:t xml:space="preserve"> 日历日内提供完成的应用系统上线试运行，试运行 </w:t>
      </w:r>
      <w:r>
        <w:t>10</w:t>
      </w:r>
      <w:r>
        <w:rPr>
          <w:spacing w:val="-16"/>
        </w:rPr>
        <w:t xml:space="preserve"> 天后采</w:t>
      </w:r>
    </w:p>
    <w:p>
      <w:pPr>
        <w:pStyle w:val="BodyText"/>
        <w:spacing w:before="140" w:line="364" w:lineRule="auto"/>
        <w:ind w:left="638" w:right="387" w:hanging="424"/>
      </w:pPr>
      <w:r>
        <w:rPr>
          <w:spacing w:val="-3"/>
        </w:rPr>
        <w:t xml:space="preserve">购人组织验收小组进行验收，验收合格后交付用户使用。总工期要求 </w:t>
      </w:r>
      <w:r>
        <w:rPr>
          <w:spacing w:val="-2"/>
        </w:rPr>
        <w:t>60</w:t>
      </w:r>
      <w:r>
        <w:rPr>
          <w:spacing w:val="-7"/>
        </w:rPr>
        <w:t xml:space="preserve"> 天验收合格后交付用户使用。</w:t>
      </w:r>
      <w:r>
        <w:rPr>
          <w:spacing w:val="-2"/>
        </w:rPr>
        <w:t>项目实施地点：采购人地点。</w:t>
      </w:r>
    </w:p>
    <w:p>
      <w:pPr>
        <w:pStyle w:val="ListParagraph"/>
        <w:numPr>
          <w:ilvl w:val="2"/>
          <w:numId w:val="73"/>
        </w:numPr>
        <w:tabs>
          <w:tab w:val="left" w:pos="1061"/>
          <w:tab w:val="left" w:pos="1062"/>
        </w:tabs>
        <w:spacing w:before="0" w:after="0" w:line="268" w:lineRule="exact"/>
        <w:ind w:left="1062" w:right="0" w:hanging="424"/>
        <w:jc w:val="left"/>
        <w:rPr>
          <w:sz w:val="21"/>
        </w:rPr>
      </w:pPr>
      <w:r>
        <w:rPr>
          <w:spacing w:val="-1"/>
          <w:sz w:val="21"/>
        </w:rPr>
        <w:t>对项目实施中各阶段中投标人所要做的工作及保障措施做出详细安排；</w:t>
      </w:r>
    </w:p>
    <w:p>
      <w:pPr>
        <w:pStyle w:val="ListParagraph"/>
        <w:numPr>
          <w:ilvl w:val="2"/>
          <w:numId w:val="73"/>
        </w:numPr>
        <w:tabs>
          <w:tab w:val="left" w:pos="1061"/>
          <w:tab w:val="left" w:pos="1062"/>
        </w:tabs>
        <w:spacing w:before="139" w:after="0" w:line="240" w:lineRule="auto"/>
        <w:ind w:left="1062" w:right="0" w:hanging="424"/>
        <w:jc w:val="left"/>
        <w:rPr>
          <w:sz w:val="21"/>
        </w:rPr>
      </w:pPr>
      <w:r>
        <w:rPr>
          <w:spacing w:val="-1"/>
          <w:sz w:val="21"/>
        </w:rPr>
        <w:t>对可能出现的非计划因素干扰提出控制措施。</w:t>
      </w:r>
    </w:p>
    <w:p>
      <w:pPr>
        <w:spacing w:after="0" w:line="240" w:lineRule="auto"/>
        <w:jc w:val="left"/>
        <w:rPr>
          <w:sz w:val="21"/>
        </w:rPr>
        <w:sectPr>
          <w:headerReference w:type="default" r:id="rId44"/>
          <w:footerReference w:type="default" r:id="rId45"/>
          <w:pgSz w:w="11910" w:h="16840"/>
          <w:pgMar w:top="1340" w:right="1080" w:bottom="1000" w:left="880" w:header="822" w:footer="805"/>
          <w:pgNumType w:start="20"/>
          <w:cols w:space="708"/>
        </w:sectPr>
      </w:pPr>
    </w:p>
    <w:p>
      <w:pPr>
        <w:pStyle w:val="Heading3"/>
        <w:numPr>
          <w:ilvl w:val="1"/>
          <w:numId w:val="73"/>
        </w:numPr>
        <w:tabs>
          <w:tab w:val="left" w:pos="957"/>
        </w:tabs>
        <w:spacing w:before="0" w:after="0" w:line="431" w:lineRule="exact"/>
        <w:ind w:left="956" w:right="0" w:hanging="425"/>
        <w:jc w:val="left"/>
      </w:pPr>
      <w:r>
        <w:rPr>
          <w:spacing w:val="-3"/>
        </w:rPr>
        <w:t>质量管理</w:t>
      </w:r>
    </w:p>
    <w:p>
      <w:pPr>
        <w:pStyle w:val="BodyText"/>
        <w:spacing w:before="104" w:line="364" w:lineRule="auto"/>
        <w:ind w:left="214" w:right="278" w:firstLine="424"/>
      </w:pPr>
      <w:r>
        <w:rPr>
          <w:spacing w:val="-2"/>
        </w:rPr>
        <w:t>投标人需提出项目实施中的工程技术设计、设备采购、安装调试和项目售后服务的全过程质量管理</w:t>
      </w:r>
      <w:r>
        <w:rPr>
          <w:spacing w:val="-2"/>
        </w:rPr>
        <w:t>及控制提出具体措施，并提出质量保障目标的承诺。</w:t>
      </w:r>
    </w:p>
    <w:p>
      <w:pPr>
        <w:pStyle w:val="Heading3"/>
        <w:numPr>
          <w:ilvl w:val="1"/>
          <w:numId w:val="73"/>
        </w:numPr>
        <w:tabs>
          <w:tab w:val="left" w:pos="957"/>
        </w:tabs>
        <w:spacing w:before="0" w:after="0" w:line="362" w:lineRule="exact"/>
        <w:ind w:left="956" w:right="0" w:hanging="425"/>
        <w:jc w:val="left"/>
      </w:pPr>
      <w:r>
        <w:rPr>
          <w:spacing w:val="-2"/>
        </w:rPr>
        <w:t>项目验收与文档交付</w:t>
      </w:r>
    </w:p>
    <w:p>
      <w:pPr>
        <w:pStyle w:val="Heading4"/>
        <w:spacing w:before="35"/>
        <w:ind w:left="638" w:firstLine="0"/>
      </w:pPr>
      <w:r>
        <w:t>★</w:t>
      </w:r>
      <w:r>
        <w:rPr>
          <w:spacing w:val="-1"/>
        </w:rPr>
        <w:t>本项目验收结果以验收小组的结论为准。</w:t>
      </w:r>
    </w:p>
    <w:p>
      <w:pPr>
        <w:pStyle w:val="Heading4"/>
        <w:numPr>
          <w:ilvl w:val="0"/>
          <w:numId w:val="71"/>
        </w:numPr>
        <w:tabs>
          <w:tab w:val="left" w:pos="742"/>
        </w:tabs>
        <w:spacing w:before="22" w:after="0" w:line="240" w:lineRule="auto"/>
        <w:ind w:left="741" w:right="0" w:hanging="528"/>
        <w:jc w:val="left"/>
      </w:pPr>
      <w:r>
        <w:rPr>
          <w:spacing w:val="-3"/>
        </w:rPr>
        <w:t>项目验收</w:t>
      </w:r>
    </w:p>
    <w:p>
      <w:pPr>
        <w:pStyle w:val="BodyText"/>
        <w:spacing w:before="92"/>
        <w:ind w:left="636"/>
      </w:pPr>
      <w:r>
        <w:rPr>
          <w:spacing w:val="-1"/>
        </w:rPr>
        <w:t>提出项目验收的详细计划，包括各个分阶段如项目初验、项目终验的具体内容。</w:t>
      </w:r>
    </w:p>
    <w:p>
      <w:pPr>
        <w:pStyle w:val="Heading4"/>
        <w:numPr>
          <w:ilvl w:val="0"/>
          <w:numId w:val="71"/>
        </w:numPr>
        <w:tabs>
          <w:tab w:val="left" w:pos="742"/>
        </w:tabs>
        <w:spacing w:before="70" w:after="0" w:line="240" w:lineRule="auto"/>
        <w:ind w:left="741" w:right="0" w:hanging="528"/>
        <w:jc w:val="left"/>
      </w:pPr>
      <w:r>
        <w:rPr>
          <w:spacing w:val="-2"/>
        </w:rPr>
        <w:t>验收标准及要求</w:t>
      </w:r>
    </w:p>
    <w:p>
      <w:pPr>
        <w:pStyle w:val="BodyText"/>
        <w:spacing w:before="92" w:line="364" w:lineRule="auto"/>
        <w:ind w:left="214" w:right="278" w:firstLine="422"/>
      </w:pPr>
      <w:r>
        <w:rPr>
          <w:spacing w:val="-2"/>
        </w:rPr>
        <w:t>投标人所提供的产品性能和质量必须符合国家技术标准规范，并满足中ft市快速公交系统示范线项</w:t>
      </w:r>
      <w:r>
        <w:rPr>
          <w:spacing w:val="-2"/>
        </w:rPr>
        <w:t>目(智能系统)建设的实际需求，验收结果以采购人确认为准。</w:t>
      </w:r>
    </w:p>
    <w:p>
      <w:pPr>
        <w:pStyle w:val="Heading4"/>
        <w:numPr>
          <w:ilvl w:val="0"/>
          <w:numId w:val="71"/>
        </w:numPr>
        <w:tabs>
          <w:tab w:val="left" w:pos="742"/>
        </w:tabs>
        <w:spacing w:before="0" w:after="0" w:line="316" w:lineRule="exact"/>
        <w:ind w:left="741" w:right="0" w:hanging="528"/>
        <w:jc w:val="left"/>
      </w:pPr>
      <w:r>
        <w:rPr>
          <w:spacing w:val="-3"/>
        </w:rPr>
        <w:t>文档交付</w:t>
      </w:r>
    </w:p>
    <w:p>
      <w:pPr>
        <w:pStyle w:val="ListParagraph"/>
        <w:numPr>
          <w:ilvl w:val="1"/>
          <w:numId w:val="71"/>
        </w:numPr>
        <w:tabs>
          <w:tab w:val="left" w:pos="1168"/>
        </w:tabs>
        <w:spacing w:before="91" w:after="0" w:line="364" w:lineRule="auto"/>
        <w:ind w:left="1168" w:right="377" w:hanging="424"/>
        <w:jc w:val="left"/>
        <w:rPr>
          <w:sz w:val="21"/>
        </w:rPr>
      </w:pPr>
      <w:r>
        <w:rPr>
          <w:spacing w:val="-2"/>
          <w:sz w:val="21"/>
        </w:rPr>
        <w:t>投标人提供的技术文件应能够满足采购人对投标人所提供的软、硬件安装、使用、维护、应</w:t>
      </w:r>
      <w:r>
        <w:rPr>
          <w:spacing w:val="-2"/>
          <w:sz w:val="21"/>
        </w:rPr>
        <w:t>用开发的需要；</w:t>
      </w:r>
    </w:p>
    <w:p>
      <w:pPr>
        <w:pStyle w:val="ListParagraph"/>
        <w:numPr>
          <w:ilvl w:val="1"/>
          <w:numId w:val="71"/>
        </w:numPr>
        <w:tabs>
          <w:tab w:val="left" w:pos="1168"/>
        </w:tabs>
        <w:spacing w:before="0" w:after="0" w:line="364" w:lineRule="auto"/>
        <w:ind w:left="1168" w:right="377" w:hanging="424"/>
        <w:jc w:val="left"/>
        <w:rPr>
          <w:sz w:val="21"/>
        </w:rPr>
      </w:pPr>
      <w:r>
        <w:rPr>
          <w:spacing w:val="-2"/>
          <w:sz w:val="21"/>
        </w:rPr>
        <w:t>投标人应提供在对系统功能进行详细分析的基础上，根据系统设计要求编写的应用软件需求</w:t>
      </w:r>
      <w:r>
        <w:rPr>
          <w:spacing w:val="-4"/>
          <w:sz w:val="21"/>
        </w:rPr>
        <w:t>说明书；</w:t>
      </w:r>
    </w:p>
    <w:p>
      <w:pPr>
        <w:pStyle w:val="ListParagraph"/>
        <w:numPr>
          <w:ilvl w:val="1"/>
          <w:numId w:val="71"/>
        </w:numPr>
        <w:tabs>
          <w:tab w:val="left" w:pos="1168"/>
        </w:tabs>
        <w:spacing w:before="0" w:after="0" w:line="364" w:lineRule="auto"/>
        <w:ind w:left="1168" w:right="377" w:hanging="424"/>
        <w:jc w:val="left"/>
        <w:rPr>
          <w:sz w:val="21"/>
        </w:rPr>
      </w:pPr>
      <w:r>
        <w:rPr>
          <w:spacing w:val="-2"/>
          <w:sz w:val="21"/>
        </w:rPr>
        <w:t>投标人应提供应用软件逻辑设计文档，系统结构设计文档，数据库设计文档，接口需求说明</w:t>
      </w:r>
      <w:r>
        <w:rPr>
          <w:spacing w:val="-2"/>
          <w:sz w:val="21"/>
        </w:rPr>
        <w:t>书，接口设计文档，系统详细设计说明书，应用软件模块设计文档，软件故障处理流程文</w:t>
      </w:r>
      <w:r>
        <w:rPr>
          <w:spacing w:val="40"/>
          <w:sz w:val="21"/>
        </w:rPr>
        <w:t xml:space="preserve"> </w:t>
      </w:r>
      <w:r>
        <w:rPr>
          <w:spacing w:val="-6"/>
          <w:sz w:val="21"/>
        </w:rPr>
        <w:t>档；</w:t>
      </w:r>
    </w:p>
    <w:p>
      <w:pPr>
        <w:pStyle w:val="ListParagraph"/>
        <w:numPr>
          <w:ilvl w:val="1"/>
          <w:numId w:val="71"/>
        </w:numPr>
        <w:tabs>
          <w:tab w:val="left" w:pos="1168"/>
        </w:tabs>
        <w:spacing w:before="0" w:after="0" w:line="364" w:lineRule="auto"/>
        <w:ind w:left="1168" w:right="272" w:hanging="424"/>
        <w:jc w:val="left"/>
        <w:rPr>
          <w:sz w:val="21"/>
        </w:rPr>
      </w:pPr>
      <w:r>
        <w:rPr>
          <w:spacing w:val="-2"/>
          <w:sz w:val="21"/>
        </w:rPr>
        <w:t>投标人应提供应用软件配置说明书和应用软件使用说明书(包括用户手册、操作手册、维护手</w:t>
      </w:r>
      <w:r>
        <w:rPr>
          <w:spacing w:val="-4"/>
          <w:sz w:val="21"/>
        </w:rPr>
        <w:t>册)；</w:t>
      </w:r>
    </w:p>
    <w:p>
      <w:pPr>
        <w:pStyle w:val="ListParagraph"/>
        <w:numPr>
          <w:ilvl w:val="1"/>
          <w:numId w:val="71"/>
        </w:numPr>
        <w:tabs>
          <w:tab w:val="left" w:pos="1168"/>
        </w:tabs>
        <w:spacing w:before="0" w:after="0" w:line="268" w:lineRule="exact"/>
        <w:ind w:left="1168" w:right="0" w:hanging="424"/>
        <w:jc w:val="left"/>
        <w:rPr>
          <w:sz w:val="21"/>
        </w:rPr>
      </w:pPr>
      <w:r>
        <w:rPr>
          <w:spacing w:val="-1"/>
          <w:sz w:val="21"/>
        </w:rPr>
        <w:t>投标人应提供应用软件开发总结文档，对软件开发过程中的主要技术问题给出详细解答；</w:t>
      </w:r>
    </w:p>
    <w:p>
      <w:pPr>
        <w:pStyle w:val="ListParagraph"/>
        <w:numPr>
          <w:ilvl w:val="1"/>
          <w:numId w:val="71"/>
        </w:numPr>
        <w:tabs>
          <w:tab w:val="left" w:pos="1168"/>
        </w:tabs>
        <w:spacing w:before="136" w:after="0" w:line="240" w:lineRule="auto"/>
        <w:ind w:left="1168" w:right="0" w:hanging="424"/>
        <w:jc w:val="left"/>
        <w:rPr>
          <w:sz w:val="21"/>
        </w:rPr>
      </w:pPr>
      <w:r>
        <w:rPr>
          <w:spacing w:val="-2"/>
          <w:sz w:val="21"/>
        </w:rPr>
        <w:t xml:space="preserve">投标人提供的文档和资料均应以磁介质(或光盘)和纸张为载体，文件格式为 </w:t>
      </w:r>
      <w:r>
        <w:rPr>
          <w:sz w:val="21"/>
        </w:rPr>
        <w:t>Word</w:t>
      </w:r>
      <w:r>
        <w:rPr>
          <w:spacing w:val="-22"/>
          <w:sz w:val="21"/>
        </w:rPr>
        <w:t xml:space="preserve"> 文档或 </w:t>
      </w:r>
      <w:r>
        <w:rPr>
          <w:spacing w:val="-5"/>
          <w:sz w:val="21"/>
        </w:rPr>
        <w:t>PDF</w:t>
      </w:r>
    </w:p>
    <w:p>
      <w:pPr>
        <w:pStyle w:val="BodyText"/>
        <w:spacing w:before="140"/>
        <w:ind w:left="1168"/>
      </w:pPr>
      <w:r>
        <w:rPr>
          <w:spacing w:val="-1"/>
        </w:rPr>
        <w:t>文档或其他可视化文件。</w:t>
      </w:r>
    </w:p>
    <w:p>
      <w:pPr>
        <w:pStyle w:val="BodyText"/>
        <w:rPr>
          <w:sz w:val="20"/>
        </w:rPr>
      </w:pPr>
    </w:p>
    <w:p>
      <w:pPr>
        <w:pStyle w:val="BodyText"/>
        <w:spacing w:before="8"/>
        <w:rPr>
          <w:sz w:val="15"/>
        </w:rPr>
      </w:pPr>
    </w:p>
    <w:p>
      <w:pPr>
        <w:spacing w:before="0"/>
        <w:ind w:left="214" w:right="0" w:firstLine="0"/>
        <w:jc w:val="left"/>
        <w:rPr>
          <w:rFonts w:ascii="Microsoft JhengHei" w:eastAsia="Microsoft JhengHei"/>
          <w:b/>
          <w:sz w:val="28"/>
        </w:rPr>
      </w:pPr>
      <w:r>
        <w:rPr>
          <w:rFonts w:ascii="Microsoft JhengHei" w:eastAsia="Microsoft JhengHei"/>
          <w:b/>
          <w:spacing w:val="-1"/>
          <w:sz w:val="28"/>
        </w:rPr>
        <w:t>十三、售后服务与培训</w:t>
      </w:r>
    </w:p>
    <w:p>
      <w:pPr>
        <w:pStyle w:val="Heading3"/>
        <w:numPr>
          <w:ilvl w:val="0"/>
          <w:numId w:val="70"/>
        </w:numPr>
        <w:tabs>
          <w:tab w:val="left" w:pos="639"/>
        </w:tabs>
        <w:spacing w:before="42" w:after="0" w:line="240" w:lineRule="auto"/>
        <w:ind w:left="638" w:right="0" w:hanging="425"/>
        <w:jc w:val="left"/>
      </w:pPr>
      <w:r>
        <w:rPr>
          <w:spacing w:val="-3"/>
        </w:rPr>
        <w:t>售后服务</w:t>
      </w:r>
    </w:p>
    <w:p>
      <w:pPr>
        <w:pStyle w:val="BodyText"/>
        <w:spacing w:before="105" w:line="364" w:lineRule="auto"/>
        <w:ind w:left="214" w:right="278" w:firstLine="424"/>
      </w:pPr>
      <w:r>
        <w:rPr>
          <w:spacing w:val="-3"/>
        </w:rPr>
        <w:t xml:space="preserve">项目验收合格之日起，即进入了系统售后服务期，售后服务期至少为 </w:t>
      </w:r>
      <w:r>
        <w:rPr>
          <w:spacing w:val="-2"/>
        </w:rPr>
        <w:t>1</w:t>
      </w:r>
      <w:r>
        <w:rPr>
          <w:spacing w:val="-15"/>
        </w:rPr>
        <w:t xml:space="preserve"> 年</w:t>
      </w:r>
      <w:r>
        <w:rPr>
          <w:spacing w:val="-2"/>
        </w:rPr>
        <w:t>（用户需求书另有说明除</w:t>
      </w:r>
      <w:r>
        <w:rPr>
          <w:spacing w:val="-2"/>
        </w:rPr>
        <w:t>外）。售后服务期包括质量保修期和质量维护期。</w:t>
      </w:r>
    </w:p>
    <w:p>
      <w:pPr>
        <w:pStyle w:val="BodyText"/>
        <w:spacing w:line="364" w:lineRule="auto"/>
        <w:ind w:left="214" w:right="278" w:firstLine="424"/>
      </w:pPr>
      <w:r>
        <w:rPr>
          <w:spacing w:val="-2"/>
        </w:rPr>
        <w:t>质量保修期（保修期）：</w:t>
      </w:r>
      <w:r>
        <w:rPr>
          <w:spacing w:val="-3"/>
        </w:rPr>
        <w:t xml:space="preserve">从项目验收合格之日起即进入质量保修期，质量保修期为至少为 </w:t>
      </w:r>
      <w:r>
        <w:rPr>
          <w:spacing w:val="-2"/>
        </w:rPr>
        <w:t>1</w:t>
      </w:r>
      <w:r>
        <w:rPr>
          <w:spacing w:val="-9"/>
        </w:rPr>
        <w:t xml:space="preserve"> 年。在</w:t>
      </w:r>
      <w:r>
        <w:rPr>
          <w:spacing w:val="-2"/>
        </w:rPr>
        <w:t>质量保修期内，属于保修范围的质量问题，免费进行维护。</w:t>
      </w:r>
    </w:p>
    <w:p>
      <w:pPr>
        <w:pStyle w:val="BodyText"/>
        <w:spacing w:line="364" w:lineRule="auto"/>
        <w:ind w:left="214" w:right="278" w:firstLine="424"/>
      </w:pPr>
      <w:r>
        <w:rPr>
          <w:spacing w:val="-2"/>
        </w:rPr>
        <w:t>质量维护期：在质量保修期之后，即自行进入质量维护期。在质量维护期内进行的维修服务将根据</w:t>
      </w:r>
      <w:r>
        <w:rPr>
          <w:spacing w:val="-2"/>
        </w:rPr>
        <w:t>双方签订的维护合同进行收费。</w:t>
      </w:r>
    </w:p>
    <w:p>
      <w:pPr>
        <w:spacing w:after="0" w:line="364" w:lineRule="auto"/>
        <w:sectPr>
          <w:headerReference w:type="default" r:id="rId46"/>
          <w:footerReference w:type="default" r:id="rId47"/>
          <w:pgSz w:w="11910" w:h="16840"/>
          <w:pgMar w:top="1340" w:right="1080" w:bottom="1000" w:left="880" w:header="822" w:footer="805"/>
          <w:pgNumType w:start="21"/>
          <w:cols w:space="708"/>
        </w:sectPr>
      </w:pPr>
    </w:p>
    <w:p>
      <w:pPr>
        <w:pStyle w:val="BodyText"/>
        <w:spacing w:before="68" w:line="364" w:lineRule="auto"/>
        <w:ind w:left="214" w:right="278" w:firstLine="424"/>
        <w:jc w:val="both"/>
      </w:pPr>
      <w:r>
        <w:rPr>
          <w:spacing w:val="-2"/>
        </w:rPr>
        <w:t>在保修期内，投标人负责对其提供的设备、软件进行维修保养，不再向用户收取费用。凡涉及硬盘</w:t>
      </w:r>
      <w:r>
        <w:rPr>
          <w:spacing w:val="-2"/>
        </w:rPr>
        <w:t>非人为损坏的故障，免费更换硬盘的，故障盘由用户方自行妥善处理，不需返还保修服务商，以确保数</w:t>
      </w:r>
      <w:r>
        <w:rPr>
          <w:spacing w:val="-2"/>
        </w:rPr>
        <w:t>据安全。在此期间如用户提出修改软件，对于因原软件影响系统正常运行而提出的，承建商应予免费修</w:t>
      </w:r>
      <w:r>
        <w:rPr>
          <w:spacing w:val="-2"/>
        </w:rPr>
        <w:t>改；对于其他的修改，由双方协商解决。保修期内，所有设备保修服务方式均为上门保修，即由中标人</w:t>
      </w:r>
      <w:r>
        <w:rPr>
          <w:spacing w:val="-2"/>
        </w:rPr>
        <w:t>或原厂家派员到用户方设备使用现场维修，由此产生的一切费用均不再收取。</w:t>
      </w:r>
    </w:p>
    <w:p>
      <w:pPr>
        <w:pStyle w:val="BodyText"/>
        <w:spacing w:line="267" w:lineRule="exact"/>
        <w:ind w:left="638"/>
      </w:pPr>
      <w:r>
        <w:rPr>
          <w:spacing w:val="-1"/>
        </w:rPr>
        <w:t>用户要求承建商在本地区有一定数量的技术人员提供售后技术服务。</w:t>
      </w:r>
    </w:p>
    <w:p>
      <w:pPr>
        <w:pStyle w:val="BodyText"/>
        <w:spacing w:before="140" w:line="364" w:lineRule="auto"/>
        <w:ind w:left="214" w:right="278" w:firstLine="424"/>
      </w:pPr>
      <w:r>
        <w:rPr>
          <w:spacing w:val="-2"/>
        </w:rPr>
        <w:t>投标人需提出保修期的保修范围和维护期的服务范围，至少应包括下列内容（各子系统的特别要求</w:t>
      </w:r>
      <w:r>
        <w:rPr>
          <w:spacing w:val="-2"/>
        </w:rPr>
        <w:t>高于本要求的，以其特别要求为准）</w:t>
      </w:r>
    </w:p>
    <w:p>
      <w:pPr>
        <w:pStyle w:val="ListParagraph"/>
        <w:numPr>
          <w:ilvl w:val="1"/>
          <w:numId w:val="70"/>
        </w:numPr>
        <w:tabs>
          <w:tab w:val="left" w:pos="1176"/>
        </w:tabs>
        <w:spacing w:before="0" w:after="0" w:line="316" w:lineRule="exact"/>
        <w:ind w:left="1175" w:right="0" w:hanging="538"/>
        <w:jc w:val="left"/>
        <w:rPr>
          <w:sz w:val="21"/>
        </w:rPr>
      </w:pPr>
      <w:r>
        <w:rPr>
          <w:spacing w:val="-2"/>
          <w:sz w:val="21"/>
        </w:rPr>
        <w:t xml:space="preserve">硬件质量保修期不少于 </w:t>
      </w:r>
      <w:r>
        <w:rPr>
          <w:sz w:val="21"/>
        </w:rPr>
        <w:t>1</w:t>
      </w:r>
      <w:r>
        <w:rPr>
          <w:spacing w:val="-10"/>
          <w:sz w:val="21"/>
        </w:rPr>
        <w:t xml:space="preserve"> 年</w:t>
      </w:r>
      <w:r>
        <w:rPr>
          <w:rFonts w:ascii="Microsoft JhengHei" w:eastAsia="Microsoft JhengHei"/>
          <w:b/>
          <w:sz w:val="21"/>
        </w:rPr>
        <w:t>，</w:t>
      </w:r>
      <w:r>
        <w:rPr>
          <w:spacing w:val="-2"/>
          <w:sz w:val="21"/>
        </w:rPr>
        <w:t xml:space="preserve">若设备原厂质保服务提供超过 </w:t>
      </w:r>
      <w:r>
        <w:rPr>
          <w:sz w:val="21"/>
        </w:rPr>
        <w:t>1</w:t>
      </w:r>
      <w:r>
        <w:rPr>
          <w:spacing w:val="-6"/>
          <w:sz w:val="21"/>
        </w:rPr>
        <w:t xml:space="preserve"> 年的标准服务，则质量保修期</w:t>
      </w:r>
    </w:p>
    <w:p>
      <w:pPr>
        <w:pStyle w:val="BodyText"/>
        <w:spacing w:before="92"/>
        <w:ind w:left="1168"/>
      </w:pPr>
      <w:r>
        <w:rPr>
          <w:spacing w:val="-1"/>
        </w:rPr>
        <w:t>按原厂标准执行，并提供质保证明原件。</w:t>
      </w:r>
    </w:p>
    <w:p>
      <w:pPr>
        <w:pStyle w:val="ListParagraph"/>
        <w:numPr>
          <w:ilvl w:val="1"/>
          <w:numId w:val="70"/>
        </w:numPr>
        <w:tabs>
          <w:tab w:val="left" w:pos="1169"/>
        </w:tabs>
        <w:spacing w:before="139" w:after="0" w:line="240" w:lineRule="auto"/>
        <w:ind w:left="1168" w:right="0" w:hanging="531"/>
        <w:jc w:val="left"/>
        <w:rPr>
          <w:sz w:val="21"/>
        </w:rPr>
      </w:pPr>
      <w:r>
        <w:rPr>
          <w:spacing w:val="-5"/>
          <w:sz w:val="21"/>
        </w:rPr>
        <w:t xml:space="preserve">提供所供软件产品验收后的 </w:t>
      </w:r>
      <w:r>
        <w:rPr>
          <w:sz w:val="21"/>
        </w:rPr>
        <w:t>3</w:t>
      </w:r>
      <w:r>
        <w:rPr>
          <w:spacing w:val="-9"/>
          <w:sz w:val="21"/>
        </w:rPr>
        <w:t xml:space="preserve"> 年免费软件升级与支持服务，终身维护。</w:t>
      </w:r>
    </w:p>
    <w:p>
      <w:pPr>
        <w:pStyle w:val="ListParagraph"/>
        <w:numPr>
          <w:ilvl w:val="1"/>
          <w:numId w:val="70"/>
        </w:numPr>
        <w:tabs>
          <w:tab w:val="left" w:pos="1176"/>
        </w:tabs>
        <w:spacing w:before="139" w:after="0" w:line="364" w:lineRule="auto"/>
        <w:ind w:left="1168" w:right="221" w:hanging="530"/>
        <w:jc w:val="left"/>
        <w:rPr>
          <w:sz w:val="21"/>
        </w:rPr>
      </w:pPr>
      <w:r>
        <w:rPr>
          <w:spacing w:val="2"/>
          <w:sz w:val="21"/>
        </w:rPr>
        <w:t>在此期间如用户提出修改软件，对于因原软件影响系统正常运行而提出的，承建商应予免费修改；对于其他的修改，由双方协商解决。</w:t>
      </w:r>
    </w:p>
    <w:p>
      <w:pPr>
        <w:pStyle w:val="ListParagraph"/>
        <w:numPr>
          <w:ilvl w:val="1"/>
          <w:numId w:val="70"/>
        </w:numPr>
        <w:tabs>
          <w:tab w:val="left" w:pos="1169"/>
        </w:tabs>
        <w:spacing w:before="0" w:after="0" w:line="268" w:lineRule="exact"/>
        <w:ind w:left="1168" w:right="0" w:hanging="531"/>
        <w:jc w:val="left"/>
        <w:rPr>
          <w:sz w:val="21"/>
        </w:rPr>
      </w:pPr>
      <w:r>
        <w:rPr>
          <w:spacing w:val="-1"/>
          <w:sz w:val="21"/>
        </w:rPr>
        <w:t>中标人必须提出保修期满后的收费维修、维护内容、费用和服务方式、范围。</w:t>
      </w:r>
    </w:p>
    <w:p>
      <w:pPr>
        <w:pStyle w:val="Heading3"/>
        <w:numPr>
          <w:ilvl w:val="0"/>
          <w:numId w:val="70"/>
        </w:numPr>
        <w:tabs>
          <w:tab w:val="left" w:pos="639"/>
        </w:tabs>
        <w:spacing w:before="61" w:after="0" w:line="240" w:lineRule="auto"/>
        <w:ind w:left="638" w:right="0" w:hanging="425"/>
        <w:jc w:val="left"/>
      </w:pPr>
      <w:r>
        <w:rPr>
          <w:spacing w:val="-3"/>
        </w:rPr>
        <w:t>系统维护</w:t>
      </w:r>
    </w:p>
    <w:p>
      <w:pPr>
        <w:pStyle w:val="ListParagraph"/>
        <w:numPr>
          <w:ilvl w:val="1"/>
          <w:numId w:val="70"/>
        </w:numPr>
        <w:tabs>
          <w:tab w:val="left" w:pos="1169"/>
        </w:tabs>
        <w:spacing w:before="104" w:after="0" w:line="240" w:lineRule="auto"/>
        <w:ind w:left="1168" w:right="0" w:hanging="531"/>
        <w:jc w:val="left"/>
        <w:rPr>
          <w:sz w:val="21"/>
        </w:rPr>
      </w:pPr>
      <w:r>
        <w:rPr>
          <w:spacing w:val="-1"/>
          <w:sz w:val="21"/>
        </w:rPr>
        <w:t>对用户要求的不定期维护提出响应措施。</w:t>
      </w:r>
    </w:p>
    <w:p>
      <w:pPr>
        <w:pStyle w:val="ListParagraph"/>
        <w:numPr>
          <w:ilvl w:val="1"/>
          <w:numId w:val="70"/>
        </w:numPr>
        <w:tabs>
          <w:tab w:val="left" w:pos="1169"/>
        </w:tabs>
        <w:spacing w:before="140" w:after="0" w:line="240" w:lineRule="auto"/>
        <w:ind w:left="1168" w:right="0" w:hanging="531"/>
        <w:jc w:val="left"/>
        <w:rPr>
          <w:sz w:val="21"/>
        </w:rPr>
      </w:pPr>
      <w:r>
        <w:rPr>
          <w:spacing w:val="-1"/>
          <w:sz w:val="21"/>
        </w:rPr>
        <w:t>对于用户或维护人员提出的修改设计的响应措施。</w:t>
      </w:r>
    </w:p>
    <w:p>
      <w:pPr>
        <w:pStyle w:val="ListParagraph"/>
        <w:numPr>
          <w:ilvl w:val="1"/>
          <w:numId w:val="70"/>
        </w:numPr>
        <w:tabs>
          <w:tab w:val="left" w:pos="1169"/>
        </w:tabs>
        <w:spacing w:before="139" w:after="0" w:line="240" w:lineRule="auto"/>
        <w:ind w:left="1168" w:right="0" w:hanging="531"/>
        <w:jc w:val="left"/>
        <w:rPr>
          <w:sz w:val="21"/>
        </w:rPr>
      </w:pPr>
      <w:r>
        <w:rPr>
          <w:spacing w:val="-1"/>
          <w:sz w:val="21"/>
        </w:rPr>
        <w:t>文档更新：实施系统维护或修改设计后，应在一周内更新有关技术文档并提交用户。</w:t>
      </w:r>
    </w:p>
    <w:p>
      <w:pPr>
        <w:pStyle w:val="Heading3"/>
        <w:numPr>
          <w:ilvl w:val="0"/>
          <w:numId w:val="70"/>
        </w:numPr>
        <w:tabs>
          <w:tab w:val="left" w:pos="639"/>
        </w:tabs>
        <w:spacing w:before="61" w:after="0" w:line="240" w:lineRule="auto"/>
        <w:ind w:left="638" w:right="0" w:hanging="425"/>
        <w:jc w:val="left"/>
      </w:pPr>
      <w:r>
        <w:rPr>
          <w:spacing w:val="-3"/>
        </w:rPr>
        <w:t>技术支持</w:t>
      </w:r>
    </w:p>
    <w:p>
      <w:pPr>
        <w:pStyle w:val="BodyText"/>
        <w:spacing w:before="104"/>
        <w:ind w:left="638"/>
      </w:pPr>
      <w:r>
        <w:rPr>
          <w:spacing w:val="-1"/>
        </w:rPr>
        <w:t>投标人应提出系统通过验收后的支持方案。提供的服务至少包括：</w:t>
      </w:r>
    </w:p>
    <w:p>
      <w:pPr>
        <w:pStyle w:val="ListParagraph"/>
        <w:numPr>
          <w:ilvl w:val="1"/>
          <w:numId w:val="70"/>
        </w:numPr>
        <w:tabs>
          <w:tab w:val="left" w:pos="1169"/>
        </w:tabs>
        <w:spacing w:before="140" w:after="0" w:line="240" w:lineRule="auto"/>
        <w:ind w:left="1168" w:right="0" w:hanging="531"/>
        <w:jc w:val="left"/>
        <w:rPr>
          <w:sz w:val="21"/>
        </w:rPr>
      </w:pPr>
      <w:r>
        <w:rPr>
          <w:spacing w:val="-18"/>
          <w:sz w:val="21"/>
        </w:rPr>
        <w:t xml:space="preserve">提供 </w:t>
      </w:r>
      <w:r>
        <w:rPr>
          <w:sz w:val="21"/>
        </w:rPr>
        <w:t>7×24</w:t>
      </w:r>
      <w:r>
        <w:rPr>
          <w:spacing w:val="-9"/>
          <w:sz w:val="21"/>
        </w:rPr>
        <w:t xml:space="preserve"> 小时的技术咨询服务。</w:t>
      </w:r>
    </w:p>
    <w:p>
      <w:pPr>
        <w:pStyle w:val="ListParagraph"/>
        <w:numPr>
          <w:ilvl w:val="1"/>
          <w:numId w:val="70"/>
        </w:numPr>
        <w:tabs>
          <w:tab w:val="left" w:pos="1169"/>
        </w:tabs>
        <w:spacing w:before="139" w:after="0" w:line="240" w:lineRule="auto"/>
        <w:ind w:left="1168" w:right="0" w:hanging="531"/>
        <w:jc w:val="left"/>
        <w:rPr>
          <w:sz w:val="21"/>
        </w:rPr>
      </w:pPr>
      <w:r>
        <w:rPr>
          <w:spacing w:val="-1"/>
          <w:sz w:val="21"/>
        </w:rPr>
        <w:t>提供每年对系统运行状况进行二次评估服务。</w:t>
      </w:r>
    </w:p>
    <w:p>
      <w:pPr>
        <w:pStyle w:val="Heading3"/>
        <w:numPr>
          <w:ilvl w:val="0"/>
          <w:numId w:val="70"/>
        </w:numPr>
        <w:tabs>
          <w:tab w:val="left" w:pos="639"/>
        </w:tabs>
        <w:spacing w:before="61" w:after="0" w:line="240" w:lineRule="auto"/>
        <w:ind w:left="638" w:right="0" w:hanging="425"/>
        <w:jc w:val="left"/>
      </w:pPr>
      <w:r>
        <w:rPr>
          <w:spacing w:val="-3"/>
        </w:rPr>
        <w:t>故障响应</w:t>
      </w:r>
    </w:p>
    <w:p>
      <w:pPr>
        <w:pStyle w:val="ListParagraph"/>
        <w:numPr>
          <w:ilvl w:val="1"/>
          <w:numId w:val="70"/>
        </w:numPr>
        <w:tabs>
          <w:tab w:val="left" w:pos="1168"/>
        </w:tabs>
        <w:spacing w:before="104" w:after="0" w:line="240" w:lineRule="auto"/>
        <w:ind w:left="1167" w:right="0" w:hanging="530"/>
        <w:jc w:val="left"/>
        <w:rPr>
          <w:sz w:val="21"/>
        </w:rPr>
      </w:pPr>
      <w:r>
        <w:rPr>
          <w:spacing w:val="-18"/>
          <w:sz w:val="21"/>
        </w:rPr>
        <w:t xml:space="preserve">提供 </w:t>
      </w:r>
      <w:r>
        <w:rPr>
          <w:sz w:val="21"/>
        </w:rPr>
        <w:t>7×24</w:t>
      </w:r>
      <w:r>
        <w:rPr>
          <w:spacing w:val="-9"/>
          <w:sz w:val="21"/>
        </w:rPr>
        <w:t xml:space="preserve"> 小时的故障服务受理；</w:t>
      </w:r>
    </w:p>
    <w:p>
      <w:pPr>
        <w:pStyle w:val="ListParagraph"/>
        <w:numPr>
          <w:ilvl w:val="1"/>
          <w:numId w:val="70"/>
        </w:numPr>
        <w:tabs>
          <w:tab w:val="left" w:pos="1168"/>
        </w:tabs>
        <w:spacing w:before="140" w:after="0" w:line="240" w:lineRule="auto"/>
        <w:ind w:left="1167" w:right="0" w:hanging="530"/>
        <w:jc w:val="left"/>
        <w:rPr>
          <w:sz w:val="21"/>
        </w:rPr>
      </w:pPr>
      <w:r>
        <w:rPr>
          <w:spacing w:val="-7"/>
          <w:sz w:val="21"/>
        </w:rPr>
        <w:t xml:space="preserve">对所有故障提供 </w:t>
      </w:r>
      <w:r>
        <w:rPr>
          <w:sz w:val="21"/>
        </w:rPr>
        <w:t>7×24</w:t>
      </w:r>
      <w:r>
        <w:rPr>
          <w:spacing w:val="-9"/>
          <w:sz w:val="21"/>
        </w:rPr>
        <w:t xml:space="preserve"> 小时的现场支援。</w:t>
      </w:r>
    </w:p>
    <w:p>
      <w:pPr>
        <w:pStyle w:val="ListParagraph"/>
        <w:numPr>
          <w:ilvl w:val="1"/>
          <w:numId w:val="70"/>
        </w:numPr>
        <w:tabs>
          <w:tab w:val="left" w:pos="1176"/>
        </w:tabs>
        <w:spacing w:before="139" w:after="0" w:line="240" w:lineRule="auto"/>
        <w:ind w:left="1175" w:right="0" w:hanging="538"/>
        <w:jc w:val="left"/>
        <w:rPr>
          <w:sz w:val="21"/>
        </w:rPr>
      </w:pPr>
      <w:r>
        <w:rPr>
          <w:spacing w:val="-2"/>
          <w:sz w:val="21"/>
        </w:rPr>
        <w:t xml:space="preserve">故障服务的现场响应时间小于 </w:t>
      </w:r>
      <w:r>
        <w:rPr>
          <w:sz w:val="21"/>
        </w:rPr>
        <w:t>1</w:t>
      </w:r>
      <w:r>
        <w:rPr>
          <w:spacing w:val="-7"/>
          <w:sz w:val="21"/>
        </w:rPr>
        <w:t xml:space="preserve"> 小时,即 </w:t>
      </w:r>
      <w:r>
        <w:rPr>
          <w:sz w:val="21"/>
        </w:rPr>
        <w:t>1</w:t>
      </w:r>
      <w:r>
        <w:rPr>
          <w:spacing w:val="-6"/>
          <w:sz w:val="21"/>
        </w:rPr>
        <w:t xml:space="preserve"> 小时内有能够处理故障的技术人员到达现场,重大</w:t>
      </w:r>
    </w:p>
    <w:p>
      <w:pPr>
        <w:pStyle w:val="BodyText"/>
        <w:spacing w:before="139"/>
        <w:ind w:left="1167"/>
      </w:pPr>
      <w:r>
        <w:rPr>
          <w:spacing w:val="-3"/>
        </w:rPr>
        <w:t xml:space="preserve">故障必须在 </w:t>
      </w:r>
      <w:r>
        <w:t>12</w:t>
      </w:r>
      <w:r>
        <w:rPr>
          <w:spacing w:val="-6"/>
        </w:rPr>
        <w:t xml:space="preserve"> 小时内排除，一般故障必须在 </w:t>
      </w:r>
      <w:r>
        <w:t>4</w:t>
      </w:r>
      <w:r>
        <w:rPr>
          <w:spacing w:val="-6"/>
        </w:rPr>
        <w:t xml:space="preserve"> 小时内排除,并指定技术工程师、项目经理负</w:t>
      </w:r>
    </w:p>
    <w:p>
      <w:pPr>
        <w:pStyle w:val="BodyText"/>
        <w:spacing w:before="140"/>
        <w:ind w:left="1167"/>
      </w:pPr>
      <w:r>
        <w:rPr>
          <w:spacing w:val="-2"/>
        </w:rPr>
        <w:t xml:space="preserve">责跟进本项目。如果设备故障在规定时间仍无法排除，投标人应在 </w:t>
      </w:r>
      <w:r>
        <w:t>24</w:t>
      </w:r>
      <w:r>
        <w:rPr>
          <w:spacing w:val="-7"/>
        </w:rPr>
        <w:t xml:space="preserve"> 小时内提供不低于故障</w:t>
      </w:r>
    </w:p>
    <w:p>
      <w:pPr>
        <w:pStyle w:val="BodyText"/>
        <w:spacing w:before="139" w:line="364" w:lineRule="auto"/>
        <w:ind w:left="1167" w:right="221"/>
      </w:pPr>
      <w:r>
        <w:rPr>
          <w:spacing w:val="-1"/>
        </w:rPr>
        <w:t xml:space="preserve">设备档次及性能的备用设备供用户方使用，且备用设备更换工作可在 </w:t>
      </w:r>
      <w:r>
        <w:t>2</w:t>
      </w:r>
      <w:r>
        <w:rPr>
          <w:spacing w:val="-5"/>
        </w:rPr>
        <w:t xml:space="preserve"> 小时内完成，否则，</w:t>
      </w:r>
      <w:r>
        <w:rPr>
          <w:spacing w:val="-2"/>
        </w:rPr>
        <w:t>一切后果由投标人负责。</w:t>
      </w:r>
    </w:p>
    <w:p>
      <w:pPr>
        <w:spacing w:after="0" w:line="364" w:lineRule="auto"/>
        <w:sectPr>
          <w:headerReference w:type="default" r:id="rId48"/>
          <w:footerReference w:type="default" r:id="rId49"/>
          <w:pgSz w:w="11910" w:h="16840"/>
          <w:pgMar w:top="1340" w:right="1080" w:bottom="1000" w:left="880" w:header="822" w:footer="805"/>
          <w:pgNumType w:start="22"/>
          <w:cols w:space="708"/>
        </w:sectPr>
      </w:pPr>
    </w:p>
    <w:p>
      <w:pPr>
        <w:pStyle w:val="Heading3"/>
        <w:numPr>
          <w:ilvl w:val="0"/>
          <w:numId w:val="70"/>
        </w:numPr>
        <w:tabs>
          <w:tab w:val="left" w:pos="639"/>
        </w:tabs>
        <w:spacing w:before="0" w:after="0" w:line="431" w:lineRule="exact"/>
        <w:ind w:left="638" w:right="0" w:hanging="425"/>
        <w:jc w:val="left"/>
      </w:pPr>
      <w:r>
        <w:rPr>
          <w:spacing w:val="-3"/>
        </w:rPr>
        <w:t>用户培训</w:t>
      </w:r>
    </w:p>
    <w:p>
      <w:pPr>
        <w:pStyle w:val="BodyText"/>
        <w:spacing w:before="104" w:line="364" w:lineRule="auto"/>
        <w:ind w:left="214" w:right="278" w:firstLine="424"/>
        <w:jc w:val="both"/>
      </w:pPr>
      <w:r>
        <w:rPr>
          <w:spacing w:val="-2"/>
        </w:rPr>
        <w:t>投标人应负责对采购单位人员进行全面技术培训。培训内容包括以系统技术性能、使用、测试、维</w:t>
      </w:r>
      <w:r>
        <w:rPr>
          <w:spacing w:val="-2"/>
        </w:rPr>
        <w:t>护及故障排除为主的初级培训和以数据库优化、网络监控及系统配套管理软件等内容为主的中、高级培</w:t>
      </w:r>
      <w:r>
        <w:rPr>
          <w:spacing w:val="-2"/>
        </w:rPr>
        <w:t>训，投标人需提出详细的用户培训计划，至少包括：</w:t>
      </w:r>
    </w:p>
    <w:p>
      <w:pPr>
        <w:pStyle w:val="ListParagraph"/>
        <w:numPr>
          <w:ilvl w:val="0"/>
          <w:numId w:val="69"/>
        </w:numPr>
        <w:tabs>
          <w:tab w:val="left" w:pos="1062"/>
        </w:tabs>
        <w:spacing w:before="0" w:after="0" w:line="268" w:lineRule="exact"/>
        <w:ind w:left="1062" w:right="0" w:hanging="424"/>
        <w:jc w:val="both"/>
        <w:rPr>
          <w:sz w:val="21"/>
        </w:rPr>
      </w:pPr>
      <w:r>
        <w:rPr>
          <w:spacing w:val="-1"/>
          <w:sz w:val="21"/>
        </w:rPr>
        <w:t>领导用户、普通操作员、系统运行维护管理人员等不同对象的培训计划；</w:t>
      </w:r>
    </w:p>
    <w:p>
      <w:pPr>
        <w:pStyle w:val="ListParagraph"/>
        <w:numPr>
          <w:ilvl w:val="0"/>
          <w:numId w:val="69"/>
        </w:numPr>
        <w:tabs>
          <w:tab w:val="left" w:pos="1061"/>
          <w:tab w:val="left" w:pos="1062"/>
        </w:tabs>
        <w:spacing w:before="139" w:after="0" w:line="240" w:lineRule="auto"/>
        <w:ind w:left="1062" w:right="0" w:hanging="424"/>
        <w:jc w:val="left"/>
        <w:rPr>
          <w:sz w:val="21"/>
        </w:rPr>
      </w:pPr>
      <w:r>
        <w:rPr>
          <w:spacing w:val="-1"/>
          <w:sz w:val="21"/>
        </w:rPr>
        <w:t>培训课程安排、培训方式及时间；</w:t>
      </w:r>
    </w:p>
    <w:p>
      <w:pPr>
        <w:pStyle w:val="ListParagraph"/>
        <w:numPr>
          <w:ilvl w:val="0"/>
          <w:numId w:val="69"/>
        </w:numPr>
        <w:tabs>
          <w:tab w:val="left" w:pos="1061"/>
          <w:tab w:val="left" w:pos="1062"/>
        </w:tabs>
        <w:spacing w:before="140" w:after="0" w:line="240" w:lineRule="auto"/>
        <w:ind w:left="1062" w:right="0" w:hanging="424"/>
        <w:jc w:val="left"/>
        <w:rPr>
          <w:sz w:val="21"/>
        </w:rPr>
      </w:pPr>
      <w:r>
        <w:rPr>
          <w:spacing w:val="-1"/>
          <w:sz w:val="21"/>
        </w:rPr>
        <w:t>要求对各类培训对象编写不同的培训教材。</w:t>
      </w:r>
    </w:p>
    <w:p>
      <w:pPr>
        <w:pStyle w:val="ListParagraph"/>
        <w:numPr>
          <w:ilvl w:val="0"/>
          <w:numId w:val="69"/>
        </w:numPr>
        <w:tabs>
          <w:tab w:val="left" w:pos="1061"/>
          <w:tab w:val="left" w:pos="1062"/>
        </w:tabs>
        <w:spacing w:before="139" w:after="0" w:line="364" w:lineRule="auto"/>
        <w:ind w:left="1062" w:right="222" w:hanging="424"/>
        <w:jc w:val="left"/>
        <w:rPr>
          <w:sz w:val="21"/>
        </w:rPr>
      </w:pPr>
      <w:r>
        <w:rPr>
          <w:spacing w:val="-2"/>
          <w:sz w:val="21"/>
        </w:rPr>
        <w:t>受训人员经过培训后，应能熟练掌握和使用所培训的技术内容，能够独立承担和完成相应的系</w:t>
      </w:r>
      <w:r>
        <w:rPr>
          <w:spacing w:val="-2"/>
          <w:sz w:val="21"/>
        </w:rPr>
        <w:t>统维护和管理工作。</w:t>
      </w:r>
    </w:p>
    <w:p>
      <w:pPr>
        <w:pStyle w:val="ListParagraph"/>
        <w:numPr>
          <w:ilvl w:val="0"/>
          <w:numId w:val="69"/>
        </w:numPr>
        <w:tabs>
          <w:tab w:val="left" w:pos="1061"/>
          <w:tab w:val="left" w:pos="1062"/>
        </w:tabs>
        <w:spacing w:before="0" w:after="0" w:line="268" w:lineRule="exact"/>
        <w:ind w:left="1062" w:right="0" w:hanging="424"/>
        <w:jc w:val="left"/>
        <w:rPr>
          <w:sz w:val="21"/>
        </w:rPr>
      </w:pPr>
      <w:r>
        <w:rPr>
          <w:spacing w:val="-1"/>
          <w:sz w:val="21"/>
        </w:rPr>
        <w:t>对用户方的系统维护管理人员提供下列专业培训：</w:t>
      </w:r>
    </w:p>
    <w:p>
      <w:pPr>
        <w:pStyle w:val="ListParagraph"/>
        <w:numPr>
          <w:ilvl w:val="1"/>
          <w:numId w:val="69"/>
        </w:numPr>
        <w:tabs>
          <w:tab w:val="left" w:pos="1485"/>
          <w:tab w:val="left" w:pos="1486"/>
        </w:tabs>
        <w:spacing w:before="140" w:after="0" w:line="240" w:lineRule="auto"/>
        <w:ind w:left="1486" w:right="0" w:hanging="424"/>
        <w:jc w:val="left"/>
        <w:rPr>
          <w:sz w:val="21"/>
        </w:rPr>
      </w:pPr>
      <w:r>
        <w:rPr>
          <w:spacing w:val="-1"/>
          <w:sz w:val="21"/>
        </w:rPr>
        <w:t>系统维护管理、故障的诊断与处理、系统设备技术等方面的培训。</w:t>
      </w:r>
    </w:p>
    <w:p>
      <w:pPr>
        <w:pStyle w:val="ListParagraph"/>
        <w:numPr>
          <w:ilvl w:val="1"/>
          <w:numId w:val="69"/>
        </w:numPr>
        <w:tabs>
          <w:tab w:val="left" w:pos="1485"/>
          <w:tab w:val="left" w:pos="1486"/>
        </w:tabs>
        <w:spacing w:before="139" w:after="0" w:line="240" w:lineRule="auto"/>
        <w:ind w:left="1486" w:right="0" w:hanging="424"/>
        <w:jc w:val="left"/>
        <w:rPr>
          <w:sz w:val="21"/>
        </w:rPr>
      </w:pPr>
      <w:r>
        <w:rPr>
          <w:spacing w:val="-11"/>
          <w:sz w:val="21"/>
        </w:rPr>
        <w:t xml:space="preserve">每年提供 </w:t>
      </w:r>
      <w:r>
        <w:rPr>
          <w:sz w:val="21"/>
        </w:rPr>
        <w:t>1-2</w:t>
      </w:r>
      <w:r>
        <w:rPr>
          <w:spacing w:val="-9"/>
          <w:sz w:val="21"/>
        </w:rPr>
        <w:t xml:space="preserve"> 次新技术、新产品等方面的培训。</w:t>
      </w:r>
    </w:p>
    <w:p>
      <w:pPr>
        <w:pStyle w:val="BodyText"/>
        <w:rPr>
          <w:sz w:val="22"/>
        </w:rPr>
      </w:pPr>
    </w:p>
    <w:p>
      <w:pPr>
        <w:spacing w:before="175"/>
        <w:ind w:left="214" w:right="0" w:firstLine="0"/>
        <w:jc w:val="left"/>
        <w:rPr>
          <w:rFonts w:ascii="Microsoft JhengHei" w:eastAsia="Microsoft JhengHei"/>
          <w:b/>
          <w:sz w:val="28"/>
        </w:rPr>
      </w:pPr>
      <w:r>
        <w:rPr>
          <w:rFonts w:ascii="Microsoft JhengHei" w:eastAsia="Microsoft JhengHei"/>
          <w:b/>
          <w:spacing w:val="-2"/>
          <w:sz w:val="28"/>
        </w:rPr>
        <w:t>十四、付款方式</w:t>
      </w:r>
    </w:p>
    <w:p>
      <w:pPr>
        <w:pStyle w:val="ListParagraph"/>
        <w:numPr>
          <w:ilvl w:val="0"/>
          <w:numId w:val="68"/>
        </w:numPr>
        <w:tabs>
          <w:tab w:val="left" w:pos="955"/>
          <w:tab w:val="left" w:pos="957"/>
        </w:tabs>
        <w:spacing w:before="121" w:after="0" w:line="240" w:lineRule="auto"/>
        <w:ind w:left="956" w:right="0" w:hanging="531"/>
        <w:jc w:val="left"/>
        <w:rPr>
          <w:sz w:val="21"/>
        </w:rPr>
      </w:pPr>
      <w:r>
        <w:rPr>
          <w:sz w:val="21"/>
        </w:rPr>
        <w:t xml:space="preserve">双方签订合同后由采购人支付本次项目合同金额的 </w:t>
      </w:r>
      <w:r>
        <w:rPr>
          <w:spacing w:val="-4"/>
          <w:sz w:val="21"/>
        </w:rPr>
        <w:t>30%；</w:t>
      </w:r>
    </w:p>
    <w:p>
      <w:pPr>
        <w:pStyle w:val="ListParagraph"/>
        <w:numPr>
          <w:ilvl w:val="0"/>
          <w:numId w:val="68"/>
        </w:numPr>
        <w:tabs>
          <w:tab w:val="left" w:pos="955"/>
          <w:tab w:val="left" w:pos="957"/>
        </w:tabs>
        <w:spacing w:before="139" w:after="0" w:line="240" w:lineRule="auto"/>
        <w:ind w:left="956" w:right="0" w:hanging="531"/>
        <w:jc w:val="left"/>
        <w:rPr>
          <w:sz w:val="21"/>
        </w:rPr>
      </w:pPr>
      <w:r>
        <w:rPr>
          <w:sz w:val="21"/>
        </w:rPr>
        <w:t xml:space="preserve">初验后由采购人支付本次项目合同金额的 </w:t>
      </w:r>
      <w:r>
        <w:rPr>
          <w:spacing w:val="-4"/>
          <w:sz w:val="21"/>
        </w:rPr>
        <w:t>60%；</w:t>
      </w:r>
    </w:p>
    <w:p>
      <w:pPr>
        <w:pStyle w:val="ListParagraph"/>
        <w:numPr>
          <w:ilvl w:val="0"/>
          <w:numId w:val="68"/>
        </w:numPr>
        <w:tabs>
          <w:tab w:val="left" w:pos="955"/>
          <w:tab w:val="left" w:pos="957"/>
        </w:tabs>
        <w:spacing w:before="140" w:after="0" w:line="240" w:lineRule="auto"/>
        <w:ind w:left="956" w:right="0" w:hanging="531"/>
        <w:jc w:val="left"/>
        <w:rPr>
          <w:sz w:val="21"/>
        </w:rPr>
      </w:pPr>
      <w:r>
        <w:rPr>
          <w:sz w:val="21"/>
        </w:rPr>
        <w:t>项目通过验收并运行满一年后由采购人支付本次项目合同金额的 10%</w:t>
      </w:r>
      <w:r>
        <w:rPr>
          <w:spacing w:val="-10"/>
          <w:sz w:val="21"/>
        </w:rPr>
        <w:t>。</w:t>
      </w:r>
    </w:p>
    <w:p>
      <w:pPr>
        <w:spacing w:after="0" w:line="240" w:lineRule="auto"/>
        <w:jc w:val="left"/>
        <w:rPr>
          <w:sz w:val="21"/>
        </w:rPr>
        <w:sectPr>
          <w:headerReference w:type="default" r:id="rId50"/>
          <w:footerReference w:type="default" r:id="rId51"/>
          <w:pgSz w:w="11910" w:h="16840"/>
          <w:pgMar w:top="1340" w:right="1080" w:bottom="1000" w:left="880" w:header="822" w:footer="805"/>
          <w:pgNumType w:start="2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9"/>
        </w:rPr>
      </w:pPr>
    </w:p>
    <w:p>
      <w:pPr>
        <w:pStyle w:val="Heading1"/>
        <w:tabs>
          <w:tab w:val="left" w:pos="2432"/>
        </w:tabs>
        <w:ind w:right="9"/>
      </w:pPr>
      <w:bookmarkStart w:id="2" w:name="_TOC_250031"/>
      <w:r>
        <w:t>第</w:t>
      </w:r>
      <w:r>
        <w:t>三</w:t>
      </w:r>
      <w:r>
        <w:t>部</w:t>
      </w:r>
      <w:r>
        <w:rPr>
          <w:spacing w:val="-10"/>
        </w:rPr>
        <w:t>分</w:t>
      </w:r>
      <w:r>
        <w:tab/>
        <w:t>投</w:t>
      </w:r>
      <w:r>
        <w:rPr>
          <w:spacing w:val="58"/>
          <w:w w:val="150"/>
        </w:rPr>
        <w:t xml:space="preserve"> </w:t>
      </w:r>
      <w:r>
        <w:t>标</w:t>
      </w:r>
      <w:r>
        <w:rPr>
          <w:spacing w:val="58"/>
          <w:w w:val="150"/>
        </w:rPr>
        <w:t xml:space="preserve"> </w:t>
      </w:r>
      <w:r>
        <w:t>人</w:t>
      </w:r>
      <w:r>
        <w:rPr>
          <w:spacing w:val="58"/>
          <w:w w:val="150"/>
        </w:rPr>
        <w:t xml:space="preserve"> </w:t>
      </w:r>
      <w:r>
        <w:t>须</w:t>
      </w:r>
      <w:r>
        <w:rPr>
          <w:spacing w:val="58"/>
          <w:w w:val="150"/>
        </w:rPr>
        <w:t xml:space="preserve"> </w:t>
      </w:r>
      <w:bookmarkEnd w:id="2"/>
      <w:r>
        <w:rPr>
          <w:spacing w:val="-10"/>
        </w:rPr>
        <w:t>知</w:t>
      </w:r>
    </w:p>
    <w:p>
      <w:pPr>
        <w:spacing w:after="0"/>
        <w:sectPr>
          <w:headerReference w:type="default" r:id="rId52"/>
          <w:footerReference w:type="default" r:id="rId53"/>
          <w:pgSz w:w="11910" w:h="16840"/>
          <w:pgMar w:top="1340" w:right="1080" w:bottom="1000" w:left="880" w:header="822" w:footer="805"/>
          <w:pgNumType w:start="24"/>
          <w:cols w:space="708"/>
        </w:sectPr>
      </w:pPr>
    </w:p>
    <w:p>
      <w:pPr>
        <w:pStyle w:val="BodyText"/>
        <w:spacing w:before="9"/>
        <w:rPr>
          <w:rFonts w:ascii="Microsoft JhengHei"/>
          <w:b/>
          <w:sz w:val="25"/>
        </w:rPr>
      </w:pPr>
    </w:p>
    <w:p>
      <w:pPr>
        <w:pStyle w:val="Heading2"/>
        <w:tabs>
          <w:tab w:val="left" w:pos="1406"/>
        </w:tabs>
        <w:ind w:right="9"/>
      </w:pPr>
      <w:bookmarkStart w:id="3" w:name="_TOC_250030"/>
      <w:r>
        <w:t>（</w:t>
      </w:r>
      <w:r>
        <w:t>一</w:t>
      </w:r>
      <w:r>
        <w:t>）</w:t>
      </w:r>
      <w:r>
        <w:rPr>
          <w:spacing w:val="-10"/>
        </w:rPr>
        <w:t>总</w:t>
      </w:r>
      <w:r>
        <w:tab/>
      </w:r>
      <w:bookmarkEnd w:id="3"/>
      <w:r>
        <w:rPr>
          <w:spacing w:val="-10"/>
        </w:rPr>
        <w:t>则</w:t>
      </w:r>
    </w:p>
    <w:p>
      <w:pPr>
        <w:pStyle w:val="BodyText"/>
        <w:rPr>
          <w:rFonts w:ascii="Microsoft JhengHei"/>
          <w:b/>
          <w:sz w:val="20"/>
        </w:rPr>
      </w:pPr>
    </w:p>
    <w:p>
      <w:pPr>
        <w:pStyle w:val="BodyText"/>
        <w:spacing w:before="14"/>
        <w:rPr>
          <w:rFonts w:ascii="Microsoft JhengHei"/>
          <w:b/>
          <w:sz w:val="14"/>
        </w:rPr>
      </w:pPr>
    </w:p>
    <w:p>
      <w:pPr>
        <w:pStyle w:val="Heading3"/>
        <w:numPr>
          <w:ilvl w:val="0"/>
          <w:numId w:val="95"/>
        </w:numPr>
        <w:tabs>
          <w:tab w:val="left" w:pos="1064"/>
          <w:tab w:val="left" w:pos="1066"/>
        </w:tabs>
        <w:spacing w:before="0" w:after="0" w:line="429" w:lineRule="exact"/>
        <w:ind w:left="1065" w:right="0" w:hanging="852"/>
        <w:jc w:val="left"/>
      </w:pPr>
      <w:r>
        <w:rPr>
          <w:spacing w:val="-5"/>
        </w:rPr>
        <w:t>说明</w:t>
      </w:r>
    </w:p>
    <w:p>
      <w:pPr>
        <w:pStyle w:val="ListParagraph"/>
        <w:numPr>
          <w:ilvl w:val="0"/>
          <w:numId w:val="66"/>
        </w:numPr>
        <w:tabs>
          <w:tab w:val="left" w:pos="1065"/>
        </w:tabs>
        <w:spacing w:before="128" w:after="0" w:line="240" w:lineRule="auto"/>
        <w:ind w:left="1064" w:right="0" w:hanging="851"/>
        <w:jc w:val="both"/>
        <w:rPr>
          <w:sz w:val="21"/>
        </w:rPr>
      </w:pPr>
      <w:r>
        <w:rPr>
          <w:spacing w:val="-1"/>
          <w:sz w:val="21"/>
        </w:rPr>
        <w:t>招标范围：见本招标文件第二部分《用户需求书》。</w:t>
      </w:r>
    </w:p>
    <w:p>
      <w:pPr>
        <w:pStyle w:val="BodyText"/>
        <w:spacing w:before="11"/>
        <w:rPr>
          <w:sz w:val="14"/>
        </w:rPr>
      </w:pPr>
    </w:p>
    <w:p>
      <w:pPr>
        <w:pStyle w:val="ListParagraph"/>
        <w:numPr>
          <w:ilvl w:val="0"/>
          <w:numId w:val="66"/>
        </w:numPr>
        <w:tabs>
          <w:tab w:val="left" w:pos="1065"/>
        </w:tabs>
        <w:spacing w:before="0" w:after="0" w:line="410" w:lineRule="auto"/>
        <w:ind w:left="1065" w:right="271" w:hanging="851"/>
        <w:jc w:val="both"/>
        <w:rPr>
          <w:sz w:val="21"/>
        </w:rPr>
      </w:pPr>
      <w:r>
        <w:rPr>
          <w:spacing w:val="-2"/>
          <w:sz w:val="21"/>
        </w:rPr>
        <w:t>在招标文件中凡有“★”标识的内容条款被视为重要的响应要求、技术指标要求和性能要求。</w:t>
      </w:r>
      <w:r>
        <w:rPr>
          <w:spacing w:val="-2"/>
          <w:sz w:val="21"/>
        </w:rPr>
        <w:t>投标人必须对此作出回答并完全满足这些要求不可以出现任何负偏离，如果出现负偏离则将被</w:t>
      </w:r>
      <w:r>
        <w:rPr>
          <w:spacing w:val="-2"/>
          <w:sz w:val="21"/>
        </w:rPr>
        <w:t>视为无效投标。</w:t>
      </w:r>
    </w:p>
    <w:p>
      <w:pPr>
        <w:pStyle w:val="ListParagraph"/>
        <w:numPr>
          <w:ilvl w:val="0"/>
          <w:numId w:val="66"/>
        </w:numPr>
        <w:tabs>
          <w:tab w:val="left" w:pos="1065"/>
        </w:tabs>
        <w:spacing w:before="0" w:after="0" w:line="410" w:lineRule="auto"/>
        <w:ind w:left="1065" w:right="270" w:hanging="851"/>
        <w:jc w:val="both"/>
        <w:rPr>
          <w:sz w:val="21"/>
        </w:rPr>
      </w:pPr>
      <w:r>
        <w:rPr>
          <w:spacing w:val="-2"/>
          <w:sz w:val="21"/>
        </w:rPr>
        <w:t>本次采购货物必须是产自中华人民共和国境内的货物，如果投标人所投的货物不是产自中华人</w:t>
      </w:r>
      <w:r>
        <w:rPr>
          <w:spacing w:val="-2"/>
          <w:sz w:val="21"/>
        </w:rPr>
        <w:t>民共和国境内的，评委会有权视其投标为无效投标。</w:t>
      </w:r>
    </w:p>
    <w:p>
      <w:pPr>
        <w:pStyle w:val="BodyText"/>
        <w:spacing w:before="4"/>
        <w:rPr>
          <w:sz w:val="27"/>
        </w:rPr>
      </w:pPr>
    </w:p>
    <w:p>
      <w:pPr>
        <w:pStyle w:val="Heading3"/>
        <w:numPr>
          <w:ilvl w:val="0"/>
          <w:numId w:val="95"/>
        </w:numPr>
        <w:tabs>
          <w:tab w:val="left" w:pos="1064"/>
          <w:tab w:val="left" w:pos="1066"/>
        </w:tabs>
        <w:spacing w:before="1" w:after="0" w:line="240" w:lineRule="auto"/>
        <w:ind w:left="1065" w:right="0" w:hanging="852"/>
        <w:jc w:val="left"/>
      </w:pPr>
      <w:r>
        <w:rPr>
          <w:spacing w:val="-2"/>
        </w:rPr>
        <w:t>定义及解释</w:t>
      </w:r>
    </w:p>
    <w:p>
      <w:pPr>
        <w:pStyle w:val="ListParagraph"/>
        <w:numPr>
          <w:ilvl w:val="0"/>
          <w:numId w:val="65"/>
        </w:numPr>
        <w:tabs>
          <w:tab w:val="left" w:pos="1061"/>
          <w:tab w:val="left" w:pos="1062"/>
        </w:tabs>
        <w:spacing w:before="127" w:after="0" w:line="240" w:lineRule="auto"/>
        <w:ind w:left="1061" w:right="0" w:hanging="848"/>
        <w:jc w:val="left"/>
        <w:rPr>
          <w:sz w:val="21"/>
        </w:rPr>
      </w:pPr>
      <w:r>
        <w:rPr>
          <w:spacing w:val="-1"/>
          <w:sz w:val="21"/>
        </w:rPr>
        <w:t>工程：指投标人为满足《用户需求书》要求而提供的所有工程施工。</w:t>
      </w:r>
    </w:p>
    <w:p>
      <w:pPr>
        <w:pStyle w:val="BodyText"/>
        <w:spacing w:before="12"/>
        <w:rPr>
          <w:sz w:val="14"/>
        </w:rPr>
      </w:pPr>
    </w:p>
    <w:p>
      <w:pPr>
        <w:pStyle w:val="ListParagraph"/>
        <w:numPr>
          <w:ilvl w:val="0"/>
          <w:numId w:val="65"/>
        </w:numPr>
        <w:tabs>
          <w:tab w:val="left" w:pos="1061"/>
          <w:tab w:val="left" w:pos="1062"/>
        </w:tabs>
        <w:spacing w:before="0" w:after="0" w:line="410" w:lineRule="auto"/>
        <w:ind w:left="1065" w:right="222" w:hanging="851"/>
        <w:jc w:val="left"/>
        <w:rPr>
          <w:sz w:val="21"/>
        </w:rPr>
      </w:pPr>
      <w:r>
        <w:rPr>
          <w:spacing w:val="-2"/>
          <w:sz w:val="21"/>
        </w:rPr>
        <w:t>货物：指所有的由投标人提供的系统软件、设备、机器、材料、仪表、工具、备件、图纸以及</w:t>
      </w:r>
      <w:r>
        <w:rPr>
          <w:spacing w:val="-2"/>
          <w:sz w:val="21"/>
        </w:rPr>
        <w:t>根据招标文件投标人必须向采购人提供的相关文件。</w:t>
      </w:r>
    </w:p>
    <w:p>
      <w:pPr>
        <w:pStyle w:val="ListParagraph"/>
        <w:numPr>
          <w:ilvl w:val="0"/>
          <w:numId w:val="65"/>
        </w:numPr>
        <w:tabs>
          <w:tab w:val="left" w:pos="1061"/>
          <w:tab w:val="left" w:pos="1062"/>
        </w:tabs>
        <w:spacing w:before="0" w:after="0" w:line="410" w:lineRule="auto"/>
        <w:ind w:left="1065" w:right="222" w:hanging="851"/>
        <w:jc w:val="left"/>
        <w:rPr>
          <w:sz w:val="21"/>
        </w:rPr>
      </w:pPr>
      <w:r>
        <w:rPr>
          <w:spacing w:val="-2"/>
          <w:sz w:val="21"/>
        </w:rPr>
        <w:t>服务：指投标人提供的业务调研、系统设计、软件开发、系统集成、系统安装调试运行、人员</w:t>
      </w:r>
      <w:r>
        <w:rPr>
          <w:spacing w:val="-2"/>
          <w:sz w:val="21"/>
        </w:rPr>
        <w:t>培训、售后服务、技术支持等。</w:t>
      </w:r>
    </w:p>
    <w:p>
      <w:pPr>
        <w:pStyle w:val="ListParagraph"/>
        <w:numPr>
          <w:ilvl w:val="0"/>
          <w:numId w:val="65"/>
        </w:numPr>
        <w:tabs>
          <w:tab w:val="left" w:pos="1061"/>
          <w:tab w:val="left" w:pos="1062"/>
        </w:tabs>
        <w:spacing w:before="0" w:after="0" w:line="240" w:lineRule="auto"/>
        <w:ind w:left="1061" w:right="0" w:hanging="848"/>
        <w:jc w:val="left"/>
        <w:rPr>
          <w:sz w:val="21"/>
        </w:rPr>
      </w:pPr>
      <w:r>
        <w:rPr>
          <w:spacing w:val="-1"/>
          <w:sz w:val="21"/>
        </w:rPr>
        <w:t>进口产品：指通过中国海关报关验放进入中国境内且产自关境外的产品。</w:t>
      </w:r>
    </w:p>
    <w:p>
      <w:pPr>
        <w:pStyle w:val="ListParagraph"/>
        <w:numPr>
          <w:ilvl w:val="0"/>
          <w:numId w:val="65"/>
        </w:numPr>
        <w:tabs>
          <w:tab w:val="left" w:pos="1061"/>
          <w:tab w:val="left" w:pos="1062"/>
        </w:tabs>
        <w:spacing w:before="121" w:after="0" w:line="240" w:lineRule="auto"/>
        <w:ind w:left="1061" w:right="0" w:hanging="848"/>
        <w:jc w:val="left"/>
        <w:rPr>
          <w:sz w:val="21"/>
        </w:rPr>
      </w:pPr>
      <w:r>
        <w:rPr>
          <w:sz w:val="21"/>
        </w:rPr>
        <w:t>采购人：</w:t>
      </w:r>
      <w:r>
        <w:rPr>
          <w:rFonts w:ascii="Microsoft JhengHei" w:eastAsia="Microsoft JhengHei"/>
          <w:b/>
          <w:sz w:val="21"/>
        </w:rPr>
        <w:t>中</w:t>
      </w:r>
      <w:r>
        <w:rPr>
          <w:rFonts w:ascii="Microsoft JhengHei" w:eastAsia="Microsoft JhengHei"/>
          <w:b/>
          <w:w w:val="115"/>
          <w:sz w:val="21"/>
        </w:rPr>
        <w:t>ft</w:t>
      </w:r>
      <w:r>
        <w:rPr>
          <w:rFonts w:ascii="Microsoft JhengHei" w:eastAsia="Microsoft JhengHei"/>
          <w:b/>
          <w:sz w:val="21"/>
        </w:rPr>
        <w:t>市公安局技术侦察支队</w:t>
      </w:r>
      <w:r>
        <w:rPr>
          <w:spacing w:val="-10"/>
          <w:sz w:val="21"/>
        </w:rPr>
        <w:t>。</w:t>
      </w:r>
    </w:p>
    <w:p>
      <w:pPr>
        <w:pStyle w:val="ListParagraph"/>
        <w:numPr>
          <w:ilvl w:val="0"/>
          <w:numId w:val="65"/>
        </w:numPr>
        <w:tabs>
          <w:tab w:val="left" w:pos="1061"/>
          <w:tab w:val="left" w:pos="1062"/>
        </w:tabs>
        <w:spacing w:before="143" w:after="0" w:line="240" w:lineRule="auto"/>
        <w:ind w:left="1061" w:right="0" w:hanging="848"/>
        <w:jc w:val="left"/>
        <w:rPr>
          <w:sz w:val="21"/>
        </w:rPr>
      </w:pPr>
      <w:r>
        <w:rPr>
          <w:spacing w:val="-1"/>
          <w:sz w:val="21"/>
        </w:rPr>
        <w:t>投标人：投标人是响应招标、参加投标的依法成立的公司。</w:t>
      </w:r>
    </w:p>
    <w:p>
      <w:pPr>
        <w:pStyle w:val="BodyText"/>
        <w:spacing w:before="12"/>
        <w:rPr>
          <w:sz w:val="14"/>
        </w:rPr>
      </w:pPr>
    </w:p>
    <w:p>
      <w:pPr>
        <w:pStyle w:val="ListParagraph"/>
        <w:numPr>
          <w:ilvl w:val="0"/>
          <w:numId w:val="65"/>
        </w:numPr>
        <w:tabs>
          <w:tab w:val="left" w:pos="1061"/>
          <w:tab w:val="left" w:pos="1062"/>
        </w:tabs>
        <w:spacing w:before="0" w:after="0" w:line="240" w:lineRule="auto"/>
        <w:ind w:left="1061" w:right="0" w:hanging="848"/>
        <w:jc w:val="left"/>
        <w:rPr>
          <w:sz w:val="21"/>
        </w:rPr>
      </w:pPr>
      <w:r>
        <w:rPr>
          <w:spacing w:val="-1"/>
          <w:sz w:val="21"/>
        </w:rPr>
        <w:t>采购代理机构：广东志正招标有限公司。</w:t>
      </w:r>
    </w:p>
    <w:p>
      <w:pPr>
        <w:pStyle w:val="BodyText"/>
        <w:spacing w:before="11"/>
        <w:rPr>
          <w:sz w:val="14"/>
        </w:rPr>
      </w:pPr>
    </w:p>
    <w:p>
      <w:pPr>
        <w:pStyle w:val="ListParagraph"/>
        <w:numPr>
          <w:ilvl w:val="0"/>
          <w:numId w:val="65"/>
        </w:numPr>
        <w:tabs>
          <w:tab w:val="left" w:pos="1061"/>
          <w:tab w:val="left" w:pos="1062"/>
        </w:tabs>
        <w:spacing w:before="0" w:after="0" w:line="240" w:lineRule="auto"/>
        <w:ind w:left="1061" w:right="0" w:hanging="848"/>
        <w:jc w:val="left"/>
        <w:rPr>
          <w:sz w:val="21"/>
        </w:rPr>
      </w:pPr>
      <w:r>
        <w:rPr>
          <w:sz w:val="21"/>
        </w:rPr>
        <w:t>监督管理机构：中ft</w:t>
      </w:r>
      <w:r>
        <w:rPr>
          <w:spacing w:val="-1"/>
          <w:sz w:val="21"/>
        </w:rPr>
        <w:t>市政府采购管理办公室。</w:t>
      </w:r>
    </w:p>
    <w:p>
      <w:pPr>
        <w:pStyle w:val="BodyText"/>
        <w:spacing w:before="12"/>
        <w:rPr>
          <w:sz w:val="14"/>
        </w:rPr>
      </w:pPr>
    </w:p>
    <w:p>
      <w:pPr>
        <w:pStyle w:val="ListParagraph"/>
        <w:numPr>
          <w:ilvl w:val="0"/>
          <w:numId w:val="65"/>
        </w:numPr>
        <w:tabs>
          <w:tab w:val="left" w:pos="1061"/>
          <w:tab w:val="left" w:pos="1062"/>
        </w:tabs>
        <w:spacing w:before="0" w:after="0" w:line="410" w:lineRule="auto"/>
        <w:ind w:left="1062" w:right="222" w:hanging="848"/>
        <w:jc w:val="left"/>
        <w:rPr>
          <w:sz w:val="21"/>
        </w:rPr>
      </w:pPr>
      <w:r>
        <w:rPr>
          <w:spacing w:val="-2"/>
          <w:sz w:val="21"/>
        </w:rPr>
        <w:t>评标委员会：评标委员会是依《中华人民共和国政府采购法》及相关法律法规组建的专门负责</w:t>
      </w:r>
      <w:r>
        <w:rPr>
          <w:spacing w:val="-2"/>
          <w:sz w:val="21"/>
        </w:rPr>
        <w:t>本次招标评标工作的临时性机构。</w:t>
      </w:r>
    </w:p>
    <w:p>
      <w:pPr>
        <w:pStyle w:val="ListParagraph"/>
        <w:numPr>
          <w:ilvl w:val="0"/>
          <w:numId w:val="65"/>
        </w:numPr>
        <w:tabs>
          <w:tab w:val="left" w:pos="1061"/>
          <w:tab w:val="left" w:pos="1062"/>
        </w:tabs>
        <w:spacing w:before="0" w:after="0" w:line="240" w:lineRule="auto"/>
        <w:ind w:left="1061" w:right="0" w:hanging="848"/>
        <w:jc w:val="left"/>
        <w:rPr>
          <w:sz w:val="21"/>
        </w:rPr>
      </w:pPr>
      <w:r>
        <w:rPr>
          <w:spacing w:val="-2"/>
          <w:sz w:val="21"/>
        </w:rPr>
        <w:t>日期：指公历日。</w:t>
      </w:r>
    </w:p>
    <w:p>
      <w:pPr>
        <w:pStyle w:val="BodyText"/>
        <w:spacing w:before="11"/>
        <w:rPr>
          <w:sz w:val="14"/>
        </w:rPr>
      </w:pPr>
    </w:p>
    <w:p>
      <w:pPr>
        <w:pStyle w:val="ListParagraph"/>
        <w:numPr>
          <w:ilvl w:val="0"/>
          <w:numId w:val="65"/>
        </w:numPr>
        <w:tabs>
          <w:tab w:val="left" w:pos="1061"/>
          <w:tab w:val="left" w:pos="1062"/>
        </w:tabs>
        <w:spacing w:before="0" w:after="0" w:line="240" w:lineRule="auto"/>
        <w:ind w:left="1061" w:right="0" w:hanging="848"/>
        <w:jc w:val="left"/>
        <w:rPr>
          <w:sz w:val="21"/>
        </w:rPr>
      </w:pPr>
      <w:r>
        <w:rPr>
          <w:spacing w:val="-8"/>
          <w:sz w:val="21"/>
        </w:rPr>
        <w:t xml:space="preserve">时间：指每天 </w:t>
      </w:r>
      <w:r>
        <w:rPr>
          <w:sz w:val="21"/>
        </w:rPr>
        <w:t>24</w:t>
      </w:r>
      <w:r>
        <w:rPr>
          <w:spacing w:val="-14"/>
          <w:sz w:val="21"/>
        </w:rPr>
        <w:t xml:space="preserve"> 小时制。</w:t>
      </w:r>
    </w:p>
    <w:p>
      <w:pPr>
        <w:pStyle w:val="BodyText"/>
        <w:spacing w:before="12"/>
        <w:rPr>
          <w:sz w:val="14"/>
        </w:rPr>
      </w:pPr>
    </w:p>
    <w:p>
      <w:pPr>
        <w:pStyle w:val="ListParagraph"/>
        <w:numPr>
          <w:ilvl w:val="0"/>
          <w:numId w:val="65"/>
        </w:numPr>
        <w:tabs>
          <w:tab w:val="left" w:pos="1061"/>
          <w:tab w:val="left" w:pos="1062"/>
        </w:tabs>
        <w:spacing w:before="0" w:after="0" w:line="240" w:lineRule="auto"/>
        <w:ind w:left="1061" w:right="0" w:hanging="848"/>
        <w:jc w:val="left"/>
        <w:rPr>
          <w:sz w:val="21"/>
        </w:rPr>
      </w:pPr>
      <w:r>
        <w:rPr>
          <w:spacing w:val="-1"/>
          <w:sz w:val="21"/>
        </w:rPr>
        <w:t>合同: 指由本次招标所产生的合同或合约文件。</w:t>
      </w:r>
    </w:p>
    <w:p>
      <w:pPr>
        <w:pStyle w:val="BodyText"/>
        <w:spacing w:before="11"/>
        <w:rPr>
          <w:sz w:val="14"/>
        </w:rPr>
      </w:pPr>
    </w:p>
    <w:p>
      <w:pPr>
        <w:pStyle w:val="ListParagraph"/>
        <w:numPr>
          <w:ilvl w:val="0"/>
          <w:numId w:val="65"/>
        </w:numPr>
        <w:tabs>
          <w:tab w:val="left" w:pos="1064"/>
          <w:tab w:val="left" w:pos="1065"/>
        </w:tabs>
        <w:spacing w:before="1" w:after="0" w:line="240" w:lineRule="auto"/>
        <w:ind w:left="1064" w:right="0" w:hanging="851"/>
        <w:jc w:val="left"/>
        <w:rPr>
          <w:sz w:val="21"/>
        </w:rPr>
      </w:pPr>
      <w:r>
        <w:rPr>
          <w:spacing w:val="-1"/>
          <w:sz w:val="21"/>
        </w:rPr>
        <w:t>实质性响应：是指符合招标文件的所有要求、条款、条件和规定，且没有重大偏离或保留。</w:t>
      </w:r>
    </w:p>
    <w:p>
      <w:pPr>
        <w:pStyle w:val="BodyText"/>
        <w:spacing w:before="11"/>
        <w:rPr>
          <w:sz w:val="14"/>
        </w:rPr>
      </w:pPr>
    </w:p>
    <w:p>
      <w:pPr>
        <w:pStyle w:val="ListParagraph"/>
        <w:numPr>
          <w:ilvl w:val="0"/>
          <w:numId w:val="65"/>
        </w:numPr>
        <w:tabs>
          <w:tab w:val="left" w:pos="1064"/>
          <w:tab w:val="left" w:pos="1065"/>
        </w:tabs>
        <w:spacing w:before="0" w:after="0" w:line="410" w:lineRule="auto"/>
        <w:ind w:left="1065" w:right="221" w:hanging="851"/>
        <w:jc w:val="left"/>
        <w:rPr>
          <w:sz w:val="21"/>
        </w:rPr>
      </w:pPr>
      <w:r>
        <w:rPr>
          <w:spacing w:val="-2"/>
          <w:sz w:val="21"/>
        </w:rPr>
        <w:t>重大偏离或保留：是指投标文件中影响到招标文件规定的货物和服务质量或限制了采购人的权</w:t>
      </w:r>
      <w:r>
        <w:rPr>
          <w:spacing w:val="-2"/>
          <w:sz w:val="21"/>
        </w:rPr>
        <w:t>利/投标人的义务的规定，而认可该等规定偏离将影响到其他投标人的公平竞争地位。</w:t>
      </w:r>
    </w:p>
    <w:p>
      <w:pPr>
        <w:spacing w:after="0" w:line="410" w:lineRule="auto"/>
        <w:jc w:val="left"/>
        <w:rPr>
          <w:sz w:val="21"/>
        </w:rPr>
        <w:sectPr>
          <w:headerReference w:type="default" r:id="rId54"/>
          <w:footerReference w:type="default" r:id="rId55"/>
          <w:pgSz w:w="11910" w:h="16840"/>
          <w:pgMar w:top="1340" w:right="1080" w:bottom="1000" w:left="880" w:header="822" w:footer="805"/>
          <w:pgNumType w:start="25"/>
          <w:cols w:space="708"/>
        </w:sectPr>
      </w:pPr>
    </w:p>
    <w:p>
      <w:pPr>
        <w:pStyle w:val="BodyText"/>
        <w:spacing w:before="12"/>
        <w:rPr>
          <w:sz w:val="11"/>
        </w:rPr>
      </w:pPr>
    </w:p>
    <w:p>
      <w:pPr>
        <w:pStyle w:val="ListParagraph"/>
        <w:numPr>
          <w:ilvl w:val="0"/>
          <w:numId w:val="65"/>
        </w:numPr>
        <w:tabs>
          <w:tab w:val="left" w:pos="1064"/>
          <w:tab w:val="left" w:pos="1065"/>
        </w:tabs>
        <w:spacing w:before="70" w:after="0" w:line="240" w:lineRule="auto"/>
        <w:ind w:left="1064" w:right="0" w:hanging="851"/>
        <w:jc w:val="left"/>
        <w:rPr>
          <w:sz w:val="21"/>
        </w:rPr>
      </w:pPr>
      <w:r>
        <w:rPr>
          <w:spacing w:val="-1"/>
          <w:sz w:val="21"/>
        </w:rPr>
        <w:t>招标文件中的标题或题名仅起引导作用，而不应视为对招标文件内容的理解和解释。</w:t>
      </w:r>
    </w:p>
    <w:p>
      <w:pPr>
        <w:pStyle w:val="BodyText"/>
        <w:spacing w:before="12"/>
        <w:rPr>
          <w:sz w:val="14"/>
        </w:rPr>
      </w:pPr>
    </w:p>
    <w:p>
      <w:pPr>
        <w:pStyle w:val="ListParagraph"/>
        <w:numPr>
          <w:ilvl w:val="0"/>
          <w:numId w:val="65"/>
        </w:numPr>
        <w:tabs>
          <w:tab w:val="left" w:pos="1065"/>
        </w:tabs>
        <w:spacing w:before="0" w:after="0" w:line="410" w:lineRule="auto"/>
        <w:ind w:left="1065" w:right="221" w:hanging="851"/>
        <w:jc w:val="both"/>
        <w:rPr>
          <w:sz w:val="21"/>
        </w:rPr>
      </w:pPr>
      <w:r>
        <w:rPr>
          <w:spacing w:val="-2"/>
          <w:sz w:val="21"/>
        </w:rPr>
        <w:t>招标文件中所规定的“书面形式”，是指任何手写的、打印的或印刷的通讯文件，包括电报和</w:t>
      </w:r>
      <w:r>
        <w:rPr>
          <w:spacing w:val="-2"/>
          <w:sz w:val="21"/>
        </w:rPr>
        <w:t>传真发送。</w:t>
      </w:r>
    </w:p>
    <w:p>
      <w:pPr>
        <w:pStyle w:val="BodyText"/>
        <w:spacing w:before="4"/>
        <w:rPr>
          <w:sz w:val="27"/>
        </w:rPr>
      </w:pPr>
    </w:p>
    <w:p>
      <w:pPr>
        <w:pStyle w:val="Heading3"/>
        <w:numPr>
          <w:ilvl w:val="0"/>
          <w:numId w:val="67"/>
        </w:numPr>
        <w:tabs>
          <w:tab w:val="left" w:pos="1064"/>
          <w:tab w:val="left" w:pos="1066"/>
        </w:tabs>
        <w:spacing w:before="0" w:after="0" w:line="240" w:lineRule="auto"/>
        <w:ind w:left="1065" w:right="0" w:hanging="852"/>
        <w:jc w:val="left"/>
      </w:pPr>
      <w:r>
        <w:rPr>
          <w:spacing w:val="-3"/>
        </w:rPr>
        <w:t>招标采购</w:t>
      </w:r>
    </w:p>
    <w:p>
      <w:pPr>
        <w:spacing w:before="59" w:line="285" w:lineRule="auto"/>
        <w:ind w:left="1065" w:right="222" w:hanging="851"/>
        <w:jc w:val="both"/>
        <w:rPr>
          <w:sz w:val="21"/>
        </w:rPr>
      </w:pPr>
      <w:r>
        <w:rPr>
          <w:sz w:val="21"/>
        </w:rPr>
        <w:t>(1)</w:t>
      </w:r>
      <w:r>
        <w:rPr>
          <w:spacing w:val="80"/>
          <w:w w:val="150"/>
          <w:sz w:val="21"/>
        </w:rPr>
        <w:t xml:space="preserve">  </w:t>
      </w:r>
      <w:r>
        <w:rPr>
          <w:rFonts w:ascii="Microsoft JhengHei" w:eastAsia="Microsoft JhengHei" w:hAnsi="Microsoft JhengHei"/>
          <w:b/>
          <w:sz w:val="21"/>
        </w:rPr>
        <w:t>广东志正招标有限公司</w:t>
      </w:r>
      <w:r>
        <w:rPr>
          <w:sz w:val="21"/>
        </w:rPr>
        <w:t>受</w:t>
      </w:r>
      <w:r>
        <w:rPr>
          <w:rFonts w:ascii="Microsoft JhengHei" w:eastAsia="Microsoft JhengHei" w:hAnsi="Microsoft JhengHei"/>
          <w:b/>
          <w:sz w:val="21"/>
        </w:rPr>
        <w:t>中</w:t>
      </w:r>
      <w:r>
        <w:rPr>
          <w:rFonts w:ascii="Microsoft JhengHei" w:eastAsia="Microsoft JhengHei" w:hAnsi="Microsoft JhengHei"/>
          <w:b/>
          <w:w w:val="105"/>
          <w:sz w:val="21"/>
        </w:rPr>
        <w:t>ft</w:t>
      </w:r>
      <w:r>
        <w:rPr>
          <w:rFonts w:ascii="Microsoft JhengHei" w:eastAsia="Microsoft JhengHei" w:hAnsi="Microsoft JhengHei"/>
          <w:b/>
          <w:sz w:val="21"/>
        </w:rPr>
        <w:t>市公安局技术侦察支队</w:t>
      </w:r>
      <w:r>
        <w:rPr>
          <w:sz w:val="21"/>
        </w:rPr>
        <w:t>的委托，接受合格的投标人就招标文件所述的</w:t>
      </w:r>
      <w:r>
        <w:rPr>
          <w:rFonts w:ascii="Microsoft JhengHei" w:eastAsia="Microsoft JhengHei" w:hAnsi="Microsoft JhengHei"/>
          <w:b/>
          <w:w w:val="124"/>
          <w:sz w:val="21"/>
        </w:rPr>
        <w:t>“</w:t>
      </w:r>
      <w:r>
        <w:rPr>
          <w:rFonts w:ascii="Microsoft JhengHei" w:eastAsia="Microsoft JhengHei" w:hAnsi="Microsoft JhengHei"/>
          <w:b/>
          <w:w w:val="88"/>
          <w:sz w:val="21"/>
        </w:rPr>
        <w:t>D</w:t>
      </w:r>
      <w:r>
        <w:rPr>
          <w:rFonts w:ascii="Microsoft JhengHei" w:eastAsia="Microsoft JhengHei" w:hAnsi="Microsoft JhengHei"/>
          <w:b/>
          <w:w w:val="72"/>
          <w:sz w:val="21"/>
        </w:rPr>
        <w:t>W</w:t>
      </w:r>
      <w:r>
        <w:rPr>
          <w:rFonts w:ascii="Microsoft JhengHei" w:eastAsia="Microsoft JhengHei" w:hAnsi="Microsoft JhengHei"/>
          <w:b/>
          <w:w w:val="107"/>
          <w:sz w:val="21"/>
        </w:rPr>
        <w:t>09</w:t>
      </w:r>
      <w:r>
        <w:rPr>
          <w:rFonts w:ascii="Microsoft JhengHei" w:eastAsia="Microsoft JhengHei" w:hAnsi="Microsoft JhengHei"/>
          <w:b/>
          <w:w w:val="99"/>
          <w:sz w:val="21"/>
        </w:rPr>
        <w:t xml:space="preserve"> </w:t>
      </w:r>
      <w:r>
        <w:rPr>
          <w:rFonts w:ascii="Microsoft JhengHei" w:eastAsia="Microsoft JhengHei" w:hAnsi="Microsoft JhengHei"/>
          <w:b/>
          <w:sz w:val="21"/>
        </w:rPr>
        <w:t>工程”中</w:t>
      </w:r>
      <w:r>
        <w:rPr>
          <w:rFonts w:ascii="Microsoft JhengHei" w:eastAsia="Microsoft JhengHei" w:hAnsi="Microsoft JhengHei"/>
          <w:b/>
          <w:w w:val="105"/>
          <w:sz w:val="21"/>
        </w:rPr>
        <w:t>ft</w:t>
      </w:r>
      <w:r>
        <w:rPr>
          <w:rFonts w:ascii="Microsoft JhengHei" w:eastAsia="Microsoft JhengHei" w:hAnsi="Microsoft JhengHei"/>
          <w:b/>
          <w:sz w:val="21"/>
        </w:rPr>
        <w:t>后台系统升级扩容采购项目</w:t>
      </w:r>
      <w:r>
        <w:rPr>
          <w:sz w:val="21"/>
        </w:rPr>
        <w:t>进行投标。</w:t>
      </w:r>
    </w:p>
    <w:p>
      <w:pPr>
        <w:pStyle w:val="BodyText"/>
        <w:rPr>
          <w:sz w:val="20"/>
        </w:rPr>
      </w:pPr>
    </w:p>
    <w:p>
      <w:pPr>
        <w:pStyle w:val="Heading3"/>
        <w:numPr>
          <w:ilvl w:val="0"/>
          <w:numId w:val="67"/>
        </w:numPr>
        <w:tabs>
          <w:tab w:val="left" w:pos="1064"/>
          <w:tab w:val="left" w:pos="1066"/>
        </w:tabs>
        <w:spacing w:before="165" w:after="0" w:line="240" w:lineRule="auto"/>
        <w:ind w:left="1065" w:right="0" w:hanging="852"/>
        <w:jc w:val="left"/>
      </w:pPr>
      <w:r>
        <w:t>★</w:t>
      </w:r>
      <w:r>
        <w:rPr>
          <w:spacing w:val="-1"/>
        </w:rPr>
        <w:t>合格投标人的基本条件</w:t>
      </w:r>
    </w:p>
    <w:p>
      <w:pPr>
        <w:pStyle w:val="BodyText"/>
        <w:tabs>
          <w:tab w:val="left" w:pos="1064"/>
        </w:tabs>
        <w:spacing w:before="128"/>
        <w:ind w:left="214"/>
      </w:pPr>
      <w:r>
        <w:rPr>
          <w:spacing w:val="-5"/>
        </w:rPr>
        <w:t>(1)</w:t>
      </w:r>
      <w:r>
        <w:tab/>
      </w:r>
      <w:r>
        <w:rPr>
          <w:spacing w:val="-1"/>
        </w:rPr>
        <w:t>按《投标邀请函》的规定。</w:t>
      </w:r>
    </w:p>
    <w:p>
      <w:pPr>
        <w:pStyle w:val="BodyText"/>
        <w:rPr>
          <w:sz w:val="20"/>
        </w:rPr>
      </w:pPr>
    </w:p>
    <w:p>
      <w:pPr>
        <w:pStyle w:val="BodyText"/>
        <w:spacing w:before="3"/>
        <w:rPr>
          <w:sz w:val="22"/>
        </w:rPr>
      </w:pPr>
    </w:p>
    <w:p>
      <w:pPr>
        <w:pStyle w:val="Heading3"/>
        <w:numPr>
          <w:ilvl w:val="0"/>
          <w:numId w:val="67"/>
        </w:numPr>
        <w:tabs>
          <w:tab w:val="left" w:pos="1064"/>
          <w:tab w:val="left" w:pos="1066"/>
        </w:tabs>
        <w:spacing w:before="0" w:after="0" w:line="240" w:lineRule="auto"/>
        <w:ind w:left="1065" w:right="0" w:hanging="852"/>
        <w:jc w:val="left"/>
      </w:pPr>
      <w:r>
        <w:t>★</w:t>
      </w:r>
      <w:r>
        <w:rPr>
          <w:spacing w:val="-1"/>
        </w:rPr>
        <w:t>行贿犯罪档案查询告知函</w:t>
      </w:r>
    </w:p>
    <w:p>
      <w:pPr>
        <w:pStyle w:val="ListParagraph"/>
        <w:numPr>
          <w:ilvl w:val="0"/>
          <w:numId w:val="64"/>
        </w:numPr>
        <w:tabs>
          <w:tab w:val="left" w:pos="1065"/>
        </w:tabs>
        <w:spacing w:before="128" w:after="0" w:line="410" w:lineRule="auto"/>
        <w:ind w:left="1065" w:right="271" w:hanging="851"/>
        <w:jc w:val="both"/>
        <w:rPr>
          <w:sz w:val="21"/>
        </w:rPr>
      </w:pPr>
      <w:r>
        <w:rPr>
          <w:spacing w:val="-2"/>
          <w:sz w:val="21"/>
        </w:rPr>
        <w:t>《行贿犯罪档案查询告知函》由投标人向营业执照住所地或业务发生地人民检察院申请出具。</w:t>
      </w:r>
      <w:r>
        <w:rPr>
          <w:spacing w:val="-2"/>
          <w:sz w:val="21"/>
        </w:rPr>
        <w:t>投标人在提交的投标文件的正本中须提供《行贿犯罪档案查询告知函》的原件（提供复印件无</w:t>
      </w:r>
      <w:r>
        <w:rPr>
          <w:spacing w:val="-2"/>
          <w:sz w:val="21"/>
        </w:rPr>
        <w:t>效，视为无效标）</w:t>
      </w:r>
      <w:r>
        <w:rPr>
          <w:spacing w:val="-4"/>
          <w:sz w:val="21"/>
        </w:rPr>
        <w:t xml:space="preserve">。《行贿犯罪档案查询告知函》自出具之日起 </w:t>
      </w:r>
      <w:r>
        <w:rPr>
          <w:spacing w:val="-2"/>
          <w:sz w:val="21"/>
        </w:rPr>
        <w:t>2</w:t>
      </w:r>
      <w:r>
        <w:rPr>
          <w:spacing w:val="-7"/>
          <w:sz w:val="21"/>
        </w:rPr>
        <w:t xml:space="preserve"> 个月内有效，开具的时间及</w:t>
      </w:r>
      <w:r>
        <w:rPr>
          <w:spacing w:val="-2"/>
          <w:sz w:val="21"/>
        </w:rPr>
        <w:t>有效期必须满足资格条件中的相关规定，否则被视为无效投标。</w:t>
      </w:r>
    </w:p>
    <w:p>
      <w:pPr>
        <w:pStyle w:val="ListParagraph"/>
        <w:numPr>
          <w:ilvl w:val="0"/>
          <w:numId w:val="64"/>
        </w:numPr>
        <w:tabs>
          <w:tab w:val="left" w:pos="1065"/>
        </w:tabs>
        <w:spacing w:before="0" w:after="0" w:line="410" w:lineRule="auto"/>
        <w:ind w:left="1065" w:right="379" w:hanging="851"/>
        <w:jc w:val="both"/>
        <w:rPr>
          <w:sz w:val="21"/>
        </w:rPr>
      </w:pPr>
      <w:r>
        <w:rPr>
          <w:spacing w:val="-8"/>
          <w:sz w:val="21"/>
        </w:rPr>
        <w:t>投标人到中ft市检察机关查询行贿犯罪记录所需手续资料请登录中ft市预防职务犯罪工作网（</w:t>
      </w:r>
      <w:r>
        <w:rPr>
          <w:spacing w:val="-8"/>
          <w:sz w:val="21"/>
        </w:rPr>
        <w:t>网</w:t>
      </w:r>
      <w:r>
        <w:rPr>
          <w:spacing w:val="-10"/>
          <w:sz w:val="21"/>
        </w:rPr>
        <w:t>址：</w:t>
      </w:r>
      <w:hyperlink r:id="rId56">
        <w:r>
          <w:rPr>
            <w:rFonts w:ascii="Times New Roman" w:eastAsia="Times New Roman" w:hAnsi="Times New Roman"/>
            <w:spacing w:val="-10"/>
            <w:sz w:val="21"/>
          </w:rPr>
          <w:t>http://www.zsnews.cn/zt/zsjcy</w:t>
        </w:r>
      </w:hyperlink>
      <w:r>
        <w:rPr>
          <w:spacing w:val="-10"/>
          <w:sz w:val="21"/>
        </w:rPr>
        <w:t>）“行贿犯罪档案查询指引”栏目进行查询。</w:t>
      </w:r>
    </w:p>
    <w:p>
      <w:pPr>
        <w:pStyle w:val="BodyText"/>
        <w:spacing w:before="4"/>
        <w:rPr>
          <w:sz w:val="27"/>
        </w:rPr>
      </w:pPr>
    </w:p>
    <w:p>
      <w:pPr>
        <w:pStyle w:val="Heading3"/>
        <w:numPr>
          <w:ilvl w:val="0"/>
          <w:numId w:val="67"/>
        </w:numPr>
        <w:tabs>
          <w:tab w:val="left" w:pos="1064"/>
          <w:tab w:val="left" w:pos="1066"/>
        </w:tabs>
        <w:spacing w:before="0" w:after="0" w:line="240" w:lineRule="auto"/>
        <w:ind w:left="1065" w:right="0" w:hanging="852"/>
        <w:jc w:val="left"/>
      </w:pPr>
      <w:r>
        <w:rPr>
          <w:spacing w:val="-2"/>
        </w:rPr>
        <w:t>纪律与保密事项</w:t>
      </w:r>
    </w:p>
    <w:p>
      <w:pPr>
        <w:pStyle w:val="ListParagraph"/>
        <w:numPr>
          <w:ilvl w:val="0"/>
          <w:numId w:val="63"/>
        </w:numPr>
        <w:tabs>
          <w:tab w:val="left" w:pos="1062"/>
        </w:tabs>
        <w:spacing w:before="128" w:after="0" w:line="410" w:lineRule="auto"/>
        <w:ind w:left="1062" w:right="273" w:hanging="848"/>
        <w:jc w:val="both"/>
        <w:rPr>
          <w:sz w:val="21"/>
        </w:rPr>
      </w:pPr>
      <w:r>
        <w:rPr>
          <w:spacing w:val="-2"/>
          <w:sz w:val="21"/>
        </w:rPr>
        <w:t>凡参与招标工作的有关人员均应自觉接受有关主管部门的监督，不得向他人透露已获得招标文</w:t>
      </w:r>
      <w:r>
        <w:rPr>
          <w:spacing w:val="-2"/>
          <w:sz w:val="21"/>
        </w:rPr>
        <w:t>件的潜在投标人的名称、数量以及可能影响公平竞争的有关招标投标的其他情况。</w:t>
      </w:r>
    </w:p>
    <w:p>
      <w:pPr>
        <w:pStyle w:val="ListParagraph"/>
        <w:numPr>
          <w:ilvl w:val="0"/>
          <w:numId w:val="63"/>
        </w:numPr>
        <w:tabs>
          <w:tab w:val="left" w:pos="1062"/>
        </w:tabs>
        <w:spacing w:before="0" w:after="0" w:line="410" w:lineRule="auto"/>
        <w:ind w:left="1062" w:right="273" w:hanging="848"/>
        <w:jc w:val="both"/>
        <w:rPr>
          <w:sz w:val="21"/>
        </w:rPr>
      </w:pPr>
      <w:r>
        <w:rPr>
          <w:spacing w:val="-2"/>
          <w:sz w:val="21"/>
        </w:rPr>
        <w:t>开标后，直至向中标的投标人发出《中标通知书》时止，凡与审查、澄清、评价和比较投标的</w:t>
      </w:r>
      <w:r>
        <w:rPr>
          <w:spacing w:val="-2"/>
          <w:sz w:val="21"/>
        </w:rPr>
        <w:t>有关资料以及授标意见等，均不得向投标人及与评标无关的其他人透露。</w:t>
      </w:r>
    </w:p>
    <w:p>
      <w:pPr>
        <w:pStyle w:val="ListParagraph"/>
        <w:numPr>
          <w:ilvl w:val="0"/>
          <w:numId w:val="63"/>
        </w:numPr>
        <w:tabs>
          <w:tab w:val="left" w:pos="1062"/>
        </w:tabs>
        <w:spacing w:before="0" w:after="0" w:line="410" w:lineRule="auto"/>
        <w:ind w:left="1062" w:right="273" w:hanging="848"/>
        <w:jc w:val="both"/>
        <w:rPr>
          <w:sz w:val="21"/>
        </w:rPr>
      </w:pPr>
      <w:r>
        <w:rPr>
          <w:spacing w:val="-2"/>
          <w:sz w:val="21"/>
        </w:rPr>
        <w:t>除投标人被要求对投标文件进行澄清外，从开标至签订合同期间，投标人不得就与其投标文件</w:t>
      </w:r>
      <w:r>
        <w:rPr>
          <w:spacing w:val="-2"/>
          <w:sz w:val="21"/>
        </w:rPr>
        <w:t>有关的事项主动与评标委员会、采购代理机构以及采购人联系。</w:t>
      </w:r>
    </w:p>
    <w:p>
      <w:pPr>
        <w:pStyle w:val="ListParagraph"/>
        <w:numPr>
          <w:ilvl w:val="0"/>
          <w:numId w:val="63"/>
        </w:numPr>
        <w:tabs>
          <w:tab w:val="left" w:pos="1062"/>
        </w:tabs>
        <w:spacing w:before="0" w:after="0" w:line="410" w:lineRule="auto"/>
        <w:ind w:left="1062" w:right="274" w:hanging="848"/>
        <w:jc w:val="both"/>
        <w:rPr>
          <w:sz w:val="21"/>
        </w:rPr>
      </w:pPr>
      <w:r>
        <w:rPr>
          <w:spacing w:val="-2"/>
          <w:sz w:val="21"/>
        </w:rPr>
        <w:t>从开标至签订合同期间，投标人试图在投标文件审查、澄清、比较和评价时对评标委员会和采</w:t>
      </w:r>
      <w:r>
        <w:rPr>
          <w:spacing w:val="-2"/>
          <w:sz w:val="21"/>
        </w:rPr>
        <w:t>购代理机构施加任何影响或对采购人的比较及授予合同的决定进行影响，都可能导致其投标文</w:t>
      </w:r>
      <w:r>
        <w:rPr>
          <w:spacing w:val="-2"/>
          <w:sz w:val="21"/>
        </w:rPr>
        <w:t>件被拒绝。</w:t>
      </w:r>
    </w:p>
    <w:p>
      <w:pPr>
        <w:spacing w:after="0" w:line="410" w:lineRule="auto"/>
        <w:jc w:val="both"/>
        <w:rPr>
          <w:sz w:val="21"/>
        </w:rPr>
        <w:sectPr>
          <w:headerReference w:type="default" r:id="rId57"/>
          <w:footerReference w:type="default" r:id="rId58"/>
          <w:pgSz w:w="11910" w:h="16840"/>
          <w:pgMar w:top="1340" w:right="1080" w:bottom="1000" w:left="880" w:header="822" w:footer="805"/>
          <w:pgNumType w:start="26"/>
          <w:cols w:space="708"/>
        </w:sectPr>
      </w:pPr>
    </w:p>
    <w:p>
      <w:pPr>
        <w:pStyle w:val="BodyText"/>
        <w:spacing w:before="12"/>
        <w:rPr>
          <w:sz w:val="11"/>
        </w:rPr>
      </w:pPr>
    </w:p>
    <w:p>
      <w:pPr>
        <w:pStyle w:val="ListParagraph"/>
        <w:numPr>
          <w:ilvl w:val="0"/>
          <w:numId w:val="63"/>
        </w:numPr>
        <w:tabs>
          <w:tab w:val="left" w:pos="1062"/>
        </w:tabs>
        <w:spacing w:before="70" w:after="0" w:line="410" w:lineRule="auto"/>
        <w:ind w:left="1062" w:right="273" w:hanging="848"/>
        <w:jc w:val="both"/>
        <w:rPr>
          <w:sz w:val="21"/>
        </w:rPr>
      </w:pPr>
      <w:r>
        <w:rPr>
          <w:spacing w:val="-2"/>
          <w:sz w:val="21"/>
        </w:rPr>
        <w:t>投标人不得串通作弊，以不正当的手段妨碍、排挤其他投标人，扰乱招标市场，破坏公平竞争</w:t>
      </w:r>
      <w:r>
        <w:rPr>
          <w:spacing w:val="-4"/>
          <w:sz w:val="21"/>
        </w:rPr>
        <w:t>原则。</w:t>
      </w:r>
    </w:p>
    <w:p>
      <w:pPr>
        <w:pStyle w:val="ListParagraph"/>
        <w:numPr>
          <w:ilvl w:val="0"/>
          <w:numId w:val="63"/>
        </w:numPr>
        <w:tabs>
          <w:tab w:val="left" w:pos="1062"/>
        </w:tabs>
        <w:spacing w:before="0" w:after="0" w:line="410" w:lineRule="auto"/>
        <w:ind w:left="1062" w:right="273" w:hanging="848"/>
        <w:jc w:val="both"/>
        <w:rPr>
          <w:sz w:val="21"/>
        </w:rPr>
      </w:pPr>
      <w:r>
        <w:rPr>
          <w:spacing w:val="-2"/>
          <w:sz w:val="21"/>
        </w:rPr>
        <w:t>获得本招标文件者，应对文件进行保密，不得用作本次投标以外的任何用途。若有要求，开标</w:t>
      </w:r>
      <w:r>
        <w:rPr>
          <w:spacing w:val="-2"/>
          <w:sz w:val="21"/>
        </w:rPr>
        <w:t>后，投标人应归还招标文件中的保密的文件和资料。</w:t>
      </w:r>
    </w:p>
    <w:p>
      <w:pPr>
        <w:pStyle w:val="ListParagraph"/>
        <w:numPr>
          <w:ilvl w:val="0"/>
          <w:numId w:val="63"/>
        </w:numPr>
        <w:tabs>
          <w:tab w:val="left" w:pos="1062"/>
        </w:tabs>
        <w:spacing w:before="0" w:after="0" w:line="410" w:lineRule="auto"/>
        <w:ind w:left="1062" w:right="274" w:hanging="848"/>
        <w:jc w:val="both"/>
        <w:rPr>
          <w:sz w:val="21"/>
        </w:rPr>
      </w:pPr>
      <w:r>
        <w:rPr>
          <w:spacing w:val="-2"/>
          <w:sz w:val="21"/>
        </w:rPr>
        <w:t>由采购人向投标人提供的图纸、详细资料、样品、模型、模件和所有其他资料，被视为保密资</w:t>
      </w:r>
      <w:r>
        <w:rPr>
          <w:spacing w:val="-2"/>
          <w:sz w:val="21"/>
        </w:rPr>
        <w:t>料，仅被用于它所规定的用途，除非得到采购人的同意，不能向任何第三方透露或将其用于本</w:t>
      </w:r>
      <w:r>
        <w:rPr>
          <w:spacing w:val="-2"/>
          <w:sz w:val="21"/>
        </w:rPr>
        <w:t>次投标以外的任何用途。开标完成后，应采购人要求，投标人应归还所有从采购人处获得的保</w:t>
      </w:r>
      <w:r>
        <w:rPr>
          <w:spacing w:val="-2"/>
          <w:sz w:val="21"/>
        </w:rPr>
        <w:t>密资料，并销毁所有需保密的备份文件和资料。</w:t>
      </w:r>
    </w:p>
    <w:p>
      <w:pPr>
        <w:pStyle w:val="ListParagraph"/>
        <w:numPr>
          <w:ilvl w:val="0"/>
          <w:numId w:val="63"/>
        </w:numPr>
        <w:tabs>
          <w:tab w:val="left" w:pos="1062"/>
        </w:tabs>
        <w:spacing w:before="0" w:after="0" w:line="410" w:lineRule="auto"/>
        <w:ind w:left="1062" w:right="274" w:hanging="848"/>
        <w:jc w:val="both"/>
        <w:rPr>
          <w:sz w:val="21"/>
        </w:rPr>
      </w:pPr>
      <w:r>
        <w:rPr>
          <w:spacing w:val="-2"/>
          <w:sz w:val="21"/>
        </w:rPr>
        <w:t>因投标需要，向投标人提供的公司介绍、项目背景、项目内容和开展计划等相关资料，被视为</w:t>
      </w:r>
      <w:r>
        <w:rPr>
          <w:spacing w:val="-2"/>
          <w:sz w:val="21"/>
        </w:rPr>
        <w:t>保密资料，仅被用于它所规定的用途，除非得到采购人的同意，不能向任何第三方透露，否则</w:t>
      </w:r>
      <w:r>
        <w:rPr>
          <w:spacing w:val="-2"/>
          <w:sz w:val="21"/>
        </w:rPr>
        <w:t>采购人将保留采取相应法律措施的权利。</w:t>
      </w:r>
    </w:p>
    <w:p>
      <w:pPr>
        <w:pStyle w:val="BodyText"/>
        <w:spacing w:before="4"/>
        <w:rPr>
          <w:sz w:val="27"/>
        </w:rPr>
      </w:pPr>
    </w:p>
    <w:p>
      <w:pPr>
        <w:pStyle w:val="Heading3"/>
        <w:numPr>
          <w:ilvl w:val="0"/>
          <w:numId w:val="67"/>
        </w:numPr>
        <w:tabs>
          <w:tab w:val="left" w:pos="1064"/>
          <w:tab w:val="left" w:pos="1066"/>
        </w:tabs>
        <w:spacing w:before="0" w:after="0" w:line="240" w:lineRule="auto"/>
        <w:ind w:left="1065" w:right="0" w:hanging="852"/>
        <w:jc w:val="left"/>
      </w:pPr>
      <w:r>
        <w:rPr>
          <w:spacing w:val="-5"/>
        </w:rPr>
        <w:t>保证</w:t>
      </w:r>
    </w:p>
    <w:p>
      <w:pPr>
        <w:pStyle w:val="BodyText"/>
        <w:spacing w:before="128" w:line="410" w:lineRule="auto"/>
        <w:ind w:left="1062" w:right="273" w:hanging="848"/>
        <w:jc w:val="both"/>
      </w:pPr>
      <w:r>
        <w:t>(1)</w:t>
      </w:r>
      <w:r>
        <w:rPr>
          <w:spacing w:val="392"/>
        </w:rPr>
        <w:t xml:space="preserve"> </w:t>
      </w:r>
      <w:r>
        <w:t>投标人必须保证所提交给采购代理机构、采购人的资料和数据是真实的，并承担相应的法律责</w:t>
      </w:r>
      <w:r>
        <w:rPr>
          <w:spacing w:val="-6"/>
        </w:rPr>
        <w:t>任。</w:t>
      </w:r>
    </w:p>
    <w:p>
      <w:pPr>
        <w:pStyle w:val="BodyText"/>
        <w:spacing w:before="4"/>
        <w:rPr>
          <w:sz w:val="27"/>
        </w:rPr>
      </w:pPr>
    </w:p>
    <w:p>
      <w:pPr>
        <w:pStyle w:val="Heading3"/>
        <w:numPr>
          <w:ilvl w:val="0"/>
          <w:numId w:val="67"/>
        </w:numPr>
        <w:tabs>
          <w:tab w:val="left" w:pos="1064"/>
          <w:tab w:val="left" w:pos="1066"/>
        </w:tabs>
        <w:spacing w:before="1" w:after="0" w:line="240" w:lineRule="auto"/>
        <w:ind w:left="1065" w:right="0" w:hanging="852"/>
        <w:jc w:val="left"/>
      </w:pPr>
      <w:r>
        <w:rPr>
          <w:spacing w:val="-2"/>
        </w:rPr>
        <w:t>投标人知悉</w:t>
      </w:r>
    </w:p>
    <w:p>
      <w:pPr>
        <w:pStyle w:val="BodyText"/>
        <w:tabs>
          <w:tab w:val="left" w:pos="1037"/>
        </w:tabs>
        <w:spacing w:before="127" w:line="410" w:lineRule="auto"/>
        <w:ind w:left="1038" w:right="556" w:hanging="824"/>
      </w:pPr>
      <w:r>
        <w:rPr>
          <w:spacing w:val="-4"/>
        </w:rPr>
        <w:t>(1)</w:t>
      </w:r>
      <w:r>
        <w:tab/>
        <w:t>凡参加本次招标的投标人被视为已充分认识和理解了任何与本项目有关的影响事项和困难、风险等情况。</w:t>
      </w:r>
    </w:p>
    <w:p>
      <w:pPr>
        <w:pStyle w:val="BodyText"/>
        <w:spacing w:before="5"/>
        <w:rPr>
          <w:sz w:val="27"/>
        </w:rPr>
      </w:pPr>
    </w:p>
    <w:p>
      <w:pPr>
        <w:pStyle w:val="Heading3"/>
        <w:numPr>
          <w:ilvl w:val="0"/>
          <w:numId w:val="67"/>
        </w:numPr>
        <w:tabs>
          <w:tab w:val="left" w:pos="1064"/>
          <w:tab w:val="left" w:pos="1066"/>
        </w:tabs>
        <w:spacing w:before="0" w:after="0" w:line="240" w:lineRule="auto"/>
        <w:ind w:left="1065" w:right="0" w:hanging="852"/>
        <w:jc w:val="left"/>
      </w:pPr>
      <w:r>
        <w:rPr>
          <w:spacing w:val="-3"/>
        </w:rPr>
        <w:t>投标费用</w:t>
      </w:r>
    </w:p>
    <w:p>
      <w:pPr>
        <w:pStyle w:val="BodyText"/>
        <w:tabs>
          <w:tab w:val="left" w:pos="1037"/>
        </w:tabs>
        <w:spacing w:before="128" w:line="410" w:lineRule="auto"/>
        <w:ind w:left="1038" w:right="296" w:hanging="824"/>
      </w:pPr>
      <w:r>
        <w:rPr>
          <w:spacing w:val="-4"/>
        </w:rPr>
        <w:t>(1)</w:t>
      </w:r>
      <w:r>
        <w:tab/>
      </w:r>
      <w:r>
        <w:rPr>
          <w:spacing w:val="-2"/>
        </w:rPr>
        <w:t>投标人应承担所有与编写和提交投标文件有关的费用，不论投标的结果如何，采购代理机构和</w:t>
      </w:r>
      <w:r>
        <w:rPr>
          <w:spacing w:val="-2"/>
        </w:rPr>
        <w:t>采购人在任何情况下均无义务和责任承担这些费用。</w:t>
      </w:r>
    </w:p>
    <w:p>
      <w:pPr>
        <w:pStyle w:val="BodyText"/>
        <w:spacing w:before="4"/>
        <w:rPr>
          <w:sz w:val="27"/>
        </w:rPr>
      </w:pPr>
    </w:p>
    <w:p>
      <w:pPr>
        <w:pStyle w:val="Heading3"/>
        <w:numPr>
          <w:ilvl w:val="0"/>
          <w:numId w:val="67"/>
        </w:numPr>
        <w:tabs>
          <w:tab w:val="left" w:pos="1064"/>
          <w:tab w:val="left" w:pos="1066"/>
        </w:tabs>
        <w:spacing w:before="1" w:after="0" w:line="240" w:lineRule="auto"/>
        <w:ind w:left="1065" w:right="0" w:hanging="852"/>
        <w:jc w:val="left"/>
      </w:pPr>
      <w:r>
        <w:rPr>
          <w:spacing w:val="-5"/>
        </w:rPr>
        <w:t>通知</w:t>
      </w:r>
    </w:p>
    <w:p>
      <w:pPr>
        <w:pStyle w:val="BodyText"/>
        <w:tabs>
          <w:tab w:val="left" w:pos="1037"/>
        </w:tabs>
        <w:spacing w:before="128" w:line="410" w:lineRule="auto"/>
        <w:ind w:left="1038" w:right="296" w:hanging="824"/>
      </w:pPr>
      <w:r>
        <w:rPr>
          <w:spacing w:val="-4"/>
        </w:rPr>
        <w:t>(1)</w:t>
      </w:r>
      <w:r>
        <w:tab/>
      </w:r>
      <w:r>
        <w:rPr>
          <w:spacing w:val="-2"/>
        </w:rPr>
        <w:t>对与本项目有关的通知，采购代理机构将以书面（包括书面材料、信函、传真等，下同）或在</w:t>
      </w:r>
      <w:r>
        <w:t>本 次招标公告刊登的媒体上以发布公告的形式，送达所有与通知有关的已领取了招标文件的</w:t>
      </w:r>
      <w:r>
        <w:rPr>
          <w:spacing w:val="-2"/>
        </w:rPr>
        <w:t>投标人，传真号码以投标人的登记为准。投标人应于收到通知的当日以书面方式予以回复确</w:t>
      </w:r>
      <w:r>
        <w:rPr>
          <w:spacing w:val="40"/>
        </w:rPr>
        <w:t xml:space="preserve"> </w:t>
      </w:r>
      <w:r>
        <w:rPr>
          <w:spacing w:val="-2"/>
        </w:rPr>
        <w:t>认。因投标人登记有误或传真线路故障导致通知延迟送达或无法送达，采购代理机构不承担责</w:t>
      </w:r>
      <w:r>
        <w:rPr>
          <w:spacing w:val="-6"/>
        </w:rPr>
        <w:t>任。</w:t>
      </w:r>
    </w:p>
    <w:p>
      <w:pPr>
        <w:spacing w:after="0" w:line="410" w:lineRule="auto"/>
        <w:sectPr>
          <w:headerReference w:type="default" r:id="rId59"/>
          <w:footerReference w:type="default" r:id="rId60"/>
          <w:pgSz w:w="11910" w:h="16840"/>
          <w:pgMar w:top="1340" w:right="1080" w:bottom="1000" w:left="880" w:header="822" w:footer="805"/>
          <w:pgNumType w:start="27"/>
          <w:cols w:space="708"/>
        </w:sectPr>
      </w:pPr>
    </w:p>
    <w:p>
      <w:pPr>
        <w:pStyle w:val="Heading2"/>
        <w:spacing w:line="492" w:lineRule="exact"/>
        <w:ind w:right="9"/>
      </w:pPr>
      <w:bookmarkStart w:id="4" w:name="_TOC_250029"/>
      <w:r>
        <w:t>（二）</w:t>
      </w:r>
      <w:bookmarkEnd w:id="4"/>
      <w:r>
        <w:rPr>
          <w:spacing w:val="-3"/>
        </w:rPr>
        <w:t>招标文件</w:t>
      </w:r>
    </w:p>
    <w:p>
      <w:pPr>
        <w:pStyle w:val="BodyText"/>
        <w:rPr>
          <w:rFonts w:ascii="Microsoft JhengHei"/>
          <w:b/>
          <w:sz w:val="20"/>
        </w:rPr>
      </w:pPr>
    </w:p>
    <w:p>
      <w:pPr>
        <w:pStyle w:val="BodyText"/>
        <w:spacing w:before="14"/>
        <w:rPr>
          <w:rFonts w:ascii="Microsoft JhengHei"/>
          <w:b/>
          <w:sz w:val="14"/>
        </w:rPr>
      </w:pPr>
    </w:p>
    <w:p>
      <w:pPr>
        <w:pStyle w:val="Heading3"/>
        <w:numPr>
          <w:ilvl w:val="0"/>
          <w:numId w:val="96"/>
        </w:numPr>
        <w:tabs>
          <w:tab w:val="left" w:pos="1064"/>
          <w:tab w:val="left" w:pos="1066"/>
        </w:tabs>
        <w:spacing w:before="0" w:after="0" w:line="429" w:lineRule="exact"/>
        <w:ind w:left="1065" w:right="0" w:hanging="852"/>
        <w:jc w:val="left"/>
      </w:pPr>
      <w:r>
        <w:rPr>
          <w:spacing w:val="-2"/>
        </w:rPr>
        <w:t>招标文件构成</w:t>
      </w:r>
    </w:p>
    <w:p>
      <w:pPr>
        <w:pStyle w:val="BodyText"/>
        <w:tabs>
          <w:tab w:val="left" w:pos="1064"/>
          <w:tab w:val="left" w:pos="2628"/>
        </w:tabs>
        <w:spacing w:before="128" w:line="410" w:lineRule="auto"/>
        <w:ind w:left="1474" w:right="900" w:hanging="1260"/>
      </w:pPr>
      <w:r>
        <w:rPr>
          <w:spacing w:val="-4"/>
        </w:rPr>
        <w:t>(1)</w:t>
      </w:r>
      <w:r>
        <w:tab/>
      </w:r>
      <w:r>
        <w:rPr>
          <w:spacing w:val="-2"/>
        </w:rPr>
        <w:t>要</w:t>
      </w:r>
      <w:r>
        <w:rPr>
          <w:spacing w:val="-2"/>
        </w:rPr>
        <w:t>求</w:t>
      </w:r>
      <w:r>
        <w:rPr>
          <w:spacing w:val="-2"/>
        </w:rPr>
        <w:t>提</w:t>
      </w:r>
      <w:r>
        <w:rPr>
          <w:spacing w:val="-2"/>
        </w:rPr>
        <w:t>供</w:t>
      </w:r>
      <w:r>
        <w:rPr>
          <w:spacing w:val="-2"/>
        </w:rPr>
        <w:t>的</w:t>
      </w:r>
      <w:r>
        <w:rPr>
          <w:spacing w:val="-2"/>
        </w:rPr>
        <w:t>货</w:t>
      </w:r>
      <w:r>
        <w:rPr>
          <w:spacing w:val="-2"/>
        </w:rPr>
        <w:t>物</w:t>
      </w:r>
      <w:r>
        <w:rPr>
          <w:spacing w:val="-2"/>
        </w:rPr>
        <w:t>、</w:t>
      </w:r>
      <w:r>
        <w:rPr>
          <w:spacing w:val="-2"/>
        </w:rPr>
        <w:t>服</w:t>
      </w:r>
      <w:r>
        <w:rPr>
          <w:spacing w:val="-2"/>
        </w:rPr>
        <w:t>务</w:t>
      </w:r>
      <w:r>
        <w:rPr>
          <w:spacing w:val="-2"/>
        </w:rPr>
        <w:t>、</w:t>
      </w:r>
      <w:r>
        <w:rPr>
          <w:spacing w:val="-2"/>
        </w:rPr>
        <w:t>招</w:t>
      </w:r>
      <w:r>
        <w:rPr>
          <w:spacing w:val="-2"/>
        </w:rPr>
        <w:t>标</w:t>
      </w:r>
      <w:r>
        <w:rPr>
          <w:spacing w:val="-2"/>
        </w:rPr>
        <w:t>过</w:t>
      </w:r>
      <w:r>
        <w:rPr>
          <w:spacing w:val="-2"/>
        </w:rPr>
        <w:t>程</w:t>
      </w:r>
      <w:r>
        <w:rPr>
          <w:spacing w:val="-2"/>
        </w:rPr>
        <w:t>和</w:t>
      </w:r>
      <w:r>
        <w:rPr>
          <w:spacing w:val="-2"/>
        </w:rPr>
        <w:t>合</w:t>
      </w:r>
      <w:r>
        <w:rPr>
          <w:spacing w:val="-2"/>
        </w:rPr>
        <w:t>同</w:t>
      </w:r>
      <w:r>
        <w:rPr>
          <w:spacing w:val="-2"/>
        </w:rPr>
        <w:t>条</w:t>
      </w:r>
      <w:r>
        <w:rPr>
          <w:spacing w:val="-2"/>
        </w:rPr>
        <w:t>件</w:t>
      </w:r>
      <w:r>
        <w:rPr>
          <w:spacing w:val="-2"/>
        </w:rPr>
        <w:t>在</w:t>
      </w:r>
      <w:r>
        <w:rPr>
          <w:spacing w:val="-2"/>
        </w:rPr>
        <w:t>招</w:t>
      </w:r>
      <w:r>
        <w:rPr>
          <w:spacing w:val="-2"/>
        </w:rPr>
        <w:t>标</w:t>
      </w:r>
      <w:r>
        <w:rPr>
          <w:spacing w:val="-2"/>
        </w:rPr>
        <w:t>文</w:t>
      </w:r>
      <w:r>
        <w:rPr>
          <w:spacing w:val="-2"/>
        </w:rPr>
        <w:t>件</w:t>
      </w:r>
      <w:r>
        <w:rPr>
          <w:spacing w:val="-2"/>
        </w:rPr>
        <w:t>中</w:t>
      </w:r>
      <w:r>
        <w:rPr>
          <w:spacing w:val="-2"/>
        </w:rPr>
        <w:t>均</w:t>
      </w:r>
      <w:r>
        <w:rPr>
          <w:spacing w:val="-2"/>
        </w:rPr>
        <w:t>有</w:t>
      </w:r>
      <w:r>
        <w:rPr>
          <w:spacing w:val="-2"/>
        </w:rPr>
        <w:t>说</w:t>
      </w:r>
      <w:r>
        <w:rPr>
          <w:spacing w:val="-2"/>
        </w:rPr>
        <w:t>明</w:t>
      </w:r>
      <w:r>
        <w:rPr>
          <w:spacing w:val="-2"/>
        </w:rPr>
        <w:t>。</w:t>
      </w:r>
      <w:r>
        <w:rPr>
          <w:spacing w:val="-2"/>
        </w:rPr>
        <w:t>招</w:t>
      </w:r>
      <w:r>
        <w:rPr>
          <w:spacing w:val="-2"/>
        </w:rPr>
        <w:t>标</w:t>
      </w:r>
      <w:r>
        <w:rPr>
          <w:spacing w:val="-2"/>
        </w:rPr>
        <w:t>文</w:t>
      </w:r>
      <w:r>
        <w:rPr>
          <w:spacing w:val="-2"/>
        </w:rPr>
        <w:t>件</w:t>
      </w:r>
      <w:r>
        <w:rPr>
          <w:spacing w:val="-2"/>
        </w:rPr>
        <w:t>包</w:t>
      </w:r>
      <w:r>
        <w:rPr>
          <w:spacing w:val="-2"/>
        </w:rPr>
        <w:t>括</w:t>
      </w:r>
      <w:r>
        <w:rPr>
          <w:spacing w:val="-2"/>
        </w:rPr>
        <w:t>：</w:t>
      </w:r>
      <w:r>
        <w:rPr>
          <w:spacing w:val="-4"/>
        </w:rPr>
        <w:t>第</w:t>
      </w:r>
      <w:r>
        <w:rPr>
          <w:spacing w:val="-4"/>
        </w:rPr>
        <w:t>一</w:t>
      </w:r>
      <w:r>
        <w:rPr>
          <w:spacing w:val="-4"/>
        </w:rPr>
        <w:t>部</w:t>
      </w:r>
      <w:r>
        <w:rPr>
          <w:spacing w:val="-4"/>
        </w:rPr>
        <w:t>分</w:t>
      </w:r>
      <w:r>
        <w:tab/>
      </w:r>
      <w:r>
        <w:rPr>
          <w:spacing w:val="-4"/>
        </w:rPr>
        <w:t>投</w:t>
      </w:r>
      <w:r>
        <w:rPr>
          <w:spacing w:val="-4"/>
        </w:rPr>
        <w:t>标</w:t>
      </w:r>
      <w:r>
        <w:rPr>
          <w:spacing w:val="-4"/>
        </w:rPr>
        <w:t>邀</w:t>
      </w:r>
      <w:r>
        <w:rPr>
          <w:spacing w:val="-4"/>
        </w:rPr>
        <w:t>请</w:t>
      </w:r>
      <w:r>
        <w:rPr>
          <w:spacing w:val="-4"/>
        </w:rPr>
        <w:t>函</w:t>
      </w:r>
    </w:p>
    <w:p>
      <w:pPr>
        <w:pStyle w:val="BodyText"/>
        <w:tabs>
          <w:tab w:val="left" w:pos="2628"/>
        </w:tabs>
        <w:spacing w:line="410" w:lineRule="auto"/>
        <w:ind w:left="1474" w:right="6057"/>
      </w:pPr>
      <w:r>
        <w:rPr>
          <w:spacing w:val="-4"/>
        </w:rPr>
        <w:t>第</w:t>
      </w:r>
      <w:r>
        <w:rPr>
          <w:spacing w:val="-4"/>
        </w:rPr>
        <w:t>二</w:t>
      </w:r>
      <w:r>
        <w:rPr>
          <w:spacing w:val="-4"/>
        </w:rPr>
        <w:t>部</w:t>
      </w:r>
      <w:r>
        <w:rPr>
          <w:spacing w:val="-4"/>
        </w:rPr>
        <w:t>分</w:t>
      </w:r>
      <w:r>
        <w:tab/>
      </w:r>
      <w:r>
        <w:rPr>
          <w:spacing w:val="-4"/>
        </w:rPr>
        <w:t>用</w:t>
      </w:r>
      <w:r>
        <w:rPr>
          <w:spacing w:val="-4"/>
        </w:rPr>
        <w:t>户</w:t>
      </w:r>
      <w:r>
        <w:rPr>
          <w:spacing w:val="-4"/>
        </w:rPr>
        <w:t>需</w:t>
      </w:r>
      <w:r>
        <w:rPr>
          <w:spacing w:val="-4"/>
        </w:rPr>
        <w:t>求</w:t>
      </w:r>
      <w:r>
        <w:rPr>
          <w:spacing w:val="-4"/>
        </w:rPr>
        <w:t>书</w:t>
      </w:r>
      <w:r>
        <w:rPr>
          <w:spacing w:val="-4"/>
        </w:rPr>
        <w:t xml:space="preserve"> </w:t>
      </w:r>
      <w:r>
        <w:rPr>
          <w:spacing w:val="-4"/>
        </w:rPr>
        <w:t>第</w:t>
      </w:r>
      <w:r>
        <w:rPr>
          <w:spacing w:val="-4"/>
        </w:rPr>
        <w:t>三</w:t>
      </w:r>
      <w:r>
        <w:rPr>
          <w:spacing w:val="-4"/>
        </w:rPr>
        <w:t>部</w:t>
      </w:r>
      <w:r>
        <w:rPr>
          <w:spacing w:val="-4"/>
        </w:rPr>
        <w:t>分</w:t>
      </w:r>
      <w:r>
        <w:tab/>
      </w:r>
      <w:r>
        <w:rPr>
          <w:spacing w:val="-4"/>
        </w:rPr>
        <w:t>投</w:t>
      </w:r>
      <w:r>
        <w:rPr>
          <w:spacing w:val="-4"/>
        </w:rPr>
        <w:t>标</w:t>
      </w:r>
      <w:r>
        <w:rPr>
          <w:spacing w:val="-4"/>
        </w:rPr>
        <w:t>人</w:t>
      </w:r>
      <w:r>
        <w:rPr>
          <w:spacing w:val="-4"/>
        </w:rPr>
        <w:t>须</w:t>
      </w:r>
      <w:r>
        <w:rPr>
          <w:spacing w:val="-4"/>
        </w:rPr>
        <w:t>知</w:t>
      </w:r>
      <w:r>
        <w:rPr>
          <w:spacing w:val="-4"/>
        </w:rPr>
        <w:t xml:space="preserve"> </w:t>
      </w:r>
      <w:r>
        <w:rPr>
          <w:spacing w:val="-4"/>
        </w:rPr>
        <w:t>第</w:t>
      </w:r>
      <w:r>
        <w:rPr>
          <w:spacing w:val="-4"/>
        </w:rPr>
        <w:t>四</w:t>
      </w:r>
      <w:r>
        <w:rPr>
          <w:spacing w:val="-4"/>
        </w:rPr>
        <w:t>部</w:t>
      </w:r>
      <w:r>
        <w:rPr>
          <w:spacing w:val="-4"/>
        </w:rPr>
        <w:t>分</w:t>
      </w:r>
      <w:r>
        <w:tab/>
      </w:r>
      <w:r>
        <w:rPr>
          <w:spacing w:val="-4"/>
        </w:rPr>
        <w:t>合</w:t>
      </w:r>
      <w:r>
        <w:rPr>
          <w:spacing w:val="-4"/>
        </w:rPr>
        <w:t>同</w:t>
      </w:r>
      <w:r>
        <w:rPr>
          <w:spacing w:val="-4"/>
        </w:rPr>
        <w:t>书</w:t>
      </w:r>
      <w:r>
        <w:rPr>
          <w:spacing w:val="-4"/>
        </w:rPr>
        <w:t>格</w:t>
      </w:r>
      <w:r>
        <w:rPr>
          <w:spacing w:val="-4"/>
        </w:rPr>
        <w:t>式</w:t>
      </w:r>
      <w:r>
        <w:rPr>
          <w:spacing w:val="-4"/>
        </w:rPr>
        <w:t xml:space="preserve"> </w:t>
      </w:r>
      <w:r>
        <w:rPr>
          <w:spacing w:val="-4"/>
        </w:rPr>
        <w:t>第</w:t>
      </w:r>
      <w:r>
        <w:rPr>
          <w:spacing w:val="-4"/>
        </w:rPr>
        <w:t>五</w:t>
      </w:r>
      <w:r>
        <w:rPr>
          <w:spacing w:val="-4"/>
        </w:rPr>
        <w:t>部</w:t>
      </w:r>
      <w:r>
        <w:rPr>
          <w:spacing w:val="-4"/>
        </w:rPr>
        <w:t>分</w:t>
      </w:r>
      <w:r>
        <w:tab/>
      </w:r>
      <w:r>
        <w:rPr>
          <w:spacing w:val="-2"/>
        </w:rPr>
        <w:t>投</w:t>
      </w:r>
      <w:r>
        <w:rPr>
          <w:spacing w:val="-2"/>
        </w:rPr>
        <w:t>标</w:t>
      </w:r>
      <w:r>
        <w:rPr>
          <w:spacing w:val="-2"/>
        </w:rPr>
        <w:t>文</w:t>
      </w:r>
      <w:r>
        <w:rPr>
          <w:spacing w:val="-2"/>
        </w:rPr>
        <w:t>件</w:t>
      </w:r>
      <w:r>
        <w:rPr>
          <w:spacing w:val="-2"/>
        </w:rPr>
        <w:t>格</w:t>
      </w:r>
      <w:r>
        <w:rPr>
          <w:spacing w:val="-2"/>
        </w:rPr>
        <w:t>式</w:t>
      </w:r>
    </w:p>
    <w:p>
      <w:pPr>
        <w:pStyle w:val="BodyText"/>
        <w:spacing w:before="4"/>
        <w:rPr>
          <w:sz w:val="27"/>
        </w:rPr>
      </w:pPr>
    </w:p>
    <w:p>
      <w:pPr>
        <w:pStyle w:val="Heading3"/>
        <w:numPr>
          <w:ilvl w:val="0"/>
          <w:numId w:val="96"/>
        </w:numPr>
        <w:tabs>
          <w:tab w:val="left" w:pos="1064"/>
          <w:tab w:val="left" w:pos="1066"/>
        </w:tabs>
        <w:spacing w:before="0" w:after="0" w:line="240" w:lineRule="auto"/>
        <w:ind w:left="1065" w:right="0" w:hanging="852"/>
        <w:jc w:val="left"/>
      </w:pPr>
      <w:r>
        <w:rPr>
          <w:spacing w:val="-1"/>
        </w:rPr>
        <w:t>招标文件的澄清和修改</w:t>
      </w:r>
    </w:p>
    <w:p>
      <w:pPr>
        <w:pStyle w:val="ListParagraph"/>
        <w:numPr>
          <w:ilvl w:val="0"/>
          <w:numId w:val="62"/>
        </w:numPr>
        <w:tabs>
          <w:tab w:val="left" w:pos="1065"/>
        </w:tabs>
        <w:spacing w:before="128" w:after="0" w:line="410" w:lineRule="auto"/>
        <w:ind w:left="1065" w:right="221" w:hanging="851"/>
        <w:jc w:val="both"/>
        <w:rPr>
          <w:sz w:val="21"/>
        </w:rPr>
      </w:pPr>
      <w:r>
        <w:rPr>
          <w:sz w:val="21"/>
        </w:rPr>
        <w:t>在投标截止时间 15 日以前的任何时候，无论出于何种原因，采购代理机构可主动地或在解答</w:t>
      </w:r>
      <w:r>
        <w:rPr>
          <w:spacing w:val="-2"/>
          <w:sz w:val="21"/>
        </w:rPr>
        <w:t>投标人提出的需澄清问题时向预期投标人发修改文件对招标文件进行补充和修改。采购代理机构将在相关媒体发布该补充修改文件，并书面通知已购买招标文件的所有预期投标人，以上公告或通知方式视为有效送达。预期的投标人在收到该补充和修改文件后应立即以传真的形式回</w:t>
      </w:r>
      <w:r>
        <w:rPr>
          <w:sz w:val="21"/>
        </w:rPr>
        <w:t>传采购代理机构予以确认。预期投标人如在 24 小时内无书面回函则被视为同意补充和修改文</w:t>
      </w:r>
      <w:r>
        <w:rPr>
          <w:spacing w:val="-2"/>
          <w:sz w:val="21"/>
        </w:rPr>
        <w:t>件内容。该补充和修改的内容将作为招标文件的有效组成部分。</w:t>
      </w:r>
    </w:p>
    <w:p>
      <w:pPr>
        <w:pStyle w:val="ListParagraph"/>
        <w:numPr>
          <w:ilvl w:val="0"/>
          <w:numId w:val="62"/>
        </w:numPr>
        <w:tabs>
          <w:tab w:val="left" w:pos="1065"/>
        </w:tabs>
        <w:spacing w:before="0" w:after="0" w:line="410" w:lineRule="auto"/>
        <w:ind w:left="1065" w:right="221" w:hanging="851"/>
        <w:jc w:val="both"/>
        <w:rPr>
          <w:sz w:val="21"/>
        </w:rPr>
      </w:pPr>
      <w:r>
        <w:rPr>
          <w:spacing w:val="-2"/>
          <w:sz w:val="21"/>
        </w:rPr>
        <w:t>预期投标人如认为本招标文件使自己的权益受到损害的，可以在知道或者应知其权益受到损害之日起七个工作日内，以书面形式提出质疑。采购代理机构应当在收到书面质疑后七个工作日</w:t>
      </w:r>
      <w:r>
        <w:rPr>
          <w:spacing w:val="-2"/>
          <w:sz w:val="21"/>
        </w:rPr>
        <w:t>内作出答复，并以书面形式通知质疑供应商和其他有关供应商。</w:t>
      </w:r>
    </w:p>
    <w:p>
      <w:pPr>
        <w:pStyle w:val="ListParagraph"/>
        <w:numPr>
          <w:ilvl w:val="0"/>
          <w:numId w:val="62"/>
        </w:numPr>
        <w:tabs>
          <w:tab w:val="left" w:pos="1065"/>
        </w:tabs>
        <w:spacing w:before="0" w:after="0" w:line="410" w:lineRule="auto"/>
        <w:ind w:left="1065" w:right="221" w:hanging="851"/>
        <w:jc w:val="both"/>
        <w:rPr>
          <w:sz w:val="21"/>
        </w:rPr>
      </w:pPr>
      <w:r>
        <w:rPr>
          <w:sz w:val="21"/>
        </w:rPr>
        <w:t>预期的投标人如果要求对招标文件作进一步澄清，可以按招标文件所给出的采购代理机构通信</w:t>
      </w:r>
      <w:r>
        <w:rPr>
          <w:spacing w:val="6"/>
          <w:sz w:val="21"/>
        </w:rPr>
        <w:t>地址以书面或电报方式（以下电报一词均视为电子数据交换，电传或传真）</w:t>
      </w:r>
      <w:r>
        <w:rPr>
          <w:spacing w:val="5"/>
          <w:sz w:val="21"/>
        </w:rPr>
        <w:t>通知采购代理机</w:t>
      </w:r>
      <w:r>
        <w:rPr>
          <w:spacing w:val="-1"/>
          <w:sz w:val="21"/>
        </w:rPr>
        <w:t xml:space="preserve">构。采购代理机构对在投标截止日前 </w:t>
      </w:r>
      <w:r>
        <w:rPr>
          <w:sz w:val="21"/>
        </w:rPr>
        <w:t>15</w:t>
      </w:r>
      <w:r>
        <w:rPr>
          <w:spacing w:val="-4"/>
          <w:sz w:val="21"/>
        </w:rPr>
        <w:t xml:space="preserve"> 日收到的投标人上述要求进行书面答复</w:t>
      </w:r>
      <w:r>
        <w:rPr>
          <w:spacing w:val="4"/>
          <w:sz w:val="21"/>
        </w:rPr>
        <w:t>（</w:t>
      </w:r>
      <w:r>
        <w:rPr>
          <w:spacing w:val="-1"/>
          <w:sz w:val="21"/>
        </w:rPr>
        <w:t>包括对询问</w:t>
      </w:r>
      <w:r>
        <w:rPr>
          <w:spacing w:val="1"/>
          <w:sz w:val="21"/>
        </w:rPr>
        <w:t>的解释，但不注明来源），并以书面形式通知预期的投标人（</w:t>
      </w:r>
      <w:r>
        <w:rPr>
          <w:sz w:val="21"/>
        </w:rPr>
        <w:t>澄清文件会同时在招标公司网站</w:t>
      </w:r>
      <w:r>
        <w:rPr>
          <w:spacing w:val="1"/>
          <w:sz w:val="21"/>
        </w:rPr>
        <w:t>上公布，请密切留意）</w:t>
      </w:r>
      <w:r>
        <w:rPr>
          <w:sz w:val="21"/>
        </w:rPr>
        <w:t>。预期的投标人在收到该澄清文件后应立即以传真的形式回传采购代理</w:t>
      </w:r>
      <w:r>
        <w:rPr>
          <w:spacing w:val="-4"/>
          <w:sz w:val="21"/>
        </w:rPr>
        <w:t xml:space="preserve">机构予以确认。如在 </w:t>
      </w:r>
      <w:r>
        <w:rPr>
          <w:sz w:val="21"/>
        </w:rPr>
        <w:t>24</w:t>
      </w:r>
      <w:r>
        <w:rPr>
          <w:spacing w:val="-5"/>
          <w:sz w:val="21"/>
        </w:rPr>
        <w:t xml:space="preserve"> 小时内无书面回函则被视为同意澄清文件内容，并有责任履行相应的</w:t>
      </w:r>
      <w:r>
        <w:rPr>
          <w:sz w:val="21"/>
        </w:rPr>
        <w:t>义务。该澄清文件将作为招标文件的有效组成部分。</w:t>
      </w:r>
    </w:p>
    <w:p>
      <w:pPr>
        <w:pStyle w:val="ListParagraph"/>
        <w:numPr>
          <w:ilvl w:val="0"/>
          <w:numId w:val="62"/>
        </w:numPr>
        <w:tabs>
          <w:tab w:val="left" w:pos="1065"/>
        </w:tabs>
        <w:spacing w:before="0" w:after="0" w:line="410" w:lineRule="auto"/>
        <w:ind w:left="1065" w:right="221" w:hanging="851"/>
        <w:jc w:val="both"/>
        <w:rPr>
          <w:sz w:val="21"/>
        </w:rPr>
      </w:pPr>
      <w:r>
        <w:rPr>
          <w:spacing w:val="-2"/>
          <w:sz w:val="21"/>
        </w:rPr>
        <w:t>考虑到补充、修改、澄清通知的影响，采购代理机构可酌情推迟投标截止日期和开标时间，并</w:t>
      </w:r>
      <w:r>
        <w:rPr>
          <w:spacing w:val="-2"/>
          <w:sz w:val="21"/>
        </w:rPr>
        <w:t>以书面形式通知已购买招标文件的每一投标人。</w:t>
      </w:r>
    </w:p>
    <w:p>
      <w:pPr>
        <w:spacing w:after="0" w:line="410" w:lineRule="auto"/>
        <w:jc w:val="both"/>
        <w:rPr>
          <w:sz w:val="21"/>
        </w:rPr>
        <w:sectPr>
          <w:headerReference w:type="default" r:id="rId61"/>
          <w:footerReference w:type="default" r:id="rId62"/>
          <w:pgSz w:w="11910" w:h="16840"/>
          <w:pgMar w:top="1340" w:right="1080" w:bottom="1000" w:left="880" w:header="822" w:footer="805"/>
          <w:pgNumType w:start="28"/>
          <w:cols w:space="708"/>
        </w:sectPr>
      </w:pPr>
    </w:p>
    <w:p>
      <w:pPr>
        <w:pStyle w:val="BodyText"/>
        <w:spacing w:before="12"/>
        <w:rPr>
          <w:sz w:val="11"/>
        </w:rPr>
      </w:pPr>
    </w:p>
    <w:p>
      <w:pPr>
        <w:pStyle w:val="ListParagraph"/>
        <w:numPr>
          <w:ilvl w:val="0"/>
          <w:numId w:val="62"/>
        </w:numPr>
        <w:tabs>
          <w:tab w:val="left" w:pos="1065"/>
        </w:tabs>
        <w:spacing w:before="70" w:after="0" w:line="410" w:lineRule="auto"/>
        <w:ind w:left="1065" w:right="221" w:hanging="851"/>
        <w:jc w:val="both"/>
        <w:rPr>
          <w:sz w:val="21"/>
        </w:rPr>
      </w:pPr>
      <w:r>
        <w:rPr>
          <w:sz w:val="21"/>
        </w:rPr>
        <w:t>招标文件的补充、修改、澄清公告发布之日距离开标时间不足 15 天时，如所有已购买招标文</w:t>
      </w:r>
      <w:r>
        <w:rPr>
          <w:spacing w:val="-2"/>
          <w:sz w:val="21"/>
        </w:rPr>
        <w:t>件的投标人均书面同意不改变投标截止时间，则采购代理机构可以不改变投标截止时间和开标</w:t>
      </w:r>
      <w:r>
        <w:rPr>
          <w:spacing w:val="-4"/>
          <w:sz w:val="21"/>
        </w:rPr>
        <w:t>时间。</w:t>
      </w:r>
    </w:p>
    <w:p>
      <w:pPr>
        <w:pStyle w:val="BodyText"/>
        <w:spacing w:before="5"/>
        <w:rPr>
          <w:sz w:val="27"/>
        </w:rPr>
      </w:pPr>
    </w:p>
    <w:p>
      <w:pPr>
        <w:pStyle w:val="Heading3"/>
        <w:numPr>
          <w:ilvl w:val="0"/>
          <w:numId w:val="67"/>
        </w:numPr>
        <w:tabs>
          <w:tab w:val="left" w:pos="1066"/>
        </w:tabs>
        <w:spacing w:before="0" w:after="0" w:line="240" w:lineRule="auto"/>
        <w:ind w:left="1065" w:right="0" w:hanging="852"/>
        <w:jc w:val="both"/>
      </w:pPr>
      <w:r>
        <w:rPr>
          <w:spacing w:val="-3"/>
        </w:rPr>
        <w:t>现场勘察</w:t>
      </w:r>
    </w:p>
    <w:p>
      <w:pPr>
        <w:pStyle w:val="ListParagraph"/>
        <w:numPr>
          <w:ilvl w:val="0"/>
          <w:numId w:val="61"/>
        </w:numPr>
        <w:tabs>
          <w:tab w:val="left" w:pos="1062"/>
        </w:tabs>
        <w:spacing w:before="128" w:after="0" w:line="410" w:lineRule="auto"/>
        <w:ind w:left="1065" w:right="273" w:hanging="851"/>
        <w:jc w:val="both"/>
        <w:rPr>
          <w:sz w:val="21"/>
        </w:rPr>
      </w:pPr>
      <w:r>
        <w:rPr>
          <w:spacing w:val="-2"/>
          <w:sz w:val="21"/>
        </w:rPr>
        <w:t>潜在投标人可自行对项目现场及周围环境进行勘察，以便潜在投标人获取有关编制投标文件和</w:t>
      </w:r>
      <w:r>
        <w:rPr>
          <w:spacing w:val="-2"/>
          <w:sz w:val="21"/>
        </w:rPr>
        <w:t>签署合同所需的资料，现场勘察所发生的费用由投标人自己承担。</w:t>
      </w:r>
    </w:p>
    <w:p>
      <w:pPr>
        <w:pStyle w:val="ListParagraph"/>
        <w:numPr>
          <w:ilvl w:val="0"/>
          <w:numId w:val="61"/>
        </w:numPr>
        <w:tabs>
          <w:tab w:val="left" w:pos="1062"/>
        </w:tabs>
        <w:spacing w:before="0" w:after="0" w:line="410" w:lineRule="auto"/>
        <w:ind w:left="1065" w:right="271" w:hanging="851"/>
        <w:jc w:val="both"/>
        <w:rPr>
          <w:sz w:val="21"/>
        </w:rPr>
      </w:pPr>
      <w:r>
        <w:rPr>
          <w:spacing w:val="-2"/>
          <w:sz w:val="21"/>
        </w:rPr>
        <w:t>任何人或任何组织在现场勘察时向投标人提交的任何书面或口头上的资料，未经采购代理机构</w:t>
      </w:r>
      <w:r>
        <w:rPr>
          <w:spacing w:val="-2"/>
          <w:sz w:val="21"/>
        </w:rPr>
        <w:t>在网上发布或书面通知，均作无效处理。采购代理机构对投标人由此而做出的推论、理解和结</w:t>
      </w:r>
      <w:r>
        <w:rPr>
          <w:spacing w:val="-2"/>
          <w:sz w:val="21"/>
        </w:rPr>
        <w:t>论概不负责。</w:t>
      </w:r>
    </w:p>
    <w:p>
      <w:pPr>
        <w:pStyle w:val="ListParagraph"/>
        <w:numPr>
          <w:ilvl w:val="0"/>
          <w:numId w:val="61"/>
        </w:numPr>
        <w:tabs>
          <w:tab w:val="left" w:pos="1062"/>
        </w:tabs>
        <w:spacing w:before="0" w:after="0" w:line="410" w:lineRule="auto"/>
        <w:ind w:left="1065" w:right="273" w:hanging="851"/>
        <w:jc w:val="both"/>
        <w:rPr>
          <w:sz w:val="21"/>
        </w:rPr>
      </w:pPr>
      <w:r>
        <w:rPr>
          <w:spacing w:val="-2"/>
          <w:sz w:val="21"/>
        </w:rPr>
        <w:t>采购人必须通过采购代理机构向投标人提供有关现场的资料和数据，该资料是采购人现有的，</w:t>
      </w:r>
      <w:r>
        <w:rPr>
          <w:spacing w:val="-2"/>
          <w:sz w:val="21"/>
        </w:rPr>
        <w:t>能使投标人利用的资料。采购代理机构对投标人由此而做出的推论、理解和结论概不负责。</w:t>
      </w:r>
    </w:p>
    <w:p>
      <w:pPr>
        <w:pStyle w:val="ListParagraph"/>
        <w:numPr>
          <w:ilvl w:val="0"/>
          <w:numId w:val="61"/>
        </w:numPr>
        <w:tabs>
          <w:tab w:val="left" w:pos="1062"/>
        </w:tabs>
        <w:spacing w:before="0" w:after="0" w:line="410" w:lineRule="auto"/>
        <w:ind w:left="1065" w:right="273" w:hanging="851"/>
        <w:jc w:val="both"/>
        <w:rPr>
          <w:sz w:val="21"/>
        </w:rPr>
      </w:pPr>
      <w:r>
        <w:rPr>
          <w:spacing w:val="-2"/>
          <w:sz w:val="21"/>
        </w:rPr>
        <w:t>投标人并应对由此次现场勘察而造成的死亡、人身伤害、财产损失、损害以及任何其它损失、</w:t>
      </w:r>
      <w:r>
        <w:rPr>
          <w:spacing w:val="-2"/>
          <w:sz w:val="21"/>
        </w:rPr>
        <w:t>损害和引起的费用和开支承担责任。</w:t>
      </w:r>
    </w:p>
    <w:p>
      <w:pPr>
        <w:pStyle w:val="ListParagraph"/>
        <w:numPr>
          <w:ilvl w:val="0"/>
          <w:numId w:val="61"/>
        </w:numPr>
        <w:tabs>
          <w:tab w:val="left" w:pos="1062"/>
        </w:tabs>
        <w:spacing w:before="0" w:after="0" w:line="240" w:lineRule="auto"/>
        <w:ind w:left="1061" w:right="0" w:hanging="848"/>
        <w:jc w:val="both"/>
        <w:rPr>
          <w:sz w:val="21"/>
        </w:rPr>
      </w:pPr>
      <w:r>
        <w:rPr>
          <w:spacing w:val="-1"/>
          <w:sz w:val="21"/>
        </w:rPr>
        <w:t>未参与现场勘察不做为否定投标人资格的理由。</w:t>
      </w:r>
    </w:p>
    <w:p>
      <w:pPr>
        <w:spacing w:after="0" w:line="240" w:lineRule="auto"/>
        <w:jc w:val="both"/>
        <w:rPr>
          <w:sz w:val="21"/>
        </w:rPr>
        <w:sectPr>
          <w:headerReference w:type="default" r:id="rId63"/>
          <w:footerReference w:type="default" r:id="rId64"/>
          <w:pgSz w:w="11910" w:h="16840"/>
          <w:pgMar w:top="1340" w:right="1080" w:bottom="1000" w:left="880" w:header="822" w:footer="805"/>
          <w:pgNumType w:start="29"/>
          <w:cols w:space="708"/>
        </w:sectPr>
      </w:pPr>
    </w:p>
    <w:p>
      <w:pPr>
        <w:pStyle w:val="Heading2"/>
        <w:spacing w:line="492" w:lineRule="exact"/>
        <w:ind w:right="9"/>
      </w:pPr>
      <w:bookmarkStart w:id="5" w:name="_TOC_250028"/>
      <w:r>
        <w:t>（三）</w:t>
      </w:r>
      <w:bookmarkEnd w:id="5"/>
      <w:r>
        <w:rPr>
          <w:spacing w:val="-2"/>
        </w:rPr>
        <w:t>投标文件的编制</w:t>
      </w:r>
    </w:p>
    <w:p>
      <w:pPr>
        <w:pStyle w:val="BodyText"/>
        <w:rPr>
          <w:rFonts w:ascii="Microsoft JhengHei"/>
          <w:b/>
          <w:sz w:val="20"/>
        </w:rPr>
      </w:pPr>
    </w:p>
    <w:p>
      <w:pPr>
        <w:pStyle w:val="BodyText"/>
        <w:spacing w:before="14"/>
        <w:rPr>
          <w:rFonts w:ascii="Microsoft JhengHei"/>
          <w:b/>
          <w:sz w:val="14"/>
        </w:rPr>
      </w:pPr>
    </w:p>
    <w:p>
      <w:pPr>
        <w:pStyle w:val="Heading3"/>
        <w:numPr>
          <w:ilvl w:val="0"/>
          <w:numId w:val="97"/>
        </w:numPr>
        <w:tabs>
          <w:tab w:val="left" w:pos="1064"/>
          <w:tab w:val="left" w:pos="1066"/>
        </w:tabs>
        <w:spacing w:before="0" w:after="0" w:line="429" w:lineRule="exact"/>
        <w:ind w:left="1065" w:right="0" w:hanging="852"/>
        <w:jc w:val="left"/>
      </w:pPr>
      <w:r>
        <w:rPr>
          <w:spacing w:val="-2"/>
        </w:rPr>
        <w:t>投标文件的编写原则</w:t>
      </w:r>
    </w:p>
    <w:p>
      <w:pPr>
        <w:pStyle w:val="ListParagraph"/>
        <w:numPr>
          <w:ilvl w:val="0"/>
          <w:numId w:val="60"/>
        </w:numPr>
        <w:tabs>
          <w:tab w:val="left" w:pos="1065"/>
        </w:tabs>
        <w:spacing w:before="128" w:after="0" w:line="410" w:lineRule="auto"/>
        <w:ind w:left="1065" w:right="221" w:hanging="851"/>
        <w:jc w:val="both"/>
        <w:rPr>
          <w:sz w:val="21"/>
        </w:rPr>
      </w:pPr>
      <w:r>
        <w:rPr>
          <w:spacing w:val="-2"/>
          <w:sz w:val="21"/>
        </w:rPr>
        <w:t>投标语言：投标文件及投标人和采购代理机构就投标交换的文件和来往信件，应以中文书。投标人提供的支持文件、技术资料和印刷的文献可以用其他语言，但相应实质性内容须附有中文</w:t>
      </w:r>
      <w:r>
        <w:rPr>
          <w:spacing w:val="-4"/>
          <w:sz w:val="21"/>
        </w:rPr>
        <w:t>翻译本。</w:t>
      </w:r>
    </w:p>
    <w:p>
      <w:pPr>
        <w:pStyle w:val="ListParagraph"/>
        <w:numPr>
          <w:ilvl w:val="0"/>
          <w:numId w:val="60"/>
        </w:numPr>
        <w:tabs>
          <w:tab w:val="left" w:pos="1065"/>
        </w:tabs>
        <w:spacing w:before="0" w:after="0" w:line="410" w:lineRule="auto"/>
        <w:ind w:left="1065" w:right="221" w:hanging="851"/>
        <w:jc w:val="both"/>
        <w:rPr>
          <w:sz w:val="21"/>
        </w:rPr>
      </w:pPr>
      <w:r>
        <w:rPr>
          <w:spacing w:val="-2"/>
          <w:sz w:val="21"/>
        </w:rPr>
        <w:t>计量单位：除在招标文件的技术规格中另有规定外，计量单位应使用中华人民共和国法定计量</w:t>
      </w:r>
      <w:r>
        <w:rPr>
          <w:spacing w:val="-2"/>
          <w:sz w:val="21"/>
        </w:rPr>
        <w:t>单位(国际单位制和国家选定的其他计量单位)。</w:t>
      </w:r>
    </w:p>
    <w:p>
      <w:pPr>
        <w:pStyle w:val="ListParagraph"/>
        <w:numPr>
          <w:ilvl w:val="0"/>
          <w:numId w:val="60"/>
        </w:numPr>
        <w:tabs>
          <w:tab w:val="left" w:pos="1065"/>
        </w:tabs>
        <w:spacing w:before="0" w:after="0" w:line="240" w:lineRule="auto"/>
        <w:ind w:left="1064" w:right="0" w:hanging="851"/>
        <w:jc w:val="both"/>
        <w:rPr>
          <w:sz w:val="21"/>
        </w:rPr>
      </w:pPr>
      <w:r>
        <w:rPr>
          <w:spacing w:val="-1"/>
          <w:sz w:val="21"/>
        </w:rPr>
        <w:t>投标人应保证所提供的所有资料的真实性、准确性、完整性。</w:t>
      </w:r>
    </w:p>
    <w:p>
      <w:pPr>
        <w:pStyle w:val="BodyText"/>
        <w:spacing w:before="10"/>
        <w:rPr>
          <w:sz w:val="14"/>
        </w:rPr>
      </w:pPr>
    </w:p>
    <w:p>
      <w:pPr>
        <w:pStyle w:val="ListParagraph"/>
        <w:numPr>
          <w:ilvl w:val="0"/>
          <w:numId w:val="60"/>
        </w:numPr>
        <w:tabs>
          <w:tab w:val="left" w:pos="1065"/>
        </w:tabs>
        <w:spacing w:before="1" w:after="0" w:line="410" w:lineRule="auto"/>
        <w:ind w:left="1065" w:right="221" w:hanging="851"/>
        <w:jc w:val="both"/>
        <w:rPr>
          <w:sz w:val="21"/>
        </w:rPr>
      </w:pPr>
      <w:r>
        <w:rPr>
          <w:spacing w:val="-2"/>
          <w:sz w:val="21"/>
        </w:rPr>
        <w:t>投标人在招投标采购过程中提供不真实的材料，无论其材料是否重要，采购人均有权拒绝，并</w:t>
      </w:r>
      <w:r>
        <w:rPr>
          <w:spacing w:val="-2"/>
          <w:sz w:val="21"/>
        </w:rPr>
        <w:t>取消投标人的投标资格，投标人需承担相应的后果及法律责任。</w:t>
      </w:r>
    </w:p>
    <w:p>
      <w:pPr>
        <w:pStyle w:val="ListParagraph"/>
        <w:numPr>
          <w:ilvl w:val="0"/>
          <w:numId w:val="60"/>
        </w:numPr>
        <w:tabs>
          <w:tab w:val="left" w:pos="1065"/>
        </w:tabs>
        <w:spacing w:before="0" w:after="0" w:line="240" w:lineRule="auto"/>
        <w:ind w:left="1064" w:right="0" w:hanging="851"/>
        <w:jc w:val="both"/>
        <w:rPr>
          <w:sz w:val="21"/>
        </w:rPr>
      </w:pPr>
      <w:r>
        <w:rPr>
          <w:spacing w:val="-1"/>
          <w:sz w:val="21"/>
        </w:rPr>
        <w:t>本项目不接受电报、电话、电子邮件、邮寄或传真形式的投标文件。</w:t>
      </w:r>
    </w:p>
    <w:p>
      <w:pPr>
        <w:pStyle w:val="BodyText"/>
        <w:rPr>
          <w:sz w:val="20"/>
        </w:rPr>
      </w:pPr>
    </w:p>
    <w:p>
      <w:pPr>
        <w:pStyle w:val="BodyText"/>
        <w:spacing w:before="3"/>
        <w:rPr>
          <w:sz w:val="22"/>
        </w:rPr>
      </w:pPr>
    </w:p>
    <w:p>
      <w:pPr>
        <w:pStyle w:val="Heading3"/>
        <w:numPr>
          <w:ilvl w:val="0"/>
          <w:numId w:val="97"/>
        </w:numPr>
        <w:tabs>
          <w:tab w:val="left" w:pos="1064"/>
          <w:tab w:val="left" w:pos="1066"/>
        </w:tabs>
        <w:spacing w:before="0" w:after="0" w:line="240" w:lineRule="auto"/>
        <w:ind w:left="1065" w:right="0" w:hanging="852"/>
        <w:jc w:val="left"/>
      </w:pPr>
      <w:r>
        <w:rPr>
          <w:spacing w:val="-2"/>
        </w:rPr>
        <w:t>投标文件编制要求</w:t>
      </w:r>
    </w:p>
    <w:p>
      <w:pPr>
        <w:pStyle w:val="ListParagraph"/>
        <w:numPr>
          <w:ilvl w:val="0"/>
          <w:numId w:val="59"/>
        </w:numPr>
        <w:tabs>
          <w:tab w:val="left" w:pos="1065"/>
        </w:tabs>
        <w:spacing w:before="128" w:after="0" w:line="410" w:lineRule="auto"/>
        <w:ind w:left="1065" w:right="221" w:hanging="851"/>
        <w:jc w:val="both"/>
        <w:rPr>
          <w:sz w:val="21"/>
        </w:rPr>
      </w:pPr>
      <w:r>
        <w:rPr>
          <w:spacing w:val="-2"/>
          <w:sz w:val="21"/>
        </w:rPr>
        <w:t>投标人应仔细阅读招标文件的所有内容，按招标文件规定及要求编写，必须对招标文件提出的实质性要求做出响应，并提交完整的投标文件。投标人应对投标货物和服务提供完整详细的技术说明，如投标人对指定的技术要求不能完全响应，应在投标文件中清楚地注明。投标人对本</w:t>
      </w:r>
      <w:r>
        <w:rPr>
          <w:spacing w:val="-2"/>
          <w:sz w:val="21"/>
        </w:rPr>
        <w:t>招标文件的每一项要求所给予的响应必须是唯一的，否则将视为不响应。</w:t>
      </w:r>
    </w:p>
    <w:p>
      <w:pPr>
        <w:pStyle w:val="ListParagraph"/>
        <w:numPr>
          <w:ilvl w:val="0"/>
          <w:numId w:val="59"/>
        </w:numPr>
        <w:tabs>
          <w:tab w:val="left" w:pos="1065"/>
        </w:tabs>
        <w:spacing w:before="0" w:after="0" w:line="410" w:lineRule="auto"/>
        <w:ind w:left="1065" w:right="221" w:hanging="851"/>
        <w:jc w:val="both"/>
        <w:rPr>
          <w:sz w:val="21"/>
        </w:rPr>
      </w:pPr>
      <w:r>
        <w:rPr>
          <w:sz w:val="21"/>
        </w:rPr>
        <w:t>本项目不接受备选投标方案，投标文件的报价只允许有一个报价，采购代理机构不接受有任何选择的报价。开标时，投标文件中开标一览表内容与投标文件中明细表内容不一致的，以开标一览表为准。投标文件的大写金额和小写金额不一致的，以大写金额为准；总价金额与按单价</w:t>
      </w:r>
      <w:r>
        <w:rPr>
          <w:spacing w:val="5"/>
          <w:sz w:val="21"/>
        </w:rPr>
        <w:t>汇总金额不一致的，以单价金额计算结果为准；单价金额小数点有明显错位的，应以总价为准，并修改单价；对不同文字文本投标文件的解释发生异议的，以中文文本为准。</w:t>
      </w:r>
    </w:p>
    <w:p>
      <w:pPr>
        <w:pStyle w:val="ListParagraph"/>
        <w:numPr>
          <w:ilvl w:val="0"/>
          <w:numId w:val="59"/>
        </w:numPr>
        <w:tabs>
          <w:tab w:val="left" w:pos="1065"/>
        </w:tabs>
        <w:spacing w:before="0" w:after="0" w:line="269" w:lineRule="exact"/>
        <w:ind w:left="1064" w:right="0" w:hanging="851"/>
        <w:jc w:val="both"/>
        <w:rPr>
          <w:sz w:val="21"/>
        </w:rPr>
      </w:pPr>
      <w:r>
        <w:rPr>
          <w:spacing w:val="-1"/>
          <w:sz w:val="21"/>
        </w:rPr>
        <w:t>投标文件需按照招标文件规定的顺序，统一编目编码装订。</w:t>
      </w:r>
    </w:p>
    <w:p>
      <w:pPr>
        <w:pStyle w:val="BodyText"/>
        <w:rPr>
          <w:sz w:val="20"/>
        </w:rPr>
      </w:pPr>
    </w:p>
    <w:p>
      <w:pPr>
        <w:pStyle w:val="BodyText"/>
        <w:spacing w:before="3"/>
        <w:rPr>
          <w:sz w:val="22"/>
        </w:rPr>
      </w:pPr>
    </w:p>
    <w:p>
      <w:pPr>
        <w:pStyle w:val="Heading3"/>
        <w:numPr>
          <w:ilvl w:val="0"/>
          <w:numId w:val="97"/>
        </w:numPr>
        <w:tabs>
          <w:tab w:val="left" w:pos="1064"/>
          <w:tab w:val="left" w:pos="1066"/>
        </w:tabs>
        <w:spacing w:before="0" w:after="0" w:line="240" w:lineRule="auto"/>
        <w:ind w:left="1065" w:right="0" w:hanging="852"/>
        <w:jc w:val="left"/>
      </w:pPr>
      <w:r>
        <w:rPr>
          <w:spacing w:val="-2"/>
        </w:rPr>
        <w:t>投标文件的构成</w:t>
      </w:r>
    </w:p>
    <w:p>
      <w:pPr>
        <w:pStyle w:val="Heading4"/>
        <w:numPr>
          <w:ilvl w:val="0"/>
          <w:numId w:val="58"/>
        </w:numPr>
        <w:tabs>
          <w:tab w:val="left" w:pos="1064"/>
          <w:tab w:val="left" w:pos="1065"/>
        </w:tabs>
        <w:spacing w:before="59" w:after="0" w:line="240" w:lineRule="auto"/>
        <w:ind w:left="1064" w:right="0" w:hanging="851"/>
        <w:jc w:val="left"/>
      </w:pPr>
      <w:r>
        <w:rPr>
          <w:spacing w:val="-2"/>
        </w:rPr>
        <w:t>商务文件部分：</w:t>
      </w:r>
    </w:p>
    <w:p>
      <w:pPr>
        <w:pStyle w:val="ListParagraph"/>
        <w:numPr>
          <w:ilvl w:val="1"/>
          <w:numId w:val="58"/>
        </w:numPr>
        <w:tabs>
          <w:tab w:val="left" w:pos="1485"/>
          <w:tab w:val="left" w:pos="1486"/>
        </w:tabs>
        <w:spacing w:before="143" w:after="0" w:line="240" w:lineRule="auto"/>
        <w:ind w:left="1486" w:right="0" w:hanging="424"/>
        <w:jc w:val="left"/>
        <w:rPr>
          <w:sz w:val="21"/>
        </w:rPr>
      </w:pPr>
      <w:r>
        <w:rPr>
          <w:sz w:val="21"/>
        </w:rPr>
        <w:t>投标函（</w:t>
      </w:r>
      <w:r>
        <w:rPr>
          <w:spacing w:val="-11"/>
          <w:sz w:val="21"/>
        </w:rPr>
        <w:t xml:space="preserve">格式见表 </w:t>
      </w:r>
      <w:r>
        <w:rPr>
          <w:sz w:val="21"/>
        </w:rPr>
        <w:t>5-</w:t>
      </w:r>
      <w:r>
        <w:rPr>
          <w:spacing w:val="-5"/>
          <w:sz w:val="21"/>
        </w:rPr>
        <w:t>1）；</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法定代表人证明书/法定代表人授权书（</w:t>
      </w:r>
      <w:r>
        <w:rPr>
          <w:spacing w:val="-11"/>
          <w:sz w:val="21"/>
        </w:rPr>
        <w:t xml:space="preserve">格式见表 </w:t>
      </w:r>
      <w:r>
        <w:rPr>
          <w:sz w:val="21"/>
        </w:rPr>
        <w:t>5-</w:t>
      </w:r>
      <w:r>
        <w:rPr>
          <w:spacing w:val="-5"/>
          <w:sz w:val="21"/>
        </w:rPr>
        <w:t>2）；</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中小企业声明函（投标供应商为中小企业时适用）（</w:t>
      </w:r>
      <w:r>
        <w:rPr>
          <w:spacing w:val="-11"/>
          <w:sz w:val="21"/>
        </w:rPr>
        <w:t xml:space="preserve">格式见表 </w:t>
      </w:r>
      <w:r>
        <w:rPr>
          <w:sz w:val="21"/>
        </w:rPr>
        <w:t>5-</w:t>
      </w:r>
      <w:r>
        <w:rPr>
          <w:spacing w:val="-5"/>
          <w:sz w:val="21"/>
        </w:rPr>
        <w:t>3）；</w:t>
      </w:r>
    </w:p>
    <w:p>
      <w:pPr>
        <w:spacing w:after="0" w:line="240" w:lineRule="auto"/>
        <w:jc w:val="left"/>
        <w:rPr>
          <w:sz w:val="21"/>
        </w:rPr>
        <w:sectPr>
          <w:headerReference w:type="default" r:id="rId65"/>
          <w:footerReference w:type="default" r:id="rId66"/>
          <w:pgSz w:w="11910" w:h="16840"/>
          <w:pgMar w:top="1340" w:right="1080" w:bottom="1000" w:left="880" w:header="822" w:footer="805"/>
          <w:pgNumType w:start="30"/>
          <w:cols w:space="708"/>
        </w:sectPr>
      </w:pPr>
    </w:p>
    <w:p>
      <w:pPr>
        <w:pStyle w:val="BodyText"/>
        <w:spacing w:before="3"/>
        <w:rPr>
          <w:sz w:val="11"/>
        </w:rPr>
      </w:pPr>
    </w:p>
    <w:p>
      <w:pPr>
        <w:pStyle w:val="ListParagraph"/>
        <w:numPr>
          <w:ilvl w:val="1"/>
          <w:numId w:val="58"/>
        </w:numPr>
        <w:tabs>
          <w:tab w:val="left" w:pos="1485"/>
          <w:tab w:val="left" w:pos="1486"/>
        </w:tabs>
        <w:spacing w:before="79" w:after="0" w:line="240" w:lineRule="auto"/>
        <w:ind w:left="1486" w:right="0" w:hanging="424"/>
        <w:jc w:val="left"/>
        <w:rPr>
          <w:sz w:val="21"/>
        </w:rPr>
      </w:pPr>
      <w:r>
        <w:rPr>
          <w:sz w:val="21"/>
        </w:rPr>
        <w:t>开标一览表（</w:t>
      </w:r>
      <w:r>
        <w:rPr>
          <w:spacing w:val="-11"/>
          <w:sz w:val="21"/>
        </w:rPr>
        <w:t xml:space="preserve">格式见表 </w:t>
      </w:r>
      <w:r>
        <w:rPr>
          <w:sz w:val="21"/>
        </w:rPr>
        <w:t>5-</w:t>
      </w:r>
      <w:r>
        <w:rPr>
          <w:spacing w:val="-5"/>
          <w:sz w:val="21"/>
        </w:rPr>
        <w:t>4）；</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详细报价清单（</w:t>
      </w:r>
      <w:r>
        <w:rPr>
          <w:spacing w:val="-11"/>
          <w:sz w:val="21"/>
        </w:rPr>
        <w:t xml:space="preserve">格式见表 </w:t>
      </w:r>
      <w:r>
        <w:rPr>
          <w:sz w:val="21"/>
        </w:rPr>
        <w:t>5-</w:t>
      </w:r>
      <w:r>
        <w:rPr>
          <w:spacing w:val="-5"/>
          <w:sz w:val="21"/>
        </w:rPr>
        <w:t>5）；</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投标商务响应与招标文件差异一览表（</w:t>
      </w:r>
      <w:r>
        <w:rPr>
          <w:spacing w:val="-11"/>
          <w:sz w:val="21"/>
        </w:rPr>
        <w:t xml:space="preserve">格式见表 </w:t>
      </w:r>
      <w:r>
        <w:rPr>
          <w:sz w:val="21"/>
        </w:rPr>
        <w:t>5-</w:t>
      </w:r>
      <w:r>
        <w:rPr>
          <w:spacing w:val="-5"/>
          <w:sz w:val="21"/>
        </w:rPr>
        <w:t>6）；</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重要指标响应表（</w:t>
      </w:r>
      <w:r>
        <w:rPr>
          <w:spacing w:val="-11"/>
          <w:sz w:val="21"/>
        </w:rPr>
        <w:t xml:space="preserve">格式见表 </w:t>
      </w:r>
      <w:r>
        <w:rPr>
          <w:sz w:val="21"/>
        </w:rPr>
        <w:t>5-</w:t>
      </w:r>
      <w:r>
        <w:rPr>
          <w:spacing w:val="-5"/>
          <w:sz w:val="21"/>
        </w:rPr>
        <w:t>7）；</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投标人基本情况（</w:t>
      </w:r>
      <w:r>
        <w:rPr>
          <w:spacing w:val="-11"/>
          <w:sz w:val="21"/>
        </w:rPr>
        <w:t xml:space="preserve">格式见表 </w:t>
      </w:r>
      <w:r>
        <w:rPr>
          <w:sz w:val="21"/>
        </w:rPr>
        <w:t>5-</w:t>
      </w:r>
      <w:r>
        <w:rPr>
          <w:spacing w:val="-5"/>
          <w:sz w:val="21"/>
        </w:rPr>
        <w:t>8）；</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项目负责人/项目经理/技术负责人简历表（</w:t>
      </w:r>
      <w:r>
        <w:rPr>
          <w:spacing w:val="-11"/>
          <w:sz w:val="21"/>
        </w:rPr>
        <w:t xml:space="preserve">格式见表 </w:t>
      </w:r>
      <w:r>
        <w:rPr>
          <w:sz w:val="21"/>
        </w:rPr>
        <w:t>5-</w:t>
      </w:r>
      <w:r>
        <w:rPr>
          <w:spacing w:val="-5"/>
          <w:sz w:val="21"/>
        </w:rPr>
        <w:t>9）；</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售后服务情况表（</w:t>
      </w:r>
      <w:r>
        <w:rPr>
          <w:spacing w:val="-11"/>
          <w:sz w:val="21"/>
        </w:rPr>
        <w:t xml:space="preserve">格式见表 </w:t>
      </w:r>
      <w:r>
        <w:rPr>
          <w:sz w:val="21"/>
        </w:rPr>
        <w:t>5-</w:t>
      </w:r>
      <w:r>
        <w:rPr>
          <w:spacing w:val="-4"/>
          <w:sz w:val="21"/>
        </w:rPr>
        <w:t>10）；</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拟为本项目实施主要人员情况表（</w:t>
      </w:r>
      <w:r>
        <w:rPr>
          <w:spacing w:val="-27"/>
          <w:sz w:val="21"/>
        </w:rPr>
        <w:t xml:space="preserve">表 </w:t>
      </w:r>
      <w:r>
        <w:rPr>
          <w:sz w:val="21"/>
        </w:rPr>
        <w:t>5-</w:t>
      </w:r>
      <w:r>
        <w:rPr>
          <w:spacing w:val="-4"/>
          <w:sz w:val="21"/>
        </w:rPr>
        <w:t>11）；</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2010</w:t>
      </w:r>
      <w:r>
        <w:rPr>
          <w:spacing w:val="-8"/>
          <w:sz w:val="21"/>
        </w:rPr>
        <w:t xml:space="preserve"> 年以来完成的同类项目一览表</w:t>
      </w:r>
      <w:r>
        <w:rPr>
          <w:sz w:val="21"/>
        </w:rPr>
        <w:t>（</w:t>
      </w:r>
      <w:r>
        <w:rPr>
          <w:spacing w:val="-27"/>
          <w:sz w:val="21"/>
        </w:rPr>
        <w:t xml:space="preserve">表 </w:t>
      </w:r>
      <w:r>
        <w:rPr>
          <w:sz w:val="21"/>
        </w:rPr>
        <w:t>5-</w:t>
      </w:r>
      <w:r>
        <w:rPr>
          <w:spacing w:val="-4"/>
          <w:sz w:val="21"/>
        </w:rPr>
        <w:t>12）；</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投标保证金退还说明格式（</w:t>
      </w:r>
      <w:r>
        <w:rPr>
          <w:spacing w:val="-11"/>
          <w:sz w:val="21"/>
        </w:rPr>
        <w:t xml:space="preserve">格式见表 </w:t>
      </w:r>
      <w:r>
        <w:rPr>
          <w:sz w:val="21"/>
        </w:rPr>
        <w:t>5-</w:t>
      </w:r>
      <w:r>
        <w:rPr>
          <w:spacing w:val="-4"/>
          <w:sz w:val="21"/>
        </w:rPr>
        <w:t>13）；</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中标服务费承诺书（</w:t>
      </w:r>
      <w:r>
        <w:rPr>
          <w:spacing w:val="-11"/>
          <w:sz w:val="21"/>
        </w:rPr>
        <w:t xml:space="preserve">格式见表 </w:t>
      </w:r>
      <w:r>
        <w:rPr>
          <w:sz w:val="21"/>
        </w:rPr>
        <w:t>5-</w:t>
      </w:r>
      <w:r>
        <w:rPr>
          <w:spacing w:val="-4"/>
          <w:sz w:val="21"/>
        </w:rPr>
        <w:t>14）；</w:t>
      </w:r>
    </w:p>
    <w:p>
      <w:pPr>
        <w:pStyle w:val="Heading4"/>
        <w:numPr>
          <w:ilvl w:val="1"/>
          <w:numId w:val="58"/>
        </w:numPr>
        <w:tabs>
          <w:tab w:val="left" w:pos="1485"/>
          <w:tab w:val="left" w:pos="1486"/>
        </w:tabs>
        <w:spacing w:before="121" w:after="0" w:line="240" w:lineRule="auto"/>
        <w:ind w:left="1486" w:right="0" w:hanging="424"/>
        <w:jc w:val="left"/>
      </w:pPr>
      <w:r>
        <w:rPr>
          <w:spacing w:val="-1"/>
          <w:u w:val="thick"/>
        </w:rPr>
        <w:t>行贿犯罪档案查询告知函；</w:t>
      </w:r>
    </w:p>
    <w:p>
      <w:pPr>
        <w:pStyle w:val="ListParagraph"/>
        <w:numPr>
          <w:ilvl w:val="1"/>
          <w:numId w:val="58"/>
        </w:numPr>
        <w:tabs>
          <w:tab w:val="left" w:pos="1485"/>
          <w:tab w:val="left" w:pos="1486"/>
        </w:tabs>
        <w:spacing w:before="143" w:after="0" w:line="240" w:lineRule="auto"/>
        <w:ind w:left="1486" w:right="0" w:hanging="424"/>
        <w:jc w:val="left"/>
        <w:rPr>
          <w:sz w:val="21"/>
        </w:rPr>
      </w:pPr>
      <w:r>
        <w:rPr>
          <w:spacing w:val="-2"/>
          <w:sz w:val="21"/>
        </w:rPr>
        <w:t>其他资格证明材料</w:t>
      </w:r>
    </w:p>
    <w:p>
      <w:pPr>
        <w:pStyle w:val="Heading4"/>
        <w:numPr>
          <w:ilvl w:val="0"/>
          <w:numId w:val="58"/>
        </w:numPr>
        <w:tabs>
          <w:tab w:val="left" w:pos="1064"/>
          <w:tab w:val="left" w:pos="1065"/>
        </w:tabs>
        <w:spacing w:before="122" w:after="0" w:line="240" w:lineRule="auto"/>
        <w:ind w:left="1064" w:right="0" w:hanging="851"/>
        <w:jc w:val="left"/>
      </w:pPr>
      <w:r>
        <w:rPr>
          <w:spacing w:val="-2"/>
        </w:rPr>
        <w:t>技术文件部分</w:t>
      </w:r>
    </w:p>
    <w:p>
      <w:pPr>
        <w:pStyle w:val="BodyText"/>
        <w:spacing w:before="143"/>
        <w:ind w:left="1060"/>
      </w:pPr>
      <w:r>
        <w:rPr>
          <w:spacing w:val="-1"/>
        </w:rPr>
        <w:t>根据招标文件的有关技术指标和要求，投标人提供必要的技术方案，应包括以下：</w:t>
      </w:r>
    </w:p>
    <w:p>
      <w:pPr>
        <w:pStyle w:val="BodyText"/>
        <w:spacing w:before="12"/>
        <w:rPr>
          <w:sz w:val="14"/>
        </w:rPr>
      </w:pPr>
    </w:p>
    <w:p>
      <w:pPr>
        <w:pStyle w:val="ListParagraph"/>
        <w:numPr>
          <w:ilvl w:val="1"/>
          <w:numId w:val="58"/>
        </w:numPr>
        <w:tabs>
          <w:tab w:val="left" w:pos="1473"/>
          <w:tab w:val="left" w:pos="1475"/>
        </w:tabs>
        <w:spacing w:before="0" w:after="0" w:line="240" w:lineRule="auto"/>
        <w:ind w:left="1474" w:right="0" w:hanging="413"/>
        <w:jc w:val="left"/>
        <w:rPr>
          <w:sz w:val="21"/>
        </w:rPr>
      </w:pPr>
      <w:r>
        <w:rPr>
          <w:sz w:val="21"/>
        </w:rPr>
        <w:t>所投产品（功能模块）技术指标与招标文件差异一览表（</w:t>
      </w:r>
      <w:r>
        <w:rPr>
          <w:spacing w:val="-11"/>
          <w:sz w:val="21"/>
        </w:rPr>
        <w:t xml:space="preserve">格式见表 </w:t>
      </w:r>
      <w:r>
        <w:rPr>
          <w:sz w:val="21"/>
        </w:rPr>
        <w:t>5-</w:t>
      </w:r>
      <w:r>
        <w:rPr>
          <w:spacing w:val="-4"/>
          <w:sz w:val="21"/>
        </w:rPr>
        <w:t>15）；</w:t>
      </w:r>
    </w:p>
    <w:p>
      <w:pPr>
        <w:pStyle w:val="ListParagraph"/>
        <w:numPr>
          <w:ilvl w:val="1"/>
          <w:numId w:val="58"/>
        </w:numPr>
        <w:tabs>
          <w:tab w:val="left" w:pos="1473"/>
          <w:tab w:val="left" w:pos="1475"/>
        </w:tabs>
        <w:spacing w:before="191" w:after="0" w:line="410" w:lineRule="auto"/>
        <w:ind w:left="1062" w:right="280" w:firstLine="0"/>
        <w:jc w:val="left"/>
        <w:rPr>
          <w:sz w:val="21"/>
        </w:rPr>
      </w:pPr>
      <w:r>
        <w:rPr>
          <w:spacing w:val="-2"/>
          <w:sz w:val="21"/>
        </w:rPr>
        <w:t>技术方案、产品说明（提供主要产品中文说明书、彩页、照片，产品资料附件）及相关证</w:t>
      </w:r>
      <w:r>
        <w:rPr>
          <w:spacing w:val="-2"/>
          <w:sz w:val="21"/>
        </w:rPr>
        <w:t>明文件（证明投标人提供的货物和服务是合格的，而且符合招标文件的规定）；</w:t>
      </w:r>
    </w:p>
    <w:p>
      <w:pPr>
        <w:pStyle w:val="ListParagraph"/>
        <w:numPr>
          <w:ilvl w:val="1"/>
          <w:numId w:val="58"/>
        </w:numPr>
        <w:tabs>
          <w:tab w:val="left" w:pos="1485"/>
          <w:tab w:val="left" w:pos="1486"/>
        </w:tabs>
        <w:spacing w:before="0" w:after="0" w:line="240" w:lineRule="auto"/>
        <w:ind w:left="1486" w:right="0" w:hanging="424"/>
        <w:jc w:val="left"/>
        <w:rPr>
          <w:sz w:val="21"/>
        </w:rPr>
      </w:pPr>
      <w:r>
        <w:rPr>
          <w:sz w:val="21"/>
        </w:rPr>
        <w:t>“DW09</w:t>
      </w:r>
      <w:r>
        <w:rPr>
          <w:spacing w:val="-12"/>
          <w:sz w:val="21"/>
        </w:rPr>
        <w:t xml:space="preserve"> 工程”中</w:t>
      </w:r>
      <w:r>
        <w:rPr>
          <w:sz w:val="21"/>
        </w:rPr>
        <w:t>ft后台系统升级扩容建设方案（</w:t>
      </w:r>
      <w:r>
        <w:rPr>
          <w:spacing w:val="-11"/>
          <w:sz w:val="21"/>
        </w:rPr>
        <w:t xml:space="preserve">格式见表 </w:t>
      </w:r>
      <w:r>
        <w:rPr>
          <w:sz w:val="21"/>
        </w:rPr>
        <w:t>5-</w:t>
      </w:r>
      <w:r>
        <w:rPr>
          <w:spacing w:val="-4"/>
          <w:sz w:val="21"/>
        </w:rPr>
        <w:t>16）；</w:t>
      </w:r>
    </w:p>
    <w:p>
      <w:pPr>
        <w:pStyle w:val="ListParagraph"/>
        <w:numPr>
          <w:ilvl w:val="1"/>
          <w:numId w:val="58"/>
        </w:numPr>
        <w:tabs>
          <w:tab w:val="left" w:pos="1485"/>
          <w:tab w:val="left" w:pos="1486"/>
        </w:tabs>
        <w:spacing w:before="190" w:after="0" w:line="240" w:lineRule="auto"/>
        <w:ind w:left="1486" w:right="0" w:hanging="424"/>
        <w:jc w:val="left"/>
        <w:rPr>
          <w:sz w:val="21"/>
        </w:rPr>
      </w:pPr>
      <w:r>
        <w:rPr>
          <w:sz w:val="21"/>
        </w:rPr>
        <w:t>测试和验收方案（</w:t>
      </w:r>
      <w:r>
        <w:rPr>
          <w:spacing w:val="-11"/>
          <w:sz w:val="21"/>
        </w:rPr>
        <w:t xml:space="preserve">格式见表 </w:t>
      </w:r>
      <w:r>
        <w:rPr>
          <w:sz w:val="21"/>
        </w:rPr>
        <w:t>5-</w:t>
      </w:r>
      <w:r>
        <w:rPr>
          <w:spacing w:val="-4"/>
          <w:sz w:val="21"/>
        </w:rPr>
        <w:t>17）；</w:t>
      </w:r>
    </w:p>
    <w:p>
      <w:pPr>
        <w:pStyle w:val="ListParagraph"/>
        <w:numPr>
          <w:ilvl w:val="1"/>
          <w:numId w:val="58"/>
        </w:numPr>
        <w:tabs>
          <w:tab w:val="left" w:pos="1485"/>
          <w:tab w:val="left" w:pos="1486"/>
        </w:tabs>
        <w:spacing w:before="191" w:after="0" w:line="240" w:lineRule="auto"/>
        <w:ind w:left="1486" w:right="0" w:hanging="424"/>
        <w:jc w:val="left"/>
        <w:rPr>
          <w:sz w:val="21"/>
        </w:rPr>
      </w:pPr>
      <w:r>
        <w:rPr>
          <w:sz w:val="21"/>
        </w:rPr>
        <w:t>售后服务计划（</w:t>
      </w:r>
      <w:r>
        <w:rPr>
          <w:spacing w:val="-11"/>
          <w:sz w:val="21"/>
        </w:rPr>
        <w:t xml:space="preserve">格式见表 </w:t>
      </w:r>
      <w:r>
        <w:rPr>
          <w:sz w:val="21"/>
        </w:rPr>
        <w:t>5-</w:t>
      </w:r>
      <w:r>
        <w:rPr>
          <w:spacing w:val="-4"/>
          <w:sz w:val="21"/>
        </w:rPr>
        <w:t>18）；</w:t>
      </w:r>
    </w:p>
    <w:p>
      <w:pPr>
        <w:pStyle w:val="ListParagraph"/>
        <w:numPr>
          <w:ilvl w:val="1"/>
          <w:numId w:val="58"/>
        </w:numPr>
        <w:tabs>
          <w:tab w:val="left" w:pos="1485"/>
          <w:tab w:val="left" w:pos="1486"/>
        </w:tabs>
        <w:spacing w:before="191" w:after="0" w:line="240" w:lineRule="auto"/>
        <w:ind w:left="1486" w:right="0" w:hanging="424"/>
        <w:jc w:val="left"/>
        <w:rPr>
          <w:sz w:val="21"/>
        </w:rPr>
      </w:pPr>
      <w:r>
        <w:rPr>
          <w:spacing w:val="-1"/>
          <w:sz w:val="21"/>
        </w:rPr>
        <w:t>投标人认为必要的其他技术资料。</w:t>
      </w:r>
    </w:p>
    <w:p>
      <w:pPr>
        <w:pStyle w:val="Heading4"/>
        <w:spacing w:before="122"/>
        <w:ind w:left="424" w:firstLine="0"/>
      </w:pPr>
      <w:r>
        <w:rPr>
          <w:spacing w:val="-1"/>
        </w:rPr>
        <w:t>投标人有义务按照以上构成要求将投标文件编上唯一的连贯页码并装订成册，不得出现重页或缺页。</w:t>
      </w:r>
    </w:p>
    <w:p>
      <w:pPr>
        <w:pStyle w:val="BodyText"/>
        <w:spacing w:before="16"/>
        <w:rPr>
          <w:rFonts w:ascii="Microsoft JhengHei"/>
          <w:b/>
          <w:sz w:val="26"/>
        </w:rPr>
      </w:pPr>
    </w:p>
    <w:p>
      <w:pPr>
        <w:pStyle w:val="Heading3"/>
        <w:numPr>
          <w:ilvl w:val="0"/>
          <w:numId w:val="67"/>
        </w:numPr>
        <w:tabs>
          <w:tab w:val="left" w:pos="1064"/>
          <w:tab w:val="left" w:pos="1066"/>
        </w:tabs>
        <w:spacing w:before="0" w:after="0" w:line="240" w:lineRule="auto"/>
        <w:ind w:left="1065" w:right="0" w:hanging="852"/>
        <w:jc w:val="left"/>
      </w:pPr>
      <w:r>
        <w:rPr>
          <w:spacing w:val="-2"/>
        </w:rPr>
        <w:t>投标报价说明</w:t>
      </w:r>
    </w:p>
    <w:p>
      <w:pPr>
        <w:pStyle w:val="ListParagraph"/>
        <w:numPr>
          <w:ilvl w:val="0"/>
          <w:numId w:val="57"/>
        </w:numPr>
        <w:tabs>
          <w:tab w:val="left" w:pos="1064"/>
          <w:tab w:val="left" w:pos="1065"/>
        </w:tabs>
        <w:spacing w:before="128" w:after="0" w:line="240" w:lineRule="auto"/>
        <w:ind w:left="1064" w:right="0" w:hanging="851"/>
        <w:jc w:val="left"/>
        <w:rPr>
          <w:sz w:val="21"/>
        </w:rPr>
      </w:pPr>
      <w:r>
        <w:rPr>
          <w:spacing w:val="-1"/>
          <w:sz w:val="21"/>
        </w:rPr>
        <w:t>投标人应按招标文件格式要求填写《详细报价清单》。</w:t>
      </w:r>
    </w:p>
    <w:p>
      <w:pPr>
        <w:pStyle w:val="BodyText"/>
        <w:spacing w:before="11"/>
        <w:rPr>
          <w:sz w:val="14"/>
        </w:rPr>
      </w:pPr>
    </w:p>
    <w:p>
      <w:pPr>
        <w:pStyle w:val="ListParagraph"/>
        <w:numPr>
          <w:ilvl w:val="0"/>
          <w:numId w:val="57"/>
        </w:numPr>
        <w:tabs>
          <w:tab w:val="left" w:pos="1064"/>
          <w:tab w:val="left" w:pos="1065"/>
        </w:tabs>
        <w:spacing w:before="0" w:after="0" w:line="410" w:lineRule="auto"/>
        <w:ind w:left="1065" w:right="221" w:hanging="851"/>
        <w:jc w:val="left"/>
        <w:rPr>
          <w:sz w:val="21"/>
        </w:rPr>
      </w:pPr>
      <w:r>
        <w:rPr>
          <w:spacing w:val="-2"/>
          <w:sz w:val="21"/>
        </w:rPr>
        <w:t>投标人所报的投标价在合同执行期间是固定不变的，不得以任何理由予以变更。投标价不是固</w:t>
      </w:r>
      <w:r>
        <w:rPr>
          <w:spacing w:val="-2"/>
          <w:sz w:val="21"/>
        </w:rPr>
        <w:t>定价的投标文件将作为非响应性投标而予以拒绝。</w:t>
      </w:r>
    </w:p>
    <w:p>
      <w:pPr>
        <w:pStyle w:val="ListParagraph"/>
        <w:numPr>
          <w:ilvl w:val="0"/>
          <w:numId w:val="57"/>
        </w:numPr>
        <w:tabs>
          <w:tab w:val="left" w:pos="1064"/>
          <w:tab w:val="left" w:pos="1065"/>
        </w:tabs>
        <w:spacing w:before="0" w:after="0" w:line="410" w:lineRule="auto"/>
        <w:ind w:left="1065" w:right="221" w:hanging="851"/>
        <w:jc w:val="left"/>
        <w:rPr>
          <w:sz w:val="21"/>
        </w:rPr>
      </w:pPr>
      <w:r>
        <w:rPr>
          <w:spacing w:val="-2"/>
          <w:sz w:val="21"/>
        </w:rPr>
        <w:t>投标人投标报价应为所投项目的最终报价，包含一切税费；投标人应自行增加系统正常、合法运行及使用所必需但招标文件没有包含的所有部件、版权、专利等一切费用，如果投标人在中</w:t>
      </w:r>
    </w:p>
    <w:p>
      <w:pPr>
        <w:spacing w:after="0" w:line="410" w:lineRule="auto"/>
        <w:jc w:val="left"/>
        <w:rPr>
          <w:sz w:val="21"/>
        </w:rPr>
        <w:sectPr>
          <w:headerReference w:type="default" r:id="rId67"/>
          <w:footerReference w:type="default" r:id="rId68"/>
          <w:pgSz w:w="11910" w:h="16840"/>
          <w:pgMar w:top="1340" w:right="1080" w:bottom="1000" w:left="880" w:header="822" w:footer="805"/>
          <w:pgNumType w:start="31"/>
          <w:cols w:space="708"/>
        </w:sectPr>
      </w:pPr>
    </w:p>
    <w:p>
      <w:pPr>
        <w:pStyle w:val="BodyText"/>
        <w:spacing w:before="12"/>
        <w:rPr>
          <w:sz w:val="11"/>
        </w:rPr>
      </w:pPr>
    </w:p>
    <w:p>
      <w:pPr>
        <w:pStyle w:val="BodyText"/>
        <w:spacing w:before="70" w:line="410" w:lineRule="auto"/>
        <w:ind w:left="1065" w:right="221"/>
      </w:pPr>
      <w:r>
        <w:rPr>
          <w:spacing w:val="-2"/>
        </w:rPr>
        <w:t>标并签署合同后，在供货、安装、调试、培训等工作中出现硬件、软件等的任何遗漏，均由中</w:t>
      </w:r>
      <w:r>
        <w:rPr>
          <w:spacing w:val="-2"/>
        </w:rPr>
        <w:t>标人免费提供，买方将不再支付任何费用。</w:t>
      </w:r>
    </w:p>
    <w:p>
      <w:pPr>
        <w:pStyle w:val="BodyText"/>
        <w:spacing w:before="5"/>
        <w:rPr>
          <w:sz w:val="27"/>
        </w:rPr>
      </w:pPr>
    </w:p>
    <w:p>
      <w:pPr>
        <w:pStyle w:val="Heading3"/>
        <w:numPr>
          <w:ilvl w:val="0"/>
          <w:numId w:val="67"/>
        </w:numPr>
        <w:tabs>
          <w:tab w:val="left" w:pos="1064"/>
          <w:tab w:val="left" w:pos="1066"/>
        </w:tabs>
        <w:spacing w:before="0" w:after="0" w:line="240" w:lineRule="auto"/>
        <w:ind w:left="1065" w:right="0" w:hanging="852"/>
        <w:jc w:val="left"/>
      </w:pPr>
      <w:r>
        <w:rPr>
          <w:spacing w:val="-3"/>
        </w:rPr>
        <w:t>投标货币</w:t>
      </w:r>
    </w:p>
    <w:p>
      <w:pPr>
        <w:pStyle w:val="BodyText"/>
        <w:tabs>
          <w:tab w:val="left" w:pos="1064"/>
        </w:tabs>
        <w:spacing w:before="128"/>
        <w:ind w:left="214"/>
      </w:pPr>
      <w:r>
        <w:rPr>
          <w:spacing w:val="-5"/>
        </w:rPr>
        <w:t>(1)</w:t>
      </w:r>
      <w:r>
        <w:tab/>
      </w:r>
      <w:r>
        <w:rPr>
          <w:spacing w:val="-1"/>
        </w:rPr>
        <w:t>投标人提供的货物和服务价格用人民币报价。</w:t>
      </w:r>
    </w:p>
    <w:p>
      <w:pPr>
        <w:pStyle w:val="BodyText"/>
        <w:rPr>
          <w:sz w:val="20"/>
        </w:rPr>
      </w:pPr>
    </w:p>
    <w:p>
      <w:pPr>
        <w:pStyle w:val="BodyText"/>
        <w:spacing w:before="3"/>
        <w:rPr>
          <w:sz w:val="22"/>
        </w:rPr>
      </w:pPr>
    </w:p>
    <w:p>
      <w:pPr>
        <w:pStyle w:val="Heading3"/>
        <w:numPr>
          <w:ilvl w:val="0"/>
          <w:numId w:val="67"/>
        </w:numPr>
        <w:tabs>
          <w:tab w:val="left" w:pos="1064"/>
          <w:tab w:val="left" w:pos="1066"/>
        </w:tabs>
        <w:spacing w:before="0" w:after="0" w:line="240" w:lineRule="auto"/>
        <w:ind w:left="1065" w:right="0" w:hanging="852"/>
        <w:jc w:val="left"/>
      </w:pPr>
      <w:r>
        <w:rPr>
          <w:spacing w:val="-1"/>
        </w:rPr>
        <w:t>证明投标人合资格的文件</w:t>
      </w:r>
    </w:p>
    <w:p>
      <w:pPr>
        <w:pStyle w:val="ListParagraph"/>
        <w:numPr>
          <w:ilvl w:val="0"/>
          <w:numId w:val="56"/>
        </w:numPr>
        <w:tabs>
          <w:tab w:val="left" w:pos="1064"/>
          <w:tab w:val="left" w:pos="1065"/>
        </w:tabs>
        <w:spacing w:before="128" w:after="0" w:line="410" w:lineRule="auto"/>
        <w:ind w:left="1065" w:right="221" w:hanging="851"/>
        <w:jc w:val="left"/>
        <w:rPr>
          <w:sz w:val="21"/>
        </w:rPr>
      </w:pPr>
      <w:r>
        <w:rPr>
          <w:spacing w:val="-2"/>
          <w:sz w:val="21"/>
        </w:rPr>
        <w:t>投标人应提交证明其有资格参加投标和中标后有能力履行合同的文件，以及证明其拟供的合同</w:t>
      </w:r>
      <w:r>
        <w:rPr>
          <w:spacing w:val="-2"/>
          <w:sz w:val="21"/>
        </w:rPr>
        <w:t>项下的货物和服务的合格性符合招标文件规定的文件，并作为其投标文件的一部分。</w:t>
      </w:r>
    </w:p>
    <w:p>
      <w:pPr>
        <w:pStyle w:val="ListParagraph"/>
        <w:numPr>
          <w:ilvl w:val="0"/>
          <w:numId w:val="56"/>
        </w:numPr>
        <w:tabs>
          <w:tab w:val="left" w:pos="1064"/>
          <w:tab w:val="left" w:pos="1065"/>
        </w:tabs>
        <w:spacing w:before="0" w:after="0" w:line="240" w:lineRule="auto"/>
        <w:ind w:left="1064" w:right="0" w:hanging="851"/>
        <w:jc w:val="left"/>
        <w:rPr>
          <w:sz w:val="21"/>
        </w:rPr>
      </w:pPr>
      <w:r>
        <w:rPr>
          <w:spacing w:val="-1"/>
          <w:sz w:val="21"/>
        </w:rPr>
        <w:t>投标人提交的中标后履行合同的资格证明文件应满足招标文件中对资格证明文件的要求。</w:t>
      </w:r>
    </w:p>
    <w:p>
      <w:pPr>
        <w:pStyle w:val="BodyText"/>
        <w:spacing w:before="11"/>
        <w:rPr>
          <w:sz w:val="14"/>
        </w:rPr>
      </w:pPr>
    </w:p>
    <w:p>
      <w:pPr>
        <w:pStyle w:val="ListParagraph"/>
        <w:numPr>
          <w:ilvl w:val="0"/>
          <w:numId w:val="56"/>
        </w:numPr>
        <w:tabs>
          <w:tab w:val="left" w:pos="1064"/>
          <w:tab w:val="left" w:pos="1065"/>
        </w:tabs>
        <w:spacing w:before="1" w:after="0" w:line="410" w:lineRule="auto"/>
        <w:ind w:left="1065" w:right="221" w:hanging="851"/>
        <w:jc w:val="left"/>
        <w:rPr>
          <w:sz w:val="21"/>
        </w:rPr>
      </w:pPr>
      <w:r>
        <w:rPr>
          <w:spacing w:val="-2"/>
          <w:sz w:val="21"/>
        </w:rPr>
        <w:t>证明货物和服务与招标文件的要求相一致的文件，可以是文字资料、图纸，包括货物的主要指</w:t>
      </w:r>
      <w:r>
        <w:rPr>
          <w:spacing w:val="-2"/>
          <w:sz w:val="21"/>
        </w:rPr>
        <w:t>标、性能和系统安装调试、验收的详细说明。</w:t>
      </w:r>
    </w:p>
    <w:p>
      <w:pPr>
        <w:pStyle w:val="BodyText"/>
        <w:spacing w:before="4"/>
        <w:rPr>
          <w:sz w:val="27"/>
        </w:rPr>
      </w:pPr>
    </w:p>
    <w:p>
      <w:pPr>
        <w:pStyle w:val="Heading3"/>
        <w:numPr>
          <w:ilvl w:val="0"/>
          <w:numId w:val="67"/>
        </w:numPr>
        <w:tabs>
          <w:tab w:val="left" w:pos="1064"/>
          <w:tab w:val="left" w:pos="1066"/>
        </w:tabs>
        <w:spacing w:before="0" w:after="0" w:line="240" w:lineRule="auto"/>
        <w:ind w:left="1065" w:right="0" w:hanging="852"/>
        <w:jc w:val="left"/>
      </w:pPr>
      <w:r>
        <w:rPr>
          <w:spacing w:val="-2"/>
        </w:rPr>
        <w:t>投标保证金</w:t>
      </w:r>
    </w:p>
    <w:p>
      <w:pPr>
        <w:pStyle w:val="ListParagraph"/>
        <w:numPr>
          <w:ilvl w:val="0"/>
          <w:numId w:val="55"/>
        </w:numPr>
        <w:tabs>
          <w:tab w:val="left" w:pos="1064"/>
          <w:tab w:val="left" w:pos="1065"/>
        </w:tabs>
        <w:spacing w:before="128" w:after="0" w:line="240" w:lineRule="auto"/>
        <w:ind w:left="1064" w:right="0" w:hanging="851"/>
        <w:jc w:val="left"/>
        <w:rPr>
          <w:sz w:val="21"/>
        </w:rPr>
      </w:pPr>
      <w:r>
        <w:rPr>
          <w:spacing w:val="-1"/>
          <w:sz w:val="21"/>
        </w:rPr>
        <w:t>投标人必须提交金额为：</w:t>
      </w:r>
    </w:p>
    <w:p>
      <w:pPr>
        <w:pStyle w:val="BodyText"/>
        <w:spacing w:before="12"/>
        <w:rPr>
          <w:sz w:val="14"/>
        </w:rPr>
      </w:pPr>
    </w:p>
    <w:p>
      <w:pPr>
        <w:pStyle w:val="BodyText"/>
        <w:tabs>
          <w:tab w:val="left" w:pos="1784"/>
        </w:tabs>
        <w:ind w:right="9"/>
        <w:jc w:val="center"/>
      </w:pPr>
      <w:r>
        <w:rPr>
          <w:u w:val="single"/>
        </w:rPr>
        <w:t xml:space="preserve">¥ 30,000.00 </w:t>
      </w:r>
      <w:r>
        <w:rPr>
          <w:spacing w:val="-10"/>
          <w:u w:val="single"/>
        </w:rPr>
        <w:t>元</w:t>
      </w:r>
      <w:r>
        <w:rPr>
          <w:u w:val="single"/>
        </w:rPr>
        <w:tab/>
        <w:t>（大写：人民币叁万元整</w:t>
      </w:r>
      <w:r>
        <w:rPr>
          <w:spacing w:val="-10"/>
          <w:u w:val="single"/>
        </w:rPr>
        <w:t>）</w:t>
      </w:r>
    </w:p>
    <w:p>
      <w:pPr>
        <w:pStyle w:val="BodyText"/>
        <w:spacing w:before="5"/>
        <w:rPr>
          <w:sz w:val="9"/>
        </w:rPr>
      </w:pPr>
    </w:p>
    <w:p>
      <w:pPr>
        <w:pStyle w:val="BodyText"/>
        <w:spacing w:before="70" w:line="410" w:lineRule="auto"/>
        <w:ind w:left="1060" w:right="222" w:hanging="2"/>
      </w:pPr>
      <w:r>
        <w:rPr>
          <w:spacing w:val="-2"/>
        </w:rPr>
        <w:t>投标人按交纳的投标保证金作为其投标文件的一部分。未按规定提交投标保证金的，将被视为</w:t>
      </w:r>
      <w:r>
        <w:rPr>
          <w:spacing w:val="-2"/>
        </w:rPr>
        <w:t>无效投标。</w:t>
      </w:r>
    </w:p>
    <w:p>
      <w:pPr>
        <w:pStyle w:val="ListParagraph"/>
        <w:numPr>
          <w:ilvl w:val="0"/>
          <w:numId w:val="55"/>
        </w:numPr>
        <w:tabs>
          <w:tab w:val="left" w:pos="1064"/>
          <w:tab w:val="left" w:pos="1065"/>
        </w:tabs>
        <w:spacing w:before="0" w:after="0" w:line="410" w:lineRule="auto"/>
        <w:ind w:left="1065" w:right="221" w:hanging="851"/>
        <w:jc w:val="left"/>
        <w:rPr>
          <w:sz w:val="21"/>
        </w:rPr>
      </w:pPr>
      <w:r>
        <w:rPr>
          <w:spacing w:val="-4"/>
          <w:sz w:val="21"/>
        </w:rPr>
        <w:t xml:space="preserve">投标保证金必须在 </w:t>
      </w:r>
      <w:r>
        <w:rPr>
          <w:sz w:val="21"/>
        </w:rPr>
        <w:t>2014</w:t>
      </w:r>
      <w:r>
        <w:rPr>
          <w:spacing w:val="-26"/>
          <w:sz w:val="21"/>
        </w:rPr>
        <w:t xml:space="preserve"> 年 </w:t>
      </w:r>
      <w:r>
        <w:rPr>
          <w:sz w:val="21"/>
        </w:rPr>
        <w:t>08</w:t>
      </w:r>
      <w:r>
        <w:rPr>
          <w:spacing w:val="-26"/>
          <w:sz w:val="21"/>
        </w:rPr>
        <w:t xml:space="preserve"> 月 </w:t>
      </w:r>
      <w:r>
        <w:rPr>
          <w:sz w:val="21"/>
        </w:rPr>
        <w:t>08</w:t>
      </w:r>
      <w:r>
        <w:rPr>
          <w:spacing w:val="-16"/>
          <w:sz w:val="21"/>
        </w:rPr>
        <w:t xml:space="preserve"> 日下午 </w:t>
      </w:r>
      <w:r>
        <w:rPr>
          <w:sz w:val="21"/>
        </w:rPr>
        <w:t>5：30</w:t>
      </w:r>
      <w:r>
        <w:rPr>
          <w:spacing w:val="-7"/>
          <w:sz w:val="21"/>
        </w:rPr>
        <w:t xml:space="preserve"> 之前到达采购代理机构帐户上，并在递交投</w:t>
      </w:r>
      <w:r>
        <w:rPr>
          <w:spacing w:val="-2"/>
          <w:sz w:val="21"/>
        </w:rPr>
        <w:t>标文件时，递交银行划款单原件及复印件一份（原件审核后当场退还，复印件需加盖公章）。</w:t>
      </w:r>
    </w:p>
    <w:p>
      <w:pPr>
        <w:pStyle w:val="ListParagraph"/>
        <w:numPr>
          <w:ilvl w:val="0"/>
          <w:numId w:val="55"/>
        </w:numPr>
        <w:tabs>
          <w:tab w:val="left" w:pos="1064"/>
          <w:tab w:val="left" w:pos="1065"/>
        </w:tabs>
        <w:spacing w:before="0" w:after="0" w:line="410" w:lineRule="auto"/>
        <w:ind w:left="1065" w:right="222" w:hanging="851"/>
        <w:jc w:val="left"/>
        <w:rPr>
          <w:sz w:val="21"/>
        </w:rPr>
      </w:pPr>
      <w:r>
        <w:rPr>
          <w:spacing w:val="5"/>
          <w:sz w:val="21"/>
        </w:rPr>
        <w:t>投标保证金是为了保护采购代理机构和采购人免遭因投标人的行为而蒙受损失，采购代理机构、采购人在因投标人的行为受到损害时可以没收投标人的投标保证金。</w:t>
      </w:r>
    </w:p>
    <w:p>
      <w:pPr>
        <w:pStyle w:val="ListParagraph"/>
        <w:numPr>
          <w:ilvl w:val="0"/>
          <w:numId w:val="55"/>
        </w:numPr>
        <w:tabs>
          <w:tab w:val="left" w:pos="1064"/>
          <w:tab w:val="left" w:pos="1065"/>
        </w:tabs>
        <w:spacing w:before="0" w:after="0" w:line="240" w:lineRule="auto"/>
        <w:ind w:left="1064" w:right="0" w:hanging="851"/>
        <w:jc w:val="left"/>
        <w:rPr>
          <w:sz w:val="21"/>
        </w:rPr>
      </w:pPr>
      <w:r>
        <w:rPr>
          <w:spacing w:val="-1"/>
          <w:sz w:val="21"/>
        </w:rPr>
        <w:t>投标保证金以银行划帐方式提交，应同时满足下列规定：</w:t>
      </w:r>
    </w:p>
    <w:p>
      <w:pPr>
        <w:pStyle w:val="Heading4"/>
        <w:numPr>
          <w:ilvl w:val="1"/>
          <w:numId w:val="55"/>
        </w:numPr>
        <w:tabs>
          <w:tab w:val="left" w:pos="1590"/>
          <w:tab w:val="left" w:pos="1591"/>
          <w:tab w:val="left" w:pos="2014"/>
        </w:tabs>
        <w:spacing w:before="121" w:after="0" w:line="285" w:lineRule="auto"/>
        <w:ind w:left="1592" w:right="4349" w:hanging="530"/>
        <w:jc w:val="left"/>
      </w:pPr>
      <w:r>
        <w:rPr>
          <w:spacing w:val="-2"/>
        </w:rPr>
        <w:t>收</w:t>
      </w:r>
      <w:r>
        <w:rPr>
          <w:spacing w:val="-2"/>
        </w:rPr>
        <w:t>款</w:t>
      </w:r>
      <w:r>
        <w:rPr>
          <w:spacing w:val="-2"/>
        </w:rPr>
        <w:t>人</w:t>
      </w:r>
      <w:r>
        <w:rPr>
          <w:spacing w:val="-2"/>
        </w:rPr>
        <w:t>：</w:t>
      </w:r>
      <w:r>
        <w:rPr>
          <w:spacing w:val="-2"/>
        </w:rPr>
        <w:t>广</w:t>
      </w:r>
      <w:r>
        <w:rPr>
          <w:spacing w:val="-2"/>
        </w:rPr>
        <w:t>东</w:t>
      </w:r>
      <w:r>
        <w:rPr>
          <w:spacing w:val="-2"/>
        </w:rPr>
        <w:t>志</w:t>
      </w:r>
      <w:r>
        <w:rPr>
          <w:spacing w:val="-2"/>
        </w:rPr>
        <w:t>正</w:t>
      </w:r>
      <w:r>
        <w:rPr>
          <w:spacing w:val="-2"/>
        </w:rPr>
        <w:t>招</w:t>
      </w:r>
      <w:r>
        <w:rPr>
          <w:spacing w:val="-2"/>
        </w:rPr>
        <w:t>标</w:t>
      </w:r>
      <w:r>
        <w:rPr>
          <w:spacing w:val="-2"/>
        </w:rPr>
        <w:t>有</w:t>
      </w:r>
      <w:r>
        <w:rPr>
          <w:spacing w:val="-2"/>
        </w:rPr>
        <w:t>限</w:t>
      </w:r>
      <w:r>
        <w:rPr>
          <w:spacing w:val="-2"/>
        </w:rPr>
        <w:t>公</w:t>
      </w:r>
      <w:r>
        <w:rPr>
          <w:spacing w:val="-2"/>
        </w:rPr>
        <w:t>司</w:t>
      </w:r>
      <w:r>
        <w:rPr>
          <w:spacing w:val="-2"/>
        </w:rPr>
        <w:t>中</w:t>
      </w:r>
      <w:r>
        <w:rPr>
          <w:spacing w:val="-2"/>
          <w:w w:val="105"/>
        </w:rPr>
        <w:t>ft</w:t>
      </w:r>
      <w:r>
        <w:rPr>
          <w:spacing w:val="-2"/>
        </w:rPr>
        <w:t>分</w:t>
      </w:r>
      <w:r>
        <w:rPr>
          <w:spacing w:val="-2"/>
        </w:rPr>
        <w:t>公</w:t>
      </w:r>
      <w:r>
        <w:rPr>
          <w:spacing w:val="-2"/>
        </w:rPr>
        <w:t>司</w:t>
      </w:r>
      <w:r>
        <w:rPr>
          <w:spacing w:val="-2"/>
        </w:rPr>
        <w:t>开</w:t>
      </w:r>
      <w:r>
        <w:rPr>
          <w:spacing w:val="-2"/>
        </w:rPr>
        <w:t>户</w:t>
      </w:r>
      <w:r>
        <w:rPr>
          <w:spacing w:val="-2"/>
        </w:rPr>
        <w:t>行</w:t>
      </w:r>
      <w:r>
        <w:rPr>
          <w:spacing w:val="-2"/>
        </w:rPr>
        <w:t>：</w:t>
      </w:r>
      <w:r>
        <w:rPr>
          <w:spacing w:val="-2"/>
        </w:rPr>
        <w:t>中</w:t>
      </w:r>
      <w:r>
        <w:rPr>
          <w:spacing w:val="-2"/>
        </w:rPr>
        <w:t>国</w:t>
      </w:r>
      <w:r>
        <w:rPr>
          <w:spacing w:val="-2"/>
        </w:rPr>
        <w:t>工</w:t>
      </w:r>
      <w:r>
        <w:rPr>
          <w:spacing w:val="-2"/>
        </w:rPr>
        <w:t>商</w:t>
      </w:r>
      <w:r>
        <w:rPr>
          <w:spacing w:val="-2"/>
        </w:rPr>
        <w:t>银</w:t>
      </w:r>
      <w:r>
        <w:rPr>
          <w:spacing w:val="-2"/>
        </w:rPr>
        <w:t>行</w:t>
      </w:r>
      <w:r>
        <w:rPr>
          <w:spacing w:val="-2"/>
        </w:rPr>
        <w:t>中</w:t>
      </w:r>
      <w:r>
        <w:rPr>
          <w:spacing w:val="-2"/>
          <w:w w:val="105"/>
        </w:rPr>
        <w:t>ft</w:t>
      </w:r>
      <w:r>
        <w:rPr>
          <w:spacing w:val="-2"/>
        </w:rPr>
        <w:t>市</w:t>
      </w:r>
      <w:r>
        <w:rPr>
          <w:spacing w:val="-2"/>
        </w:rPr>
        <w:t>水</w:t>
      </w:r>
      <w:r>
        <w:rPr>
          <w:spacing w:val="-2"/>
        </w:rPr>
        <w:t>云</w:t>
      </w:r>
      <w:r>
        <w:rPr>
          <w:spacing w:val="-2"/>
        </w:rPr>
        <w:t>轩</w:t>
      </w:r>
      <w:r>
        <w:rPr>
          <w:spacing w:val="-2"/>
        </w:rPr>
        <w:t>支</w:t>
      </w:r>
      <w:r>
        <w:rPr>
          <w:spacing w:val="-2"/>
        </w:rPr>
        <w:t>行</w:t>
      </w:r>
      <w:r>
        <w:rPr>
          <w:spacing w:val="80"/>
          <w:w w:val="150"/>
        </w:rPr>
        <w:t xml:space="preserve"> </w:t>
      </w:r>
      <w:r>
        <w:rPr>
          <w:spacing w:val="-10"/>
        </w:rPr>
        <w:t>帐</w:t>
      </w:r>
      <w:r>
        <w:tab/>
      </w:r>
      <w:r>
        <w:rPr>
          <w:spacing w:val="-4"/>
        </w:rPr>
        <w:t>号</w:t>
      </w:r>
      <w:r>
        <w:rPr>
          <w:spacing w:val="-4"/>
        </w:rPr>
        <w:t>：2011</w:t>
      </w:r>
      <w:r>
        <w:rPr>
          <w:spacing w:val="18"/>
        </w:rPr>
        <w:t xml:space="preserve"> </w:t>
      </w:r>
      <w:r>
        <w:rPr>
          <w:spacing w:val="-4"/>
        </w:rPr>
        <w:t>0042</w:t>
      </w:r>
      <w:r>
        <w:rPr>
          <w:spacing w:val="18"/>
        </w:rPr>
        <w:t xml:space="preserve"> </w:t>
      </w:r>
      <w:r>
        <w:rPr>
          <w:spacing w:val="-4"/>
        </w:rPr>
        <w:t>1920</w:t>
      </w:r>
      <w:r>
        <w:rPr>
          <w:spacing w:val="18"/>
        </w:rPr>
        <w:t xml:space="preserve"> </w:t>
      </w:r>
      <w:r>
        <w:rPr>
          <w:spacing w:val="-4"/>
        </w:rPr>
        <w:t>0032</w:t>
      </w:r>
      <w:r>
        <w:rPr>
          <w:spacing w:val="18"/>
        </w:rPr>
        <w:t xml:space="preserve"> </w:t>
      </w:r>
      <w:r>
        <w:rPr>
          <w:spacing w:val="-4"/>
        </w:rPr>
        <w:t>717</w:t>
      </w:r>
    </w:p>
    <w:p>
      <w:pPr>
        <w:pStyle w:val="Heading4"/>
        <w:numPr>
          <w:ilvl w:val="1"/>
          <w:numId w:val="55"/>
        </w:numPr>
        <w:tabs>
          <w:tab w:val="left" w:pos="1485"/>
        </w:tabs>
        <w:spacing w:before="2" w:after="0" w:line="240" w:lineRule="auto"/>
        <w:ind w:left="1484" w:right="0" w:hanging="423"/>
        <w:jc w:val="left"/>
      </w:pPr>
      <w:r>
        <w:rPr>
          <w:spacing w:val="-2"/>
        </w:rPr>
        <w:t>注明招标编号。</w:t>
      </w:r>
    </w:p>
    <w:p>
      <w:pPr>
        <w:pStyle w:val="ListParagraph"/>
        <w:numPr>
          <w:ilvl w:val="0"/>
          <w:numId w:val="55"/>
        </w:numPr>
        <w:tabs>
          <w:tab w:val="left" w:pos="1064"/>
          <w:tab w:val="left" w:pos="1065"/>
        </w:tabs>
        <w:spacing w:before="143" w:after="0" w:line="240" w:lineRule="auto"/>
        <w:ind w:left="1064" w:right="0" w:hanging="851"/>
        <w:jc w:val="left"/>
        <w:rPr>
          <w:sz w:val="21"/>
        </w:rPr>
      </w:pPr>
      <w:r>
        <w:rPr>
          <w:spacing w:val="-1"/>
          <w:sz w:val="21"/>
        </w:rPr>
        <w:t>凡没有根据投标人须知的规定随附投标保证金的投标，将视为非响应性投标予以拒绝。</w:t>
      </w:r>
    </w:p>
    <w:p>
      <w:pPr>
        <w:pStyle w:val="BodyText"/>
        <w:spacing w:before="11"/>
        <w:rPr>
          <w:sz w:val="14"/>
        </w:rPr>
      </w:pPr>
    </w:p>
    <w:p>
      <w:pPr>
        <w:pStyle w:val="ListParagraph"/>
        <w:numPr>
          <w:ilvl w:val="0"/>
          <w:numId w:val="55"/>
        </w:numPr>
        <w:tabs>
          <w:tab w:val="left" w:pos="1064"/>
          <w:tab w:val="left" w:pos="1065"/>
        </w:tabs>
        <w:spacing w:before="1" w:after="0" w:line="410" w:lineRule="auto"/>
        <w:ind w:left="1065" w:right="222" w:hanging="851"/>
        <w:jc w:val="left"/>
        <w:rPr>
          <w:sz w:val="21"/>
        </w:rPr>
      </w:pPr>
      <w:r>
        <w:rPr>
          <w:spacing w:val="-2"/>
          <w:sz w:val="21"/>
        </w:rPr>
        <w:t xml:space="preserve">未中标人的投标保证金，将在投标有效期满后或在发出《招标结果通知书》之日起 </w:t>
      </w:r>
      <w:r>
        <w:rPr>
          <w:sz w:val="21"/>
        </w:rPr>
        <w:t>5</w:t>
      </w:r>
      <w:r>
        <w:rPr>
          <w:spacing w:val="-10"/>
          <w:sz w:val="21"/>
        </w:rPr>
        <w:t xml:space="preserve"> 个工作日</w:t>
      </w:r>
      <w:r>
        <w:rPr>
          <w:spacing w:val="-2"/>
          <w:sz w:val="21"/>
        </w:rPr>
        <w:t>内原额退还（保证金不计利息）。</w:t>
      </w:r>
    </w:p>
    <w:p>
      <w:pPr>
        <w:spacing w:after="0" w:line="410" w:lineRule="auto"/>
        <w:jc w:val="left"/>
        <w:rPr>
          <w:sz w:val="21"/>
        </w:rPr>
        <w:sectPr>
          <w:headerReference w:type="default" r:id="rId69"/>
          <w:footerReference w:type="default" r:id="rId70"/>
          <w:pgSz w:w="11910" w:h="16840"/>
          <w:pgMar w:top="1340" w:right="1080" w:bottom="1000" w:left="880" w:header="822" w:footer="805"/>
          <w:pgNumType w:start="32"/>
          <w:cols w:space="708"/>
        </w:sectPr>
      </w:pPr>
    </w:p>
    <w:p>
      <w:pPr>
        <w:pStyle w:val="BodyText"/>
        <w:spacing w:before="12"/>
        <w:rPr>
          <w:sz w:val="11"/>
        </w:rPr>
      </w:pPr>
    </w:p>
    <w:p>
      <w:pPr>
        <w:pStyle w:val="ListParagraph"/>
        <w:numPr>
          <w:ilvl w:val="0"/>
          <w:numId w:val="55"/>
        </w:numPr>
        <w:tabs>
          <w:tab w:val="left" w:pos="1064"/>
          <w:tab w:val="left" w:pos="1065"/>
        </w:tabs>
        <w:spacing w:before="70" w:after="0" w:line="410" w:lineRule="auto"/>
        <w:ind w:left="1054" w:right="3957" w:hanging="840"/>
        <w:jc w:val="left"/>
        <w:rPr>
          <w:sz w:val="21"/>
        </w:rPr>
      </w:pPr>
      <w:r>
        <w:rPr>
          <w:spacing w:val="-2"/>
          <w:sz w:val="21"/>
        </w:rPr>
        <w:t>中标人的投标保证金的退还必须同时满足以下要求： a）中标人按《投标人须知》规定签订合同。</w:t>
      </w:r>
      <w:r>
        <w:rPr>
          <w:spacing w:val="80"/>
          <w:w w:val="150"/>
          <w:sz w:val="21"/>
        </w:rPr>
        <w:t xml:space="preserve">   </w:t>
      </w:r>
      <w:r>
        <w:rPr>
          <w:spacing w:val="-2"/>
          <w:sz w:val="21"/>
        </w:rPr>
        <w:t>b）中标人按《投标人须知》规定支付了中标服务费。</w:t>
      </w:r>
    </w:p>
    <w:p>
      <w:pPr>
        <w:pStyle w:val="BodyText"/>
        <w:spacing w:line="410" w:lineRule="auto"/>
        <w:ind w:left="1380" w:right="222" w:hanging="326"/>
      </w:pPr>
      <w:r>
        <w:rPr>
          <w:spacing w:val="-2"/>
        </w:rPr>
        <w:t>c）如果中标人拒绝支付规定的中标服务费，采购代理机构/采购人有权在投标人所交的投标保</w:t>
      </w:r>
      <w:r>
        <w:rPr>
          <w:spacing w:val="-2"/>
        </w:rPr>
        <w:t>证金中扣除全部费用，同时保留取消其中标资格并追究其法律责任的权利。</w:t>
      </w:r>
    </w:p>
    <w:p>
      <w:pPr>
        <w:pStyle w:val="ListParagraph"/>
        <w:numPr>
          <w:ilvl w:val="0"/>
          <w:numId w:val="55"/>
        </w:numPr>
        <w:tabs>
          <w:tab w:val="left" w:pos="1064"/>
          <w:tab w:val="left" w:pos="1065"/>
        </w:tabs>
        <w:spacing w:before="0" w:after="0" w:line="240" w:lineRule="auto"/>
        <w:ind w:left="1064" w:right="0" w:hanging="851"/>
        <w:jc w:val="left"/>
        <w:rPr>
          <w:sz w:val="21"/>
        </w:rPr>
      </w:pPr>
      <w:r>
        <w:rPr>
          <w:spacing w:val="-1"/>
          <w:sz w:val="21"/>
        </w:rPr>
        <w:t>下列任何一种情况发生时，投标保证金将被没收：</w:t>
      </w:r>
    </w:p>
    <w:p>
      <w:pPr>
        <w:pStyle w:val="BodyText"/>
        <w:spacing w:before="11"/>
        <w:rPr>
          <w:sz w:val="14"/>
        </w:rPr>
      </w:pPr>
    </w:p>
    <w:p>
      <w:pPr>
        <w:pStyle w:val="ListParagraph"/>
        <w:numPr>
          <w:ilvl w:val="1"/>
          <w:numId w:val="55"/>
        </w:numPr>
        <w:tabs>
          <w:tab w:val="left" w:pos="1370"/>
        </w:tabs>
        <w:spacing w:before="0" w:after="0" w:line="240" w:lineRule="auto"/>
        <w:ind w:left="1370" w:right="0" w:hanging="316"/>
        <w:jc w:val="left"/>
        <w:rPr>
          <w:sz w:val="19"/>
        </w:rPr>
      </w:pPr>
      <w:r>
        <w:rPr>
          <w:spacing w:val="-1"/>
          <w:sz w:val="21"/>
        </w:rPr>
        <w:t>投标人在招标文件中规定的投标有效期内撤回其投标；</w:t>
      </w:r>
    </w:p>
    <w:p>
      <w:pPr>
        <w:pStyle w:val="BodyText"/>
        <w:spacing w:before="12"/>
        <w:rPr>
          <w:sz w:val="14"/>
        </w:rPr>
      </w:pPr>
    </w:p>
    <w:p>
      <w:pPr>
        <w:pStyle w:val="ListParagraph"/>
        <w:numPr>
          <w:ilvl w:val="1"/>
          <w:numId w:val="55"/>
        </w:numPr>
        <w:tabs>
          <w:tab w:val="left" w:pos="1374"/>
        </w:tabs>
        <w:spacing w:before="0" w:after="0" w:line="410" w:lineRule="auto"/>
        <w:ind w:left="1380" w:right="222" w:hanging="326"/>
        <w:jc w:val="left"/>
        <w:rPr>
          <w:sz w:val="19"/>
        </w:rPr>
      </w:pPr>
      <w:r>
        <w:rPr>
          <w:spacing w:val="3"/>
          <w:sz w:val="21"/>
        </w:rPr>
        <w:t>中标人在规定期限内未能按《投标人须知》规定签订合同，或未能按《投标人须知》规定</w:t>
      </w:r>
      <w:r>
        <w:rPr>
          <w:sz w:val="21"/>
        </w:rPr>
        <w:t>接受对错误的修正。</w:t>
      </w:r>
    </w:p>
    <w:p>
      <w:pPr>
        <w:pStyle w:val="BodyText"/>
        <w:spacing w:before="4"/>
        <w:rPr>
          <w:sz w:val="27"/>
        </w:rPr>
      </w:pPr>
    </w:p>
    <w:p>
      <w:pPr>
        <w:pStyle w:val="Heading3"/>
        <w:numPr>
          <w:ilvl w:val="0"/>
          <w:numId w:val="67"/>
        </w:numPr>
        <w:tabs>
          <w:tab w:val="left" w:pos="1064"/>
          <w:tab w:val="left" w:pos="1066"/>
        </w:tabs>
        <w:spacing w:before="1" w:after="0" w:line="240" w:lineRule="auto"/>
        <w:ind w:left="1065" w:right="0" w:hanging="852"/>
        <w:jc w:val="left"/>
      </w:pPr>
      <w:r>
        <w:rPr>
          <w:spacing w:val="-2"/>
        </w:rPr>
        <w:t>投标有效期</w:t>
      </w:r>
    </w:p>
    <w:p>
      <w:pPr>
        <w:pStyle w:val="ListParagraph"/>
        <w:numPr>
          <w:ilvl w:val="0"/>
          <w:numId w:val="54"/>
        </w:numPr>
        <w:tabs>
          <w:tab w:val="left" w:pos="1065"/>
        </w:tabs>
        <w:spacing w:before="127" w:after="0" w:line="410" w:lineRule="auto"/>
        <w:ind w:left="1065" w:right="222" w:hanging="851"/>
        <w:jc w:val="both"/>
        <w:rPr>
          <w:sz w:val="21"/>
        </w:rPr>
      </w:pPr>
      <w:r>
        <w:rPr>
          <w:spacing w:val="-1"/>
          <w:sz w:val="21"/>
        </w:rPr>
        <w:t xml:space="preserve">投标文件应在投标截止日后的 </w:t>
      </w:r>
      <w:r>
        <w:rPr>
          <w:sz w:val="21"/>
        </w:rPr>
        <w:t>90</w:t>
      </w:r>
      <w:r>
        <w:rPr>
          <w:spacing w:val="-5"/>
          <w:sz w:val="21"/>
        </w:rPr>
        <w:t xml:space="preserve"> 天内保持有效。中标人投标有效期则顺延至项目完成验收之</w:t>
      </w:r>
      <w:r>
        <w:rPr>
          <w:spacing w:val="5"/>
          <w:sz w:val="21"/>
        </w:rPr>
        <w:t>日，在此有效期内未经采购人同意，投标文件的一切内容和补充承诺均为持续有效且不予改变。</w:t>
      </w:r>
    </w:p>
    <w:p>
      <w:pPr>
        <w:pStyle w:val="ListParagraph"/>
        <w:numPr>
          <w:ilvl w:val="0"/>
          <w:numId w:val="54"/>
        </w:numPr>
        <w:tabs>
          <w:tab w:val="left" w:pos="1065"/>
        </w:tabs>
        <w:spacing w:before="0" w:after="0" w:line="269" w:lineRule="exact"/>
        <w:ind w:left="1064" w:right="0" w:hanging="851"/>
        <w:jc w:val="both"/>
        <w:rPr>
          <w:sz w:val="21"/>
        </w:rPr>
      </w:pPr>
      <w:r>
        <w:rPr>
          <w:spacing w:val="-1"/>
          <w:sz w:val="21"/>
        </w:rPr>
        <w:t>投标有效期比规定期限短的将被视为非响应标而予以拒绝。</w:t>
      </w:r>
    </w:p>
    <w:p>
      <w:pPr>
        <w:pStyle w:val="BodyText"/>
        <w:rPr>
          <w:sz w:val="20"/>
        </w:rPr>
      </w:pPr>
    </w:p>
    <w:p>
      <w:pPr>
        <w:pStyle w:val="BodyText"/>
        <w:spacing w:before="4"/>
        <w:rPr>
          <w:sz w:val="22"/>
        </w:rPr>
      </w:pPr>
    </w:p>
    <w:p>
      <w:pPr>
        <w:pStyle w:val="Heading3"/>
        <w:numPr>
          <w:ilvl w:val="0"/>
          <w:numId w:val="67"/>
        </w:numPr>
        <w:tabs>
          <w:tab w:val="left" w:pos="1066"/>
        </w:tabs>
        <w:spacing w:before="0" w:after="0" w:line="240" w:lineRule="auto"/>
        <w:ind w:left="1065" w:right="0" w:hanging="852"/>
        <w:jc w:val="both"/>
      </w:pPr>
      <w:r>
        <w:rPr>
          <w:spacing w:val="-1"/>
        </w:rPr>
        <w:t>投标文件的式样和签署</w:t>
      </w:r>
    </w:p>
    <w:p>
      <w:pPr>
        <w:pStyle w:val="ListParagraph"/>
        <w:numPr>
          <w:ilvl w:val="0"/>
          <w:numId w:val="53"/>
        </w:numPr>
        <w:tabs>
          <w:tab w:val="left" w:pos="1065"/>
        </w:tabs>
        <w:spacing w:before="59" w:after="0" w:line="307" w:lineRule="auto"/>
        <w:ind w:left="1065" w:right="222" w:hanging="851"/>
        <w:jc w:val="both"/>
        <w:rPr>
          <w:sz w:val="21"/>
        </w:rPr>
      </w:pPr>
      <w:r>
        <w:rPr>
          <w:spacing w:val="3"/>
          <w:sz w:val="21"/>
        </w:rPr>
        <w:t>投标人应准备投标文件</w:t>
      </w:r>
      <w:r>
        <w:rPr>
          <w:rFonts w:ascii="Microsoft JhengHei" w:eastAsia="Microsoft JhengHei" w:hAnsi="Microsoft JhengHei"/>
          <w:b/>
          <w:spacing w:val="4"/>
          <w:sz w:val="21"/>
        </w:rPr>
        <w:t>正本一份，副本七份和与标书内容相同的电子标书一份（软盘</w:t>
      </w:r>
      <w:r>
        <w:rPr>
          <w:rFonts w:ascii="Microsoft JhengHei" w:eastAsia="Microsoft JhengHei" w:hAnsi="Microsoft JhengHei"/>
          <w:b/>
          <w:w w:val="113"/>
          <w:sz w:val="21"/>
        </w:rPr>
        <w:t>/</w:t>
      </w:r>
      <w:r>
        <w:rPr>
          <w:rFonts w:ascii="Microsoft JhengHei" w:eastAsia="Microsoft JhengHei" w:hAnsi="Microsoft JhengHei"/>
          <w:b/>
          <w:spacing w:val="2"/>
          <w:sz w:val="21"/>
        </w:rPr>
        <w:t>光盘，</w:t>
      </w:r>
      <w:r>
        <w:rPr>
          <w:rFonts w:ascii="Microsoft JhengHei" w:eastAsia="Microsoft JhengHei" w:hAnsi="Microsoft JhengHei"/>
          <w:b/>
          <w:spacing w:val="1"/>
          <w:sz w:val="21"/>
        </w:rPr>
        <w:t>封面注明公司名称和招标编号）</w:t>
      </w:r>
      <w:r>
        <w:rPr>
          <w:sz w:val="21"/>
        </w:rPr>
        <w:t>，在每一份投标文件上要明确注明“正本”或“副本”字样；一旦正本和副本内容有差异，以正本为准。</w:t>
      </w:r>
    </w:p>
    <w:p>
      <w:pPr>
        <w:pStyle w:val="ListParagraph"/>
        <w:numPr>
          <w:ilvl w:val="0"/>
          <w:numId w:val="53"/>
        </w:numPr>
        <w:tabs>
          <w:tab w:val="left" w:pos="1065"/>
        </w:tabs>
        <w:spacing w:before="116" w:after="0" w:line="348" w:lineRule="auto"/>
        <w:ind w:left="1065" w:right="221" w:hanging="851"/>
        <w:jc w:val="both"/>
        <w:rPr>
          <w:sz w:val="21"/>
        </w:rPr>
      </w:pPr>
      <w:r>
        <w:rPr>
          <w:spacing w:val="-2"/>
          <w:sz w:val="21"/>
        </w:rPr>
        <w:t>投标文件正本均须用不褪色墨水书写或打印，由法定代表人或经过正式授权并对投标人有约束</w:t>
      </w:r>
      <w:r>
        <w:rPr>
          <w:spacing w:val="-2"/>
          <w:sz w:val="21"/>
        </w:rPr>
        <w:t>力的代表在</w:t>
      </w:r>
      <w:r>
        <w:rPr>
          <w:rFonts w:ascii="Microsoft JhengHei" w:eastAsia="Microsoft JhengHei"/>
          <w:b/>
          <w:spacing w:val="-2"/>
          <w:sz w:val="21"/>
        </w:rPr>
        <w:t>正本上要求的地方签字，并加盖骑缝章</w:t>
      </w:r>
      <w:r>
        <w:rPr>
          <w:spacing w:val="-2"/>
          <w:sz w:val="21"/>
        </w:rPr>
        <w:t>。</w:t>
      </w:r>
    </w:p>
    <w:p>
      <w:pPr>
        <w:pStyle w:val="ListParagraph"/>
        <w:numPr>
          <w:ilvl w:val="0"/>
          <w:numId w:val="53"/>
        </w:numPr>
        <w:tabs>
          <w:tab w:val="left" w:pos="1065"/>
        </w:tabs>
        <w:spacing w:before="0" w:after="0" w:line="239" w:lineRule="exact"/>
        <w:ind w:left="1064" w:right="0" w:hanging="851"/>
        <w:jc w:val="both"/>
        <w:rPr>
          <w:sz w:val="21"/>
        </w:rPr>
      </w:pPr>
      <w:r>
        <w:rPr>
          <w:spacing w:val="-1"/>
          <w:sz w:val="21"/>
        </w:rPr>
        <w:t>投标文件副本，所有资料都可以用投标文件的正本复印而成。</w:t>
      </w:r>
    </w:p>
    <w:p>
      <w:pPr>
        <w:pStyle w:val="BodyText"/>
        <w:spacing w:before="11"/>
        <w:rPr>
          <w:sz w:val="14"/>
        </w:rPr>
      </w:pPr>
    </w:p>
    <w:p>
      <w:pPr>
        <w:pStyle w:val="ListParagraph"/>
        <w:numPr>
          <w:ilvl w:val="0"/>
          <w:numId w:val="53"/>
        </w:numPr>
        <w:tabs>
          <w:tab w:val="left" w:pos="1064"/>
          <w:tab w:val="left" w:pos="1065"/>
        </w:tabs>
        <w:spacing w:before="1" w:after="0" w:line="240" w:lineRule="auto"/>
        <w:ind w:left="1064" w:right="0" w:hanging="851"/>
        <w:jc w:val="left"/>
        <w:rPr>
          <w:sz w:val="21"/>
        </w:rPr>
      </w:pPr>
      <w:r>
        <w:rPr>
          <w:spacing w:val="-1"/>
          <w:sz w:val="21"/>
        </w:rPr>
        <w:t>投标文件的正本及所有副本的封面均须由投标人加盖投标人公章。</w:t>
      </w:r>
    </w:p>
    <w:p>
      <w:pPr>
        <w:pStyle w:val="BodyText"/>
        <w:spacing w:before="11"/>
        <w:rPr>
          <w:sz w:val="14"/>
        </w:rPr>
      </w:pPr>
    </w:p>
    <w:p>
      <w:pPr>
        <w:pStyle w:val="ListParagraph"/>
        <w:numPr>
          <w:ilvl w:val="0"/>
          <w:numId w:val="53"/>
        </w:numPr>
        <w:tabs>
          <w:tab w:val="left" w:pos="1064"/>
          <w:tab w:val="left" w:pos="1065"/>
        </w:tabs>
        <w:spacing w:before="0" w:after="0" w:line="410" w:lineRule="auto"/>
        <w:ind w:left="1065" w:right="221" w:hanging="851"/>
        <w:jc w:val="left"/>
        <w:rPr>
          <w:sz w:val="21"/>
        </w:rPr>
      </w:pPr>
      <w:r>
        <w:rPr>
          <w:spacing w:val="-2"/>
          <w:sz w:val="21"/>
        </w:rPr>
        <w:t>投标文件的任何行间插字、涂改和增删，必须由投标文件的签字人用姓氏或首字母在旁边签字</w:t>
      </w:r>
      <w:r>
        <w:rPr>
          <w:spacing w:val="-4"/>
          <w:sz w:val="21"/>
        </w:rPr>
        <w:t>才有效。</w:t>
      </w:r>
    </w:p>
    <w:p>
      <w:pPr>
        <w:pStyle w:val="ListParagraph"/>
        <w:numPr>
          <w:ilvl w:val="0"/>
          <w:numId w:val="53"/>
        </w:numPr>
        <w:tabs>
          <w:tab w:val="left" w:pos="1064"/>
          <w:tab w:val="left" w:pos="1065"/>
        </w:tabs>
        <w:spacing w:before="0" w:after="0" w:line="410" w:lineRule="auto"/>
        <w:ind w:left="1065" w:right="221" w:hanging="851"/>
        <w:jc w:val="left"/>
        <w:rPr>
          <w:sz w:val="21"/>
        </w:rPr>
      </w:pPr>
      <w:r>
        <w:rPr>
          <w:spacing w:val="-2"/>
          <w:sz w:val="21"/>
        </w:rPr>
        <w:t>在招标文件中已明示需盖章及签名之处，投标文件正本均须加盖投标人公章，并经投标人法定</w:t>
      </w:r>
      <w:r>
        <w:rPr>
          <w:spacing w:val="-2"/>
          <w:sz w:val="21"/>
        </w:rPr>
        <w:t>代表人或其授权代表签名或盖章。</w:t>
      </w:r>
    </w:p>
    <w:p>
      <w:pPr>
        <w:pStyle w:val="ListParagraph"/>
        <w:numPr>
          <w:ilvl w:val="0"/>
          <w:numId w:val="53"/>
        </w:numPr>
        <w:tabs>
          <w:tab w:val="left" w:pos="1064"/>
          <w:tab w:val="left" w:pos="1065"/>
        </w:tabs>
        <w:spacing w:before="0" w:after="0" w:line="240" w:lineRule="auto"/>
        <w:ind w:left="1064" w:right="0" w:hanging="851"/>
        <w:jc w:val="left"/>
        <w:rPr>
          <w:sz w:val="21"/>
        </w:rPr>
      </w:pPr>
      <w:r>
        <w:rPr>
          <w:spacing w:val="-1"/>
          <w:sz w:val="21"/>
        </w:rPr>
        <w:t>传真和电传的投标文件将被拒绝。</w:t>
      </w:r>
    </w:p>
    <w:p>
      <w:pPr>
        <w:spacing w:after="0" w:line="240" w:lineRule="auto"/>
        <w:jc w:val="left"/>
        <w:rPr>
          <w:sz w:val="21"/>
        </w:rPr>
        <w:sectPr>
          <w:headerReference w:type="default" r:id="rId71"/>
          <w:footerReference w:type="default" r:id="rId72"/>
          <w:pgSz w:w="11910" w:h="16840"/>
          <w:pgMar w:top="1340" w:right="1080" w:bottom="1000" w:left="880" w:header="822" w:footer="805"/>
          <w:pgNumType w:start="33"/>
          <w:cols w:space="708"/>
        </w:sectPr>
      </w:pPr>
    </w:p>
    <w:p>
      <w:pPr>
        <w:pStyle w:val="BodyText"/>
        <w:spacing w:before="11"/>
        <w:rPr>
          <w:sz w:val="9"/>
        </w:rPr>
      </w:pPr>
    </w:p>
    <w:p>
      <w:pPr>
        <w:pStyle w:val="Heading3"/>
        <w:numPr>
          <w:ilvl w:val="0"/>
          <w:numId w:val="67"/>
        </w:numPr>
        <w:tabs>
          <w:tab w:val="left" w:pos="1066"/>
        </w:tabs>
        <w:spacing w:before="0" w:after="0" w:line="429" w:lineRule="exact"/>
        <w:ind w:left="1065" w:right="0" w:hanging="852"/>
        <w:jc w:val="both"/>
      </w:pPr>
      <w:r>
        <w:rPr>
          <w:spacing w:val="-3"/>
        </w:rPr>
        <w:t>知识产权</w:t>
      </w:r>
    </w:p>
    <w:p>
      <w:pPr>
        <w:pStyle w:val="ListParagraph"/>
        <w:numPr>
          <w:ilvl w:val="0"/>
          <w:numId w:val="52"/>
        </w:numPr>
        <w:tabs>
          <w:tab w:val="left" w:pos="1065"/>
        </w:tabs>
        <w:spacing w:before="128" w:after="0" w:line="410" w:lineRule="auto"/>
        <w:ind w:left="1065" w:right="221" w:hanging="851"/>
        <w:jc w:val="both"/>
        <w:rPr>
          <w:sz w:val="21"/>
        </w:rPr>
      </w:pPr>
      <w:r>
        <w:rPr>
          <w:spacing w:val="-2"/>
          <w:sz w:val="21"/>
        </w:rPr>
        <w:t>投标人应保证，采购人在中华人民共和国使用货物、软件及服务或货物、软件及服务的任何一部分时，采购人免受第三方提出侵犯其专利权、商标权、工业设计权或其它知识产权的起诉或法律和经济纠纷。如发生此类纠纷，由中标人承担一切责任并赔偿因此给采购人造成的全部损</w:t>
      </w:r>
      <w:r>
        <w:rPr>
          <w:spacing w:val="-2"/>
          <w:sz w:val="21"/>
        </w:rPr>
        <w:t>失（包括但不限于诉讼费用、律师费、调查费用及赔偿金等全部损失）。</w:t>
      </w:r>
    </w:p>
    <w:p>
      <w:pPr>
        <w:pStyle w:val="ListParagraph"/>
        <w:numPr>
          <w:ilvl w:val="0"/>
          <w:numId w:val="52"/>
        </w:numPr>
        <w:tabs>
          <w:tab w:val="left" w:pos="1065"/>
        </w:tabs>
        <w:spacing w:before="0" w:after="0" w:line="269" w:lineRule="exact"/>
        <w:ind w:left="1064" w:right="0" w:hanging="851"/>
        <w:jc w:val="both"/>
        <w:rPr>
          <w:sz w:val="21"/>
        </w:rPr>
      </w:pPr>
      <w:r>
        <w:rPr>
          <w:spacing w:val="-1"/>
          <w:sz w:val="21"/>
        </w:rPr>
        <w:t>投标价应包括所有应支付的对专利权、商标权或其他知识产权而需要向其他方支付的版税。</w:t>
      </w:r>
    </w:p>
    <w:p>
      <w:pPr>
        <w:spacing w:after="0" w:line="269" w:lineRule="exact"/>
        <w:jc w:val="both"/>
        <w:rPr>
          <w:sz w:val="21"/>
        </w:rPr>
        <w:sectPr>
          <w:headerReference w:type="default" r:id="rId73"/>
          <w:footerReference w:type="default" r:id="rId74"/>
          <w:pgSz w:w="11910" w:h="16840"/>
          <w:pgMar w:top="1340" w:right="1080" w:bottom="1000" w:left="880" w:header="822" w:footer="805"/>
          <w:pgNumType w:start="34"/>
          <w:cols w:space="708"/>
        </w:sectPr>
      </w:pPr>
    </w:p>
    <w:p>
      <w:pPr>
        <w:pStyle w:val="Heading2"/>
        <w:spacing w:line="492" w:lineRule="exact"/>
        <w:ind w:right="9"/>
      </w:pPr>
      <w:bookmarkStart w:id="6" w:name="_TOC_250027"/>
      <w:r>
        <w:t>（四）</w:t>
      </w:r>
      <w:bookmarkEnd w:id="6"/>
      <w:r>
        <w:rPr>
          <w:spacing w:val="-2"/>
        </w:rPr>
        <w:t>投标文件的递交</w:t>
      </w:r>
    </w:p>
    <w:p>
      <w:pPr>
        <w:pStyle w:val="BodyText"/>
        <w:rPr>
          <w:rFonts w:ascii="Microsoft JhengHei"/>
          <w:b/>
          <w:sz w:val="20"/>
        </w:rPr>
      </w:pPr>
    </w:p>
    <w:p>
      <w:pPr>
        <w:pStyle w:val="BodyText"/>
        <w:spacing w:before="14"/>
        <w:rPr>
          <w:rFonts w:ascii="Microsoft JhengHei"/>
          <w:b/>
          <w:sz w:val="14"/>
        </w:rPr>
      </w:pPr>
    </w:p>
    <w:p>
      <w:pPr>
        <w:pStyle w:val="Heading3"/>
        <w:numPr>
          <w:ilvl w:val="0"/>
          <w:numId w:val="98"/>
        </w:numPr>
        <w:tabs>
          <w:tab w:val="left" w:pos="1064"/>
          <w:tab w:val="left" w:pos="1066"/>
        </w:tabs>
        <w:spacing w:before="0" w:after="0" w:line="429" w:lineRule="exact"/>
        <w:ind w:left="1065" w:right="0" w:hanging="852"/>
        <w:jc w:val="left"/>
      </w:pPr>
      <w:r>
        <w:rPr>
          <w:spacing w:val="-1"/>
        </w:rPr>
        <w:t>投标文件的密封和标记</w:t>
      </w:r>
    </w:p>
    <w:p>
      <w:pPr>
        <w:pStyle w:val="Heading4"/>
        <w:numPr>
          <w:ilvl w:val="0"/>
          <w:numId w:val="51"/>
        </w:numPr>
        <w:tabs>
          <w:tab w:val="left" w:pos="1064"/>
          <w:tab w:val="left" w:pos="1065"/>
        </w:tabs>
        <w:spacing w:before="58" w:after="0" w:line="285" w:lineRule="auto"/>
        <w:ind w:left="1065" w:right="223" w:hanging="851"/>
        <w:jc w:val="left"/>
      </w:pPr>
      <w:r>
        <w:rPr>
          <w:spacing w:val="-2"/>
        </w:rPr>
        <w:t>正本和电子标书一起封装，副本七份一起封装，在每一封口处加盖公章，封套上标明“正本”</w:t>
      </w:r>
      <w:r>
        <w:rPr>
          <w:spacing w:val="-2"/>
        </w:rPr>
        <w:t xml:space="preserve"> “副本”字样。</w:t>
      </w:r>
    </w:p>
    <w:p>
      <w:pPr>
        <w:pStyle w:val="ListParagraph"/>
        <w:numPr>
          <w:ilvl w:val="0"/>
          <w:numId w:val="51"/>
        </w:numPr>
        <w:tabs>
          <w:tab w:val="left" w:pos="1064"/>
          <w:tab w:val="left" w:pos="1065"/>
        </w:tabs>
        <w:spacing w:before="71" w:after="0" w:line="410" w:lineRule="auto"/>
        <w:ind w:left="1054" w:right="4482" w:hanging="840"/>
        <w:jc w:val="left"/>
        <w:rPr>
          <w:sz w:val="21"/>
        </w:rPr>
      </w:pPr>
      <w:r>
        <w:rPr>
          <w:spacing w:val="-2"/>
          <w:sz w:val="21"/>
        </w:rPr>
        <w:t>封套均应按以下要求标记：</w:t>
      </w:r>
      <w:r>
        <w:rPr>
          <w:spacing w:val="80"/>
          <w:w w:val="150"/>
          <w:sz w:val="21"/>
        </w:rPr>
        <w:t xml:space="preserve">        </w:t>
      </w:r>
      <w:r>
        <w:rPr>
          <w:spacing w:val="-2"/>
          <w:sz w:val="21"/>
        </w:rPr>
        <w:t>“递交：广东志正招标有限公司（中ft分公司）</w:t>
      </w:r>
    </w:p>
    <w:p>
      <w:pPr>
        <w:pStyle w:val="BodyText"/>
        <w:tabs>
          <w:tab w:val="left" w:pos="4350"/>
        </w:tabs>
        <w:ind w:left="1095"/>
      </w:pPr>
      <w:r>
        <w:t>项目名称：</w:t>
      </w:r>
      <w:r>
        <w:rPr>
          <w:u w:val="single"/>
        </w:rPr>
        <w:t>（项目名称</w:t>
      </w:r>
      <w:r>
        <w:rPr>
          <w:spacing w:val="-10"/>
          <w:u w:val="single"/>
        </w:rPr>
        <w:t>）</w:t>
      </w:r>
      <w:r>
        <w:tab/>
        <w:t>招标编号：</w:t>
      </w:r>
      <w:r>
        <w:rPr>
          <w:u w:val="single"/>
        </w:rPr>
        <w:t>（招标编号</w:t>
      </w:r>
      <w:r>
        <w:rPr>
          <w:spacing w:val="-10"/>
          <w:u w:val="single"/>
        </w:rPr>
        <w:t>）</w:t>
      </w:r>
    </w:p>
    <w:p>
      <w:pPr>
        <w:pStyle w:val="BodyText"/>
        <w:spacing w:before="4"/>
        <w:rPr>
          <w:sz w:val="9"/>
        </w:rPr>
      </w:pPr>
    </w:p>
    <w:p>
      <w:pPr>
        <w:pStyle w:val="BodyText"/>
        <w:spacing w:before="71"/>
        <w:ind w:left="1095"/>
      </w:pPr>
      <w:r>
        <w:t>在</w:t>
      </w:r>
      <w:r>
        <w:rPr>
          <w:u w:val="single"/>
        </w:rPr>
        <w:t>（投标截止时间）</w:t>
      </w:r>
      <w:r>
        <w:rPr>
          <w:spacing w:val="-1"/>
        </w:rPr>
        <w:t>前不得启封”的字样。</w:t>
      </w:r>
    </w:p>
    <w:p>
      <w:pPr>
        <w:pStyle w:val="BodyText"/>
        <w:spacing w:before="5"/>
        <w:rPr>
          <w:sz w:val="9"/>
        </w:rPr>
      </w:pPr>
    </w:p>
    <w:p>
      <w:pPr>
        <w:pStyle w:val="ListParagraph"/>
        <w:numPr>
          <w:ilvl w:val="0"/>
          <w:numId w:val="51"/>
        </w:numPr>
        <w:tabs>
          <w:tab w:val="left" w:pos="1065"/>
        </w:tabs>
        <w:spacing w:before="71" w:after="0" w:line="240" w:lineRule="auto"/>
        <w:ind w:left="1064" w:right="0" w:hanging="851"/>
        <w:jc w:val="both"/>
        <w:rPr>
          <w:sz w:val="21"/>
        </w:rPr>
      </w:pPr>
      <w:r>
        <w:rPr>
          <w:spacing w:val="-1"/>
          <w:sz w:val="21"/>
        </w:rPr>
        <w:t>封套均应写明投标人名称和地址，以便如果其投标被宣布为“迟到”投标时，能原封退回。</w:t>
      </w:r>
    </w:p>
    <w:p>
      <w:pPr>
        <w:pStyle w:val="BodyText"/>
        <w:spacing w:before="11"/>
        <w:rPr>
          <w:sz w:val="14"/>
        </w:rPr>
      </w:pPr>
    </w:p>
    <w:p>
      <w:pPr>
        <w:pStyle w:val="ListParagraph"/>
        <w:numPr>
          <w:ilvl w:val="0"/>
          <w:numId w:val="51"/>
        </w:numPr>
        <w:tabs>
          <w:tab w:val="left" w:pos="1065"/>
        </w:tabs>
        <w:spacing w:before="0" w:after="0" w:line="240" w:lineRule="auto"/>
        <w:ind w:left="1064" w:right="0" w:hanging="851"/>
        <w:jc w:val="both"/>
        <w:rPr>
          <w:sz w:val="21"/>
        </w:rPr>
      </w:pPr>
      <w:r>
        <w:rPr>
          <w:spacing w:val="-1"/>
          <w:sz w:val="21"/>
        </w:rPr>
        <w:t>如果封套未按本须知的要求密封和加写标记，采购代理机构有权拒绝其投标。</w:t>
      </w:r>
    </w:p>
    <w:p>
      <w:pPr>
        <w:pStyle w:val="Heading4"/>
        <w:numPr>
          <w:ilvl w:val="0"/>
          <w:numId w:val="51"/>
        </w:numPr>
        <w:tabs>
          <w:tab w:val="left" w:pos="1065"/>
        </w:tabs>
        <w:spacing w:before="122" w:after="0" w:line="285" w:lineRule="auto"/>
        <w:ind w:left="1065" w:right="222" w:hanging="851"/>
        <w:jc w:val="both"/>
      </w:pPr>
      <w:r>
        <w:rPr>
          <w:spacing w:val="3"/>
        </w:rPr>
        <w:t>为方便开标唱标，开标一览表（原件）、法定代表人证明书</w:t>
      </w:r>
      <w:r>
        <w:rPr>
          <w:w w:val="113"/>
        </w:rPr>
        <w:t>/</w:t>
      </w:r>
      <w:r>
        <w:rPr>
          <w:spacing w:val="2"/>
        </w:rPr>
        <w:t>法定代表人授权书一起封装，封</w:t>
      </w:r>
      <w:r>
        <w:t>套标明招标编号、投标人名称及“开标一览表”字样，封口处加盖公章并由法定代表人或其委</w:t>
      </w:r>
      <w:r>
        <w:t>托人签字。</w:t>
      </w:r>
    </w:p>
    <w:p>
      <w:pPr>
        <w:pStyle w:val="Heading4"/>
        <w:numPr>
          <w:ilvl w:val="0"/>
          <w:numId w:val="51"/>
        </w:numPr>
        <w:tabs>
          <w:tab w:val="left" w:pos="1065"/>
        </w:tabs>
        <w:spacing w:before="1" w:after="0" w:line="285" w:lineRule="auto"/>
        <w:ind w:left="1065" w:right="223" w:hanging="851"/>
        <w:jc w:val="both"/>
      </w:pPr>
      <w:r>
        <w:rPr>
          <w:spacing w:val="-2"/>
        </w:rPr>
        <w:t>投标保证金划款单（复印件）和退保证金说明（原件）一起封装，封套标明招标编号、投标人</w:t>
      </w:r>
      <w:r>
        <w:rPr>
          <w:spacing w:val="-2"/>
        </w:rPr>
        <w:t>名称及“投标保证金”字样。</w:t>
      </w:r>
    </w:p>
    <w:p>
      <w:pPr>
        <w:pStyle w:val="Heading4"/>
        <w:numPr>
          <w:ilvl w:val="0"/>
          <w:numId w:val="51"/>
        </w:numPr>
        <w:tabs>
          <w:tab w:val="left" w:pos="1065"/>
        </w:tabs>
        <w:spacing w:before="1" w:after="0" w:line="240" w:lineRule="auto"/>
        <w:ind w:left="1064" w:right="0" w:hanging="851"/>
        <w:jc w:val="both"/>
      </w:pPr>
      <w:r>
        <w:t>请在递交投标文件时同时带上投标保证金划款单（原件）</w:t>
      </w:r>
      <w:r>
        <w:rPr>
          <w:spacing w:val="-1"/>
        </w:rPr>
        <w:t>作采购代理机构核实之用。</w:t>
      </w:r>
    </w:p>
    <w:p>
      <w:pPr>
        <w:pStyle w:val="BodyText"/>
        <w:spacing w:before="16"/>
        <w:rPr>
          <w:rFonts w:ascii="Microsoft JhengHei"/>
          <w:b/>
          <w:sz w:val="26"/>
        </w:rPr>
      </w:pPr>
    </w:p>
    <w:p>
      <w:pPr>
        <w:pStyle w:val="Heading3"/>
        <w:numPr>
          <w:ilvl w:val="0"/>
          <w:numId w:val="98"/>
        </w:numPr>
        <w:tabs>
          <w:tab w:val="left" w:pos="1066"/>
        </w:tabs>
        <w:spacing w:before="0" w:after="0" w:line="240" w:lineRule="auto"/>
        <w:ind w:left="1065" w:right="0" w:hanging="852"/>
        <w:jc w:val="both"/>
      </w:pPr>
      <w:r>
        <w:rPr>
          <w:spacing w:val="-2"/>
        </w:rPr>
        <w:t>投标截止时间</w:t>
      </w:r>
    </w:p>
    <w:p>
      <w:pPr>
        <w:pStyle w:val="ListParagraph"/>
        <w:numPr>
          <w:ilvl w:val="0"/>
          <w:numId w:val="50"/>
        </w:numPr>
        <w:tabs>
          <w:tab w:val="left" w:pos="1065"/>
        </w:tabs>
        <w:spacing w:before="128" w:after="0" w:line="240" w:lineRule="auto"/>
        <w:ind w:left="1064" w:right="0" w:hanging="851"/>
        <w:jc w:val="both"/>
        <w:rPr>
          <w:sz w:val="21"/>
        </w:rPr>
      </w:pPr>
      <w:r>
        <w:rPr>
          <w:spacing w:val="-1"/>
          <w:sz w:val="21"/>
        </w:rPr>
        <w:t>本次招标的投标截止时间见第一部分《投标邀请函》的规定；</w:t>
      </w:r>
    </w:p>
    <w:p>
      <w:pPr>
        <w:pStyle w:val="BodyText"/>
        <w:spacing w:before="11"/>
        <w:rPr>
          <w:sz w:val="14"/>
        </w:rPr>
      </w:pPr>
    </w:p>
    <w:p>
      <w:pPr>
        <w:pStyle w:val="ListParagraph"/>
        <w:numPr>
          <w:ilvl w:val="0"/>
          <w:numId w:val="50"/>
        </w:numPr>
        <w:tabs>
          <w:tab w:val="left" w:pos="1065"/>
        </w:tabs>
        <w:spacing w:before="0" w:after="0" w:line="410" w:lineRule="auto"/>
        <w:ind w:left="1065" w:right="221" w:hanging="851"/>
        <w:jc w:val="both"/>
        <w:rPr>
          <w:sz w:val="21"/>
        </w:rPr>
      </w:pPr>
      <w:r>
        <w:rPr>
          <w:spacing w:val="-2"/>
          <w:sz w:val="21"/>
        </w:rPr>
        <w:t>本次招标的投标文件递交时间见第一部分《投标邀请函》的规定，采购代理机构收到投标文件</w:t>
      </w:r>
      <w:r>
        <w:rPr>
          <w:spacing w:val="-2"/>
          <w:sz w:val="21"/>
        </w:rPr>
        <w:t>的时间不得迟于规定的截止时间。</w:t>
      </w:r>
    </w:p>
    <w:p>
      <w:pPr>
        <w:pStyle w:val="ListParagraph"/>
        <w:numPr>
          <w:ilvl w:val="0"/>
          <w:numId w:val="50"/>
        </w:numPr>
        <w:tabs>
          <w:tab w:val="left" w:pos="1065"/>
        </w:tabs>
        <w:spacing w:before="0" w:after="0" w:line="410" w:lineRule="auto"/>
        <w:ind w:left="1065" w:right="221" w:hanging="851"/>
        <w:jc w:val="both"/>
        <w:rPr>
          <w:sz w:val="21"/>
        </w:rPr>
      </w:pPr>
      <w:r>
        <w:rPr>
          <w:spacing w:val="-2"/>
          <w:sz w:val="21"/>
        </w:rPr>
        <w:t>采购代理机构可视具体情况延长投标截止时间和开标时间。在推迟了投标截止时间的情况下，采购代理机构、采购人和投标人受投标截止时间制约的所有权利和义务均应延长至新的截止时</w:t>
      </w:r>
      <w:r>
        <w:rPr>
          <w:spacing w:val="-6"/>
          <w:sz w:val="21"/>
        </w:rPr>
        <w:t>间。</w:t>
      </w:r>
    </w:p>
    <w:p>
      <w:pPr>
        <w:pStyle w:val="BodyText"/>
        <w:spacing w:before="5"/>
        <w:rPr>
          <w:sz w:val="27"/>
        </w:rPr>
      </w:pPr>
    </w:p>
    <w:p>
      <w:pPr>
        <w:pStyle w:val="Heading3"/>
        <w:numPr>
          <w:ilvl w:val="0"/>
          <w:numId w:val="98"/>
        </w:numPr>
        <w:tabs>
          <w:tab w:val="left" w:pos="1066"/>
        </w:tabs>
        <w:spacing w:before="0" w:after="0" w:line="240" w:lineRule="auto"/>
        <w:ind w:left="1065" w:right="0" w:hanging="852"/>
        <w:jc w:val="both"/>
      </w:pPr>
      <w:r>
        <w:rPr>
          <w:spacing w:val="-2"/>
        </w:rPr>
        <w:t>迟交的投标文件</w:t>
      </w:r>
    </w:p>
    <w:p>
      <w:pPr>
        <w:pStyle w:val="BodyText"/>
        <w:spacing w:before="128"/>
        <w:ind w:left="214"/>
        <w:jc w:val="both"/>
      </w:pPr>
      <w:r>
        <w:t>(1)</w:t>
      </w:r>
      <w:r>
        <w:rPr>
          <w:spacing w:val="430"/>
        </w:rPr>
        <w:t xml:space="preserve"> </w:t>
      </w:r>
      <w:r>
        <w:rPr>
          <w:spacing w:val="-1"/>
        </w:rPr>
        <w:t>采购代理机构将拒绝并原封退回在其规定的投标截止时刻后收到的任何投标文件。</w:t>
      </w:r>
    </w:p>
    <w:p>
      <w:pPr>
        <w:spacing w:after="0"/>
        <w:jc w:val="both"/>
        <w:sectPr>
          <w:headerReference w:type="default" r:id="rId75"/>
          <w:footerReference w:type="default" r:id="rId76"/>
          <w:pgSz w:w="11910" w:h="16840"/>
          <w:pgMar w:top="1340" w:right="1080" w:bottom="1000" w:left="880" w:header="822" w:footer="805"/>
          <w:pgNumType w:start="35"/>
          <w:cols w:space="708"/>
        </w:sectPr>
      </w:pPr>
    </w:p>
    <w:p>
      <w:pPr>
        <w:pStyle w:val="BodyText"/>
        <w:spacing w:before="11"/>
        <w:rPr>
          <w:sz w:val="9"/>
        </w:rPr>
      </w:pPr>
    </w:p>
    <w:p>
      <w:pPr>
        <w:pStyle w:val="Heading3"/>
        <w:numPr>
          <w:ilvl w:val="0"/>
          <w:numId w:val="67"/>
        </w:numPr>
        <w:tabs>
          <w:tab w:val="left" w:pos="1064"/>
          <w:tab w:val="left" w:pos="1066"/>
        </w:tabs>
        <w:spacing w:before="0" w:after="0" w:line="429" w:lineRule="exact"/>
        <w:ind w:left="1065" w:right="0" w:hanging="852"/>
        <w:jc w:val="left"/>
      </w:pPr>
      <w:r>
        <w:rPr>
          <w:spacing w:val="-1"/>
        </w:rPr>
        <w:t>投标文件的修改与撤回</w:t>
      </w:r>
    </w:p>
    <w:p>
      <w:pPr>
        <w:pStyle w:val="ListParagraph"/>
        <w:numPr>
          <w:ilvl w:val="0"/>
          <w:numId w:val="49"/>
        </w:numPr>
        <w:tabs>
          <w:tab w:val="left" w:pos="1065"/>
        </w:tabs>
        <w:spacing w:before="128" w:after="0" w:line="410" w:lineRule="auto"/>
        <w:ind w:left="1065" w:right="221" w:hanging="851"/>
        <w:jc w:val="both"/>
        <w:rPr>
          <w:sz w:val="21"/>
        </w:rPr>
      </w:pPr>
      <w:r>
        <w:rPr>
          <w:spacing w:val="-2"/>
          <w:sz w:val="21"/>
        </w:rPr>
        <w:t>投标人在投标截止时间前，可以修改或撤回其投标文件。但投标人必须在规定的投标截止时间之前向采购代理机构发出书面通知。修改后的投标文件须按本节对投标文件投递的要求在投标</w:t>
      </w:r>
      <w:r>
        <w:rPr>
          <w:spacing w:val="-2"/>
          <w:sz w:val="21"/>
        </w:rPr>
        <w:t>截止时间之前重新递交，否则，采购代理机构将拒绝接受修改后的投标文件。</w:t>
      </w:r>
    </w:p>
    <w:p>
      <w:pPr>
        <w:pStyle w:val="ListParagraph"/>
        <w:numPr>
          <w:ilvl w:val="0"/>
          <w:numId w:val="49"/>
        </w:numPr>
        <w:tabs>
          <w:tab w:val="left" w:pos="1065"/>
        </w:tabs>
        <w:spacing w:before="0" w:after="0" w:line="410" w:lineRule="auto"/>
        <w:ind w:left="1065" w:right="221" w:hanging="851"/>
        <w:jc w:val="both"/>
        <w:rPr>
          <w:sz w:val="21"/>
        </w:rPr>
      </w:pPr>
      <w:r>
        <w:rPr>
          <w:spacing w:val="-2"/>
          <w:sz w:val="21"/>
        </w:rPr>
        <w:t>在投标截止时间之后，投标人不得对其投标文件做任何修改。从投标截止时间起至投标有效期</w:t>
      </w:r>
      <w:r>
        <w:rPr>
          <w:spacing w:val="-2"/>
          <w:sz w:val="21"/>
        </w:rPr>
        <w:t>前，投标人不得撤回其投标。</w:t>
      </w:r>
    </w:p>
    <w:p>
      <w:pPr>
        <w:pStyle w:val="ListParagraph"/>
        <w:numPr>
          <w:ilvl w:val="0"/>
          <w:numId w:val="49"/>
        </w:numPr>
        <w:tabs>
          <w:tab w:val="left" w:pos="1065"/>
        </w:tabs>
        <w:spacing w:before="0" w:after="0" w:line="410" w:lineRule="auto"/>
        <w:ind w:left="1065" w:right="221" w:hanging="851"/>
        <w:jc w:val="both"/>
        <w:rPr>
          <w:sz w:val="21"/>
        </w:rPr>
      </w:pPr>
      <w:r>
        <w:rPr>
          <w:spacing w:val="-2"/>
          <w:sz w:val="21"/>
        </w:rPr>
        <w:t>采购人和采购代理机构对不可抗力所造成投标文件的损坏、丢失、迟交等一切事项不承担任何</w:t>
      </w:r>
      <w:r>
        <w:rPr>
          <w:spacing w:val="-4"/>
          <w:sz w:val="21"/>
        </w:rPr>
        <w:t>责任。</w:t>
      </w:r>
    </w:p>
    <w:p>
      <w:pPr>
        <w:spacing w:after="0" w:line="410" w:lineRule="auto"/>
        <w:jc w:val="both"/>
        <w:rPr>
          <w:sz w:val="21"/>
        </w:rPr>
        <w:sectPr>
          <w:headerReference w:type="default" r:id="rId77"/>
          <w:footerReference w:type="default" r:id="rId78"/>
          <w:pgSz w:w="11910" w:h="16840"/>
          <w:pgMar w:top="1340" w:right="1080" w:bottom="1000" w:left="880" w:header="822" w:footer="805"/>
          <w:pgNumType w:start="36"/>
          <w:cols w:space="708"/>
        </w:sectPr>
      </w:pPr>
    </w:p>
    <w:p>
      <w:pPr>
        <w:pStyle w:val="Heading2"/>
        <w:spacing w:line="492" w:lineRule="exact"/>
        <w:ind w:right="9"/>
      </w:pPr>
      <w:bookmarkStart w:id="7" w:name="_TOC_250026"/>
      <w:r>
        <w:t>（五）</w:t>
      </w:r>
      <w:bookmarkEnd w:id="7"/>
      <w:r>
        <w:rPr>
          <w:spacing w:val="-2"/>
        </w:rPr>
        <w:t>开标与评标</w:t>
      </w:r>
    </w:p>
    <w:p>
      <w:pPr>
        <w:pStyle w:val="BodyText"/>
        <w:rPr>
          <w:rFonts w:ascii="Microsoft JhengHei"/>
          <w:b/>
          <w:sz w:val="20"/>
        </w:rPr>
      </w:pPr>
    </w:p>
    <w:p>
      <w:pPr>
        <w:pStyle w:val="BodyText"/>
        <w:spacing w:before="14"/>
        <w:rPr>
          <w:rFonts w:ascii="Microsoft JhengHei"/>
          <w:b/>
          <w:sz w:val="14"/>
        </w:rPr>
      </w:pPr>
    </w:p>
    <w:p>
      <w:pPr>
        <w:pStyle w:val="Heading3"/>
        <w:numPr>
          <w:ilvl w:val="0"/>
          <w:numId w:val="99"/>
        </w:numPr>
        <w:tabs>
          <w:tab w:val="left" w:pos="1064"/>
          <w:tab w:val="left" w:pos="1066"/>
        </w:tabs>
        <w:spacing w:before="0" w:after="0" w:line="429" w:lineRule="exact"/>
        <w:ind w:left="1065" w:right="0" w:hanging="852"/>
        <w:jc w:val="left"/>
      </w:pPr>
      <w:r>
        <w:rPr>
          <w:spacing w:val="-5"/>
        </w:rPr>
        <w:t>开标</w:t>
      </w:r>
    </w:p>
    <w:p>
      <w:pPr>
        <w:pStyle w:val="ListParagraph"/>
        <w:numPr>
          <w:ilvl w:val="0"/>
          <w:numId w:val="48"/>
        </w:numPr>
        <w:tabs>
          <w:tab w:val="left" w:pos="1064"/>
          <w:tab w:val="left" w:pos="1065"/>
        </w:tabs>
        <w:spacing w:before="128" w:after="0" w:line="240" w:lineRule="auto"/>
        <w:ind w:left="1064" w:right="0" w:hanging="851"/>
        <w:jc w:val="left"/>
        <w:rPr>
          <w:sz w:val="21"/>
        </w:rPr>
      </w:pPr>
      <w:r>
        <w:rPr>
          <w:spacing w:val="-1"/>
          <w:sz w:val="21"/>
        </w:rPr>
        <w:t>采购代理机构按《投标邀请函》规定的时间和地点公开开标。</w:t>
      </w:r>
    </w:p>
    <w:p>
      <w:pPr>
        <w:pStyle w:val="BodyText"/>
        <w:spacing w:before="11"/>
        <w:rPr>
          <w:sz w:val="14"/>
        </w:rPr>
      </w:pPr>
    </w:p>
    <w:p>
      <w:pPr>
        <w:pStyle w:val="ListParagraph"/>
        <w:numPr>
          <w:ilvl w:val="0"/>
          <w:numId w:val="48"/>
        </w:numPr>
        <w:tabs>
          <w:tab w:val="left" w:pos="1064"/>
          <w:tab w:val="left" w:pos="1065"/>
        </w:tabs>
        <w:spacing w:before="0" w:after="0" w:line="410" w:lineRule="auto"/>
        <w:ind w:left="1065" w:right="221" w:hanging="851"/>
        <w:jc w:val="left"/>
        <w:rPr>
          <w:sz w:val="21"/>
        </w:rPr>
      </w:pPr>
      <w:r>
        <w:rPr>
          <w:spacing w:val="-2"/>
          <w:sz w:val="21"/>
        </w:rPr>
        <w:t>采购代理机构组织和主持开标会，投标人法定代表人或其授权代表务必准时参加开标会并签名</w:t>
      </w:r>
      <w:r>
        <w:rPr>
          <w:spacing w:val="-2"/>
          <w:sz w:val="21"/>
        </w:rPr>
        <w:t>报到以证明其出席。</w:t>
      </w:r>
    </w:p>
    <w:p>
      <w:pPr>
        <w:pStyle w:val="ListParagraph"/>
        <w:numPr>
          <w:ilvl w:val="0"/>
          <w:numId w:val="48"/>
        </w:numPr>
        <w:tabs>
          <w:tab w:val="left" w:pos="1064"/>
          <w:tab w:val="left" w:pos="1065"/>
        </w:tabs>
        <w:spacing w:before="0" w:after="0" w:line="240" w:lineRule="auto"/>
        <w:ind w:left="1064" w:right="0" w:hanging="851"/>
        <w:jc w:val="left"/>
        <w:rPr>
          <w:sz w:val="21"/>
        </w:rPr>
      </w:pPr>
      <w:r>
        <w:rPr>
          <w:spacing w:val="-1"/>
          <w:sz w:val="21"/>
        </w:rPr>
        <w:t>开标前先检查投标文件的密封情况，确认无误后拆封唱标。</w:t>
      </w:r>
    </w:p>
    <w:p>
      <w:pPr>
        <w:pStyle w:val="BodyText"/>
        <w:spacing w:before="11"/>
        <w:rPr>
          <w:sz w:val="14"/>
        </w:rPr>
      </w:pPr>
    </w:p>
    <w:p>
      <w:pPr>
        <w:pStyle w:val="ListParagraph"/>
        <w:numPr>
          <w:ilvl w:val="0"/>
          <w:numId w:val="48"/>
        </w:numPr>
        <w:tabs>
          <w:tab w:val="left" w:pos="1065"/>
        </w:tabs>
        <w:spacing w:before="1" w:after="0" w:line="410" w:lineRule="auto"/>
        <w:ind w:left="1065" w:right="221" w:hanging="851"/>
        <w:jc w:val="both"/>
        <w:rPr>
          <w:sz w:val="21"/>
        </w:rPr>
      </w:pPr>
      <w:r>
        <w:rPr>
          <w:spacing w:val="-2"/>
          <w:sz w:val="21"/>
        </w:rPr>
        <w:t>开标时，采购代理机构将当众宣读投标人名称、修改和撤回投标的通知（如有的话）、投标价格以及采购代理机构认为其他必要的内容。除了按照规定原封退回迟到的投标之外，开标时将</w:t>
      </w:r>
      <w:r>
        <w:rPr>
          <w:spacing w:val="-2"/>
          <w:sz w:val="21"/>
        </w:rPr>
        <w:t>不得拒绝在投标截止时间前收到的投标文件。</w:t>
      </w:r>
    </w:p>
    <w:p>
      <w:pPr>
        <w:pStyle w:val="ListParagraph"/>
        <w:numPr>
          <w:ilvl w:val="0"/>
          <w:numId w:val="48"/>
        </w:numPr>
        <w:tabs>
          <w:tab w:val="left" w:pos="1065"/>
        </w:tabs>
        <w:spacing w:before="0" w:after="0" w:line="269" w:lineRule="exact"/>
        <w:ind w:left="1064" w:right="0" w:hanging="851"/>
        <w:jc w:val="both"/>
        <w:rPr>
          <w:sz w:val="21"/>
        </w:rPr>
      </w:pPr>
      <w:r>
        <w:rPr>
          <w:spacing w:val="-1"/>
          <w:sz w:val="21"/>
        </w:rPr>
        <w:t>采购代理机构将记录开标过程的有关内容，并由投标人签字确认，存档备查。</w:t>
      </w:r>
    </w:p>
    <w:p>
      <w:pPr>
        <w:pStyle w:val="BodyText"/>
        <w:rPr>
          <w:sz w:val="20"/>
        </w:rPr>
      </w:pPr>
    </w:p>
    <w:p>
      <w:pPr>
        <w:pStyle w:val="BodyText"/>
        <w:spacing w:before="3"/>
        <w:rPr>
          <w:sz w:val="22"/>
        </w:rPr>
      </w:pPr>
    </w:p>
    <w:p>
      <w:pPr>
        <w:pStyle w:val="Heading3"/>
        <w:numPr>
          <w:ilvl w:val="0"/>
          <w:numId w:val="99"/>
        </w:numPr>
        <w:tabs>
          <w:tab w:val="left" w:pos="1066"/>
        </w:tabs>
        <w:spacing w:before="0" w:after="0" w:line="240" w:lineRule="auto"/>
        <w:ind w:left="1065" w:right="0" w:hanging="852"/>
        <w:jc w:val="both"/>
      </w:pPr>
      <w:r>
        <w:rPr>
          <w:spacing w:val="-1"/>
        </w:rPr>
        <w:t>公开招标失败后的处理</w:t>
      </w:r>
    </w:p>
    <w:p>
      <w:pPr>
        <w:pStyle w:val="ListParagraph"/>
        <w:numPr>
          <w:ilvl w:val="0"/>
          <w:numId w:val="47"/>
        </w:numPr>
        <w:tabs>
          <w:tab w:val="left" w:pos="1065"/>
        </w:tabs>
        <w:spacing w:before="128" w:after="0" w:line="410" w:lineRule="auto"/>
        <w:ind w:left="1065" w:right="221" w:hanging="851"/>
        <w:jc w:val="both"/>
        <w:rPr>
          <w:sz w:val="21"/>
        </w:rPr>
      </w:pPr>
      <w:r>
        <w:rPr>
          <w:spacing w:val="-3"/>
          <w:sz w:val="21"/>
        </w:rPr>
        <w:t xml:space="preserve">如果开标当天，符合采购要求的投标人不足法定 </w:t>
      </w:r>
      <w:r>
        <w:rPr>
          <w:spacing w:val="-2"/>
          <w:sz w:val="21"/>
        </w:rPr>
        <w:t>3</w:t>
      </w:r>
      <w:r>
        <w:rPr>
          <w:spacing w:val="-4"/>
          <w:sz w:val="21"/>
        </w:rPr>
        <w:t xml:space="preserve"> 家，本项目将重新组织采购或经上级主管部</w:t>
      </w:r>
      <w:r>
        <w:rPr>
          <w:spacing w:val="-2"/>
          <w:sz w:val="21"/>
        </w:rPr>
        <w:t>门同意后转换采购方式继续进行。若采购方式转为竞争性谈判或单一来源采购的，原招标文件</w:t>
      </w:r>
      <w:r>
        <w:rPr>
          <w:spacing w:val="-2"/>
          <w:sz w:val="21"/>
        </w:rPr>
        <w:t>转为谈判文件。</w:t>
      </w:r>
    </w:p>
    <w:p>
      <w:pPr>
        <w:pStyle w:val="ListParagraph"/>
        <w:numPr>
          <w:ilvl w:val="0"/>
          <w:numId w:val="47"/>
        </w:numPr>
        <w:tabs>
          <w:tab w:val="left" w:pos="1065"/>
        </w:tabs>
        <w:spacing w:before="0" w:after="0" w:line="269" w:lineRule="exact"/>
        <w:ind w:left="1064" w:right="0" w:hanging="851"/>
        <w:jc w:val="both"/>
        <w:rPr>
          <w:sz w:val="21"/>
        </w:rPr>
      </w:pPr>
      <w:r>
        <w:rPr>
          <w:spacing w:val="-1"/>
          <w:sz w:val="21"/>
        </w:rPr>
        <w:t>采购方式转为竞争性谈判的评审原则和程序。</w:t>
      </w:r>
    </w:p>
    <w:p>
      <w:pPr>
        <w:pStyle w:val="BodyText"/>
        <w:spacing w:before="11"/>
        <w:rPr>
          <w:sz w:val="14"/>
        </w:rPr>
      </w:pPr>
    </w:p>
    <w:p>
      <w:pPr>
        <w:pStyle w:val="ListParagraph"/>
        <w:numPr>
          <w:ilvl w:val="1"/>
          <w:numId w:val="47"/>
        </w:numPr>
        <w:tabs>
          <w:tab w:val="left" w:pos="1486"/>
        </w:tabs>
        <w:spacing w:before="1" w:after="0" w:line="410" w:lineRule="auto"/>
        <w:ind w:left="1486" w:right="222" w:hanging="424"/>
        <w:jc w:val="left"/>
        <w:rPr>
          <w:sz w:val="21"/>
        </w:rPr>
      </w:pPr>
      <w:r>
        <w:rPr>
          <w:spacing w:val="-2"/>
          <w:sz w:val="21"/>
        </w:rPr>
        <w:t>谈判原则：谈判小组依据《中华人民共和国政府采购法》以及国家和地方政府有关政府采</w:t>
      </w:r>
      <w:r>
        <w:rPr>
          <w:spacing w:val="-2"/>
          <w:sz w:val="21"/>
        </w:rPr>
        <w:t>购的有关法规，遵循“公开、公平、公正、择优、信用”的原则进行谈判及评审。</w:t>
      </w:r>
    </w:p>
    <w:p>
      <w:pPr>
        <w:pStyle w:val="ListParagraph"/>
        <w:numPr>
          <w:ilvl w:val="1"/>
          <w:numId w:val="47"/>
        </w:numPr>
        <w:tabs>
          <w:tab w:val="left" w:pos="1486"/>
        </w:tabs>
        <w:spacing w:before="0" w:after="0" w:line="410" w:lineRule="auto"/>
        <w:ind w:left="1486" w:right="222" w:hanging="424"/>
        <w:jc w:val="left"/>
        <w:rPr>
          <w:sz w:val="21"/>
        </w:rPr>
      </w:pPr>
      <w:r>
        <w:rPr>
          <w:spacing w:val="-2"/>
          <w:sz w:val="21"/>
        </w:rPr>
        <w:t>评审办法：在符合采购需求、质量和服务相等的前提下，以提出最低报价的供应商作为成</w:t>
      </w:r>
      <w:r>
        <w:rPr>
          <w:spacing w:val="-2"/>
          <w:sz w:val="21"/>
        </w:rPr>
        <w:t>交供应商。</w:t>
      </w:r>
    </w:p>
    <w:p>
      <w:pPr>
        <w:pStyle w:val="ListParagraph"/>
        <w:numPr>
          <w:ilvl w:val="1"/>
          <w:numId w:val="47"/>
        </w:numPr>
        <w:tabs>
          <w:tab w:val="left" w:pos="1486"/>
        </w:tabs>
        <w:spacing w:before="0" w:after="0" w:line="240" w:lineRule="auto"/>
        <w:ind w:left="1486" w:right="0" w:hanging="424"/>
        <w:jc w:val="left"/>
        <w:rPr>
          <w:sz w:val="21"/>
        </w:rPr>
      </w:pPr>
      <w:r>
        <w:rPr>
          <w:spacing w:val="-3"/>
          <w:sz w:val="21"/>
        </w:rPr>
        <w:t>评审程序</w:t>
      </w:r>
    </w:p>
    <w:p>
      <w:pPr>
        <w:pStyle w:val="BodyText"/>
        <w:spacing w:before="11"/>
        <w:rPr>
          <w:sz w:val="14"/>
        </w:rPr>
      </w:pPr>
    </w:p>
    <w:p>
      <w:pPr>
        <w:pStyle w:val="BodyText"/>
        <w:spacing w:line="410" w:lineRule="auto"/>
        <w:ind w:left="1484" w:right="268" w:firstLine="422"/>
        <w:jc w:val="both"/>
      </w:pPr>
      <w:r>
        <w:rPr>
          <w:spacing w:val="-2"/>
        </w:rPr>
        <w:t>谈判小组对每个报价人的报价文件进行初步审阅。初步审阅结束后，谈判小组集中与</w:t>
      </w:r>
      <w:r>
        <w:rPr>
          <w:spacing w:val="-2"/>
        </w:rPr>
        <w:t>单一报价人分别进行谈判（谈判的内容主要是对报价方案的澄清、修正、补充、确认以及</w:t>
      </w:r>
      <w:r>
        <w:rPr>
          <w:spacing w:val="-2"/>
        </w:rPr>
        <w:t>价格调整等。谈判文件有实质性变动的，谈判小组应当以书面形式通知所有报价人）。如</w:t>
      </w:r>
      <w:r>
        <w:rPr>
          <w:spacing w:val="-2"/>
        </w:rPr>
        <w:t>谈判小组认为有必要，可进行二轮及以上轮次的谈判。谈判结束后，谈判小组要求所有报</w:t>
      </w:r>
      <w:r>
        <w:rPr>
          <w:spacing w:val="-2"/>
        </w:rPr>
        <w:t>价人在规定的时间内提出最终报价，包括最终澄清方案、报价及有关承诺等。谈判小组对</w:t>
      </w:r>
      <w:r>
        <w:rPr>
          <w:spacing w:val="-2"/>
        </w:rPr>
        <w:t>报价人的最终报价进行评议和比较，并从通过符合性评审的报价人中根据评审办法推荐成</w:t>
      </w:r>
      <w:r>
        <w:rPr>
          <w:spacing w:val="-2"/>
        </w:rPr>
        <w:t>交候选人，谈判小组写出谈判结果《评审报告》。</w:t>
      </w:r>
    </w:p>
    <w:p>
      <w:pPr>
        <w:spacing w:after="0" w:line="410" w:lineRule="auto"/>
        <w:jc w:val="both"/>
        <w:sectPr>
          <w:headerReference w:type="default" r:id="rId79"/>
          <w:footerReference w:type="default" r:id="rId80"/>
          <w:pgSz w:w="11910" w:h="16840"/>
          <w:pgMar w:top="1340" w:right="1080" w:bottom="1000" w:left="880" w:header="822" w:footer="805"/>
          <w:pgNumType w:start="37"/>
          <w:cols w:space="708"/>
        </w:sectPr>
      </w:pPr>
    </w:p>
    <w:p>
      <w:pPr>
        <w:pStyle w:val="BodyText"/>
        <w:spacing w:before="12"/>
        <w:rPr>
          <w:sz w:val="11"/>
        </w:rPr>
      </w:pPr>
    </w:p>
    <w:p>
      <w:pPr>
        <w:pStyle w:val="ListParagraph"/>
        <w:numPr>
          <w:ilvl w:val="1"/>
          <w:numId w:val="47"/>
        </w:numPr>
        <w:tabs>
          <w:tab w:val="left" w:pos="1486"/>
        </w:tabs>
        <w:spacing w:before="70" w:after="0" w:line="410" w:lineRule="auto"/>
        <w:ind w:left="1486" w:right="222" w:hanging="424"/>
        <w:jc w:val="both"/>
        <w:rPr>
          <w:sz w:val="21"/>
        </w:rPr>
      </w:pPr>
      <w:r>
        <w:rPr>
          <w:spacing w:val="-2"/>
          <w:sz w:val="21"/>
        </w:rPr>
        <w:t>最终报价结束后，谈判小组对各报价人的报价文件进行初步评审，报价文件出现下列情况</w:t>
      </w:r>
      <w:r>
        <w:rPr>
          <w:spacing w:val="-2"/>
          <w:sz w:val="21"/>
        </w:rPr>
        <w:t>时将被认定为无效报价：</w:t>
      </w:r>
    </w:p>
    <w:p>
      <w:pPr>
        <w:pStyle w:val="ListParagraph"/>
        <w:numPr>
          <w:ilvl w:val="2"/>
          <w:numId w:val="47"/>
        </w:numPr>
        <w:tabs>
          <w:tab w:val="left" w:pos="1910"/>
        </w:tabs>
        <w:spacing w:before="0" w:after="0" w:line="240" w:lineRule="auto"/>
        <w:ind w:left="1909" w:right="0" w:hanging="425"/>
        <w:jc w:val="left"/>
        <w:rPr>
          <w:sz w:val="21"/>
        </w:rPr>
      </w:pPr>
      <w:r>
        <w:rPr>
          <w:spacing w:val="-1"/>
          <w:sz w:val="21"/>
        </w:rPr>
        <w:t>报价人不符合合格报价人的基本条件；</w:t>
      </w:r>
    </w:p>
    <w:p>
      <w:pPr>
        <w:pStyle w:val="BodyText"/>
        <w:spacing w:before="11"/>
        <w:rPr>
          <w:sz w:val="14"/>
        </w:rPr>
      </w:pPr>
    </w:p>
    <w:p>
      <w:pPr>
        <w:pStyle w:val="ListParagraph"/>
        <w:numPr>
          <w:ilvl w:val="2"/>
          <w:numId w:val="47"/>
        </w:numPr>
        <w:tabs>
          <w:tab w:val="left" w:pos="1910"/>
        </w:tabs>
        <w:spacing w:before="1" w:after="0" w:line="240" w:lineRule="auto"/>
        <w:ind w:left="1909" w:right="0" w:hanging="425"/>
        <w:jc w:val="left"/>
        <w:rPr>
          <w:sz w:val="21"/>
        </w:rPr>
      </w:pPr>
      <w:r>
        <w:rPr>
          <w:spacing w:val="-1"/>
          <w:sz w:val="21"/>
        </w:rPr>
        <w:t>报价人未按招标文件规定提交保证金或金额不足的；</w:t>
      </w:r>
    </w:p>
    <w:p>
      <w:pPr>
        <w:pStyle w:val="BodyText"/>
        <w:spacing w:before="11"/>
        <w:rPr>
          <w:sz w:val="14"/>
        </w:rPr>
      </w:pPr>
    </w:p>
    <w:p>
      <w:pPr>
        <w:pStyle w:val="ListParagraph"/>
        <w:numPr>
          <w:ilvl w:val="2"/>
          <w:numId w:val="47"/>
        </w:numPr>
        <w:tabs>
          <w:tab w:val="left" w:pos="1910"/>
        </w:tabs>
        <w:spacing w:before="0" w:after="0" w:line="240" w:lineRule="auto"/>
        <w:ind w:left="1909" w:right="0" w:hanging="425"/>
        <w:jc w:val="left"/>
        <w:rPr>
          <w:sz w:val="21"/>
        </w:rPr>
      </w:pPr>
      <w:r>
        <w:rPr>
          <w:spacing w:val="-2"/>
          <w:sz w:val="21"/>
        </w:rPr>
        <w:t>报价有效期不足的；</w:t>
      </w:r>
    </w:p>
    <w:p>
      <w:pPr>
        <w:pStyle w:val="BodyText"/>
        <w:spacing w:before="12"/>
        <w:rPr>
          <w:sz w:val="14"/>
        </w:rPr>
      </w:pPr>
    </w:p>
    <w:p>
      <w:pPr>
        <w:pStyle w:val="ListParagraph"/>
        <w:numPr>
          <w:ilvl w:val="2"/>
          <w:numId w:val="47"/>
        </w:numPr>
        <w:tabs>
          <w:tab w:val="left" w:pos="1910"/>
        </w:tabs>
        <w:spacing w:before="0" w:after="0" w:line="410" w:lineRule="auto"/>
        <w:ind w:left="1909" w:right="222" w:hanging="424"/>
        <w:jc w:val="left"/>
        <w:rPr>
          <w:sz w:val="21"/>
        </w:rPr>
      </w:pPr>
      <w:r>
        <w:rPr>
          <w:spacing w:val="-2"/>
          <w:sz w:val="21"/>
        </w:rPr>
        <w:t>实施方案和主要技术规格和参数不满足用户技术规格书中要求的以及有重大偏离或保</w:t>
      </w:r>
      <w:r>
        <w:rPr>
          <w:spacing w:val="-4"/>
          <w:sz w:val="21"/>
        </w:rPr>
        <w:t>留的；</w:t>
      </w:r>
    </w:p>
    <w:p>
      <w:pPr>
        <w:pStyle w:val="ListParagraph"/>
        <w:numPr>
          <w:ilvl w:val="2"/>
          <w:numId w:val="47"/>
        </w:numPr>
        <w:tabs>
          <w:tab w:val="left" w:pos="1910"/>
        </w:tabs>
        <w:spacing w:before="0" w:after="0" w:line="240" w:lineRule="auto"/>
        <w:ind w:left="1909" w:right="0" w:hanging="425"/>
        <w:jc w:val="left"/>
        <w:rPr>
          <w:sz w:val="21"/>
        </w:rPr>
      </w:pPr>
      <w:r>
        <w:rPr>
          <w:spacing w:val="-1"/>
          <w:sz w:val="21"/>
        </w:rPr>
        <w:t>不接受谈判小组修正的报价总价的。</w:t>
      </w:r>
    </w:p>
    <w:p>
      <w:pPr>
        <w:pStyle w:val="BodyText"/>
        <w:spacing w:before="11"/>
        <w:rPr>
          <w:sz w:val="14"/>
        </w:rPr>
      </w:pPr>
    </w:p>
    <w:p>
      <w:pPr>
        <w:pStyle w:val="ListParagraph"/>
        <w:numPr>
          <w:ilvl w:val="1"/>
          <w:numId w:val="47"/>
        </w:numPr>
        <w:tabs>
          <w:tab w:val="left" w:pos="1486"/>
        </w:tabs>
        <w:spacing w:before="0" w:after="0" w:line="410" w:lineRule="auto"/>
        <w:ind w:left="1486" w:right="222" w:hanging="424"/>
        <w:jc w:val="both"/>
        <w:rPr>
          <w:sz w:val="21"/>
        </w:rPr>
      </w:pPr>
      <w:r>
        <w:rPr>
          <w:spacing w:val="-2"/>
          <w:sz w:val="21"/>
        </w:rPr>
        <w:t>谈判小组对入围的投标人的报价进行修正得出经过算术错误纠正、折扣、为遗漏和偏差进行的调整以及其它规定的评比因素修正后得出的评标价，在实质性响应谈判文件，在技术和商务部分都能满足谈判文件的前提下，谈判小组将校核后的各投标人的报价从低到高排序，推荐最低评标价的投标人为成交候选人。报价相同时，则按照本招标文件的技术评分细则进行评分，技术得分最高的确定第一成交候选人，报价和技术评审相同时，则按照本招标文件的商务评分细则进行评分，商务得分最高的确定第一成交候选人，并写出本次谈</w:t>
      </w:r>
      <w:r>
        <w:rPr>
          <w:spacing w:val="-2"/>
          <w:sz w:val="21"/>
        </w:rPr>
        <w:t>判的《评审报告》。</w:t>
      </w:r>
    </w:p>
    <w:p>
      <w:pPr>
        <w:pStyle w:val="ListParagraph"/>
        <w:numPr>
          <w:ilvl w:val="1"/>
          <w:numId w:val="47"/>
        </w:numPr>
        <w:tabs>
          <w:tab w:val="left" w:pos="1486"/>
        </w:tabs>
        <w:spacing w:before="0" w:after="0" w:line="410" w:lineRule="auto"/>
        <w:ind w:left="1486" w:right="222" w:hanging="424"/>
        <w:jc w:val="both"/>
        <w:rPr>
          <w:sz w:val="21"/>
        </w:rPr>
      </w:pPr>
      <w:r>
        <w:rPr>
          <w:spacing w:val="-2"/>
          <w:sz w:val="21"/>
        </w:rPr>
        <w:t>谈判小组详细分析、核准价格表，看其是否有计算上或累加上的算术错误，修正错误的原</w:t>
      </w:r>
      <w:r>
        <w:rPr>
          <w:spacing w:val="-4"/>
          <w:sz w:val="21"/>
        </w:rPr>
        <w:t>则如下：</w:t>
      </w:r>
    </w:p>
    <w:p>
      <w:pPr>
        <w:pStyle w:val="BodyText"/>
        <w:ind w:left="1485"/>
        <w:jc w:val="both"/>
      </w:pPr>
      <w:r>
        <w:rPr>
          <w:spacing w:val="-1"/>
        </w:rPr>
        <w:t>① 若报价文件中的大写金额和小写金额不一致时，以大写金额为准；</w:t>
      </w:r>
    </w:p>
    <w:p>
      <w:pPr>
        <w:pStyle w:val="BodyText"/>
        <w:spacing w:before="11"/>
        <w:rPr>
          <w:sz w:val="14"/>
        </w:rPr>
      </w:pPr>
    </w:p>
    <w:p>
      <w:pPr>
        <w:pStyle w:val="BodyText"/>
        <w:ind w:left="1485"/>
        <w:jc w:val="both"/>
      </w:pPr>
      <w:r>
        <w:rPr>
          <w:spacing w:val="-1"/>
        </w:rPr>
        <w:t>② 当单价与数量的乘积与总价不一致时，以单价为准，并修正总价；</w:t>
      </w:r>
    </w:p>
    <w:p>
      <w:pPr>
        <w:pStyle w:val="BodyText"/>
        <w:spacing w:before="11"/>
        <w:rPr>
          <w:sz w:val="14"/>
        </w:rPr>
      </w:pPr>
    </w:p>
    <w:p>
      <w:pPr>
        <w:pStyle w:val="BodyText"/>
        <w:spacing w:line="410" w:lineRule="auto"/>
        <w:ind w:left="1800" w:right="375" w:hanging="315"/>
        <w:jc w:val="both"/>
      </w:pPr>
      <w:r>
        <w:rPr>
          <w:spacing w:val="-6"/>
        </w:rPr>
        <w:t>③ 采购人需要的服务和附带备品、配件所需的费用，如果投标人是另外单独报价的话，</w:t>
      </w:r>
      <w:r>
        <w:rPr>
          <w:spacing w:val="-2"/>
        </w:rPr>
        <w:t>评分时计入报价；</w:t>
      </w:r>
    </w:p>
    <w:p>
      <w:pPr>
        <w:pStyle w:val="BodyText"/>
        <w:spacing w:line="410" w:lineRule="auto"/>
        <w:ind w:left="1800" w:right="375" w:hanging="315"/>
        <w:jc w:val="both"/>
      </w:pPr>
      <w:r>
        <w:rPr>
          <w:spacing w:val="-6"/>
        </w:rPr>
        <w:t>④ 如某投标人项目报价有漏项，采用通过符合性评审的投标人中该项报价最高的价格计</w:t>
      </w:r>
      <w:r>
        <w:rPr>
          <w:spacing w:val="-2"/>
        </w:rPr>
        <w:t>入总报价后进行评分，但此价格不作为成交价格。若该投标人被确定为成交供应商，</w:t>
      </w:r>
      <w:r>
        <w:rPr>
          <w:spacing w:val="-2"/>
        </w:rPr>
        <w:t>合同价以其原报价为标准；</w:t>
      </w:r>
    </w:p>
    <w:p>
      <w:pPr>
        <w:pStyle w:val="BodyText"/>
        <w:spacing w:line="269" w:lineRule="exact"/>
        <w:ind w:left="1485"/>
        <w:jc w:val="both"/>
      </w:pPr>
      <w:r>
        <w:rPr>
          <w:spacing w:val="-1"/>
        </w:rPr>
        <w:t>⑤ 谈判小组认为应该调整的价格。</w:t>
      </w:r>
    </w:p>
    <w:p>
      <w:pPr>
        <w:pStyle w:val="BodyText"/>
        <w:spacing w:before="12"/>
        <w:rPr>
          <w:sz w:val="14"/>
        </w:rPr>
      </w:pPr>
    </w:p>
    <w:p>
      <w:pPr>
        <w:pStyle w:val="BodyText"/>
        <w:spacing w:line="410" w:lineRule="auto"/>
        <w:ind w:left="1800" w:right="375" w:hanging="315"/>
        <w:jc w:val="both"/>
      </w:pPr>
      <w:r>
        <w:rPr>
          <w:spacing w:val="-8"/>
        </w:rPr>
        <w:t xml:space="preserve">⑥ 对小型或微型企业投标的扶持，按本部分 </w:t>
      </w:r>
      <w:r>
        <w:rPr>
          <w:spacing w:val="-2"/>
        </w:rPr>
        <w:t>33</w:t>
      </w:r>
      <w:r>
        <w:rPr>
          <w:spacing w:val="-9"/>
        </w:rPr>
        <w:t xml:space="preserve"> 条“第二阶段：详细评审”第 </w:t>
      </w:r>
      <w:r>
        <w:rPr>
          <w:spacing w:val="-2"/>
        </w:rPr>
        <w:t>2</w:t>
      </w:r>
      <w:r>
        <w:rPr>
          <w:spacing w:val="-12"/>
        </w:rPr>
        <w:t xml:space="preserve"> 款 “评</w:t>
      </w:r>
      <w:r>
        <w:t>分标准”c</w:t>
      </w:r>
      <w:r>
        <w:rPr>
          <w:spacing w:val="-7"/>
        </w:rPr>
        <w:t xml:space="preserve"> 项“价格的核准和评分”中“对小型或微型企业投标的扶持”计算。</w:t>
      </w:r>
    </w:p>
    <w:p>
      <w:pPr>
        <w:pStyle w:val="ListParagraph"/>
        <w:numPr>
          <w:ilvl w:val="1"/>
          <w:numId w:val="47"/>
        </w:numPr>
        <w:tabs>
          <w:tab w:val="left" w:pos="1486"/>
        </w:tabs>
        <w:spacing w:before="0" w:after="0" w:line="410" w:lineRule="auto"/>
        <w:ind w:left="1486" w:right="222" w:hanging="424"/>
        <w:jc w:val="both"/>
        <w:rPr>
          <w:sz w:val="21"/>
        </w:rPr>
      </w:pPr>
      <w:r>
        <w:rPr>
          <w:spacing w:val="-2"/>
          <w:sz w:val="21"/>
        </w:rPr>
        <w:t>谈判小组将按上述修正错误的方法调整报价文件中的报价，调整后的价格对报价人具有约</w:t>
      </w:r>
      <w:r>
        <w:rPr>
          <w:spacing w:val="-2"/>
          <w:sz w:val="21"/>
        </w:rPr>
        <w:t>束力。如果报价人不接受修正后的价格，则其报价将被拒绝。</w:t>
      </w:r>
    </w:p>
    <w:p>
      <w:pPr>
        <w:pStyle w:val="ListParagraph"/>
        <w:numPr>
          <w:ilvl w:val="1"/>
          <w:numId w:val="47"/>
        </w:numPr>
        <w:tabs>
          <w:tab w:val="left" w:pos="1486"/>
        </w:tabs>
        <w:spacing w:before="0" w:after="0" w:line="240" w:lineRule="auto"/>
        <w:ind w:left="1486" w:right="0" w:hanging="424"/>
        <w:jc w:val="both"/>
        <w:rPr>
          <w:sz w:val="21"/>
        </w:rPr>
      </w:pPr>
      <w:r>
        <w:rPr>
          <w:spacing w:val="-1"/>
          <w:sz w:val="21"/>
        </w:rPr>
        <w:t>最终报价超出项目预算将被拒绝。</w:t>
      </w:r>
    </w:p>
    <w:p>
      <w:pPr>
        <w:spacing w:after="0" w:line="240" w:lineRule="auto"/>
        <w:jc w:val="both"/>
        <w:rPr>
          <w:sz w:val="21"/>
        </w:rPr>
        <w:sectPr>
          <w:headerReference w:type="default" r:id="rId81"/>
          <w:footerReference w:type="default" r:id="rId82"/>
          <w:pgSz w:w="11910" w:h="16840"/>
          <w:pgMar w:top="1340" w:right="1080" w:bottom="1000" w:left="880" w:header="822" w:footer="805"/>
          <w:pgNumType w:start="38"/>
          <w:cols w:space="708"/>
        </w:sectPr>
      </w:pPr>
    </w:p>
    <w:p>
      <w:pPr>
        <w:pStyle w:val="BodyText"/>
        <w:spacing w:before="12"/>
        <w:rPr>
          <w:sz w:val="11"/>
        </w:rPr>
      </w:pPr>
    </w:p>
    <w:p>
      <w:pPr>
        <w:pStyle w:val="ListParagraph"/>
        <w:numPr>
          <w:ilvl w:val="0"/>
          <w:numId w:val="47"/>
        </w:numPr>
        <w:tabs>
          <w:tab w:val="left" w:pos="1065"/>
        </w:tabs>
        <w:spacing w:before="70" w:after="0" w:line="240" w:lineRule="auto"/>
        <w:ind w:left="1064" w:right="0" w:hanging="851"/>
        <w:jc w:val="both"/>
        <w:rPr>
          <w:sz w:val="21"/>
        </w:rPr>
      </w:pPr>
      <w:r>
        <w:rPr>
          <w:spacing w:val="-1"/>
          <w:sz w:val="21"/>
        </w:rPr>
        <w:t>采购方式转为单一来源采购的评审原则和程序。</w:t>
      </w:r>
    </w:p>
    <w:p>
      <w:pPr>
        <w:pStyle w:val="BodyText"/>
        <w:spacing w:before="12"/>
        <w:rPr>
          <w:sz w:val="14"/>
        </w:rPr>
      </w:pPr>
    </w:p>
    <w:p>
      <w:pPr>
        <w:pStyle w:val="BodyText"/>
        <w:ind w:left="1062"/>
      </w:pPr>
      <w:r>
        <w:t>1）</w:t>
      </w:r>
      <w:r>
        <w:rPr>
          <w:spacing w:val="-1"/>
        </w:rPr>
        <w:t xml:space="preserve"> 谈判小组与供应商进行谈判达成一致意见后，出具《评审报告》，确定成交供应商。</w:t>
      </w:r>
    </w:p>
    <w:p>
      <w:pPr>
        <w:pStyle w:val="BodyText"/>
        <w:rPr>
          <w:sz w:val="20"/>
        </w:rPr>
      </w:pPr>
    </w:p>
    <w:p>
      <w:pPr>
        <w:pStyle w:val="BodyText"/>
        <w:spacing w:before="3"/>
        <w:rPr>
          <w:sz w:val="22"/>
        </w:rPr>
      </w:pPr>
    </w:p>
    <w:p>
      <w:pPr>
        <w:pStyle w:val="Heading3"/>
        <w:numPr>
          <w:ilvl w:val="0"/>
          <w:numId w:val="67"/>
        </w:numPr>
        <w:tabs>
          <w:tab w:val="left" w:pos="1064"/>
          <w:tab w:val="left" w:pos="1066"/>
        </w:tabs>
        <w:spacing w:before="0" w:after="0" w:line="240" w:lineRule="auto"/>
        <w:ind w:left="1065" w:right="0" w:hanging="852"/>
        <w:jc w:val="left"/>
      </w:pPr>
      <w:r>
        <w:rPr>
          <w:spacing w:val="-2"/>
        </w:rPr>
        <w:t>评标委员会</w:t>
      </w:r>
    </w:p>
    <w:p>
      <w:pPr>
        <w:pStyle w:val="ListParagraph"/>
        <w:numPr>
          <w:ilvl w:val="0"/>
          <w:numId w:val="46"/>
        </w:numPr>
        <w:tabs>
          <w:tab w:val="left" w:pos="1065"/>
        </w:tabs>
        <w:spacing w:before="128" w:after="0" w:line="240" w:lineRule="auto"/>
        <w:ind w:left="1064" w:right="0" w:hanging="851"/>
        <w:jc w:val="both"/>
        <w:rPr>
          <w:sz w:val="21"/>
        </w:rPr>
      </w:pPr>
      <w:r>
        <w:rPr>
          <w:spacing w:val="-1"/>
          <w:sz w:val="21"/>
        </w:rPr>
        <w:t>本次招标依《中华人民共和国政府采购法》及有关法规组建评标委员会。</w:t>
      </w:r>
    </w:p>
    <w:p>
      <w:pPr>
        <w:pStyle w:val="BodyText"/>
        <w:spacing w:before="12"/>
        <w:rPr>
          <w:sz w:val="14"/>
        </w:rPr>
      </w:pPr>
    </w:p>
    <w:p>
      <w:pPr>
        <w:pStyle w:val="ListParagraph"/>
        <w:numPr>
          <w:ilvl w:val="0"/>
          <w:numId w:val="46"/>
        </w:numPr>
        <w:tabs>
          <w:tab w:val="left" w:pos="1064"/>
          <w:tab w:val="left" w:pos="1065"/>
        </w:tabs>
        <w:spacing w:before="0" w:after="0" w:line="410" w:lineRule="auto"/>
        <w:ind w:left="1065" w:right="480" w:hanging="851"/>
        <w:jc w:val="left"/>
        <w:rPr>
          <w:sz w:val="21"/>
        </w:rPr>
      </w:pPr>
      <w:r>
        <w:rPr>
          <w:spacing w:val="-3"/>
          <w:sz w:val="21"/>
        </w:rPr>
        <w:t xml:space="preserve">评标委员会依法根据招标文件的规定进行投标文件的评审、提交评标报告推荐 </w:t>
      </w:r>
      <w:r>
        <w:rPr>
          <w:spacing w:val="-2"/>
          <w:sz w:val="21"/>
        </w:rPr>
        <w:t>2</w:t>
      </w:r>
      <w:r>
        <w:rPr>
          <w:spacing w:val="-8"/>
          <w:sz w:val="21"/>
        </w:rPr>
        <w:t xml:space="preserve"> 名中标侯选</w:t>
      </w:r>
      <w:r>
        <w:rPr>
          <w:spacing w:val="-6"/>
          <w:sz w:val="21"/>
        </w:rPr>
        <w:t>人。</w:t>
      </w:r>
    </w:p>
    <w:p>
      <w:pPr>
        <w:pStyle w:val="BodyText"/>
        <w:spacing w:before="4"/>
        <w:rPr>
          <w:sz w:val="27"/>
        </w:rPr>
      </w:pPr>
    </w:p>
    <w:p>
      <w:pPr>
        <w:pStyle w:val="Heading3"/>
        <w:numPr>
          <w:ilvl w:val="0"/>
          <w:numId w:val="67"/>
        </w:numPr>
        <w:tabs>
          <w:tab w:val="left" w:pos="1064"/>
          <w:tab w:val="left" w:pos="1066"/>
        </w:tabs>
        <w:spacing w:before="1" w:after="0" w:line="240" w:lineRule="auto"/>
        <w:ind w:left="1065" w:right="0" w:hanging="852"/>
        <w:jc w:val="left"/>
      </w:pPr>
      <w:r>
        <w:rPr>
          <w:spacing w:val="-1"/>
        </w:rPr>
        <w:t>评标原则和步骤及评标方法</w:t>
      </w:r>
    </w:p>
    <w:p>
      <w:pPr>
        <w:pStyle w:val="ListParagraph"/>
        <w:numPr>
          <w:ilvl w:val="0"/>
          <w:numId w:val="45"/>
        </w:numPr>
        <w:tabs>
          <w:tab w:val="left" w:pos="1064"/>
          <w:tab w:val="left" w:pos="1065"/>
        </w:tabs>
        <w:spacing w:before="127" w:after="0" w:line="410" w:lineRule="auto"/>
        <w:ind w:left="1065" w:right="221" w:hanging="851"/>
        <w:jc w:val="left"/>
        <w:rPr>
          <w:sz w:val="21"/>
        </w:rPr>
      </w:pPr>
      <w:r>
        <w:rPr>
          <w:spacing w:val="-2"/>
          <w:sz w:val="21"/>
        </w:rPr>
        <w:t>评标基本原则：评标工作应依据《中华人民共和国政府采购法》以及国家和地方政府有关政府</w:t>
      </w:r>
      <w:r>
        <w:rPr>
          <w:spacing w:val="-2"/>
          <w:sz w:val="21"/>
        </w:rPr>
        <w:t>采购的有关法规，遵循“公开、公平、公正、择优、信用”的原则进行。</w:t>
      </w:r>
    </w:p>
    <w:p>
      <w:pPr>
        <w:pStyle w:val="ListParagraph"/>
        <w:numPr>
          <w:ilvl w:val="0"/>
          <w:numId w:val="45"/>
        </w:numPr>
        <w:tabs>
          <w:tab w:val="left" w:pos="1064"/>
          <w:tab w:val="left" w:pos="1065"/>
        </w:tabs>
        <w:spacing w:before="0" w:after="0" w:line="410" w:lineRule="auto"/>
        <w:ind w:left="1065" w:right="270" w:hanging="851"/>
        <w:jc w:val="left"/>
        <w:rPr>
          <w:sz w:val="21"/>
        </w:rPr>
      </w:pPr>
      <w:r>
        <w:rPr>
          <w:spacing w:val="-2"/>
          <w:sz w:val="21"/>
        </w:rPr>
        <w:t>评标步骤及定标规定：第一阶段：先进行投标人符合性审查。第二阶段：对通过符合性审查的</w:t>
      </w:r>
      <w:r>
        <w:rPr>
          <w:spacing w:val="-2"/>
          <w:sz w:val="21"/>
        </w:rPr>
        <w:t>投标人按照评标办法进行详细评审。</w:t>
      </w:r>
    </w:p>
    <w:p>
      <w:pPr>
        <w:pStyle w:val="Heading4"/>
        <w:numPr>
          <w:ilvl w:val="0"/>
          <w:numId w:val="45"/>
        </w:numPr>
        <w:tabs>
          <w:tab w:val="left" w:pos="1064"/>
          <w:tab w:val="left" w:pos="1065"/>
        </w:tabs>
        <w:spacing w:before="0" w:after="0" w:line="317" w:lineRule="exact"/>
        <w:ind w:left="1064" w:right="0" w:hanging="851"/>
        <w:jc w:val="left"/>
      </w:pPr>
      <w:r>
        <w:rPr>
          <w:spacing w:val="-1"/>
        </w:rPr>
        <w:t>评标办法：本次招标的评标方式为综合评分法，符合性审查阶段采取评委一人一票，意见不一</w:t>
      </w:r>
    </w:p>
    <w:p>
      <w:pPr>
        <w:pStyle w:val="Heading4"/>
        <w:spacing w:before="74" w:line="285" w:lineRule="auto"/>
        <w:ind w:left="1065" w:right="236" w:firstLine="0"/>
      </w:pPr>
      <w:r>
        <w:rPr>
          <w:spacing w:val="-2"/>
        </w:rPr>
        <w:t>致时少数服从多数的的评标方式，详细评审采用百分制综合评分法，分数按四舍五入原则计至</w:t>
      </w:r>
      <w:r>
        <w:rPr>
          <w:spacing w:val="-2"/>
        </w:rPr>
        <w:t>小数点后两位。</w:t>
      </w:r>
    </w:p>
    <w:p>
      <w:pPr>
        <w:pStyle w:val="BodyText"/>
        <w:spacing w:before="16"/>
        <w:rPr>
          <w:rFonts w:ascii="Microsoft JhengHei"/>
          <w:b/>
          <w:sz w:val="22"/>
        </w:rPr>
      </w:pPr>
    </w:p>
    <w:p>
      <w:pPr>
        <w:pStyle w:val="Heading3"/>
        <w:numPr>
          <w:ilvl w:val="0"/>
          <w:numId w:val="67"/>
        </w:numPr>
        <w:tabs>
          <w:tab w:val="left" w:pos="1064"/>
          <w:tab w:val="left" w:pos="1066"/>
        </w:tabs>
        <w:spacing w:before="1" w:after="0" w:line="240" w:lineRule="auto"/>
        <w:ind w:left="1065" w:right="0" w:hanging="852"/>
        <w:jc w:val="left"/>
      </w:pPr>
      <w:r>
        <w:rPr>
          <w:spacing w:val="-1"/>
        </w:rPr>
        <w:t>第一阶段：符合性评审</w:t>
      </w:r>
    </w:p>
    <w:p>
      <w:pPr>
        <w:pStyle w:val="ListParagraph"/>
        <w:numPr>
          <w:ilvl w:val="0"/>
          <w:numId w:val="44"/>
        </w:numPr>
        <w:tabs>
          <w:tab w:val="left" w:pos="1065"/>
        </w:tabs>
        <w:spacing w:before="127" w:after="0" w:line="410" w:lineRule="auto"/>
        <w:ind w:left="1065" w:right="221" w:hanging="851"/>
        <w:jc w:val="both"/>
        <w:rPr>
          <w:sz w:val="21"/>
        </w:rPr>
      </w:pPr>
      <w:r>
        <w:rPr>
          <w:spacing w:val="-2"/>
          <w:sz w:val="21"/>
        </w:rPr>
        <w:t>评标委员会根据招标文件对投标文件进行符合性审查，检查投标文件提交的内容是否齐全、签署是否合格、是否满足招标文件的要求、是否能证明有能力承担本项目的任务、是否按招标文</w:t>
      </w:r>
      <w:r>
        <w:rPr>
          <w:spacing w:val="-2"/>
          <w:sz w:val="21"/>
        </w:rPr>
        <w:t>件的要求作出了相应的承诺。</w:t>
      </w:r>
    </w:p>
    <w:p>
      <w:pPr>
        <w:pStyle w:val="ListParagraph"/>
        <w:numPr>
          <w:ilvl w:val="0"/>
          <w:numId w:val="44"/>
        </w:numPr>
        <w:tabs>
          <w:tab w:val="left" w:pos="1065"/>
        </w:tabs>
        <w:spacing w:before="0" w:after="0" w:line="269" w:lineRule="exact"/>
        <w:ind w:left="1064" w:right="0" w:hanging="851"/>
        <w:jc w:val="both"/>
        <w:rPr>
          <w:sz w:val="21"/>
        </w:rPr>
      </w:pPr>
      <w:r>
        <w:rPr>
          <w:spacing w:val="-2"/>
          <w:sz w:val="21"/>
        </w:rPr>
        <w:t>无效投标的认定</w:t>
      </w:r>
    </w:p>
    <w:p>
      <w:pPr>
        <w:pStyle w:val="BodyText"/>
        <w:spacing w:before="12"/>
        <w:rPr>
          <w:sz w:val="14"/>
        </w:rPr>
      </w:pPr>
    </w:p>
    <w:p>
      <w:pPr>
        <w:pStyle w:val="BodyText"/>
        <w:ind w:left="1062"/>
      </w:pPr>
      <w:r>
        <w:rPr>
          <w:spacing w:val="-1"/>
        </w:rPr>
        <w:t>投标文件出现但不限于下列情况被认定为无效投标：</w:t>
      </w:r>
    </w:p>
    <w:p>
      <w:pPr>
        <w:pStyle w:val="BodyText"/>
        <w:spacing w:before="11"/>
        <w:rPr>
          <w:sz w:val="14"/>
        </w:rPr>
      </w:pPr>
    </w:p>
    <w:p>
      <w:pPr>
        <w:pStyle w:val="ListParagraph"/>
        <w:numPr>
          <w:ilvl w:val="1"/>
          <w:numId w:val="44"/>
        </w:numPr>
        <w:tabs>
          <w:tab w:val="left" w:pos="1486"/>
        </w:tabs>
        <w:spacing w:before="1" w:after="0" w:line="240" w:lineRule="auto"/>
        <w:ind w:left="1486" w:right="0" w:hanging="424"/>
        <w:jc w:val="left"/>
        <w:rPr>
          <w:sz w:val="21"/>
        </w:rPr>
      </w:pPr>
      <w:r>
        <w:rPr>
          <w:spacing w:val="-1"/>
          <w:sz w:val="21"/>
        </w:rPr>
        <w:t>投标人未按招标文件规定提交投标保证金或金额不足的；</w:t>
      </w:r>
    </w:p>
    <w:p>
      <w:pPr>
        <w:pStyle w:val="BodyText"/>
        <w:spacing w:before="11"/>
        <w:rPr>
          <w:sz w:val="14"/>
        </w:rPr>
      </w:pPr>
    </w:p>
    <w:p>
      <w:pPr>
        <w:pStyle w:val="ListParagraph"/>
        <w:numPr>
          <w:ilvl w:val="1"/>
          <w:numId w:val="44"/>
        </w:numPr>
        <w:tabs>
          <w:tab w:val="left" w:pos="1486"/>
        </w:tabs>
        <w:spacing w:before="0" w:after="0" w:line="240" w:lineRule="auto"/>
        <w:ind w:left="1486" w:right="0" w:hanging="424"/>
        <w:jc w:val="left"/>
        <w:rPr>
          <w:sz w:val="21"/>
        </w:rPr>
      </w:pPr>
      <w:r>
        <w:rPr>
          <w:spacing w:val="-2"/>
          <w:sz w:val="21"/>
        </w:rPr>
        <w:t>投标有效期不足的；</w:t>
      </w:r>
    </w:p>
    <w:p>
      <w:pPr>
        <w:pStyle w:val="BodyText"/>
        <w:spacing w:before="11"/>
        <w:rPr>
          <w:sz w:val="14"/>
        </w:rPr>
      </w:pPr>
    </w:p>
    <w:p>
      <w:pPr>
        <w:pStyle w:val="ListParagraph"/>
        <w:numPr>
          <w:ilvl w:val="1"/>
          <w:numId w:val="44"/>
        </w:numPr>
        <w:tabs>
          <w:tab w:val="left" w:pos="1486"/>
        </w:tabs>
        <w:spacing w:before="1" w:after="0" w:line="240" w:lineRule="auto"/>
        <w:ind w:left="1486" w:right="0" w:hanging="424"/>
        <w:jc w:val="left"/>
        <w:rPr>
          <w:sz w:val="21"/>
        </w:rPr>
      </w:pPr>
      <w:r>
        <w:rPr>
          <w:spacing w:val="-1"/>
          <w:sz w:val="21"/>
        </w:rPr>
        <w:t>投标人不符合合格投标人的基本条件；</w:t>
      </w:r>
    </w:p>
    <w:p>
      <w:pPr>
        <w:pStyle w:val="BodyText"/>
        <w:spacing w:before="11"/>
        <w:rPr>
          <w:sz w:val="14"/>
        </w:rPr>
      </w:pPr>
    </w:p>
    <w:p>
      <w:pPr>
        <w:pStyle w:val="ListParagraph"/>
        <w:numPr>
          <w:ilvl w:val="1"/>
          <w:numId w:val="44"/>
        </w:numPr>
        <w:tabs>
          <w:tab w:val="left" w:pos="1486"/>
        </w:tabs>
        <w:spacing w:before="0" w:after="0" w:line="240" w:lineRule="auto"/>
        <w:ind w:left="1486" w:right="0" w:hanging="424"/>
        <w:jc w:val="left"/>
        <w:rPr>
          <w:sz w:val="21"/>
        </w:rPr>
      </w:pPr>
      <w:r>
        <w:rPr>
          <w:spacing w:val="-1"/>
          <w:sz w:val="21"/>
        </w:rPr>
        <w:t>投标文件主要资料不齐全或签署不及格的；</w:t>
      </w:r>
    </w:p>
    <w:p>
      <w:pPr>
        <w:pStyle w:val="BodyText"/>
        <w:spacing w:before="12"/>
        <w:rPr>
          <w:sz w:val="14"/>
        </w:rPr>
      </w:pPr>
    </w:p>
    <w:p>
      <w:pPr>
        <w:pStyle w:val="ListParagraph"/>
        <w:numPr>
          <w:ilvl w:val="1"/>
          <w:numId w:val="44"/>
        </w:numPr>
        <w:tabs>
          <w:tab w:val="left" w:pos="1486"/>
        </w:tabs>
        <w:spacing w:before="0" w:after="0" w:line="240" w:lineRule="auto"/>
        <w:ind w:left="1486" w:right="0" w:hanging="424"/>
        <w:jc w:val="left"/>
        <w:rPr>
          <w:sz w:val="21"/>
        </w:rPr>
      </w:pPr>
      <w:r>
        <w:rPr>
          <w:spacing w:val="-1"/>
          <w:sz w:val="21"/>
        </w:rPr>
        <w:t>投标资料虚报或者谎报的；</w:t>
      </w:r>
    </w:p>
    <w:p>
      <w:pPr>
        <w:pStyle w:val="BodyText"/>
        <w:spacing w:before="11"/>
        <w:rPr>
          <w:sz w:val="14"/>
        </w:rPr>
      </w:pPr>
    </w:p>
    <w:p>
      <w:pPr>
        <w:pStyle w:val="ListParagraph"/>
        <w:numPr>
          <w:ilvl w:val="1"/>
          <w:numId w:val="44"/>
        </w:numPr>
        <w:tabs>
          <w:tab w:val="left" w:pos="1486"/>
        </w:tabs>
        <w:spacing w:before="0" w:after="0" w:line="240" w:lineRule="auto"/>
        <w:ind w:left="1486" w:right="0" w:hanging="424"/>
        <w:jc w:val="left"/>
        <w:rPr>
          <w:sz w:val="21"/>
        </w:rPr>
      </w:pPr>
      <w:r>
        <w:rPr>
          <w:spacing w:val="-1"/>
          <w:sz w:val="21"/>
        </w:rPr>
        <w:t>投标价不是固定价或投标方案不是唯一的；</w:t>
      </w:r>
    </w:p>
    <w:p>
      <w:pPr>
        <w:spacing w:after="0" w:line="240" w:lineRule="auto"/>
        <w:jc w:val="left"/>
        <w:rPr>
          <w:sz w:val="21"/>
        </w:rPr>
        <w:sectPr>
          <w:headerReference w:type="default" r:id="rId83"/>
          <w:footerReference w:type="default" r:id="rId84"/>
          <w:pgSz w:w="11910" w:h="16840"/>
          <w:pgMar w:top="1340" w:right="1080" w:bottom="1000" w:left="880" w:header="822" w:footer="805"/>
          <w:pgNumType w:start="39"/>
          <w:cols w:space="708"/>
        </w:sectPr>
      </w:pPr>
    </w:p>
    <w:p>
      <w:pPr>
        <w:pStyle w:val="BodyText"/>
        <w:spacing w:before="12"/>
        <w:rPr>
          <w:sz w:val="11"/>
        </w:rPr>
      </w:pPr>
    </w:p>
    <w:p>
      <w:pPr>
        <w:pStyle w:val="ListParagraph"/>
        <w:numPr>
          <w:ilvl w:val="1"/>
          <w:numId w:val="44"/>
        </w:numPr>
        <w:tabs>
          <w:tab w:val="left" w:pos="1486"/>
        </w:tabs>
        <w:spacing w:before="70" w:after="0" w:line="410" w:lineRule="auto"/>
        <w:ind w:left="1486" w:right="269" w:hanging="424"/>
        <w:jc w:val="left"/>
        <w:rPr>
          <w:sz w:val="21"/>
        </w:rPr>
      </w:pPr>
      <w:r>
        <w:rPr>
          <w:spacing w:val="-2"/>
          <w:sz w:val="21"/>
        </w:rPr>
        <w:t>单价与总价不相符，又不接受评标委员会修正的投标总价或投标报价明显低于其他投标报</w:t>
      </w:r>
      <w:r>
        <w:rPr>
          <w:spacing w:val="-2"/>
          <w:sz w:val="21"/>
        </w:rPr>
        <w:t>价而投标人不能合理说明的；</w:t>
      </w:r>
    </w:p>
    <w:p>
      <w:pPr>
        <w:pStyle w:val="ListParagraph"/>
        <w:numPr>
          <w:ilvl w:val="1"/>
          <w:numId w:val="44"/>
        </w:numPr>
        <w:tabs>
          <w:tab w:val="left" w:pos="1486"/>
        </w:tabs>
        <w:spacing w:before="0" w:after="0" w:line="240" w:lineRule="auto"/>
        <w:ind w:left="1486" w:right="0" w:hanging="424"/>
        <w:jc w:val="left"/>
        <w:rPr>
          <w:sz w:val="21"/>
        </w:rPr>
      </w:pPr>
      <w:r>
        <w:rPr>
          <w:spacing w:val="-1"/>
          <w:sz w:val="21"/>
        </w:rPr>
        <w:t>投标报价超出项目预算；</w:t>
      </w:r>
    </w:p>
    <w:p>
      <w:pPr>
        <w:pStyle w:val="BodyText"/>
        <w:spacing w:before="11"/>
        <w:rPr>
          <w:sz w:val="14"/>
        </w:rPr>
      </w:pPr>
    </w:p>
    <w:p>
      <w:pPr>
        <w:pStyle w:val="ListParagraph"/>
        <w:numPr>
          <w:ilvl w:val="1"/>
          <w:numId w:val="44"/>
        </w:numPr>
        <w:tabs>
          <w:tab w:val="left" w:pos="1486"/>
        </w:tabs>
        <w:spacing w:before="1" w:after="0" w:line="240" w:lineRule="auto"/>
        <w:ind w:left="1486" w:right="0" w:hanging="424"/>
        <w:jc w:val="left"/>
        <w:rPr>
          <w:sz w:val="21"/>
        </w:rPr>
      </w:pPr>
      <w:r>
        <w:rPr>
          <w:spacing w:val="-1"/>
          <w:sz w:val="21"/>
        </w:rPr>
        <w:t>投标报价有重大漏项或重大不合理；</w:t>
      </w:r>
    </w:p>
    <w:p>
      <w:pPr>
        <w:pStyle w:val="BodyText"/>
        <w:spacing w:before="11"/>
        <w:rPr>
          <w:sz w:val="14"/>
        </w:rPr>
      </w:pPr>
    </w:p>
    <w:p>
      <w:pPr>
        <w:pStyle w:val="ListParagraph"/>
        <w:numPr>
          <w:ilvl w:val="1"/>
          <w:numId w:val="44"/>
        </w:numPr>
        <w:tabs>
          <w:tab w:val="left" w:pos="1486"/>
        </w:tabs>
        <w:spacing w:before="0" w:after="0" w:line="240" w:lineRule="auto"/>
        <w:ind w:left="1486" w:right="0" w:hanging="424"/>
        <w:jc w:val="left"/>
        <w:rPr>
          <w:sz w:val="21"/>
        </w:rPr>
      </w:pPr>
      <w:r>
        <w:rPr>
          <w:spacing w:val="-1"/>
          <w:sz w:val="21"/>
        </w:rPr>
        <w:t>实施方案和主要技术规格和参数不满足用户需求书的要求以及商务有重大偏离或保留的；</w:t>
      </w:r>
    </w:p>
    <w:p>
      <w:pPr>
        <w:pStyle w:val="BodyText"/>
        <w:spacing w:before="12"/>
        <w:rPr>
          <w:sz w:val="14"/>
        </w:rPr>
      </w:pPr>
    </w:p>
    <w:p>
      <w:pPr>
        <w:pStyle w:val="ListParagraph"/>
        <w:numPr>
          <w:ilvl w:val="1"/>
          <w:numId w:val="44"/>
        </w:numPr>
        <w:tabs>
          <w:tab w:val="left" w:pos="1486"/>
        </w:tabs>
        <w:spacing w:before="0" w:after="0" w:line="240" w:lineRule="auto"/>
        <w:ind w:left="1486" w:right="0" w:hanging="424"/>
        <w:jc w:val="both"/>
        <w:rPr>
          <w:sz w:val="21"/>
        </w:rPr>
      </w:pPr>
      <w:r>
        <w:rPr>
          <w:spacing w:val="-1"/>
          <w:sz w:val="21"/>
        </w:rPr>
        <w:t>评标委员会认为其它构成投标未实质性响应招标文件要求的。</w:t>
      </w:r>
    </w:p>
    <w:p>
      <w:pPr>
        <w:pStyle w:val="BodyText"/>
        <w:spacing w:before="11"/>
        <w:rPr>
          <w:sz w:val="14"/>
        </w:rPr>
      </w:pPr>
    </w:p>
    <w:p>
      <w:pPr>
        <w:pStyle w:val="ListParagraph"/>
        <w:numPr>
          <w:ilvl w:val="0"/>
          <w:numId w:val="44"/>
        </w:numPr>
        <w:tabs>
          <w:tab w:val="left" w:pos="1065"/>
        </w:tabs>
        <w:spacing w:before="0" w:after="0" w:line="410" w:lineRule="auto"/>
        <w:ind w:left="1065" w:right="221" w:hanging="851"/>
        <w:jc w:val="both"/>
        <w:rPr>
          <w:sz w:val="21"/>
        </w:rPr>
      </w:pPr>
      <w:r>
        <w:rPr>
          <w:spacing w:val="-2"/>
          <w:sz w:val="21"/>
        </w:rPr>
        <w:t>评标委员会根据资格审查需要，可以书面方式要求投标人对提供的符合性评审资料进行澄清和说明，或对符合性评审资料复印资料提供原件查验核对，投标人应当按照评标委员会的要求以书面方式作出澄清、说明或提供相关资料原件核查。投标人不予澄清说明或没有提供原件核查</w:t>
      </w:r>
      <w:r>
        <w:rPr>
          <w:spacing w:val="-2"/>
          <w:sz w:val="21"/>
        </w:rPr>
        <w:t>的，其符合性审查不予通过，投标文件作无效投标处理。</w:t>
      </w:r>
    </w:p>
    <w:p>
      <w:pPr>
        <w:pStyle w:val="ListParagraph"/>
        <w:numPr>
          <w:ilvl w:val="0"/>
          <w:numId w:val="44"/>
        </w:numPr>
        <w:tabs>
          <w:tab w:val="left" w:pos="1065"/>
        </w:tabs>
        <w:spacing w:before="0" w:after="0" w:line="410" w:lineRule="auto"/>
        <w:ind w:left="1065" w:right="221" w:hanging="851"/>
        <w:jc w:val="both"/>
        <w:rPr>
          <w:sz w:val="21"/>
        </w:rPr>
      </w:pPr>
      <w:r>
        <w:rPr>
          <w:spacing w:val="-2"/>
          <w:sz w:val="21"/>
        </w:rPr>
        <w:t>在评标过程中，评标委员会发现投标人的投标报价明显低于其他投标报价或者在设有标底时明显低于标底的，使得其投标报价可能低于其个别成本的，评标委员会有权要求该投标人作出书面说明并提供相关证明材料。投标人不能合理说明或者不能提供相关证明材料的，由评标委员会认定该投标人是否以低于成本投标参与竞标，对被认定为低于成本投标竞标的投标以无效投</w:t>
      </w:r>
      <w:r>
        <w:rPr>
          <w:spacing w:val="-4"/>
          <w:sz w:val="21"/>
        </w:rPr>
        <w:t>标处理。</w:t>
      </w:r>
    </w:p>
    <w:p>
      <w:pPr>
        <w:pStyle w:val="Heading4"/>
        <w:numPr>
          <w:ilvl w:val="0"/>
          <w:numId w:val="44"/>
        </w:numPr>
        <w:tabs>
          <w:tab w:val="left" w:pos="1065"/>
        </w:tabs>
        <w:spacing w:before="0" w:after="0" w:line="316" w:lineRule="exact"/>
        <w:ind w:left="1064" w:right="0" w:hanging="851"/>
        <w:jc w:val="both"/>
      </w:pPr>
      <w:r>
        <w:rPr>
          <w:spacing w:val="-1"/>
        </w:rPr>
        <w:t>符合性审查阶段采取评委一人一票，意见不一致时少数服从多数。</w:t>
      </w:r>
    </w:p>
    <w:p>
      <w:pPr>
        <w:pStyle w:val="ListParagraph"/>
        <w:numPr>
          <w:ilvl w:val="0"/>
          <w:numId w:val="44"/>
        </w:numPr>
        <w:tabs>
          <w:tab w:val="left" w:pos="1065"/>
        </w:tabs>
        <w:spacing w:before="143" w:after="0" w:line="240" w:lineRule="auto"/>
        <w:ind w:left="1064" w:right="0" w:hanging="851"/>
        <w:jc w:val="both"/>
        <w:rPr>
          <w:sz w:val="21"/>
        </w:rPr>
      </w:pPr>
      <w:r>
        <w:rPr>
          <w:spacing w:val="-5"/>
          <w:sz w:val="21"/>
        </w:rPr>
        <w:t xml:space="preserve">符合性评审标准：详见附表 </w:t>
      </w:r>
      <w:r>
        <w:rPr>
          <w:rFonts w:ascii="Times New Roman" w:eastAsia="Times New Roman"/>
          <w:sz w:val="21"/>
        </w:rPr>
        <w:t>3-1</w:t>
      </w:r>
      <w:r>
        <w:rPr>
          <w:spacing w:val="-10"/>
          <w:sz w:val="21"/>
        </w:rPr>
        <w:t>。</w:t>
      </w:r>
    </w:p>
    <w:p>
      <w:pPr>
        <w:pStyle w:val="BodyText"/>
        <w:rPr>
          <w:sz w:val="22"/>
        </w:rPr>
      </w:pPr>
    </w:p>
    <w:p>
      <w:pPr>
        <w:pStyle w:val="BodyText"/>
        <w:spacing w:before="3"/>
        <w:rPr>
          <w:sz w:val="20"/>
        </w:rPr>
      </w:pPr>
    </w:p>
    <w:p>
      <w:pPr>
        <w:pStyle w:val="Heading3"/>
        <w:numPr>
          <w:ilvl w:val="0"/>
          <w:numId w:val="67"/>
        </w:numPr>
        <w:tabs>
          <w:tab w:val="left" w:pos="1066"/>
        </w:tabs>
        <w:spacing w:before="1" w:after="0" w:line="240" w:lineRule="auto"/>
        <w:ind w:left="1065" w:right="0" w:hanging="852"/>
        <w:jc w:val="both"/>
      </w:pPr>
      <w:r>
        <w:rPr>
          <w:spacing w:val="-2"/>
        </w:rPr>
        <w:t>第二阶段：详细评审</w:t>
      </w:r>
    </w:p>
    <w:p>
      <w:pPr>
        <w:pStyle w:val="ListParagraph"/>
        <w:numPr>
          <w:ilvl w:val="0"/>
          <w:numId w:val="43"/>
        </w:numPr>
        <w:tabs>
          <w:tab w:val="left" w:pos="1065"/>
        </w:tabs>
        <w:spacing w:before="128" w:after="0" w:line="410" w:lineRule="auto"/>
        <w:ind w:left="1065" w:right="221" w:hanging="851"/>
        <w:jc w:val="both"/>
        <w:rPr>
          <w:sz w:val="21"/>
        </w:rPr>
      </w:pPr>
      <w:r>
        <w:rPr>
          <w:spacing w:val="-2"/>
          <w:sz w:val="21"/>
        </w:rPr>
        <w:t>评标委员会对通过符合性评审的投标文件进行详细评审，评标委员会对每一投标文件进行详细技术、商务、价格评审。按照评标程序的规定和依据评分标准以及各项权重，各位评委就每个投标人的技术状况、商务状况及其对招标文件要求的响应情况进行评议和比较，评出其技术评</w:t>
      </w:r>
      <w:r>
        <w:rPr>
          <w:sz w:val="21"/>
        </w:rPr>
        <w:t>分（</w:t>
      </w:r>
      <w:r>
        <w:rPr>
          <w:spacing w:val="-6"/>
          <w:sz w:val="21"/>
        </w:rPr>
        <w:t xml:space="preserve">精确到小数点后 </w:t>
      </w:r>
      <w:r>
        <w:rPr>
          <w:rFonts w:ascii="Times New Roman" w:eastAsia="Times New Roman"/>
          <w:sz w:val="21"/>
        </w:rPr>
        <w:t>2</w:t>
      </w:r>
      <w:r>
        <w:rPr>
          <w:rFonts w:ascii="Times New Roman" w:eastAsia="Times New Roman"/>
          <w:spacing w:val="-4"/>
          <w:sz w:val="21"/>
        </w:rPr>
        <w:t xml:space="preserve"> </w:t>
      </w:r>
      <w:r>
        <w:rPr>
          <w:sz w:val="21"/>
        </w:rPr>
        <w:t>位）和商务评分（</w:t>
      </w:r>
      <w:r>
        <w:rPr>
          <w:spacing w:val="-6"/>
          <w:sz w:val="21"/>
        </w:rPr>
        <w:t xml:space="preserve">精确到小数点后 </w:t>
      </w:r>
      <w:r>
        <w:rPr>
          <w:rFonts w:ascii="Times New Roman" w:eastAsia="Times New Roman"/>
          <w:sz w:val="21"/>
        </w:rPr>
        <w:t>2</w:t>
      </w:r>
      <w:r>
        <w:rPr>
          <w:rFonts w:ascii="Times New Roman" w:eastAsia="Times New Roman"/>
          <w:spacing w:val="-4"/>
          <w:sz w:val="21"/>
        </w:rPr>
        <w:t xml:space="preserve"> </w:t>
      </w:r>
      <w:r>
        <w:rPr>
          <w:sz w:val="21"/>
        </w:rPr>
        <w:t>位）。对各评委的评分去掉一个最</w:t>
      </w:r>
    </w:p>
    <w:p>
      <w:pPr>
        <w:pStyle w:val="BodyText"/>
        <w:spacing w:line="269" w:lineRule="exact"/>
        <w:ind w:left="1065"/>
        <w:jc w:val="both"/>
        <w:rPr>
          <w:rFonts w:ascii="Times New Roman" w:eastAsia="Times New Roman"/>
        </w:rPr>
      </w:pPr>
      <w:r>
        <w:t>高分和一个最低分，余下的得分的算术平均值即为该投标人的技术评分（</w:t>
      </w:r>
      <w:r>
        <w:rPr>
          <w:spacing w:val="8"/>
        </w:rPr>
        <w:t xml:space="preserve">精确到小数点后  </w:t>
      </w:r>
      <w:r>
        <w:rPr>
          <w:rFonts w:ascii="Times New Roman" w:eastAsia="Times New Roman"/>
          <w:spacing w:val="-10"/>
        </w:rPr>
        <w:t>2</w:t>
      </w:r>
    </w:p>
    <w:p>
      <w:pPr>
        <w:pStyle w:val="BodyText"/>
        <w:spacing w:before="191"/>
        <w:ind w:left="1065"/>
        <w:jc w:val="both"/>
      </w:pPr>
      <w:r>
        <w:t>位）和商务评分（</w:t>
      </w:r>
      <w:r>
        <w:rPr>
          <w:spacing w:val="-4"/>
        </w:rPr>
        <w:t xml:space="preserve">精确到小数点后 </w:t>
      </w:r>
      <w:r>
        <w:rPr>
          <w:rFonts w:ascii="Times New Roman" w:eastAsia="Times New Roman"/>
        </w:rPr>
        <w:t>2</w:t>
      </w:r>
      <w:r>
        <w:rPr>
          <w:rFonts w:ascii="Times New Roman" w:eastAsia="Times New Roman"/>
          <w:spacing w:val="6"/>
        </w:rPr>
        <w:t xml:space="preserve"> </w:t>
      </w:r>
      <w:r>
        <w:t>位）</w:t>
      </w:r>
      <w:r>
        <w:rPr>
          <w:spacing w:val="-1"/>
        </w:rPr>
        <w:t>。然后，评出价格评分，将技术评分、商务评分和价</w:t>
      </w:r>
    </w:p>
    <w:p>
      <w:pPr>
        <w:pStyle w:val="BodyText"/>
        <w:spacing w:before="190" w:line="410" w:lineRule="auto"/>
        <w:ind w:left="1065" w:right="221"/>
        <w:jc w:val="both"/>
      </w:pPr>
      <w:r>
        <w:t>格评分分别乘以权重相加得出综合得分（</w:t>
      </w:r>
      <w:r>
        <w:rPr>
          <w:spacing w:val="-4"/>
        </w:rPr>
        <w:t xml:space="preserve">精确到小数点后 </w:t>
      </w:r>
      <w:r>
        <w:rPr>
          <w:rFonts w:ascii="Times New Roman" w:eastAsia="Times New Roman" w:hAnsi="Times New Roman"/>
        </w:rPr>
        <w:t>2</w:t>
      </w:r>
      <w:r>
        <w:rPr>
          <w:rFonts w:ascii="Times New Roman" w:eastAsia="Times New Roman" w:hAnsi="Times New Roman"/>
          <w:spacing w:val="-12"/>
        </w:rPr>
        <w:t xml:space="preserve"> </w:t>
      </w:r>
      <w:r>
        <w:t>位），并按综合得分从高到低依次排名（第一名、第二名 … ，出现并列得分时，价格低者优先；得分相同，价格相同的，技术</w:t>
      </w:r>
      <w:r>
        <w:rPr>
          <w:spacing w:val="-2"/>
        </w:rPr>
        <w:t>得分高者优先）。最后，评标委员会将依据综合得分的次序推荐中标候选人。</w:t>
      </w:r>
    </w:p>
    <w:p>
      <w:pPr>
        <w:pStyle w:val="ListParagraph"/>
        <w:numPr>
          <w:ilvl w:val="0"/>
          <w:numId w:val="43"/>
        </w:numPr>
        <w:tabs>
          <w:tab w:val="left" w:pos="1065"/>
        </w:tabs>
        <w:spacing w:before="0" w:after="0" w:line="269" w:lineRule="exact"/>
        <w:ind w:left="1064" w:right="0" w:hanging="851"/>
        <w:jc w:val="both"/>
        <w:rPr>
          <w:sz w:val="21"/>
        </w:rPr>
      </w:pPr>
      <w:r>
        <w:rPr>
          <w:spacing w:val="-2"/>
          <w:sz w:val="21"/>
        </w:rPr>
        <w:t>评分标准：</w:t>
      </w:r>
    </w:p>
    <w:p>
      <w:pPr>
        <w:pStyle w:val="BodyText"/>
        <w:spacing w:before="12"/>
        <w:rPr>
          <w:sz w:val="14"/>
        </w:rPr>
      </w:pPr>
    </w:p>
    <w:p>
      <w:pPr>
        <w:pStyle w:val="ListParagraph"/>
        <w:numPr>
          <w:ilvl w:val="1"/>
          <w:numId w:val="43"/>
        </w:numPr>
        <w:tabs>
          <w:tab w:val="left" w:pos="1378"/>
        </w:tabs>
        <w:spacing w:before="0" w:after="0" w:line="240" w:lineRule="auto"/>
        <w:ind w:left="1378" w:right="0" w:hanging="316"/>
        <w:jc w:val="both"/>
        <w:rPr>
          <w:sz w:val="21"/>
        </w:rPr>
      </w:pPr>
      <w:r>
        <w:rPr>
          <w:spacing w:val="-5"/>
          <w:sz w:val="21"/>
        </w:rPr>
        <w:t xml:space="preserve">商务评分标准：详见表 </w:t>
      </w:r>
      <w:r>
        <w:rPr>
          <w:sz w:val="21"/>
        </w:rPr>
        <w:t>3-2</w:t>
      </w:r>
      <w:r>
        <w:rPr>
          <w:spacing w:val="-12"/>
          <w:sz w:val="21"/>
        </w:rPr>
        <w:t>。</w:t>
      </w:r>
    </w:p>
    <w:p>
      <w:pPr>
        <w:spacing w:after="0" w:line="240" w:lineRule="auto"/>
        <w:jc w:val="both"/>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5" w:history="1">
        <w:r>
          <w:rPr>
            <w:rFonts w:ascii="SimSun" w:eastAsia="SimSun" w:hAnsi="SimSun" w:cs="SimSun"/>
            <w:b/>
            <w:bCs/>
            <w:color w:val="0000EE"/>
            <w:sz w:val="30"/>
            <w:szCs w:val="30"/>
            <w:u w:val="single" w:color="0000EE"/>
          </w:rPr>
          <w:t>https://d.book118.com/666025211125010055</w:t>
        </w:r>
      </w:hyperlink>
    </w:p>
    <w:p>
      <w:pPr>
        <w:spacing w:after="0" w:line="240" w:lineRule="auto"/>
        <w:jc w:val="both"/>
        <w:rPr>
          <w:sz w:val="21"/>
        </w:rPr>
      </w:pPr>
    </w:p>
    <w:sectPr>
      <w:headerReference w:type="default" r:id="rId86"/>
      <w:footerReference w:type="default" r:id="rId87"/>
      <w:pgSz w:w="11910" w:h="16840"/>
      <w:pgMar w:top="1340" w:right="1080" w:bottom="1000" w:left="880" w:header="822" w:footer="805"/>
      <w:pgNumType w:start="4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Arial">
    <w:altName w:val="Arial"/>
    <w:charset w:val="00"/>
    <w:family w:val="swiss"/>
    <w:pitch w:val="variable"/>
    <w:sig w:usb0="00000000" w:usb1="00000000" w:usb2="00000000" w:usb3="00000000" w:csb0="00000001" w:csb1="00000000"/>
  </w:font>
  <w:font w:name="等线">
    <w:altName w:val="等线"/>
    <w:charset w:val="86"/>
    <w:family w:val="auto"/>
    <w:pitch w:val="variable"/>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33.05pt;height:12pt;margin-top:790.75pt;margin-left:275.9pt;mso-position-horizontal-relative:page;mso-position-vertical-relative:page;position:absolute;z-index:-25165824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33.05pt;height:12pt;margin-top:790.75pt;margin-left:275.9pt;mso-position-horizontal-relative:page;mso-position-vertical-relative:page;position:absolute;z-index:-25165721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33.05pt;height:12pt;margin-top:790.75pt;margin-left:275.9pt;mso-position-horizontal-relative:page;mso-position-vertical-relative:page;position:absolute;z-index:-25165619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33.05pt;height:12pt;margin-top:790.75pt;margin-left:275.9pt;mso-position-horizontal-relative:page;mso-position-vertical-relative:page;position:absolute;z-index:-25165516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33.05pt;height:12pt;margin-top:790.75pt;margin-left:275.9pt;mso-position-horizontal-relative:page;mso-position-vertical-relative:page;position:absolute;z-index:-25165414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5</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33.05pt;height:12pt;margin-top:790.75pt;margin-left:275.9pt;mso-position-horizontal-relative:page;mso-position-vertical-relative:page;position:absolute;z-index:-25165312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6</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33.05pt;height:12pt;margin-top:790.75pt;margin-left:275.9pt;mso-position-horizontal-relative:page;mso-position-vertical-relative:page;position:absolute;z-index:-25165209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7</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33.05pt;height:12pt;margin-top:790.75pt;margin-left:275.9pt;mso-position-horizontal-relative:page;mso-position-vertical-relative:page;position:absolute;z-index:-25165107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8</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33.05pt;height:12pt;margin-top:790.75pt;margin-left:275.9pt;mso-position-horizontal-relative:page;mso-position-vertical-relative:page;position:absolute;z-index:-25165004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9</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33.05pt;height:12pt;margin-top:790.75pt;margin-left:275.9pt;mso-position-horizontal-relative:page;mso-position-vertical-relative:page;position:absolute;z-index:-25164902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10</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33.05pt;height:12pt;margin-top:790.75pt;margin-left:275.9pt;mso-position-horizontal-relative:page;mso-position-vertical-relative:page;position:absolute;z-index:-25164800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11</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33.05pt;height:12pt;margin-top:790.75pt;margin-left:275.9pt;mso-position-horizontal-relative:page;mso-position-vertical-relative:page;position:absolute;z-index:-25164697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12</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33.05pt;height:12pt;margin-top:790.75pt;margin-left:275.9pt;mso-position-horizontal-relative:page;mso-position-vertical-relative:page;position:absolute;z-index:-25164595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13</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33.05pt;height:12pt;margin-top:790.75pt;margin-left:275.9pt;mso-position-horizontal-relative:page;mso-position-vertical-relative:page;position:absolute;z-index:-25164492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14</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33.05pt;height:12pt;margin-top:790.75pt;margin-left:275.9pt;mso-position-horizontal-relative:page;mso-position-vertical-relative:page;position:absolute;z-index:-25164390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15</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33.05pt;height:12pt;margin-top:790.75pt;margin-left:275.9pt;mso-position-horizontal-relative:page;mso-position-vertical-relative:page;position:absolute;z-index:-25164288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16</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33.05pt;height:12pt;margin-top:790.75pt;margin-left:275.9pt;mso-position-horizontal-relative:page;mso-position-vertical-relative:page;position:absolute;z-index:-25164185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17</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33.05pt;height:12pt;margin-top:790.75pt;margin-left:275.9pt;mso-position-horizontal-relative:page;mso-position-vertical-relative:page;position:absolute;z-index:-25164083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18</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4" type="#_x0000_t202" style="width:33.05pt;height:12pt;margin-top:790.75pt;margin-left:275.9pt;mso-position-horizontal-relative:page;mso-position-vertical-relative:page;position:absolute;z-index:-25163980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19</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33.05pt;height:12pt;margin-top:790.75pt;margin-left:275.9pt;mso-position-horizontal-relative:page;mso-position-vertical-relative:page;position:absolute;z-index:-25163878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20</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2" type="#_x0000_t202" style="width:33.05pt;height:12pt;margin-top:790.75pt;margin-left:275.9pt;mso-position-horizontal-relative:page;mso-position-vertical-relative:page;position:absolute;z-index:-25163776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21</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36" type="#_x0000_t202" style="width:33.05pt;height:12pt;margin-top:790.75pt;margin-left:275.9pt;mso-position-horizontal-relative:page;mso-position-vertical-relative:page;position:absolute;z-index:-25163673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22</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0" type="#_x0000_t202" style="width:33.05pt;height:12pt;margin-top:790.75pt;margin-left:275.9pt;mso-position-horizontal-relative:page;mso-position-vertical-relative:page;position:absolute;z-index:-25163571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23</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4" type="#_x0000_t202" style="width:33.05pt;height:12pt;margin-top:790.75pt;margin-left:275.9pt;mso-position-horizontal-relative:page;mso-position-vertical-relative:page;position:absolute;z-index:-25163468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24</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48" type="#_x0000_t202" style="width:33.05pt;height:12pt;margin-top:790.75pt;margin-left:275.9pt;mso-position-horizontal-relative:page;mso-position-vertical-relative:page;position:absolute;z-index:-25163366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25</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2" type="#_x0000_t202" style="width:33.05pt;height:12pt;margin-top:790.75pt;margin-left:275.9pt;mso-position-horizontal-relative:page;mso-position-vertical-relative:page;position:absolute;z-index:-25163264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26</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56" type="#_x0000_t202" style="width:33.05pt;height:12pt;margin-top:790.75pt;margin-left:275.9pt;mso-position-horizontal-relative:page;mso-position-vertical-relative:page;position:absolute;z-index:-25163161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27</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0" type="#_x0000_t202" style="width:33.05pt;height:12pt;margin-top:790.75pt;margin-left:275.9pt;mso-position-horizontal-relative:page;mso-position-vertical-relative:page;position:absolute;z-index:-25163059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28</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4" type="#_x0000_t202" style="width:33.05pt;height:12pt;margin-top:790.75pt;margin-left:275.9pt;mso-position-horizontal-relative:page;mso-position-vertical-relative:page;position:absolute;z-index:-25162956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29</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68" type="#_x0000_t202" style="width:33.05pt;height:12pt;margin-top:790.75pt;margin-left:275.9pt;mso-position-horizontal-relative:page;mso-position-vertical-relative:page;position:absolute;z-index:-25162854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30</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72" type="#_x0000_t202" style="width:33.05pt;height:12pt;margin-top:790.75pt;margin-left:275.9pt;mso-position-horizontal-relative:page;mso-position-vertical-relative:page;position:absolute;z-index:-25162752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31</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76" type="#_x0000_t202" style="width:33.05pt;height:12pt;margin-top:790.75pt;margin-left:275.9pt;mso-position-horizontal-relative:page;mso-position-vertical-relative:page;position:absolute;z-index:-25162649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32</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80" type="#_x0000_t202" style="width:33.05pt;height:12pt;margin-top:790.75pt;margin-left:275.9pt;mso-position-horizontal-relative:page;mso-position-vertical-relative:page;position:absolute;z-index:-25162547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33</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84" type="#_x0000_t202" style="width:33.05pt;height:12pt;margin-top:790.75pt;margin-left:275.9pt;mso-position-horizontal-relative:page;mso-position-vertical-relative:page;position:absolute;z-index:-25162444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34</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88" type="#_x0000_t202" style="width:33.05pt;height:12pt;margin-top:790.75pt;margin-left:275.9pt;mso-position-horizontal-relative:page;mso-position-vertical-relative:page;position:absolute;z-index:-25162342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35</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92" type="#_x0000_t202" style="width:33.05pt;height:12pt;margin-top:790.75pt;margin-left:275.9pt;mso-position-horizontal-relative:page;mso-position-vertical-relative:page;position:absolute;z-index:-251622400"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36</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196" type="#_x0000_t202" style="width:33.05pt;height:12pt;margin-top:790.75pt;margin-left:275.9pt;mso-position-horizontal-relative:page;mso-position-vertical-relative:page;position:absolute;z-index:-251621376"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37</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0" type="#_x0000_t202" style="width:33.05pt;height:12pt;margin-top:790.75pt;margin-left:275.9pt;mso-position-horizontal-relative:page;mso-position-vertical-relative:page;position:absolute;z-index:-251620352"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38</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4" type="#_x0000_t202" style="width:33.05pt;height:12pt;margin-top:790.75pt;margin-left:275.9pt;mso-position-horizontal-relative:page;mso-position-vertical-relative:page;position:absolute;z-index:-251619328"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39</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208" type="#_x0000_t202" style="width:33.05pt;height:12pt;margin-top:790.75pt;margin-left:275.9pt;mso-position-horizontal-relative:page;mso-position-vertical-relative:page;position:absolute;z-index:-251618304" filled="f" stroked="f">
          <v:textbox inset="0,0,0,0">
            <w:txbxContent>
              <w:p>
                <w:pPr>
                  <w:spacing w:before="0"/>
                  <w:ind w:left="20" w:right="0" w:firstLine="0"/>
                  <w:jc w:val="left"/>
                  <w:rPr>
                    <w:sz w:val="18"/>
                  </w:rPr>
                </w:pPr>
                <w:r>
                  <w:rPr>
                    <w:spacing w:val="-23"/>
                    <w:sz w:val="18"/>
                  </w:rPr>
                  <w:t xml:space="preserve">第 </w:t>
                </w:r>
                <w:r>
                  <w:rPr>
                    <w:rFonts w:ascii="Times New Roman" w:eastAsia="Times New Roman"/>
                    <w:sz w:val="18"/>
                  </w:rPr>
                  <w:fldChar w:fldCharType="begin"/>
                </w:r>
                <w:r>
                  <w:rPr>
                    <w:rFonts w:ascii="Times New Roman" w:eastAsia="Times New Roman"/>
                    <w:sz w:val="18"/>
                  </w:rPr>
                  <w:instrText xml:space="preserve"> PAGE </w:instrText>
                </w:r>
                <w:r>
                  <w:rPr>
                    <w:rFonts w:ascii="Times New Roman" w:eastAsia="Times New Roman"/>
                    <w:sz w:val="18"/>
                  </w:rPr>
                  <w:fldChar w:fldCharType="separate"/>
                </w:r>
                <w:r>
                  <w:rPr>
                    <w:rFonts w:ascii="Times New Roman" w:eastAsia="Times New Roman"/>
                    <w:sz w:val="18"/>
                  </w:rPr>
                  <w:t>40</w:t>
                </w:r>
                <w:r>
                  <w:rPr>
                    <w:rFonts w:ascii="Times New Roman" w:eastAsia="Times New Roman"/>
                    <w:sz w:val="18"/>
                  </w:rPr>
                  <w:fldChar w:fldCharType="end"/>
                </w:r>
                <w:r>
                  <w:rPr>
                    <w:rFonts w:ascii="Times New Roman" w:eastAsia="Times New Roman"/>
                    <w:spacing w:val="-9"/>
                    <w:sz w:val="18"/>
                  </w:rPr>
                  <w:t xml:space="preserve"> </w:t>
                </w:r>
                <w:r>
                  <w:rPr>
                    <w:spacing w:val="-10"/>
                    <w:sz w:val="18"/>
                  </w:rPr>
                  <w:t>页</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50" type="#_x0000_t202" style="width:184.25pt;height:11pt;margin-top:40.11pt;margin-left:53.7pt;mso-position-horizontal-relative:page;mso-position-vertical-relative:page;position:absolute;z-index:-25165721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51" type="#_x0000_t202" style="width:92pt;height:11pt;margin-top:40.11pt;margin-left:433.95pt;mso-position-horizontal-relative:page;mso-position-vertical-relative:page;position:absolute;z-index:-25165619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3" style="mso-position-horizontal-relative:page;mso-position-vertical-relative:page;position:absolute;z-index:-25165516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54" type="#_x0000_t202" style="width:184.25pt;height:11pt;margin-top:40.11pt;margin-left:53.7pt;mso-position-horizontal-relative:page;mso-position-vertical-relative:page;position:absolute;z-index:-25165414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55" type="#_x0000_t202" style="width:92pt;height:11pt;margin-top:40.11pt;margin-left:433.95pt;mso-position-horizontal-relative:page;mso-position-vertical-relative:page;position:absolute;z-index:-25165312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209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58" type="#_x0000_t202" style="width:184.25pt;height:11pt;margin-top:40.11pt;margin-left:53.7pt;mso-position-horizontal-relative:page;mso-position-vertical-relative:page;position:absolute;z-index:-25165107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59" type="#_x0000_t202" style="width:92pt;height:11pt;margin-top:40.11pt;margin-left:433.95pt;mso-position-horizontal-relative:page;mso-position-vertical-relative:page;position:absolute;z-index:-25165004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1" style="mso-position-horizontal-relative:page;mso-position-vertical-relative:page;position:absolute;z-index:-25164902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62" type="#_x0000_t202" style="width:184.25pt;height:11pt;margin-top:40.11pt;margin-left:53.7pt;mso-position-horizontal-relative:page;mso-position-vertical-relative:page;position:absolute;z-index:-25164800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63" type="#_x0000_t202" style="width:92pt;height:11pt;margin-top:40.11pt;margin-left:433.95pt;mso-position-horizontal-relative:page;mso-position-vertical-relative:page;position:absolute;z-index:-25164697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5" style="mso-position-horizontal-relative:page;mso-position-vertical-relative:page;position:absolute;z-index:-25164595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66" type="#_x0000_t202" style="width:184.25pt;height:11pt;margin-top:40.11pt;margin-left:53.7pt;mso-position-horizontal-relative:page;mso-position-vertical-relative:page;position:absolute;z-index:-25164492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67" type="#_x0000_t202" style="width:92pt;height:11pt;margin-top:40.11pt;margin-left:433.95pt;mso-position-horizontal-relative:page;mso-position-vertical-relative:page;position:absolute;z-index:-25164390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9" style="mso-position-horizontal-relative:page;mso-position-vertical-relative:page;position:absolute;z-index:-25164288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70" type="#_x0000_t202" style="width:184.25pt;height:11pt;margin-top:40.11pt;margin-left:53.7pt;mso-position-horizontal-relative:page;mso-position-vertical-relative:page;position:absolute;z-index:-25164185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71" type="#_x0000_t202" style="width:92pt;height:11pt;margin-top:40.11pt;margin-left:433.95pt;mso-position-horizontal-relative:page;mso-position-vertical-relative:page;position:absolute;z-index:-25164083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3980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74" type="#_x0000_t202" style="width:184.25pt;height:11pt;margin-top:40.11pt;margin-left:53.7pt;mso-position-horizontal-relative:page;mso-position-vertical-relative:page;position:absolute;z-index:-25163878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75" type="#_x0000_t202" style="width:92pt;height:11pt;margin-top:40.11pt;margin-left:433.95pt;mso-position-horizontal-relative:page;mso-position-vertical-relative:page;position:absolute;z-index:-25163776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7" style="mso-position-horizontal-relative:page;mso-position-vertical-relative:page;position:absolute;z-index:-25163673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78" type="#_x0000_t202" style="width:184.25pt;height:11pt;margin-top:40.11pt;margin-left:53.7pt;mso-position-horizontal-relative:page;mso-position-vertical-relative:page;position:absolute;z-index:-25163571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79" type="#_x0000_t202" style="width:92pt;height:11pt;margin-top:40.11pt;margin-left:433.95pt;mso-position-horizontal-relative:page;mso-position-vertical-relative:page;position:absolute;z-index:-25163468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1" style="mso-position-horizontal-relative:page;mso-position-vertical-relative:page;position:absolute;z-index:-25163366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82" type="#_x0000_t202" style="width:184.25pt;height:11pt;margin-top:40.11pt;margin-left:53.7pt;mso-position-horizontal-relative:page;mso-position-vertical-relative:page;position:absolute;z-index:-25163264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83" type="#_x0000_t202" style="width:92pt;height:11pt;margin-top:40.11pt;margin-left:433.95pt;mso-position-horizontal-relative:page;mso-position-vertical-relative:page;position:absolute;z-index:-25163161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5" style="mso-position-horizontal-relative:page;mso-position-vertical-relative:page;position:absolute;z-index:-25163059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86" type="#_x0000_t202" style="width:184.25pt;height:11pt;margin-top:40.11pt;margin-left:53.7pt;mso-position-horizontal-relative:page;mso-position-vertical-relative:page;position:absolute;z-index:-25162956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87" type="#_x0000_t202" style="width:92pt;height:11pt;margin-top:40.11pt;margin-left:433.95pt;mso-position-horizontal-relative:page;mso-position-vertical-relative:page;position:absolute;z-index:-25162854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9" style="mso-position-horizontal-relative:page;mso-position-vertical-relative:page;position:absolute;z-index:-25162752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90" type="#_x0000_t202" style="width:184.25pt;height:11pt;margin-top:40.11pt;margin-left:53.7pt;mso-position-horizontal-relative:page;mso-position-vertical-relative:page;position:absolute;z-index:-25162649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91" type="#_x0000_t202" style="width:92pt;height:11pt;margin-top:40.11pt;margin-left:433.95pt;mso-position-horizontal-relative:page;mso-position-vertical-relative:page;position:absolute;z-index:-25162547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3" style="mso-position-horizontal-relative:page;mso-position-vertical-relative:page;position:absolute;z-index:-25162444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94" type="#_x0000_t202" style="width:184.25pt;height:11pt;margin-top:40.11pt;margin-left:53.7pt;mso-position-horizontal-relative:page;mso-position-vertical-relative:page;position:absolute;z-index:-25162342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95" type="#_x0000_t202" style="width:92pt;height:11pt;margin-top:40.11pt;margin-left:433.95pt;mso-position-horizontal-relative:page;mso-position-vertical-relative:page;position:absolute;z-index:-25162240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97" style="mso-position-horizontal-relative:page;mso-position-vertical-relative:page;position:absolute;z-index:-25162137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098" type="#_x0000_t202" style="width:184.25pt;height:11pt;margin-top:40.11pt;margin-left:53.7pt;mso-position-horizontal-relative:page;mso-position-vertical-relative:page;position:absolute;z-index:-25162035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099" type="#_x0000_t202" style="width:92pt;height:11pt;margin-top:40.11pt;margin-left:433.95pt;mso-position-horizontal-relative:page;mso-position-vertical-relative:page;position:absolute;z-index:-25161932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1" style="mso-position-horizontal-relative:page;mso-position-vertical-relative:page;position:absolute;z-index:-25161830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02" type="#_x0000_t202" style="width:184.25pt;height:11pt;margin-top:40.11pt;margin-left:53.7pt;mso-position-horizontal-relative:page;mso-position-vertical-relative:page;position:absolute;z-index:-25161728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03" type="#_x0000_t202" style="width:92pt;height:11pt;margin-top:40.11pt;margin-left:433.95pt;mso-position-horizontal-relative:page;mso-position-vertical-relative:page;position:absolute;z-index:-25161625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5" style="mso-position-horizontal-relative:page;mso-position-vertical-relative:page;position:absolute;z-index:-25161523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06" type="#_x0000_t202" style="width:184.25pt;height:11pt;margin-top:40.11pt;margin-left:53.7pt;mso-position-horizontal-relative:page;mso-position-vertical-relative:page;position:absolute;z-index:-25161420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07" type="#_x0000_t202" style="width:92pt;height:11pt;margin-top:40.11pt;margin-left:433.95pt;mso-position-horizontal-relative:page;mso-position-vertical-relative:page;position:absolute;z-index:-25161318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09" style="mso-position-horizontal-relative:page;mso-position-vertical-relative:page;position:absolute;z-index:-25161216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10" type="#_x0000_t202" style="width:184.25pt;height:11pt;margin-top:40.11pt;margin-left:53.7pt;mso-position-horizontal-relative:page;mso-position-vertical-relative:page;position:absolute;z-index:-25161113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11" type="#_x0000_t202" style="width:92pt;height:11pt;margin-top:40.11pt;margin-left:433.95pt;mso-position-horizontal-relative:page;mso-position-vertical-relative:page;position:absolute;z-index:-25161011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3" style="mso-position-horizontal-relative:page;mso-position-vertical-relative:page;position:absolute;z-index:-25160908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14" type="#_x0000_t202" style="width:184.25pt;height:11pt;margin-top:40.11pt;margin-left:53.7pt;mso-position-horizontal-relative:page;mso-position-vertical-relative:page;position:absolute;z-index:-25160806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15" type="#_x0000_t202" style="width:92pt;height:11pt;margin-top:40.11pt;margin-left:433.95pt;mso-position-horizontal-relative:page;mso-position-vertical-relative:page;position:absolute;z-index:-25160704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17" style="mso-position-horizontal-relative:page;mso-position-vertical-relative:page;position:absolute;z-index:-25160601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18" type="#_x0000_t202" style="width:184.25pt;height:11pt;margin-top:40.11pt;margin-left:53.7pt;mso-position-horizontal-relative:page;mso-position-vertical-relative:page;position:absolute;z-index:-25160499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19" type="#_x0000_t202" style="width:92pt;height:11pt;margin-top:40.11pt;margin-left:433.95pt;mso-position-horizontal-relative:page;mso-position-vertical-relative:page;position:absolute;z-index:-25160396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1" style="mso-position-horizontal-relative:page;mso-position-vertical-relative:page;position:absolute;z-index:-25160294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22" type="#_x0000_t202" style="width:184.25pt;height:11pt;margin-top:40.11pt;margin-left:53.7pt;mso-position-horizontal-relative:page;mso-position-vertical-relative:page;position:absolute;z-index:-25160192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23" type="#_x0000_t202" style="width:92pt;height:11pt;margin-top:40.11pt;margin-left:433.95pt;mso-position-horizontal-relative:page;mso-position-vertical-relative:page;position:absolute;z-index:-25160089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5" style="mso-position-horizontal-relative:page;mso-position-vertical-relative:page;position:absolute;z-index:-25159987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26" type="#_x0000_t202" style="width:184.25pt;height:11pt;margin-top:40.11pt;margin-left:53.7pt;mso-position-horizontal-relative:page;mso-position-vertical-relative:page;position:absolute;z-index:-25159884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27" type="#_x0000_t202" style="width:92pt;height:11pt;margin-top:40.11pt;margin-left:433.95pt;mso-position-horizontal-relative:page;mso-position-vertical-relative:page;position:absolute;z-index:-25159782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29" style="mso-position-horizontal-relative:page;mso-position-vertical-relative:page;position:absolute;z-index:-25159680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30" type="#_x0000_t202" style="width:184.25pt;height:11pt;margin-top:40.11pt;margin-left:53.7pt;mso-position-horizontal-relative:page;mso-position-vertical-relative:page;position:absolute;z-index:-25159577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31" type="#_x0000_t202" style="width:92pt;height:11pt;margin-top:40.11pt;margin-left:433.95pt;mso-position-horizontal-relative:page;mso-position-vertical-relative:page;position:absolute;z-index:-25159475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3" style="mso-position-horizontal-relative:page;mso-position-vertical-relative:page;position:absolute;z-index:-25159372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34" type="#_x0000_t202" style="width:184.25pt;height:11pt;margin-top:40.11pt;margin-left:53.7pt;mso-position-horizontal-relative:page;mso-position-vertical-relative:page;position:absolute;z-index:-25159270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35" type="#_x0000_t202" style="width:92pt;height:11pt;margin-top:40.11pt;margin-left:433.95pt;mso-position-horizontal-relative:page;mso-position-vertical-relative:page;position:absolute;z-index:-25159168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37" style="mso-position-horizontal-relative:page;mso-position-vertical-relative:page;position:absolute;z-index:-25159065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38" type="#_x0000_t202" style="width:184.25pt;height:11pt;margin-top:40.11pt;margin-left:53.7pt;mso-position-horizontal-relative:page;mso-position-vertical-relative:page;position:absolute;z-index:-25158963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39" type="#_x0000_t202" style="width:92pt;height:11pt;margin-top:40.11pt;margin-left:433.95pt;mso-position-horizontal-relative:page;mso-position-vertical-relative:page;position:absolute;z-index:-25158860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1" style="mso-position-horizontal-relative:page;mso-position-vertical-relative:page;position:absolute;z-index:-25158758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42" type="#_x0000_t202" style="width:184.25pt;height:11pt;margin-top:40.11pt;margin-left:53.7pt;mso-position-horizontal-relative:page;mso-position-vertical-relative:page;position:absolute;z-index:-25158656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43" type="#_x0000_t202" style="width:92pt;height:11pt;margin-top:40.11pt;margin-left:433.95pt;mso-position-horizontal-relative:page;mso-position-vertical-relative:page;position:absolute;z-index:-25158553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5" style="mso-position-horizontal-relative:page;mso-position-vertical-relative:page;position:absolute;z-index:-25158451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46" type="#_x0000_t202" style="width:184.25pt;height:11pt;margin-top:40.11pt;margin-left:53.7pt;mso-position-horizontal-relative:page;mso-position-vertical-relative:page;position:absolute;z-index:-25158348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47" type="#_x0000_t202" style="width:92pt;height:11pt;margin-top:40.11pt;margin-left:433.95pt;mso-position-horizontal-relative:page;mso-position-vertical-relative:page;position:absolute;z-index:-25158246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49" style="mso-position-horizontal-relative:page;mso-position-vertical-relative:page;position:absolute;z-index:-25158144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50" type="#_x0000_t202" style="width:184.25pt;height:11pt;margin-top:40.11pt;margin-left:53.7pt;mso-position-horizontal-relative:page;mso-position-vertical-relative:page;position:absolute;z-index:-25158041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51" type="#_x0000_t202" style="width:92pt;height:11pt;margin-top:40.11pt;margin-left:433.95pt;mso-position-horizontal-relative:page;mso-position-vertical-relative:page;position:absolute;z-index:-25157939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3" style="mso-position-horizontal-relative:page;mso-position-vertical-relative:page;position:absolute;z-index:-25157836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54" type="#_x0000_t202" style="width:184.25pt;height:11pt;margin-top:40.11pt;margin-left:53.7pt;mso-position-horizontal-relative:page;mso-position-vertical-relative:page;position:absolute;z-index:-25157734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55" type="#_x0000_t202" style="width:92pt;height:11pt;margin-top:40.11pt;margin-left:433.95pt;mso-position-horizontal-relative:page;mso-position-vertical-relative:page;position:absolute;z-index:-25157632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57" style="mso-position-horizontal-relative:page;mso-position-vertical-relative:page;position:absolute;z-index:-25157529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58" type="#_x0000_t202" style="width:184.25pt;height:11pt;margin-top:40.11pt;margin-left:53.7pt;mso-position-horizontal-relative:page;mso-position-vertical-relative:page;position:absolute;z-index:-25157427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59" type="#_x0000_t202" style="width:92pt;height:11pt;margin-top:40.11pt;margin-left:433.95pt;mso-position-horizontal-relative:page;mso-position-vertical-relative:page;position:absolute;z-index:-25157324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1" style="mso-position-horizontal-relative:page;mso-position-vertical-relative:page;position:absolute;z-index:-25157222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62" type="#_x0000_t202" style="width:184.25pt;height:11pt;margin-top:40.11pt;margin-left:53.7pt;mso-position-horizontal-relative:page;mso-position-vertical-relative:page;position:absolute;z-index:-25157120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63" type="#_x0000_t202" style="width:92pt;height:11pt;margin-top:40.11pt;margin-left:433.95pt;mso-position-horizontal-relative:page;mso-position-vertical-relative:page;position:absolute;z-index:-25157017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5" style="mso-position-horizontal-relative:page;mso-position-vertical-relative:page;position:absolute;z-index:-25156915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66" type="#_x0000_t202" style="width:184.25pt;height:11pt;margin-top:40.11pt;margin-left:53.7pt;mso-position-horizontal-relative:page;mso-position-vertical-relative:page;position:absolute;z-index:-25156812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67" type="#_x0000_t202" style="width:92pt;height:11pt;margin-top:40.11pt;margin-left:433.95pt;mso-position-horizontal-relative:page;mso-position-vertical-relative:page;position:absolute;z-index:-25156710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69" style="mso-position-horizontal-relative:page;mso-position-vertical-relative:page;position:absolute;z-index:-25156608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70" type="#_x0000_t202" style="width:184.25pt;height:11pt;margin-top:40.11pt;margin-left:53.7pt;mso-position-horizontal-relative:page;mso-position-vertical-relative:page;position:absolute;z-index:-25156505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71" type="#_x0000_t202" style="width:92pt;height:11pt;margin-top:40.11pt;margin-left:433.95pt;mso-position-horizontal-relative:page;mso-position-vertical-relative:page;position:absolute;z-index:-25156403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73" style="mso-position-horizontal-relative:page;mso-position-vertical-relative:page;position:absolute;z-index:-25156300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74" type="#_x0000_t202" style="width:184.25pt;height:11pt;margin-top:40.11pt;margin-left:53.7pt;mso-position-horizontal-relative:page;mso-position-vertical-relative:page;position:absolute;z-index:-25156198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75" type="#_x0000_t202" style="width:92pt;height:11pt;margin-top:40.11pt;margin-left:433.95pt;mso-position-horizontal-relative:page;mso-position-vertical-relative:page;position:absolute;z-index:-25156096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77" style="mso-position-horizontal-relative:page;mso-position-vertical-relative:page;position:absolute;z-index:-25155993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78" type="#_x0000_t202" style="width:184.25pt;height:11pt;margin-top:40.11pt;margin-left:53.7pt;mso-position-horizontal-relative:page;mso-position-vertical-relative:page;position:absolute;z-index:-25155891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79" type="#_x0000_t202" style="width:92pt;height:11pt;margin-top:40.11pt;margin-left:433.95pt;mso-position-horizontal-relative:page;mso-position-vertical-relative:page;position:absolute;z-index:-25155788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1" style="mso-position-horizontal-relative:page;mso-position-vertical-relative:page;position:absolute;z-index:-25155686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82" type="#_x0000_t202" style="width:184.25pt;height:11pt;margin-top:40.11pt;margin-left:53.7pt;mso-position-horizontal-relative:page;mso-position-vertical-relative:page;position:absolute;z-index:-25155584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83" type="#_x0000_t202" style="width:92pt;height:11pt;margin-top:40.11pt;margin-left:433.95pt;mso-position-horizontal-relative:page;mso-position-vertical-relative:page;position:absolute;z-index:-25155481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5" style="mso-position-horizontal-relative:page;mso-position-vertical-relative:page;position:absolute;z-index:-25155379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86" type="#_x0000_t202" style="width:184.25pt;height:11pt;margin-top:40.11pt;margin-left:53.7pt;mso-position-horizontal-relative:page;mso-position-vertical-relative:page;position:absolute;z-index:-25155276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87" type="#_x0000_t202" style="width:92pt;height:11pt;margin-top:40.11pt;margin-left:433.95pt;mso-position-horizontal-relative:page;mso-position-vertical-relative:page;position:absolute;z-index:-25155174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89" style="mso-position-horizontal-relative:page;mso-position-vertical-relative:page;position:absolute;z-index:-251550720"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90" type="#_x0000_t202" style="width:184.25pt;height:11pt;margin-top:40.11pt;margin-left:53.7pt;mso-position-horizontal-relative:page;mso-position-vertical-relative:page;position:absolute;z-index:-251549696"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91" type="#_x0000_t202" style="width:92pt;height:11pt;margin-top:40.11pt;margin-left:433.95pt;mso-position-horizontal-relative:page;mso-position-vertical-relative:page;position:absolute;z-index:-251548672"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93" style="mso-position-horizontal-relative:page;mso-position-vertical-relative:page;position:absolute;z-index:-251547648"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94" type="#_x0000_t202" style="width:184.25pt;height:11pt;margin-top:40.11pt;margin-left:53.7pt;mso-position-horizontal-relative:page;mso-position-vertical-relative:page;position:absolute;z-index:-251546624"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95" type="#_x0000_t202" style="width:92pt;height:11pt;margin-top:40.11pt;margin-left:433.95pt;mso-position-horizontal-relative:page;mso-position-vertical-relative:page;position:absolute;z-index:-251545600"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197" style="mso-position-horizontal-relative:page;mso-position-vertical-relative:page;position:absolute;z-index:-251544576"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198" type="#_x0000_t202" style="width:184.25pt;height:11pt;margin-top:40.11pt;margin-left:53.7pt;mso-position-horizontal-relative:page;mso-position-vertical-relative:page;position:absolute;z-index:-251543552"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199" type="#_x0000_t202" style="width:92pt;height:11pt;margin-top:40.11pt;margin-left:433.95pt;mso-position-horizontal-relative:page;mso-position-vertical-relative:page;position:absolute;z-index:-251542528"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01" style="mso-position-horizontal-relative:page;mso-position-vertical-relative:page;position:absolute;z-index:-251541504"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202" type="#_x0000_t202" style="width:184.25pt;height:11pt;margin-top:40.11pt;margin-left:53.7pt;mso-position-horizontal-relative:page;mso-position-vertical-relative:page;position:absolute;z-index:-251540480"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203" type="#_x0000_t202" style="width:92pt;height:11pt;margin-top:40.11pt;margin-left:433.95pt;mso-position-horizontal-relative:page;mso-position-vertical-relative:page;position:absolute;z-index:-251539456"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205" style="mso-position-horizontal-relative:page;mso-position-vertical-relative:page;position:absolute;z-index:-251538432" from="53.25pt,58.45pt" to="531.6pt,58.45pt" stroked="t" strokecolor="black" strokeweight="0.5pt">
          <v:stroke dashstyle="solid"/>
        </v:line>
      </w:pict>
    </w:r>
    <w:r>
      <w:pict>
        <v:shapetype id="_x0000_t202" coordsize="21600,21600" o:spt="202" path="m,l,21600r21600,l21600,xe">
          <v:stroke joinstyle="miter"/>
          <v:path gradientshapeok="t" o:connecttype="rect"/>
        </v:shapetype>
        <v:shape id="_x0000_s2206" type="#_x0000_t202" style="width:184.25pt;height:11pt;margin-top:40.11pt;margin-left:53.7pt;mso-position-horizontal-relative:page;mso-position-vertical-relative:page;position:absolute;z-index:-251537408" filled="f" stroked="f">
          <v:textbox inset="0,0,0,0">
            <w:txbxContent>
              <w:p>
                <w:pPr>
                  <w:spacing w:before="0" w:line="220" w:lineRule="exact"/>
                  <w:ind w:left="20" w:right="0" w:firstLine="0"/>
                  <w:jc w:val="left"/>
                  <w:rPr>
                    <w:sz w:val="18"/>
                  </w:rPr>
                </w:pPr>
                <w:r>
                  <w:rPr>
                    <w:sz w:val="18"/>
                  </w:rPr>
                  <w:t>“DW09</w:t>
                </w:r>
                <w:r>
                  <w:rPr>
                    <w:spacing w:val="-10"/>
                    <w:sz w:val="18"/>
                  </w:rPr>
                  <w:t xml:space="preserve"> 工程”中</w:t>
                </w:r>
                <w:r>
                  <w:rPr>
                    <w:sz w:val="18"/>
                  </w:rPr>
                  <w:t>ft</w:t>
                </w:r>
                <w:r>
                  <w:rPr>
                    <w:spacing w:val="-1"/>
                    <w:sz w:val="18"/>
                  </w:rPr>
                  <w:t>后台系统升级扩容采购项目</w:t>
                </w:r>
              </w:p>
            </w:txbxContent>
          </v:textbox>
        </v:shape>
      </w:pict>
    </w:r>
    <w:r>
      <w:pict>
        <v:shape id="_x0000_s2207" type="#_x0000_t202" style="width:92pt;height:11pt;margin-top:40.11pt;margin-left:433.95pt;mso-position-horizontal-relative:page;mso-position-vertical-relative:page;position:absolute;z-index:-251536384" filled="f" stroked="f">
          <v:textbox inset="0,0,0,0">
            <w:txbxContent>
              <w:p>
                <w:pPr>
                  <w:spacing w:before="0" w:line="220" w:lineRule="exact"/>
                  <w:ind w:left="20" w:right="0" w:firstLine="0"/>
                  <w:jc w:val="left"/>
                  <w:rPr>
                    <w:sz w:val="18"/>
                  </w:rPr>
                </w:pPr>
                <w:r>
                  <w:rPr>
                    <w:sz w:val="18"/>
                  </w:rPr>
                  <w:t xml:space="preserve">招标编号: </w:t>
                </w:r>
                <w:r>
                  <w:rPr>
                    <w:spacing w:val="-2"/>
                    <w:sz w:val="18"/>
                  </w:rPr>
                  <w:t>ZZ21421116</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AD536"/>
    <w:multiLevelType w:val="hybridMultilevel"/>
    <w:tmpl w:val="00000000"/>
    <w:lvl w:ilvl="0">
      <w:start w:val="1"/>
      <w:numFmt w:val="decimal"/>
      <w:lvlText w:val="%1."/>
      <w:lvlJc w:val="left"/>
      <w:pPr>
        <w:ind w:left="1113" w:hanging="424"/>
        <w:jc w:val="left"/>
      </w:pPr>
      <w:rPr>
        <w:rFonts w:ascii="宋体" w:eastAsia="宋体" w:hAnsi="宋体" w:cs="宋体" w:hint="default"/>
        <w:b w:val="0"/>
        <w:bCs w:val="0"/>
        <w:i w:val="0"/>
        <w:iCs w:val="0"/>
        <w:w w:val="100"/>
        <w:sz w:val="21"/>
        <w:szCs w:val="21"/>
        <w:lang w:val="en-US" w:eastAsia="zh-CN" w:bidi="ar-SA"/>
      </w:rPr>
    </w:lvl>
    <w:lvl w:ilvl="1">
      <w:start w:val="2"/>
      <w:numFmt w:val="decimal"/>
      <w:lvlText w:val="%2)"/>
      <w:lvlJc w:val="left"/>
      <w:pPr>
        <w:ind w:left="1336" w:hanging="228"/>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378" w:hanging="228"/>
      </w:pPr>
      <w:rPr>
        <w:rFonts w:hint="default"/>
        <w:lang w:val="en-US" w:eastAsia="zh-CN" w:bidi="ar-SA"/>
      </w:rPr>
    </w:lvl>
    <w:lvl w:ilvl="3">
      <w:start w:val="0"/>
      <w:numFmt w:val="bullet"/>
      <w:lvlText w:val="•"/>
      <w:lvlJc w:val="left"/>
      <w:pPr>
        <w:ind w:left="3417" w:hanging="228"/>
      </w:pPr>
      <w:rPr>
        <w:rFonts w:hint="default"/>
        <w:lang w:val="en-US" w:eastAsia="zh-CN" w:bidi="ar-SA"/>
      </w:rPr>
    </w:lvl>
    <w:lvl w:ilvl="4">
      <w:start w:val="0"/>
      <w:numFmt w:val="bullet"/>
      <w:lvlText w:val="•"/>
      <w:lvlJc w:val="left"/>
      <w:pPr>
        <w:ind w:left="4455" w:hanging="228"/>
      </w:pPr>
      <w:rPr>
        <w:rFonts w:hint="default"/>
        <w:lang w:val="en-US" w:eastAsia="zh-CN" w:bidi="ar-SA"/>
      </w:rPr>
    </w:lvl>
    <w:lvl w:ilvl="5">
      <w:start w:val="0"/>
      <w:numFmt w:val="bullet"/>
      <w:lvlText w:val="•"/>
      <w:lvlJc w:val="left"/>
      <w:pPr>
        <w:ind w:left="5494" w:hanging="228"/>
      </w:pPr>
      <w:rPr>
        <w:rFonts w:hint="default"/>
        <w:lang w:val="en-US" w:eastAsia="zh-CN" w:bidi="ar-SA"/>
      </w:rPr>
    </w:lvl>
    <w:lvl w:ilvl="6">
      <w:start w:val="0"/>
      <w:numFmt w:val="bullet"/>
      <w:lvlText w:val="•"/>
      <w:lvlJc w:val="left"/>
      <w:pPr>
        <w:ind w:left="6532" w:hanging="228"/>
      </w:pPr>
      <w:rPr>
        <w:rFonts w:hint="default"/>
        <w:lang w:val="en-US" w:eastAsia="zh-CN" w:bidi="ar-SA"/>
      </w:rPr>
    </w:lvl>
    <w:lvl w:ilvl="7">
      <w:start w:val="0"/>
      <w:numFmt w:val="bullet"/>
      <w:lvlText w:val="•"/>
      <w:lvlJc w:val="left"/>
      <w:pPr>
        <w:ind w:left="7571" w:hanging="228"/>
      </w:pPr>
      <w:rPr>
        <w:rFonts w:hint="default"/>
        <w:lang w:val="en-US" w:eastAsia="zh-CN" w:bidi="ar-SA"/>
      </w:rPr>
    </w:lvl>
    <w:lvl w:ilvl="8">
      <w:start w:val="0"/>
      <w:numFmt w:val="bullet"/>
      <w:lvlText w:val="•"/>
      <w:lvlJc w:val="left"/>
      <w:pPr>
        <w:ind w:left="8609" w:hanging="228"/>
      </w:pPr>
      <w:rPr>
        <w:rFonts w:hint="default"/>
        <w:lang w:val="en-US" w:eastAsia="zh-CN" w:bidi="ar-SA"/>
      </w:rPr>
    </w:lvl>
  </w:abstractNum>
  <w:abstractNum w:abstractNumId="1">
    <w:nsid w:val="03174E55"/>
    <w:multiLevelType w:val="hybridMultilevel"/>
    <w:tmpl w:val="00000000"/>
    <w:lvl w:ilvl="0">
      <w:start w:val="5"/>
      <w:numFmt w:val="decimal"/>
      <w:lvlText w:val="%1"/>
      <w:lvlJc w:val="left"/>
      <w:pPr>
        <w:ind w:left="697" w:hanging="484"/>
        <w:jc w:val="left"/>
      </w:pPr>
      <w:rPr>
        <w:rFonts w:hint="default"/>
        <w:lang w:val="en-US" w:eastAsia="zh-CN" w:bidi="ar-SA"/>
      </w:rPr>
    </w:lvl>
    <w:lvl w:ilvl="1">
      <w:start w:val="1"/>
      <w:numFmt w:val="decimal"/>
      <w:lvlText w:val="%1.%2"/>
      <w:lvlJc w:val="left"/>
      <w:pPr>
        <w:ind w:left="697" w:hanging="484"/>
        <w:jc w:val="left"/>
      </w:pPr>
      <w:rPr>
        <w:rFonts w:ascii="Microsoft JhengHei" w:eastAsia="Microsoft JhengHei" w:hAnsi="Microsoft JhengHei" w:cs="Microsoft JhengHei" w:hint="default"/>
        <w:b/>
        <w:bCs/>
        <w:i w:val="0"/>
        <w:iCs w:val="0"/>
        <w:w w:val="83"/>
        <w:sz w:val="24"/>
        <w:szCs w:val="24"/>
        <w:lang w:val="en-US" w:eastAsia="zh-CN" w:bidi="ar-SA"/>
      </w:rPr>
    </w:lvl>
    <w:lvl w:ilvl="2">
      <w:start w:val="1"/>
      <w:numFmt w:val="decimal"/>
      <w:lvlText w:val="%1.%2.%3"/>
      <w:lvlJc w:val="left"/>
      <w:pPr>
        <w:ind w:left="849" w:hanging="636"/>
        <w:jc w:val="left"/>
      </w:pPr>
      <w:rPr>
        <w:rFonts w:ascii="Microsoft JhengHei" w:eastAsia="Microsoft JhengHei" w:hAnsi="Microsoft JhengHei" w:cs="Microsoft JhengHei" w:hint="default"/>
        <w:b/>
        <w:bCs/>
        <w:i w:val="0"/>
        <w:iCs w:val="0"/>
        <w:w w:val="83"/>
        <w:sz w:val="21"/>
        <w:szCs w:val="21"/>
        <w:lang w:val="en-US" w:eastAsia="zh-CN" w:bidi="ar-SA"/>
      </w:rPr>
    </w:lvl>
    <w:lvl w:ilvl="3">
      <w:start w:val="0"/>
      <w:numFmt w:val="bullet"/>
      <w:lvlText w:val="•"/>
      <w:lvlJc w:val="left"/>
      <w:pPr>
        <w:ind w:left="2863" w:hanging="636"/>
      </w:pPr>
      <w:rPr>
        <w:rFonts w:hint="default"/>
        <w:lang w:val="en-US" w:eastAsia="zh-CN" w:bidi="ar-SA"/>
      </w:rPr>
    </w:lvl>
    <w:lvl w:ilvl="4">
      <w:start w:val="0"/>
      <w:numFmt w:val="bullet"/>
      <w:lvlText w:val="•"/>
      <w:lvlJc w:val="left"/>
      <w:pPr>
        <w:ind w:left="3875" w:hanging="636"/>
      </w:pPr>
      <w:rPr>
        <w:rFonts w:hint="default"/>
        <w:lang w:val="en-US" w:eastAsia="zh-CN" w:bidi="ar-SA"/>
      </w:rPr>
    </w:lvl>
    <w:lvl w:ilvl="5">
      <w:start w:val="0"/>
      <w:numFmt w:val="bullet"/>
      <w:lvlText w:val="•"/>
      <w:lvlJc w:val="left"/>
      <w:pPr>
        <w:ind w:left="4887" w:hanging="636"/>
      </w:pPr>
      <w:rPr>
        <w:rFonts w:hint="default"/>
        <w:lang w:val="en-US" w:eastAsia="zh-CN" w:bidi="ar-SA"/>
      </w:rPr>
    </w:lvl>
    <w:lvl w:ilvl="6">
      <w:start w:val="0"/>
      <w:numFmt w:val="bullet"/>
      <w:lvlText w:val="•"/>
      <w:lvlJc w:val="left"/>
      <w:pPr>
        <w:ind w:left="5899" w:hanging="636"/>
      </w:pPr>
      <w:rPr>
        <w:rFonts w:hint="default"/>
        <w:lang w:val="en-US" w:eastAsia="zh-CN" w:bidi="ar-SA"/>
      </w:rPr>
    </w:lvl>
    <w:lvl w:ilvl="7">
      <w:start w:val="0"/>
      <w:numFmt w:val="bullet"/>
      <w:lvlText w:val="•"/>
      <w:lvlJc w:val="left"/>
      <w:pPr>
        <w:ind w:left="6911" w:hanging="636"/>
      </w:pPr>
      <w:rPr>
        <w:rFonts w:hint="default"/>
        <w:lang w:val="en-US" w:eastAsia="zh-CN" w:bidi="ar-SA"/>
      </w:rPr>
    </w:lvl>
    <w:lvl w:ilvl="8">
      <w:start w:val="0"/>
      <w:numFmt w:val="bullet"/>
      <w:lvlText w:val="•"/>
      <w:lvlJc w:val="left"/>
      <w:pPr>
        <w:ind w:left="7923" w:hanging="636"/>
      </w:pPr>
      <w:rPr>
        <w:rFonts w:hint="default"/>
        <w:lang w:val="en-US" w:eastAsia="zh-CN" w:bidi="ar-SA"/>
      </w:rPr>
    </w:lvl>
  </w:abstractNum>
  <w:abstractNum w:abstractNumId="2">
    <w:nsid w:val="036B3683"/>
    <w:multiLevelType w:val="hybridMultilevel"/>
    <w:tmpl w:val="00000000"/>
    <w:lvl w:ilvl="0">
      <w:start w:val="1"/>
      <w:numFmt w:val="decimal"/>
      <w:lvlText w:val="%1."/>
      <w:lvlJc w:val="left"/>
      <w:pPr>
        <w:ind w:left="638" w:hanging="424"/>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850" w:hanging="531"/>
        <w:jc w:val="left"/>
      </w:pPr>
      <w:rPr>
        <w:rFonts w:ascii="宋体" w:eastAsia="宋体" w:hAnsi="宋体" w:cs="宋体" w:hint="default"/>
        <w:b w:val="0"/>
        <w:bCs w:val="0"/>
        <w:i w:val="0"/>
        <w:iCs w:val="0"/>
        <w:w w:val="100"/>
        <w:sz w:val="19"/>
        <w:szCs w:val="19"/>
        <w:lang w:val="en-US" w:eastAsia="zh-CN" w:bidi="ar-SA"/>
      </w:rPr>
    </w:lvl>
    <w:lvl w:ilvl="2">
      <w:start w:val="1"/>
      <w:numFmt w:val="decimal"/>
      <w:lvlText w:val="（%3）"/>
      <w:lvlJc w:val="left"/>
      <w:pPr>
        <w:ind w:left="1274" w:hanging="531"/>
        <w:jc w:val="left"/>
      </w:pPr>
      <w:rPr>
        <w:rFonts w:ascii="宋体" w:eastAsia="宋体" w:hAnsi="宋体" w:cs="宋体" w:hint="default"/>
        <w:b w:val="0"/>
        <w:bCs w:val="0"/>
        <w:i w:val="0"/>
        <w:iCs w:val="0"/>
        <w:w w:val="100"/>
        <w:sz w:val="19"/>
        <w:szCs w:val="19"/>
        <w:lang w:val="en-US" w:eastAsia="zh-CN" w:bidi="ar-SA"/>
      </w:rPr>
    </w:lvl>
    <w:lvl w:ilvl="3">
      <w:start w:val="0"/>
      <w:numFmt w:val="bullet"/>
      <w:lvlText w:val="•"/>
      <w:lvlJc w:val="left"/>
      <w:pPr>
        <w:ind w:left="2363" w:hanging="531"/>
      </w:pPr>
      <w:rPr>
        <w:rFonts w:hint="default"/>
        <w:lang w:val="en-US" w:eastAsia="zh-CN" w:bidi="ar-SA"/>
      </w:rPr>
    </w:lvl>
    <w:lvl w:ilvl="4">
      <w:start w:val="0"/>
      <w:numFmt w:val="bullet"/>
      <w:lvlText w:val="•"/>
      <w:lvlJc w:val="left"/>
      <w:pPr>
        <w:ind w:left="3446" w:hanging="531"/>
      </w:pPr>
      <w:rPr>
        <w:rFonts w:hint="default"/>
        <w:lang w:val="en-US" w:eastAsia="zh-CN" w:bidi="ar-SA"/>
      </w:rPr>
    </w:lvl>
    <w:lvl w:ilvl="5">
      <w:start w:val="0"/>
      <w:numFmt w:val="bullet"/>
      <w:lvlText w:val="•"/>
      <w:lvlJc w:val="left"/>
      <w:pPr>
        <w:ind w:left="4530" w:hanging="531"/>
      </w:pPr>
      <w:rPr>
        <w:rFonts w:hint="default"/>
        <w:lang w:val="en-US" w:eastAsia="zh-CN" w:bidi="ar-SA"/>
      </w:rPr>
    </w:lvl>
    <w:lvl w:ilvl="6">
      <w:start w:val="0"/>
      <w:numFmt w:val="bullet"/>
      <w:lvlText w:val="•"/>
      <w:lvlJc w:val="left"/>
      <w:pPr>
        <w:ind w:left="5613" w:hanging="531"/>
      </w:pPr>
      <w:rPr>
        <w:rFonts w:hint="default"/>
        <w:lang w:val="en-US" w:eastAsia="zh-CN" w:bidi="ar-SA"/>
      </w:rPr>
    </w:lvl>
    <w:lvl w:ilvl="7">
      <w:start w:val="0"/>
      <w:numFmt w:val="bullet"/>
      <w:lvlText w:val="•"/>
      <w:lvlJc w:val="left"/>
      <w:pPr>
        <w:ind w:left="6696" w:hanging="531"/>
      </w:pPr>
      <w:rPr>
        <w:rFonts w:hint="default"/>
        <w:lang w:val="en-US" w:eastAsia="zh-CN" w:bidi="ar-SA"/>
      </w:rPr>
    </w:lvl>
    <w:lvl w:ilvl="8">
      <w:start w:val="0"/>
      <w:numFmt w:val="bullet"/>
      <w:lvlText w:val="•"/>
      <w:lvlJc w:val="left"/>
      <w:pPr>
        <w:ind w:left="7780" w:hanging="531"/>
      </w:pPr>
      <w:rPr>
        <w:rFonts w:hint="default"/>
        <w:lang w:val="en-US" w:eastAsia="zh-CN" w:bidi="ar-SA"/>
      </w:rPr>
    </w:lvl>
  </w:abstractNum>
  <w:abstractNum w:abstractNumId="3">
    <w:nsid w:val="04197181"/>
    <w:multiLevelType w:val="hybridMultilevel"/>
    <w:tmpl w:val="00000000"/>
    <w:lvl w:ilvl="0">
      <w:start w:val="0"/>
      <w:numFmt w:val="bullet"/>
      <w:lvlText w:val=""/>
      <w:lvlJc w:val="left"/>
      <w:pPr>
        <w:ind w:left="933" w:hanging="360"/>
      </w:pPr>
      <w:rPr>
        <w:rFonts w:ascii="Wingdings" w:eastAsia="Wingdings" w:hAnsi="Wingdings" w:cs="Wingdings" w:hint="default"/>
        <w:b w:val="0"/>
        <w:bCs w:val="0"/>
        <w:i w:val="0"/>
        <w:iCs w:val="0"/>
        <w:w w:val="100"/>
        <w:sz w:val="21"/>
        <w:szCs w:val="21"/>
        <w:lang w:val="en-US" w:eastAsia="zh-CN" w:bidi="ar-SA"/>
      </w:rPr>
    </w:lvl>
    <w:lvl w:ilvl="1">
      <w:start w:val="0"/>
      <w:numFmt w:val="bullet"/>
      <w:lvlText w:val="•"/>
      <w:lvlJc w:val="left"/>
      <w:pPr>
        <w:ind w:left="1840" w:hanging="360"/>
      </w:pPr>
      <w:rPr>
        <w:rFonts w:hint="default"/>
        <w:lang w:val="en-US" w:eastAsia="zh-CN" w:bidi="ar-SA"/>
      </w:rPr>
    </w:lvl>
    <w:lvl w:ilvl="2">
      <w:start w:val="0"/>
      <w:numFmt w:val="bullet"/>
      <w:lvlText w:val="•"/>
      <w:lvlJc w:val="left"/>
      <w:pPr>
        <w:ind w:left="2741" w:hanging="360"/>
      </w:pPr>
      <w:rPr>
        <w:rFonts w:hint="default"/>
        <w:lang w:val="en-US" w:eastAsia="zh-CN" w:bidi="ar-SA"/>
      </w:rPr>
    </w:lvl>
    <w:lvl w:ilvl="3">
      <w:start w:val="0"/>
      <w:numFmt w:val="bullet"/>
      <w:lvlText w:val="•"/>
      <w:lvlJc w:val="left"/>
      <w:pPr>
        <w:ind w:left="3642" w:hanging="360"/>
      </w:pPr>
      <w:rPr>
        <w:rFonts w:hint="default"/>
        <w:lang w:val="en-US" w:eastAsia="zh-CN" w:bidi="ar-SA"/>
      </w:rPr>
    </w:lvl>
    <w:lvl w:ilvl="4">
      <w:start w:val="0"/>
      <w:numFmt w:val="bullet"/>
      <w:lvlText w:val="•"/>
      <w:lvlJc w:val="left"/>
      <w:pPr>
        <w:ind w:left="4542" w:hanging="360"/>
      </w:pPr>
      <w:rPr>
        <w:rFonts w:hint="default"/>
        <w:lang w:val="en-US" w:eastAsia="zh-CN" w:bidi="ar-SA"/>
      </w:rPr>
    </w:lvl>
    <w:lvl w:ilvl="5">
      <w:start w:val="0"/>
      <w:numFmt w:val="bullet"/>
      <w:lvlText w:val="•"/>
      <w:lvlJc w:val="left"/>
      <w:pPr>
        <w:ind w:left="5443" w:hanging="360"/>
      </w:pPr>
      <w:rPr>
        <w:rFonts w:hint="default"/>
        <w:lang w:val="en-US" w:eastAsia="zh-CN" w:bidi="ar-SA"/>
      </w:rPr>
    </w:lvl>
    <w:lvl w:ilvl="6">
      <w:start w:val="0"/>
      <w:numFmt w:val="bullet"/>
      <w:lvlText w:val="•"/>
      <w:lvlJc w:val="left"/>
      <w:pPr>
        <w:ind w:left="6344" w:hanging="360"/>
      </w:pPr>
      <w:rPr>
        <w:rFonts w:hint="default"/>
        <w:lang w:val="en-US" w:eastAsia="zh-CN" w:bidi="ar-SA"/>
      </w:rPr>
    </w:lvl>
    <w:lvl w:ilvl="7">
      <w:start w:val="0"/>
      <w:numFmt w:val="bullet"/>
      <w:lvlText w:val="•"/>
      <w:lvlJc w:val="left"/>
      <w:pPr>
        <w:ind w:left="7244" w:hanging="360"/>
      </w:pPr>
      <w:rPr>
        <w:rFonts w:hint="default"/>
        <w:lang w:val="en-US" w:eastAsia="zh-CN" w:bidi="ar-SA"/>
      </w:rPr>
    </w:lvl>
    <w:lvl w:ilvl="8">
      <w:start w:val="0"/>
      <w:numFmt w:val="bullet"/>
      <w:lvlText w:val="•"/>
      <w:lvlJc w:val="left"/>
      <w:pPr>
        <w:ind w:left="8145" w:hanging="360"/>
      </w:pPr>
      <w:rPr>
        <w:rFonts w:hint="default"/>
        <w:lang w:val="en-US" w:eastAsia="zh-CN" w:bidi="ar-SA"/>
      </w:rPr>
    </w:lvl>
  </w:abstractNum>
  <w:abstractNum w:abstractNumId="4">
    <w:nsid w:val="0427E704"/>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5">
    <w:nsid w:val="06633003"/>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1424" w:hanging="36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1480" w:hanging="360"/>
      </w:pPr>
      <w:rPr>
        <w:rFonts w:hint="default"/>
        <w:lang w:val="en-US" w:eastAsia="zh-CN" w:bidi="ar-SA"/>
      </w:rPr>
    </w:lvl>
    <w:lvl w:ilvl="3">
      <w:start w:val="0"/>
      <w:numFmt w:val="bullet"/>
      <w:lvlText w:val="•"/>
      <w:lvlJc w:val="left"/>
      <w:pPr>
        <w:ind w:left="2538" w:hanging="360"/>
      </w:pPr>
      <w:rPr>
        <w:rFonts w:hint="default"/>
        <w:lang w:val="en-US" w:eastAsia="zh-CN" w:bidi="ar-SA"/>
      </w:rPr>
    </w:lvl>
    <w:lvl w:ilvl="4">
      <w:start w:val="0"/>
      <w:numFmt w:val="bullet"/>
      <w:lvlText w:val="•"/>
      <w:lvlJc w:val="left"/>
      <w:pPr>
        <w:ind w:left="3596" w:hanging="360"/>
      </w:pPr>
      <w:rPr>
        <w:rFonts w:hint="default"/>
        <w:lang w:val="en-US" w:eastAsia="zh-CN" w:bidi="ar-SA"/>
      </w:rPr>
    </w:lvl>
    <w:lvl w:ilvl="5">
      <w:start w:val="0"/>
      <w:numFmt w:val="bullet"/>
      <w:lvlText w:val="•"/>
      <w:lvlJc w:val="left"/>
      <w:pPr>
        <w:ind w:left="4655" w:hanging="360"/>
      </w:pPr>
      <w:rPr>
        <w:rFonts w:hint="default"/>
        <w:lang w:val="en-US" w:eastAsia="zh-CN" w:bidi="ar-SA"/>
      </w:rPr>
    </w:lvl>
    <w:lvl w:ilvl="6">
      <w:start w:val="0"/>
      <w:numFmt w:val="bullet"/>
      <w:lvlText w:val="•"/>
      <w:lvlJc w:val="left"/>
      <w:pPr>
        <w:ind w:left="5713" w:hanging="360"/>
      </w:pPr>
      <w:rPr>
        <w:rFonts w:hint="default"/>
        <w:lang w:val="en-US" w:eastAsia="zh-CN" w:bidi="ar-SA"/>
      </w:rPr>
    </w:lvl>
    <w:lvl w:ilvl="7">
      <w:start w:val="0"/>
      <w:numFmt w:val="bullet"/>
      <w:lvlText w:val="•"/>
      <w:lvlJc w:val="left"/>
      <w:pPr>
        <w:ind w:left="6771" w:hanging="360"/>
      </w:pPr>
      <w:rPr>
        <w:rFonts w:hint="default"/>
        <w:lang w:val="en-US" w:eastAsia="zh-CN" w:bidi="ar-SA"/>
      </w:rPr>
    </w:lvl>
    <w:lvl w:ilvl="8">
      <w:start w:val="0"/>
      <w:numFmt w:val="bullet"/>
      <w:lvlText w:val="•"/>
      <w:lvlJc w:val="left"/>
      <w:pPr>
        <w:ind w:left="7830" w:hanging="360"/>
      </w:pPr>
      <w:rPr>
        <w:rFonts w:hint="default"/>
        <w:lang w:val="en-US" w:eastAsia="zh-CN" w:bidi="ar-SA"/>
      </w:rPr>
    </w:lvl>
  </w:abstractNum>
  <w:abstractNum w:abstractNumId="6">
    <w:nsid w:val="0820060B"/>
    <w:multiLevelType w:val="hybridMultilevel"/>
    <w:tmpl w:val="00000000"/>
    <w:lvl w:ilvl="0">
      <w:start w:val="7"/>
      <w:numFmt w:val="decimal"/>
      <w:lvlText w:val="%1"/>
      <w:lvlJc w:val="left"/>
      <w:pPr>
        <w:ind w:left="697" w:hanging="484"/>
        <w:jc w:val="left"/>
      </w:pPr>
      <w:rPr>
        <w:rFonts w:hint="default"/>
        <w:lang w:val="en-US" w:eastAsia="zh-CN" w:bidi="ar-SA"/>
      </w:rPr>
    </w:lvl>
    <w:lvl w:ilvl="1">
      <w:start w:val="1"/>
      <w:numFmt w:val="decimal"/>
      <w:lvlText w:val="%1.%2"/>
      <w:lvlJc w:val="left"/>
      <w:pPr>
        <w:ind w:left="697" w:hanging="484"/>
        <w:jc w:val="left"/>
      </w:pPr>
      <w:rPr>
        <w:rFonts w:ascii="Microsoft JhengHei" w:eastAsia="Microsoft JhengHei" w:hAnsi="Microsoft JhengHei" w:cs="Microsoft JhengHei" w:hint="default"/>
        <w:b/>
        <w:bCs/>
        <w:i w:val="0"/>
        <w:iCs w:val="0"/>
        <w:w w:val="83"/>
        <w:sz w:val="24"/>
        <w:szCs w:val="24"/>
        <w:lang w:val="en-US" w:eastAsia="zh-CN" w:bidi="ar-SA"/>
      </w:rPr>
    </w:lvl>
    <w:lvl w:ilvl="2">
      <w:start w:val="1"/>
      <w:numFmt w:val="decimal"/>
      <w:lvlText w:val="%1.%2.%3"/>
      <w:lvlJc w:val="left"/>
      <w:pPr>
        <w:ind w:left="795" w:hanging="582"/>
        <w:jc w:val="left"/>
      </w:pPr>
      <w:rPr>
        <w:rFonts w:ascii="Microsoft JhengHei" w:eastAsia="Microsoft JhengHei" w:hAnsi="Microsoft JhengHei" w:cs="Microsoft JhengHei" w:hint="default"/>
        <w:b/>
        <w:bCs/>
        <w:i w:val="0"/>
        <w:iCs w:val="0"/>
        <w:w w:val="83"/>
        <w:sz w:val="21"/>
        <w:szCs w:val="21"/>
        <w:lang w:val="en-US" w:eastAsia="zh-CN" w:bidi="ar-SA"/>
      </w:rPr>
    </w:lvl>
    <w:lvl w:ilvl="3">
      <w:start w:val="1"/>
      <w:numFmt w:val="decimal"/>
      <w:lvlText w:val="%4."/>
      <w:lvlJc w:val="left"/>
      <w:pPr>
        <w:ind w:left="850" w:hanging="424"/>
        <w:jc w:val="left"/>
      </w:pPr>
      <w:rPr>
        <w:rFonts w:hint="default"/>
        <w:w w:val="100"/>
        <w:lang w:val="en-US" w:eastAsia="zh-CN" w:bidi="ar-SA"/>
      </w:rPr>
    </w:lvl>
    <w:lvl w:ilvl="4">
      <w:start w:val="0"/>
      <w:numFmt w:val="bullet"/>
      <w:lvlText w:val="•"/>
      <w:lvlJc w:val="left"/>
      <w:pPr>
        <w:ind w:left="3116" w:hanging="424"/>
      </w:pPr>
      <w:rPr>
        <w:rFonts w:hint="default"/>
        <w:lang w:val="en-US" w:eastAsia="zh-CN" w:bidi="ar-SA"/>
      </w:rPr>
    </w:lvl>
    <w:lvl w:ilvl="5">
      <w:start w:val="0"/>
      <w:numFmt w:val="bullet"/>
      <w:lvlText w:val="•"/>
      <w:lvlJc w:val="left"/>
      <w:pPr>
        <w:ind w:left="4255" w:hanging="424"/>
      </w:pPr>
      <w:rPr>
        <w:rFonts w:hint="default"/>
        <w:lang w:val="en-US" w:eastAsia="zh-CN" w:bidi="ar-SA"/>
      </w:rPr>
    </w:lvl>
    <w:lvl w:ilvl="6">
      <w:start w:val="0"/>
      <w:numFmt w:val="bullet"/>
      <w:lvlText w:val="•"/>
      <w:lvlJc w:val="left"/>
      <w:pPr>
        <w:ind w:left="5393" w:hanging="424"/>
      </w:pPr>
      <w:rPr>
        <w:rFonts w:hint="default"/>
        <w:lang w:val="en-US" w:eastAsia="zh-CN" w:bidi="ar-SA"/>
      </w:rPr>
    </w:lvl>
    <w:lvl w:ilvl="7">
      <w:start w:val="0"/>
      <w:numFmt w:val="bullet"/>
      <w:lvlText w:val="•"/>
      <w:lvlJc w:val="left"/>
      <w:pPr>
        <w:ind w:left="6531" w:hanging="424"/>
      </w:pPr>
      <w:rPr>
        <w:rFonts w:hint="default"/>
        <w:lang w:val="en-US" w:eastAsia="zh-CN" w:bidi="ar-SA"/>
      </w:rPr>
    </w:lvl>
    <w:lvl w:ilvl="8">
      <w:start w:val="0"/>
      <w:numFmt w:val="bullet"/>
      <w:lvlText w:val="•"/>
      <w:lvlJc w:val="left"/>
      <w:pPr>
        <w:ind w:left="7670" w:hanging="424"/>
      </w:pPr>
      <w:rPr>
        <w:rFonts w:hint="default"/>
        <w:lang w:val="en-US" w:eastAsia="zh-CN" w:bidi="ar-SA"/>
      </w:rPr>
    </w:lvl>
  </w:abstractNum>
  <w:abstractNum w:abstractNumId="7">
    <w:nsid w:val="08A42572"/>
    <w:multiLevelType w:val="hybridMultilevel"/>
    <w:tmpl w:val="00000000"/>
    <w:lvl w:ilvl="0">
      <w:start w:val="1"/>
      <w:numFmt w:val="decimal"/>
      <w:lvlText w:val="%1."/>
      <w:lvlJc w:val="left"/>
      <w:pPr>
        <w:ind w:left="744"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660" w:hanging="424"/>
      </w:pPr>
      <w:rPr>
        <w:rFonts w:hint="default"/>
        <w:lang w:val="en-US" w:eastAsia="zh-CN" w:bidi="ar-SA"/>
      </w:rPr>
    </w:lvl>
    <w:lvl w:ilvl="2">
      <w:start w:val="0"/>
      <w:numFmt w:val="bullet"/>
      <w:lvlText w:val="•"/>
      <w:lvlJc w:val="left"/>
      <w:pPr>
        <w:ind w:left="2581" w:hanging="424"/>
      </w:pPr>
      <w:rPr>
        <w:rFonts w:hint="default"/>
        <w:lang w:val="en-US" w:eastAsia="zh-CN" w:bidi="ar-SA"/>
      </w:rPr>
    </w:lvl>
    <w:lvl w:ilvl="3">
      <w:start w:val="0"/>
      <w:numFmt w:val="bullet"/>
      <w:lvlText w:val="•"/>
      <w:lvlJc w:val="left"/>
      <w:pPr>
        <w:ind w:left="3502" w:hanging="424"/>
      </w:pPr>
      <w:rPr>
        <w:rFonts w:hint="default"/>
        <w:lang w:val="en-US" w:eastAsia="zh-CN" w:bidi="ar-SA"/>
      </w:rPr>
    </w:lvl>
    <w:lvl w:ilvl="4">
      <w:start w:val="0"/>
      <w:numFmt w:val="bullet"/>
      <w:lvlText w:val="•"/>
      <w:lvlJc w:val="left"/>
      <w:pPr>
        <w:ind w:left="4422" w:hanging="424"/>
      </w:pPr>
      <w:rPr>
        <w:rFonts w:hint="default"/>
        <w:lang w:val="en-US" w:eastAsia="zh-CN" w:bidi="ar-SA"/>
      </w:rPr>
    </w:lvl>
    <w:lvl w:ilvl="5">
      <w:start w:val="0"/>
      <w:numFmt w:val="bullet"/>
      <w:lvlText w:val="•"/>
      <w:lvlJc w:val="left"/>
      <w:pPr>
        <w:ind w:left="5343" w:hanging="424"/>
      </w:pPr>
      <w:rPr>
        <w:rFonts w:hint="default"/>
        <w:lang w:val="en-US" w:eastAsia="zh-CN" w:bidi="ar-SA"/>
      </w:rPr>
    </w:lvl>
    <w:lvl w:ilvl="6">
      <w:start w:val="0"/>
      <w:numFmt w:val="bullet"/>
      <w:lvlText w:val="•"/>
      <w:lvlJc w:val="left"/>
      <w:pPr>
        <w:ind w:left="6264" w:hanging="424"/>
      </w:pPr>
      <w:rPr>
        <w:rFonts w:hint="default"/>
        <w:lang w:val="en-US" w:eastAsia="zh-CN" w:bidi="ar-SA"/>
      </w:rPr>
    </w:lvl>
    <w:lvl w:ilvl="7">
      <w:start w:val="0"/>
      <w:numFmt w:val="bullet"/>
      <w:lvlText w:val="•"/>
      <w:lvlJc w:val="left"/>
      <w:pPr>
        <w:ind w:left="7184" w:hanging="424"/>
      </w:pPr>
      <w:rPr>
        <w:rFonts w:hint="default"/>
        <w:lang w:val="en-US" w:eastAsia="zh-CN" w:bidi="ar-SA"/>
      </w:rPr>
    </w:lvl>
    <w:lvl w:ilvl="8">
      <w:start w:val="0"/>
      <w:numFmt w:val="bullet"/>
      <w:lvlText w:val="•"/>
      <w:lvlJc w:val="left"/>
      <w:pPr>
        <w:ind w:left="8105" w:hanging="424"/>
      </w:pPr>
      <w:rPr>
        <w:rFonts w:hint="default"/>
        <w:lang w:val="en-US" w:eastAsia="zh-CN" w:bidi="ar-SA"/>
      </w:rPr>
    </w:lvl>
  </w:abstractNum>
  <w:abstractNum w:abstractNumId="8">
    <w:nsid w:val="09795975"/>
    <w:multiLevelType w:val="hybridMultilevel"/>
    <w:tmpl w:val="00000000"/>
    <w:lvl w:ilvl="0">
      <w:start w:val="1"/>
      <w:numFmt w:val="decimal"/>
      <w:lvlText w:val="%1."/>
      <w:lvlJc w:val="left"/>
      <w:pPr>
        <w:ind w:left="1065" w:hanging="85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0"/>
      <w:numFmt w:val="bullet"/>
      <w:lvlText w:val="•"/>
      <w:lvlJc w:val="left"/>
      <w:pPr>
        <w:ind w:left="1948" w:hanging="852"/>
      </w:pPr>
      <w:rPr>
        <w:rFonts w:hint="default"/>
        <w:lang w:val="en-US" w:eastAsia="zh-CN" w:bidi="ar-SA"/>
      </w:rPr>
    </w:lvl>
    <w:lvl w:ilvl="2">
      <w:start w:val="0"/>
      <w:numFmt w:val="bullet"/>
      <w:lvlText w:val="•"/>
      <w:lvlJc w:val="left"/>
      <w:pPr>
        <w:ind w:left="2837" w:hanging="852"/>
      </w:pPr>
      <w:rPr>
        <w:rFonts w:hint="default"/>
        <w:lang w:val="en-US" w:eastAsia="zh-CN" w:bidi="ar-SA"/>
      </w:rPr>
    </w:lvl>
    <w:lvl w:ilvl="3">
      <w:start w:val="0"/>
      <w:numFmt w:val="bullet"/>
      <w:lvlText w:val="•"/>
      <w:lvlJc w:val="left"/>
      <w:pPr>
        <w:ind w:left="3726" w:hanging="852"/>
      </w:pPr>
      <w:rPr>
        <w:rFonts w:hint="default"/>
        <w:lang w:val="en-US" w:eastAsia="zh-CN" w:bidi="ar-SA"/>
      </w:rPr>
    </w:lvl>
    <w:lvl w:ilvl="4">
      <w:start w:val="0"/>
      <w:numFmt w:val="bullet"/>
      <w:lvlText w:val="•"/>
      <w:lvlJc w:val="left"/>
      <w:pPr>
        <w:ind w:left="4614" w:hanging="852"/>
      </w:pPr>
      <w:rPr>
        <w:rFonts w:hint="default"/>
        <w:lang w:val="en-US" w:eastAsia="zh-CN" w:bidi="ar-SA"/>
      </w:rPr>
    </w:lvl>
    <w:lvl w:ilvl="5">
      <w:start w:val="0"/>
      <w:numFmt w:val="bullet"/>
      <w:lvlText w:val="•"/>
      <w:lvlJc w:val="left"/>
      <w:pPr>
        <w:ind w:left="5503" w:hanging="852"/>
      </w:pPr>
      <w:rPr>
        <w:rFonts w:hint="default"/>
        <w:lang w:val="en-US" w:eastAsia="zh-CN" w:bidi="ar-SA"/>
      </w:rPr>
    </w:lvl>
    <w:lvl w:ilvl="6">
      <w:start w:val="0"/>
      <w:numFmt w:val="bullet"/>
      <w:lvlText w:val="•"/>
      <w:lvlJc w:val="left"/>
      <w:pPr>
        <w:ind w:left="6392" w:hanging="852"/>
      </w:pPr>
      <w:rPr>
        <w:rFonts w:hint="default"/>
        <w:lang w:val="en-US" w:eastAsia="zh-CN" w:bidi="ar-SA"/>
      </w:rPr>
    </w:lvl>
    <w:lvl w:ilvl="7">
      <w:start w:val="0"/>
      <w:numFmt w:val="bullet"/>
      <w:lvlText w:val="•"/>
      <w:lvlJc w:val="left"/>
      <w:pPr>
        <w:ind w:left="7280" w:hanging="852"/>
      </w:pPr>
      <w:rPr>
        <w:rFonts w:hint="default"/>
        <w:lang w:val="en-US" w:eastAsia="zh-CN" w:bidi="ar-SA"/>
      </w:rPr>
    </w:lvl>
    <w:lvl w:ilvl="8">
      <w:start w:val="0"/>
      <w:numFmt w:val="bullet"/>
      <w:lvlText w:val="•"/>
      <w:lvlJc w:val="left"/>
      <w:pPr>
        <w:ind w:left="8169" w:hanging="852"/>
      </w:pPr>
      <w:rPr>
        <w:rFonts w:hint="default"/>
        <w:lang w:val="en-US" w:eastAsia="zh-CN" w:bidi="ar-SA"/>
      </w:rPr>
    </w:lvl>
  </w:abstractNum>
  <w:abstractNum w:abstractNumId="9">
    <w:nsid w:val="09DB9240"/>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10">
    <w:nsid w:val="0B2FC23E"/>
    <w:multiLevelType w:val="hybridMultilevel"/>
    <w:tmpl w:val="00000000"/>
    <w:lvl w:ilvl="0">
      <w:start w:val="2"/>
      <w:numFmt w:val="decimal"/>
      <w:lvlText w:val="%1."/>
      <w:lvlJc w:val="left"/>
      <w:pPr>
        <w:ind w:left="1212" w:hanging="159"/>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2118" w:hanging="159"/>
      </w:pPr>
      <w:rPr>
        <w:rFonts w:hint="default"/>
        <w:lang w:val="en-US" w:eastAsia="zh-CN" w:bidi="ar-SA"/>
      </w:rPr>
    </w:lvl>
    <w:lvl w:ilvl="2">
      <w:start w:val="0"/>
      <w:numFmt w:val="bullet"/>
      <w:lvlText w:val="•"/>
      <w:lvlJc w:val="left"/>
      <w:pPr>
        <w:ind w:left="3017" w:hanging="159"/>
      </w:pPr>
      <w:rPr>
        <w:rFonts w:hint="default"/>
        <w:lang w:val="en-US" w:eastAsia="zh-CN" w:bidi="ar-SA"/>
      </w:rPr>
    </w:lvl>
    <w:lvl w:ilvl="3">
      <w:start w:val="0"/>
      <w:numFmt w:val="bullet"/>
      <w:lvlText w:val="•"/>
      <w:lvlJc w:val="left"/>
      <w:pPr>
        <w:ind w:left="3916" w:hanging="159"/>
      </w:pPr>
      <w:rPr>
        <w:rFonts w:hint="default"/>
        <w:lang w:val="en-US" w:eastAsia="zh-CN" w:bidi="ar-SA"/>
      </w:rPr>
    </w:lvl>
    <w:lvl w:ilvl="4">
      <w:start w:val="0"/>
      <w:numFmt w:val="bullet"/>
      <w:lvlText w:val="•"/>
      <w:lvlJc w:val="left"/>
      <w:pPr>
        <w:ind w:left="4814" w:hanging="159"/>
      </w:pPr>
      <w:rPr>
        <w:rFonts w:hint="default"/>
        <w:lang w:val="en-US" w:eastAsia="zh-CN" w:bidi="ar-SA"/>
      </w:rPr>
    </w:lvl>
    <w:lvl w:ilvl="5">
      <w:start w:val="0"/>
      <w:numFmt w:val="bullet"/>
      <w:lvlText w:val="•"/>
      <w:lvlJc w:val="left"/>
      <w:pPr>
        <w:ind w:left="5713" w:hanging="159"/>
      </w:pPr>
      <w:rPr>
        <w:rFonts w:hint="default"/>
        <w:lang w:val="en-US" w:eastAsia="zh-CN" w:bidi="ar-SA"/>
      </w:rPr>
    </w:lvl>
    <w:lvl w:ilvl="6">
      <w:start w:val="0"/>
      <w:numFmt w:val="bullet"/>
      <w:lvlText w:val="•"/>
      <w:lvlJc w:val="left"/>
      <w:pPr>
        <w:ind w:left="6612" w:hanging="159"/>
      </w:pPr>
      <w:rPr>
        <w:rFonts w:hint="default"/>
        <w:lang w:val="en-US" w:eastAsia="zh-CN" w:bidi="ar-SA"/>
      </w:rPr>
    </w:lvl>
    <w:lvl w:ilvl="7">
      <w:start w:val="0"/>
      <w:numFmt w:val="bullet"/>
      <w:lvlText w:val="•"/>
      <w:lvlJc w:val="left"/>
      <w:pPr>
        <w:ind w:left="7510" w:hanging="159"/>
      </w:pPr>
      <w:rPr>
        <w:rFonts w:hint="default"/>
        <w:lang w:val="en-US" w:eastAsia="zh-CN" w:bidi="ar-SA"/>
      </w:rPr>
    </w:lvl>
    <w:lvl w:ilvl="8">
      <w:start w:val="0"/>
      <w:numFmt w:val="bullet"/>
      <w:lvlText w:val="•"/>
      <w:lvlJc w:val="left"/>
      <w:pPr>
        <w:ind w:left="8409" w:hanging="159"/>
      </w:pPr>
      <w:rPr>
        <w:rFonts w:hint="default"/>
        <w:lang w:val="en-US" w:eastAsia="zh-CN" w:bidi="ar-SA"/>
      </w:rPr>
    </w:lvl>
  </w:abstractNum>
  <w:abstractNum w:abstractNumId="11">
    <w:nsid w:val="0CDC2E60"/>
    <w:multiLevelType w:val="hybridMultilevel"/>
    <w:tmpl w:val="00000000"/>
    <w:lvl w:ilvl="0">
      <w:start w:val="1"/>
      <w:numFmt w:val="decimal"/>
      <w:lvlText w:val="%1."/>
      <w:lvlJc w:val="left"/>
      <w:pPr>
        <w:ind w:left="1065" w:hanging="85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0"/>
      <w:numFmt w:val="bullet"/>
      <w:lvlText w:val="•"/>
      <w:lvlJc w:val="left"/>
      <w:pPr>
        <w:ind w:left="1948" w:hanging="852"/>
      </w:pPr>
      <w:rPr>
        <w:rFonts w:hint="default"/>
        <w:lang w:val="en-US" w:eastAsia="zh-CN" w:bidi="ar-SA"/>
      </w:rPr>
    </w:lvl>
    <w:lvl w:ilvl="2">
      <w:start w:val="0"/>
      <w:numFmt w:val="bullet"/>
      <w:lvlText w:val="•"/>
      <w:lvlJc w:val="left"/>
      <w:pPr>
        <w:ind w:left="2837" w:hanging="852"/>
      </w:pPr>
      <w:rPr>
        <w:rFonts w:hint="default"/>
        <w:lang w:val="en-US" w:eastAsia="zh-CN" w:bidi="ar-SA"/>
      </w:rPr>
    </w:lvl>
    <w:lvl w:ilvl="3">
      <w:start w:val="0"/>
      <w:numFmt w:val="bullet"/>
      <w:lvlText w:val="•"/>
      <w:lvlJc w:val="left"/>
      <w:pPr>
        <w:ind w:left="3726" w:hanging="852"/>
      </w:pPr>
      <w:rPr>
        <w:rFonts w:hint="default"/>
        <w:lang w:val="en-US" w:eastAsia="zh-CN" w:bidi="ar-SA"/>
      </w:rPr>
    </w:lvl>
    <w:lvl w:ilvl="4">
      <w:start w:val="0"/>
      <w:numFmt w:val="bullet"/>
      <w:lvlText w:val="•"/>
      <w:lvlJc w:val="left"/>
      <w:pPr>
        <w:ind w:left="4614" w:hanging="852"/>
      </w:pPr>
      <w:rPr>
        <w:rFonts w:hint="default"/>
        <w:lang w:val="en-US" w:eastAsia="zh-CN" w:bidi="ar-SA"/>
      </w:rPr>
    </w:lvl>
    <w:lvl w:ilvl="5">
      <w:start w:val="0"/>
      <w:numFmt w:val="bullet"/>
      <w:lvlText w:val="•"/>
      <w:lvlJc w:val="left"/>
      <w:pPr>
        <w:ind w:left="5503" w:hanging="852"/>
      </w:pPr>
      <w:rPr>
        <w:rFonts w:hint="default"/>
        <w:lang w:val="en-US" w:eastAsia="zh-CN" w:bidi="ar-SA"/>
      </w:rPr>
    </w:lvl>
    <w:lvl w:ilvl="6">
      <w:start w:val="0"/>
      <w:numFmt w:val="bullet"/>
      <w:lvlText w:val="•"/>
      <w:lvlJc w:val="left"/>
      <w:pPr>
        <w:ind w:left="6392" w:hanging="852"/>
      </w:pPr>
      <w:rPr>
        <w:rFonts w:hint="default"/>
        <w:lang w:val="en-US" w:eastAsia="zh-CN" w:bidi="ar-SA"/>
      </w:rPr>
    </w:lvl>
    <w:lvl w:ilvl="7">
      <w:start w:val="0"/>
      <w:numFmt w:val="bullet"/>
      <w:lvlText w:val="•"/>
      <w:lvlJc w:val="left"/>
      <w:pPr>
        <w:ind w:left="7280" w:hanging="852"/>
      </w:pPr>
      <w:rPr>
        <w:rFonts w:hint="default"/>
        <w:lang w:val="en-US" w:eastAsia="zh-CN" w:bidi="ar-SA"/>
      </w:rPr>
    </w:lvl>
    <w:lvl w:ilvl="8">
      <w:start w:val="0"/>
      <w:numFmt w:val="bullet"/>
      <w:lvlText w:val="•"/>
      <w:lvlJc w:val="left"/>
      <w:pPr>
        <w:ind w:left="8169" w:hanging="852"/>
      </w:pPr>
      <w:rPr>
        <w:rFonts w:hint="default"/>
        <w:lang w:val="en-US" w:eastAsia="zh-CN" w:bidi="ar-SA"/>
      </w:rPr>
    </w:lvl>
  </w:abstractNum>
  <w:abstractNum w:abstractNumId="12">
    <w:nsid w:val="0DF733BD"/>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13">
    <w:nsid w:val="0E8EE875"/>
    <w:multiLevelType w:val="hybridMultilevel"/>
    <w:tmpl w:val="00000000"/>
    <w:lvl w:ilvl="0">
      <w:start w:val="1"/>
      <w:numFmt w:val="decimal"/>
      <w:lvlText w:val="（%1）"/>
      <w:lvlJc w:val="left"/>
      <w:pPr>
        <w:ind w:left="741" w:hanging="528"/>
        <w:jc w:val="left"/>
      </w:pPr>
      <w:rPr>
        <w:rFonts w:ascii="Microsoft JhengHei" w:eastAsia="Microsoft JhengHei" w:hAnsi="Microsoft JhengHei" w:cs="Microsoft JhengHei" w:hint="default"/>
        <w:b/>
        <w:bCs/>
        <w:i w:val="0"/>
        <w:iCs w:val="0"/>
        <w:w w:val="83"/>
        <w:sz w:val="19"/>
        <w:szCs w:val="19"/>
        <w:lang w:val="en-US" w:eastAsia="zh-CN" w:bidi="ar-SA"/>
      </w:rPr>
    </w:lvl>
    <w:lvl w:ilvl="1">
      <w:start w:val="1"/>
      <w:numFmt w:val="upperLetter"/>
      <w:lvlText w:val="%2."/>
      <w:lvlJc w:val="left"/>
      <w:pPr>
        <w:ind w:left="1168" w:hanging="424"/>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136" w:hanging="424"/>
      </w:pPr>
      <w:rPr>
        <w:rFonts w:hint="default"/>
        <w:lang w:val="en-US" w:eastAsia="zh-CN" w:bidi="ar-SA"/>
      </w:rPr>
    </w:lvl>
    <w:lvl w:ilvl="3">
      <w:start w:val="0"/>
      <w:numFmt w:val="bullet"/>
      <w:lvlText w:val="•"/>
      <w:lvlJc w:val="left"/>
      <w:pPr>
        <w:ind w:left="3112" w:hanging="424"/>
      </w:pPr>
      <w:rPr>
        <w:rFonts w:hint="default"/>
        <w:lang w:val="en-US" w:eastAsia="zh-CN" w:bidi="ar-SA"/>
      </w:rPr>
    </w:lvl>
    <w:lvl w:ilvl="4">
      <w:start w:val="0"/>
      <w:numFmt w:val="bullet"/>
      <w:lvlText w:val="•"/>
      <w:lvlJc w:val="left"/>
      <w:pPr>
        <w:ind w:left="4089" w:hanging="424"/>
      </w:pPr>
      <w:rPr>
        <w:rFonts w:hint="default"/>
        <w:lang w:val="en-US" w:eastAsia="zh-CN" w:bidi="ar-SA"/>
      </w:rPr>
    </w:lvl>
    <w:lvl w:ilvl="5">
      <w:start w:val="0"/>
      <w:numFmt w:val="bullet"/>
      <w:lvlText w:val="•"/>
      <w:lvlJc w:val="left"/>
      <w:pPr>
        <w:ind w:left="5065" w:hanging="424"/>
      </w:pPr>
      <w:rPr>
        <w:rFonts w:hint="default"/>
        <w:lang w:val="en-US" w:eastAsia="zh-CN" w:bidi="ar-SA"/>
      </w:rPr>
    </w:lvl>
    <w:lvl w:ilvl="6">
      <w:start w:val="0"/>
      <w:numFmt w:val="bullet"/>
      <w:lvlText w:val="•"/>
      <w:lvlJc w:val="left"/>
      <w:pPr>
        <w:ind w:left="6041" w:hanging="424"/>
      </w:pPr>
      <w:rPr>
        <w:rFonts w:hint="default"/>
        <w:lang w:val="en-US" w:eastAsia="zh-CN" w:bidi="ar-SA"/>
      </w:rPr>
    </w:lvl>
    <w:lvl w:ilvl="7">
      <w:start w:val="0"/>
      <w:numFmt w:val="bullet"/>
      <w:lvlText w:val="•"/>
      <w:lvlJc w:val="left"/>
      <w:pPr>
        <w:ind w:left="7018" w:hanging="424"/>
      </w:pPr>
      <w:rPr>
        <w:rFonts w:hint="default"/>
        <w:lang w:val="en-US" w:eastAsia="zh-CN" w:bidi="ar-SA"/>
      </w:rPr>
    </w:lvl>
    <w:lvl w:ilvl="8">
      <w:start w:val="0"/>
      <w:numFmt w:val="bullet"/>
      <w:lvlText w:val="•"/>
      <w:lvlJc w:val="left"/>
      <w:pPr>
        <w:ind w:left="7994" w:hanging="424"/>
      </w:pPr>
      <w:rPr>
        <w:rFonts w:hint="default"/>
        <w:lang w:val="en-US" w:eastAsia="zh-CN" w:bidi="ar-SA"/>
      </w:rPr>
    </w:lvl>
  </w:abstractNum>
  <w:abstractNum w:abstractNumId="14">
    <w:nsid w:val="0EFEA06E"/>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15">
    <w:nsid w:val="0F550230"/>
    <w:multiLevelType w:val="hybridMultilevel"/>
    <w:tmpl w:val="00000000"/>
    <w:lvl w:ilvl="0">
      <w:start w:val="2"/>
      <w:numFmt w:val="decimal"/>
      <w:lvlText w:val="%1."/>
      <w:lvlJc w:val="left"/>
      <w:pPr>
        <w:ind w:left="1212" w:hanging="159"/>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2118" w:hanging="159"/>
      </w:pPr>
      <w:rPr>
        <w:rFonts w:hint="default"/>
        <w:lang w:val="en-US" w:eastAsia="zh-CN" w:bidi="ar-SA"/>
      </w:rPr>
    </w:lvl>
    <w:lvl w:ilvl="2">
      <w:start w:val="0"/>
      <w:numFmt w:val="bullet"/>
      <w:lvlText w:val="•"/>
      <w:lvlJc w:val="left"/>
      <w:pPr>
        <w:ind w:left="3017" w:hanging="159"/>
      </w:pPr>
      <w:rPr>
        <w:rFonts w:hint="default"/>
        <w:lang w:val="en-US" w:eastAsia="zh-CN" w:bidi="ar-SA"/>
      </w:rPr>
    </w:lvl>
    <w:lvl w:ilvl="3">
      <w:start w:val="0"/>
      <w:numFmt w:val="bullet"/>
      <w:lvlText w:val="•"/>
      <w:lvlJc w:val="left"/>
      <w:pPr>
        <w:ind w:left="3916" w:hanging="159"/>
      </w:pPr>
      <w:rPr>
        <w:rFonts w:hint="default"/>
        <w:lang w:val="en-US" w:eastAsia="zh-CN" w:bidi="ar-SA"/>
      </w:rPr>
    </w:lvl>
    <w:lvl w:ilvl="4">
      <w:start w:val="0"/>
      <w:numFmt w:val="bullet"/>
      <w:lvlText w:val="•"/>
      <w:lvlJc w:val="left"/>
      <w:pPr>
        <w:ind w:left="4814" w:hanging="159"/>
      </w:pPr>
      <w:rPr>
        <w:rFonts w:hint="default"/>
        <w:lang w:val="en-US" w:eastAsia="zh-CN" w:bidi="ar-SA"/>
      </w:rPr>
    </w:lvl>
    <w:lvl w:ilvl="5">
      <w:start w:val="0"/>
      <w:numFmt w:val="bullet"/>
      <w:lvlText w:val="•"/>
      <w:lvlJc w:val="left"/>
      <w:pPr>
        <w:ind w:left="5713" w:hanging="159"/>
      </w:pPr>
      <w:rPr>
        <w:rFonts w:hint="default"/>
        <w:lang w:val="en-US" w:eastAsia="zh-CN" w:bidi="ar-SA"/>
      </w:rPr>
    </w:lvl>
    <w:lvl w:ilvl="6">
      <w:start w:val="0"/>
      <w:numFmt w:val="bullet"/>
      <w:lvlText w:val="•"/>
      <w:lvlJc w:val="left"/>
      <w:pPr>
        <w:ind w:left="6612" w:hanging="159"/>
      </w:pPr>
      <w:rPr>
        <w:rFonts w:hint="default"/>
        <w:lang w:val="en-US" w:eastAsia="zh-CN" w:bidi="ar-SA"/>
      </w:rPr>
    </w:lvl>
    <w:lvl w:ilvl="7">
      <w:start w:val="0"/>
      <w:numFmt w:val="bullet"/>
      <w:lvlText w:val="•"/>
      <w:lvlJc w:val="left"/>
      <w:pPr>
        <w:ind w:left="7510" w:hanging="159"/>
      </w:pPr>
      <w:rPr>
        <w:rFonts w:hint="default"/>
        <w:lang w:val="en-US" w:eastAsia="zh-CN" w:bidi="ar-SA"/>
      </w:rPr>
    </w:lvl>
    <w:lvl w:ilvl="8">
      <w:start w:val="0"/>
      <w:numFmt w:val="bullet"/>
      <w:lvlText w:val="•"/>
      <w:lvlJc w:val="left"/>
      <w:pPr>
        <w:ind w:left="8409" w:hanging="159"/>
      </w:pPr>
      <w:rPr>
        <w:rFonts w:hint="default"/>
        <w:lang w:val="en-US" w:eastAsia="zh-CN" w:bidi="ar-SA"/>
      </w:rPr>
    </w:lvl>
  </w:abstractNum>
  <w:abstractNum w:abstractNumId="16">
    <w:nsid w:val="103FDBA6"/>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17">
    <w:nsid w:val="16780808"/>
    <w:multiLevelType w:val="hybridMultilevel"/>
    <w:tmpl w:val="00000000"/>
    <w:lvl w:ilvl="0">
      <w:start w:val="1"/>
      <w:numFmt w:val="decimal"/>
      <w:lvlText w:val="%1."/>
      <w:lvlJc w:val="left"/>
      <w:pPr>
        <w:ind w:left="638" w:hanging="424"/>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850" w:hanging="531"/>
        <w:jc w:val="left"/>
      </w:pPr>
      <w:rPr>
        <w:rFonts w:ascii="宋体" w:eastAsia="宋体" w:hAnsi="宋体" w:cs="宋体" w:hint="default"/>
        <w:b w:val="0"/>
        <w:bCs w:val="0"/>
        <w:i w:val="0"/>
        <w:iCs w:val="0"/>
        <w:w w:val="100"/>
        <w:sz w:val="19"/>
        <w:szCs w:val="19"/>
        <w:lang w:val="en-US" w:eastAsia="zh-CN" w:bidi="ar-SA"/>
      </w:rPr>
    </w:lvl>
    <w:lvl w:ilvl="2">
      <w:start w:val="1"/>
      <w:numFmt w:val="decimal"/>
      <w:lvlText w:val="（%3）"/>
      <w:lvlJc w:val="left"/>
      <w:pPr>
        <w:ind w:left="1274" w:hanging="531"/>
        <w:jc w:val="left"/>
      </w:pPr>
      <w:rPr>
        <w:rFonts w:ascii="宋体" w:eastAsia="宋体" w:hAnsi="宋体" w:cs="宋体" w:hint="default"/>
        <w:b w:val="0"/>
        <w:bCs w:val="0"/>
        <w:i w:val="0"/>
        <w:iCs w:val="0"/>
        <w:w w:val="100"/>
        <w:sz w:val="19"/>
        <w:szCs w:val="19"/>
        <w:lang w:val="en-US" w:eastAsia="zh-CN" w:bidi="ar-SA"/>
      </w:rPr>
    </w:lvl>
    <w:lvl w:ilvl="3">
      <w:start w:val="0"/>
      <w:numFmt w:val="bullet"/>
      <w:lvlText w:val="•"/>
      <w:lvlJc w:val="left"/>
      <w:pPr>
        <w:ind w:left="2363" w:hanging="531"/>
      </w:pPr>
      <w:rPr>
        <w:rFonts w:hint="default"/>
        <w:lang w:val="en-US" w:eastAsia="zh-CN" w:bidi="ar-SA"/>
      </w:rPr>
    </w:lvl>
    <w:lvl w:ilvl="4">
      <w:start w:val="0"/>
      <w:numFmt w:val="bullet"/>
      <w:lvlText w:val="•"/>
      <w:lvlJc w:val="left"/>
      <w:pPr>
        <w:ind w:left="3446" w:hanging="531"/>
      </w:pPr>
      <w:rPr>
        <w:rFonts w:hint="default"/>
        <w:lang w:val="en-US" w:eastAsia="zh-CN" w:bidi="ar-SA"/>
      </w:rPr>
    </w:lvl>
    <w:lvl w:ilvl="5">
      <w:start w:val="0"/>
      <w:numFmt w:val="bullet"/>
      <w:lvlText w:val="•"/>
      <w:lvlJc w:val="left"/>
      <w:pPr>
        <w:ind w:left="4530" w:hanging="531"/>
      </w:pPr>
      <w:rPr>
        <w:rFonts w:hint="default"/>
        <w:lang w:val="en-US" w:eastAsia="zh-CN" w:bidi="ar-SA"/>
      </w:rPr>
    </w:lvl>
    <w:lvl w:ilvl="6">
      <w:start w:val="0"/>
      <w:numFmt w:val="bullet"/>
      <w:lvlText w:val="•"/>
      <w:lvlJc w:val="left"/>
      <w:pPr>
        <w:ind w:left="5613" w:hanging="531"/>
      </w:pPr>
      <w:rPr>
        <w:rFonts w:hint="default"/>
        <w:lang w:val="en-US" w:eastAsia="zh-CN" w:bidi="ar-SA"/>
      </w:rPr>
    </w:lvl>
    <w:lvl w:ilvl="7">
      <w:start w:val="0"/>
      <w:numFmt w:val="bullet"/>
      <w:lvlText w:val="•"/>
      <w:lvlJc w:val="left"/>
      <w:pPr>
        <w:ind w:left="6696" w:hanging="531"/>
      </w:pPr>
      <w:rPr>
        <w:rFonts w:hint="default"/>
        <w:lang w:val="en-US" w:eastAsia="zh-CN" w:bidi="ar-SA"/>
      </w:rPr>
    </w:lvl>
    <w:lvl w:ilvl="8">
      <w:start w:val="0"/>
      <w:numFmt w:val="bullet"/>
      <w:lvlText w:val="•"/>
      <w:lvlJc w:val="left"/>
      <w:pPr>
        <w:ind w:left="7780" w:hanging="531"/>
      </w:pPr>
      <w:rPr>
        <w:rFonts w:hint="default"/>
        <w:lang w:val="en-US" w:eastAsia="zh-CN" w:bidi="ar-SA"/>
      </w:rPr>
    </w:lvl>
  </w:abstractNum>
  <w:abstractNum w:abstractNumId="18">
    <w:nsid w:val="18CA1913"/>
    <w:multiLevelType w:val="hybridMultilevel"/>
    <w:tmpl w:val="00000000"/>
    <w:lvl w:ilvl="0">
      <w:start w:val="4"/>
      <w:numFmt w:val="decimal"/>
      <w:lvlText w:val="%1）"/>
      <w:lvlJc w:val="left"/>
      <w:pPr>
        <w:ind w:left="1425" w:hanging="316"/>
        <w:jc w:val="left"/>
      </w:pPr>
      <w:rPr>
        <w:rFonts w:ascii="Times New Roman" w:eastAsia="Times New Roman" w:hAnsi="Times New Roman" w:cs="Times New Roman" w:hint="default"/>
        <w:b w:val="0"/>
        <w:bCs w:val="0"/>
        <w:i w:val="0"/>
        <w:iCs w:val="0"/>
        <w:w w:val="100"/>
        <w:sz w:val="19"/>
        <w:szCs w:val="19"/>
        <w:lang w:val="en-US" w:eastAsia="zh-CN" w:bidi="ar-SA"/>
      </w:rPr>
    </w:lvl>
    <w:lvl w:ilvl="1">
      <w:start w:val="0"/>
      <w:numFmt w:val="bullet"/>
      <w:lvlText w:val="•"/>
      <w:lvlJc w:val="left"/>
      <w:pPr>
        <w:ind w:left="2346" w:hanging="316"/>
      </w:pPr>
      <w:rPr>
        <w:rFonts w:hint="default"/>
        <w:lang w:val="en-US" w:eastAsia="zh-CN" w:bidi="ar-SA"/>
      </w:rPr>
    </w:lvl>
    <w:lvl w:ilvl="2">
      <w:start w:val="0"/>
      <w:numFmt w:val="bullet"/>
      <w:lvlText w:val="•"/>
      <w:lvlJc w:val="left"/>
      <w:pPr>
        <w:ind w:left="3273" w:hanging="316"/>
      </w:pPr>
      <w:rPr>
        <w:rFonts w:hint="default"/>
        <w:lang w:val="en-US" w:eastAsia="zh-CN" w:bidi="ar-SA"/>
      </w:rPr>
    </w:lvl>
    <w:lvl w:ilvl="3">
      <w:start w:val="0"/>
      <w:numFmt w:val="bullet"/>
      <w:lvlText w:val="•"/>
      <w:lvlJc w:val="left"/>
      <w:pPr>
        <w:ind w:left="4200" w:hanging="316"/>
      </w:pPr>
      <w:rPr>
        <w:rFonts w:hint="default"/>
        <w:lang w:val="en-US" w:eastAsia="zh-CN" w:bidi="ar-SA"/>
      </w:rPr>
    </w:lvl>
    <w:lvl w:ilvl="4">
      <w:start w:val="0"/>
      <w:numFmt w:val="bullet"/>
      <w:lvlText w:val="•"/>
      <w:lvlJc w:val="left"/>
      <w:pPr>
        <w:ind w:left="5126" w:hanging="316"/>
      </w:pPr>
      <w:rPr>
        <w:rFonts w:hint="default"/>
        <w:lang w:val="en-US" w:eastAsia="zh-CN" w:bidi="ar-SA"/>
      </w:rPr>
    </w:lvl>
    <w:lvl w:ilvl="5">
      <w:start w:val="0"/>
      <w:numFmt w:val="bullet"/>
      <w:lvlText w:val="•"/>
      <w:lvlJc w:val="left"/>
      <w:pPr>
        <w:ind w:left="6053" w:hanging="316"/>
      </w:pPr>
      <w:rPr>
        <w:rFonts w:hint="default"/>
        <w:lang w:val="en-US" w:eastAsia="zh-CN" w:bidi="ar-SA"/>
      </w:rPr>
    </w:lvl>
    <w:lvl w:ilvl="6">
      <w:start w:val="0"/>
      <w:numFmt w:val="bullet"/>
      <w:lvlText w:val="•"/>
      <w:lvlJc w:val="left"/>
      <w:pPr>
        <w:ind w:left="6980" w:hanging="316"/>
      </w:pPr>
      <w:rPr>
        <w:rFonts w:hint="default"/>
        <w:lang w:val="en-US" w:eastAsia="zh-CN" w:bidi="ar-SA"/>
      </w:rPr>
    </w:lvl>
    <w:lvl w:ilvl="7">
      <w:start w:val="0"/>
      <w:numFmt w:val="bullet"/>
      <w:lvlText w:val="•"/>
      <w:lvlJc w:val="left"/>
      <w:pPr>
        <w:ind w:left="7906" w:hanging="316"/>
      </w:pPr>
      <w:rPr>
        <w:rFonts w:hint="default"/>
        <w:lang w:val="en-US" w:eastAsia="zh-CN" w:bidi="ar-SA"/>
      </w:rPr>
    </w:lvl>
    <w:lvl w:ilvl="8">
      <w:start w:val="0"/>
      <w:numFmt w:val="bullet"/>
      <w:lvlText w:val="•"/>
      <w:lvlJc w:val="left"/>
      <w:pPr>
        <w:ind w:left="8833" w:hanging="316"/>
      </w:pPr>
      <w:rPr>
        <w:rFonts w:hint="default"/>
        <w:lang w:val="en-US" w:eastAsia="zh-CN" w:bidi="ar-SA"/>
      </w:rPr>
    </w:lvl>
  </w:abstractNum>
  <w:abstractNum w:abstractNumId="19">
    <w:nsid w:val="1955448F"/>
    <w:multiLevelType w:val="hybridMultilevel"/>
    <w:tmpl w:val="00000000"/>
    <w:lvl w:ilvl="0">
      <w:start w:val="0"/>
      <w:numFmt w:val="bullet"/>
      <w:lvlText w:val=""/>
      <w:lvlJc w:val="left"/>
      <w:pPr>
        <w:ind w:left="1113" w:hanging="360"/>
      </w:pPr>
      <w:rPr>
        <w:rFonts w:ascii="Wingdings" w:eastAsia="Wingdings" w:hAnsi="Wingdings" w:cs="Wingdings" w:hint="default"/>
        <w:b w:val="0"/>
        <w:bCs w:val="0"/>
        <w:i w:val="0"/>
        <w:iCs w:val="0"/>
        <w:w w:val="100"/>
        <w:sz w:val="21"/>
        <w:szCs w:val="21"/>
        <w:lang w:val="en-US" w:eastAsia="zh-CN" w:bidi="ar-SA"/>
      </w:rPr>
    </w:lvl>
    <w:lvl w:ilvl="1">
      <w:start w:val="0"/>
      <w:numFmt w:val="bullet"/>
      <w:lvlText w:val="•"/>
      <w:lvlJc w:val="left"/>
      <w:pPr>
        <w:ind w:left="2002" w:hanging="360"/>
      </w:pPr>
      <w:rPr>
        <w:rFonts w:hint="default"/>
        <w:lang w:val="en-US" w:eastAsia="zh-CN" w:bidi="ar-SA"/>
      </w:rPr>
    </w:lvl>
    <w:lvl w:ilvl="2">
      <w:start w:val="0"/>
      <w:numFmt w:val="bullet"/>
      <w:lvlText w:val="•"/>
      <w:lvlJc w:val="left"/>
      <w:pPr>
        <w:ind w:left="2885" w:hanging="360"/>
      </w:pPr>
      <w:rPr>
        <w:rFonts w:hint="default"/>
        <w:lang w:val="en-US" w:eastAsia="zh-CN" w:bidi="ar-SA"/>
      </w:rPr>
    </w:lvl>
    <w:lvl w:ilvl="3">
      <w:start w:val="0"/>
      <w:numFmt w:val="bullet"/>
      <w:lvlText w:val="•"/>
      <w:lvlJc w:val="left"/>
      <w:pPr>
        <w:ind w:left="3768" w:hanging="360"/>
      </w:pPr>
      <w:rPr>
        <w:rFonts w:hint="default"/>
        <w:lang w:val="en-US" w:eastAsia="zh-CN" w:bidi="ar-SA"/>
      </w:rPr>
    </w:lvl>
    <w:lvl w:ilvl="4">
      <w:start w:val="0"/>
      <w:numFmt w:val="bullet"/>
      <w:lvlText w:val="•"/>
      <w:lvlJc w:val="left"/>
      <w:pPr>
        <w:ind w:left="4650" w:hanging="360"/>
      </w:pPr>
      <w:rPr>
        <w:rFonts w:hint="default"/>
        <w:lang w:val="en-US" w:eastAsia="zh-CN" w:bidi="ar-SA"/>
      </w:rPr>
    </w:lvl>
    <w:lvl w:ilvl="5">
      <w:start w:val="0"/>
      <w:numFmt w:val="bullet"/>
      <w:lvlText w:val="•"/>
      <w:lvlJc w:val="left"/>
      <w:pPr>
        <w:ind w:left="5533" w:hanging="360"/>
      </w:pPr>
      <w:rPr>
        <w:rFonts w:hint="default"/>
        <w:lang w:val="en-US" w:eastAsia="zh-CN" w:bidi="ar-SA"/>
      </w:rPr>
    </w:lvl>
    <w:lvl w:ilvl="6">
      <w:start w:val="0"/>
      <w:numFmt w:val="bullet"/>
      <w:lvlText w:val="•"/>
      <w:lvlJc w:val="left"/>
      <w:pPr>
        <w:ind w:left="6416" w:hanging="360"/>
      </w:pPr>
      <w:rPr>
        <w:rFonts w:hint="default"/>
        <w:lang w:val="en-US" w:eastAsia="zh-CN" w:bidi="ar-SA"/>
      </w:rPr>
    </w:lvl>
    <w:lvl w:ilvl="7">
      <w:start w:val="0"/>
      <w:numFmt w:val="bullet"/>
      <w:lvlText w:val="•"/>
      <w:lvlJc w:val="left"/>
      <w:pPr>
        <w:ind w:left="7298" w:hanging="360"/>
      </w:pPr>
      <w:rPr>
        <w:rFonts w:hint="default"/>
        <w:lang w:val="en-US" w:eastAsia="zh-CN" w:bidi="ar-SA"/>
      </w:rPr>
    </w:lvl>
    <w:lvl w:ilvl="8">
      <w:start w:val="0"/>
      <w:numFmt w:val="bullet"/>
      <w:lvlText w:val="•"/>
      <w:lvlJc w:val="left"/>
      <w:pPr>
        <w:ind w:left="8181" w:hanging="360"/>
      </w:pPr>
      <w:rPr>
        <w:rFonts w:hint="default"/>
        <w:lang w:val="en-US" w:eastAsia="zh-CN" w:bidi="ar-SA"/>
      </w:rPr>
    </w:lvl>
  </w:abstractNum>
  <w:abstractNum w:abstractNumId="20">
    <w:nsid w:val="1D233D14"/>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21">
    <w:nsid w:val="1D2B1647"/>
    <w:multiLevelType w:val="hybridMultilevel"/>
    <w:tmpl w:val="00000000"/>
    <w:lvl w:ilvl="0">
      <w:start w:val="1"/>
      <w:numFmt w:val="decimal"/>
      <w:lvlText w:val="%1."/>
      <w:lvlJc w:val="left"/>
      <w:pPr>
        <w:ind w:left="638" w:hanging="425"/>
        <w:jc w:val="left"/>
      </w:pPr>
      <w:rPr>
        <w:rFonts w:ascii="Microsoft JhengHei" w:eastAsia="Microsoft JhengHei" w:hAnsi="Microsoft JhengHei" w:cs="Microsoft JhengHei" w:hint="default"/>
        <w:b/>
        <w:bCs/>
        <w:i w:val="0"/>
        <w:iCs w:val="0"/>
        <w:w w:val="83"/>
        <w:sz w:val="24"/>
        <w:szCs w:val="24"/>
        <w:lang w:val="en-US" w:eastAsia="zh-CN" w:bidi="ar-SA"/>
      </w:rPr>
    </w:lvl>
    <w:lvl w:ilvl="1">
      <w:start w:val="1"/>
      <w:numFmt w:val="decimal"/>
      <w:lvlText w:val="（%2）"/>
      <w:lvlJc w:val="left"/>
      <w:pPr>
        <w:ind w:left="1175" w:hanging="538"/>
        <w:jc w:val="left"/>
      </w:pPr>
      <w:rPr>
        <w:rFonts w:ascii="宋体" w:eastAsia="宋体" w:hAnsi="宋体" w:cs="宋体" w:hint="default"/>
        <w:b w:val="0"/>
        <w:bCs w:val="0"/>
        <w:i w:val="0"/>
        <w:iCs w:val="0"/>
        <w:spacing w:val="0"/>
        <w:w w:val="100"/>
        <w:sz w:val="19"/>
        <w:szCs w:val="19"/>
        <w:lang w:val="en-US" w:eastAsia="zh-CN" w:bidi="ar-SA"/>
      </w:rPr>
    </w:lvl>
    <w:lvl w:ilvl="2">
      <w:start w:val="0"/>
      <w:numFmt w:val="bullet"/>
      <w:lvlText w:val="•"/>
      <w:lvlJc w:val="left"/>
      <w:pPr>
        <w:ind w:left="1180" w:hanging="538"/>
      </w:pPr>
      <w:rPr>
        <w:rFonts w:hint="default"/>
        <w:lang w:val="en-US" w:eastAsia="zh-CN" w:bidi="ar-SA"/>
      </w:rPr>
    </w:lvl>
    <w:lvl w:ilvl="3">
      <w:start w:val="0"/>
      <w:numFmt w:val="bullet"/>
      <w:lvlText w:val="•"/>
      <w:lvlJc w:val="left"/>
      <w:pPr>
        <w:ind w:left="2275" w:hanging="538"/>
      </w:pPr>
      <w:rPr>
        <w:rFonts w:hint="default"/>
        <w:lang w:val="en-US" w:eastAsia="zh-CN" w:bidi="ar-SA"/>
      </w:rPr>
    </w:lvl>
    <w:lvl w:ilvl="4">
      <w:start w:val="0"/>
      <w:numFmt w:val="bullet"/>
      <w:lvlText w:val="•"/>
      <w:lvlJc w:val="left"/>
      <w:pPr>
        <w:ind w:left="3371" w:hanging="538"/>
      </w:pPr>
      <w:rPr>
        <w:rFonts w:hint="default"/>
        <w:lang w:val="en-US" w:eastAsia="zh-CN" w:bidi="ar-SA"/>
      </w:rPr>
    </w:lvl>
    <w:lvl w:ilvl="5">
      <w:start w:val="0"/>
      <w:numFmt w:val="bullet"/>
      <w:lvlText w:val="•"/>
      <w:lvlJc w:val="left"/>
      <w:pPr>
        <w:ind w:left="4467" w:hanging="538"/>
      </w:pPr>
      <w:rPr>
        <w:rFonts w:hint="default"/>
        <w:lang w:val="en-US" w:eastAsia="zh-CN" w:bidi="ar-SA"/>
      </w:rPr>
    </w:lvl>
    <w:lvl w:ilvl="6">
      <w:start w:val="0"/>
      <w:numFmt w:val="bullet"/>
      <w:lvlText w:val="•"/>
      <w:lvlJc w:val="left"/>
      <w:pPr>
        <w:ind w:left="5563" w:hanging="538"/>
      </w:pPr>
      <w:rPr>
        <w:rFonts w:hint="default"/>
        <w:lang w:val="en-US" w:eastAsia="zh-CN" w:bidi="ar-SA"/>
      </w:rPr>
    </w:lvl>
    <w:lvl w:ilvl="7">
      <w:start w:val="0"/>
      <w:numFmt w:val="bullet"/>
      <w:lvlText w:val="•"/>
      <w:lvlJc w:val="left"/>
      <w:pPr>
        <w:ind w:left="6659" w:hanging="538"/>
      </w:pPr>
      <w:rPr>
        <w:rFonts w:hint="default"/>
        <w:lang w:val="en-US" w:eastAsia="zh-CN" w:bidi="ar-SA"/>
      </w:rPr>
    </w:lvl>
    <w:lvl w:ilvl="8">
      <w:start w:val="0"/>
      <w:numFmt w:val="bullet"/>
      <w:lvlText w:val="•"/>
      <w:lvlJc w:val="left"/>
      <w:pPr>
        <w:ind w:left="7755" w:hanging="538"/>
      </w:pPr>
      <w:rPr>
        <w:rFonts w:hint="default"/>
        <w:lang w:val="en-US" w:eastAsia="zh-CN" w:bidi="ar-SA"/>
      </w:rPr>
    </w:lvl>
  </w:abstractNum>
  <w:abstractNum w:abstractNumId="22">
    <w:nsid w:val="1E33049B"/>
    <w:multiLevelType w:val="hybridMultilevel"/>
    <w:tmpl w:val="00000000"/>
    <w:lvl w:ilvl="0">
      <w:start w:val="1"/>
      <w:numFmt w:val="decimal"/>
      <w:lvlText w:val="%1."/>
      <w:lvlJc w:val="left"/>
      <w:pPr>
        <w:ind w:left="1065" w:hanging="85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0"/>
      <w:numFmt w:val="bullet"/>
      <w:lvlText w:val="•"/>
      <w:lvlJc w:val="left"/>
      <w:pPr>
        <w:ind w:left="1948" w:hanging="852"/>
      </w:pPr>
      <w:rPr>
        <w:rFonts w:hint="default"/>
        <w:lang w:val="en-US" w:eastAsia="zh-CN" w:bidi="ar-SA"/>
      </w:rPr>
    </w:lvl>
    <w:lvl w:ilvl="2">
      <w:start w:val="0"/>
      <w:numFmt w:val="bullet"/>
      <w:lvlText w:val="•"/>
      <w:lvlJc w:val="left"/>
      <w:pPr>
        <w:ind w:left="2837" w:hanging="852"/>
      </w:pPr>
      <w:rPr>
        <w:rFonts w:hint="default"/>
        <w:lang w:val="en-US" w:eastAsia="zh-CN" w:bidi="ar-SA"/>
      </w:rPr>
    </w:lvl>
    <w:lvl w:ilvl="3">
      <w:start w:val="0"/>
      <w:numFmt w:val="bullet"/>
      <w:lvlText w:val="•"/>
      <w:lvlJc w:val="left"/>
      <w:pPr>
        <w:ind w:left="3726" w:hanging="852"/>
      </w:pPr>
      <w:rPr>
        <w:rFonts w:hint="default"/>
        <w:lang w:val="en-US" w:eastAsia="zh-CN" w:bidi="ar-SA"/>
      </w:rPr>
    </w:lvl>
    <w:lvl w:ilvl="4">
      <w:start w:val="0"/>
      <w:numFmt w:val="bullet"/>
      <w:lvlText w:val="•"/>
      <w:lvlJc w:val="left"/>
      <w:pPr>
        <w:ind w:left="4614" w:hanging="852"/>
      </w:pPr>
      <w:rPr>
        <w:rFonts w:hint="default"/>
        <w:lang w:val="en-US" w:eastAsia="zh-CN" w:bidi="ar-SA"/>
      </w:rPr>
    </w:lvl>
    <w:lvl w:ilvl="5">
      <w:start w:val="0"/>
      <w:numFmt w:val="bullet"/>
      <w:lvlText w:val="•"/>
      <w:lvlJc w:val="left"/>
      <w:pPr>
        <w:ind w:left="5503" w:hanging="852"/>
      </w:pPr>
      <w:rPr>
        <w:rFonts w:hint="default"/>
        <w:lang w:val="en-US" w:eastAsia="zh-CN" w:bidi="ar-SA"/>
      </w:rPr>
    </w:lvl>
    <w:lvl w:ilvl="6">
      <w:start w:val="0"/>
      <w:numFmt w:val="bullet"/>
      <w:lvlText w:val="•"/>
      <w:lvlJc w:val="left"/>
      <w:pPr>
        <w:ind w:left="6392" w:hanging="852"/>
      </w:pPr>
      <w:rPr>
        <w:rFonts w:hint="default"/>
        <w:lang w:val="en-US" w:eastAsia="zh-CN" w:bidi="ar-SA"/>
      </w:rPr>
    </w:lvl>
    <w:lvl w:ilvl="7">
      <w:start w:val="0"/>
      <w:numFmt w:val="bullet"/>
      <w:lvlText w:val="•"/>
      <w:lvlJc w:val="left"/>
      <w:pPr>
        <w:ind w:left="7280" w:hanging="852"/>
      </w:pPr>
      <w:rPr>
        <w:rFonts w:hint="default"/>
        <w:lang w:val="en-US" w:eastAsia="zh-CN" w:bidi="ar-SA"/>
      </w:rPr>
    </w:lvl>
    <w:lvl w:ilvl="8">
      <w:start w:val="0"/>
      <w:numFmt w:val="bullet"/>
      <w:lvlText w:val="•"/>
      <w:lvlJc w:val="left"/>
      <w:pPr>
        <w:ind w:left="8169" w:hanging="852"/>
      </w:pPr>
      <w:rPr>
        <w:rFonts w:hint="default"/>
        <w:lang w:val="en-US" w:eastAsia="zh-CN" w:bidi="ar-SA"/>
      </w:rPr>
    </w:lvl>
  </w:abstractNum>
  <w:abstractNum w:abstractNumId="23">
    <w:nsid w:val="2337C7D7"/>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24">
    <w:nsid w:val="2478D248"/>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25">
    <w:nsid w:val="24DCC4FC"/>
    <w:multiLevelType w:val="hybridMultilevel"/>
    <w:tmpl w:val="00000000"/>
    <w:lvl w:ilvl="0">
      <w:start w:val="1"/>
      <w:numFmt w:val="decimal"/>
      <w:lvlText w:val="%1."/>
      <w:lvlJc w:val="left"/>
      <w:pPr>
        <w:ind w:left="690"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1"/>
      <w:numFmt w:val="lowerLetter"/>
      <w:lvlText w:val="%2)"/>
      <w:lvlJc w:val="left"/>
      <w:pPr>
        <w:ind w:left="1423" w:hanging="420"/>
        <w:jc w:val="left"/>
      </w:pPr>
      <w:rPr>
        <w:rFonts w:ascii="Arial" w:eastAsia="Arial" w:hAnsi="Arial" w:cs="Arial" w:hint="default"/>
        <w:b w:val="0"/>
        <w:bCs w:val="0"/>
        <w:i w:val="0"/>
        <w:iCs w:val="0"/>
        <w:spacing w:val="-1"/>
        <w:w w:val="100"/>
        <w:sz w:val="21"/>
        <w:szCs w:val="21"/>
        <w:lang w:val="en-US" w:eastAsia="zh-CN" w:bidi="ar-SA"/>
      </w:rPr>
    </w:lvl>
    <w:lvl w:ilvl="2">
      <w:start w:val="1"/>
      <w:numFmt w:val="decimal"/>
      <w:lvlText w:val="%3)"/>
      <w:lvlJc w:val="left"/>
      <w:pPr>
        <w:ind w:left="1856" w:hanging="424"/>
        <w:jc w:val="left"/>
      </w:pPr>
      <w:rPr>
        <w:rFonts w:ascii="宋体" w:eastAsia="宋体" w:hAnsi="宋体" w:cs="宋体" w:hint="default"/>
        <w:b w:val="0"/>
        <w:bCs w:val="0"/>
        <w:i w:val="0"/>
        <w:iCs w:val="0"/>
        <w:w w:val="100"/>
        <w:sz w:val="21"/>
        <w:szCs w:val="21"/>
        <w:lang w:val="en-US" w:eastAsia="zh-CN" w:bidi="ar-SA"/>
      </w:rPr>
    </w:lvl>
    <w:lvl w:ilvl="3">
      <w:start w:val="0"/>
      <w:numFmt w:val="bullet"/>
      <w:lvlText w:val="•"/>
      <w:lvlJc w:val="left"/>
      <w:pPr>
        <w:ind w:left="2963" w:hanging="424"/>
      </w:pPr>
      <w:rPr>
        <w:rFonts w:hint="default"/>
        <w:lang w:val="en-US" w:eastAsia="zh-CN" w:bidi="ar-SA"/>
      </w:rPr>
    </w:lvl>
    <w:lvl w:ilvl="4">
      <w:start w:val="0"/>
      <w:numFmt w:val="bullet"/>
      <w:lvlText w:val="•"/>
      <w:lvlJc w:val="left"/>
      <w:pPr>
        <w:ind w:left="4066" w:hanging="424"/>
      </w:pPr>
      <w:rPr>
        <w:rFonts w:hint="default"/>
        <w:lang w:val="en-US" w:eastAsia="zh-CN" w:bidi="ar-SA"/>
      </w:rPr>
    </w:lvl>
    <w:lvl w:ilvl="5">
      <w:start w:val="0"/>
      <w:numFmt w:val="bullet"/>
      <w:lvlText w:val="•"/>
      <w:lvlJc w:val="left"/>
      <w:pPr>
        <w:ind w:left="5170" w:hanging="424"/>
      </w:pPr>
      <w:rPr>
        <w:rFonts w:hint="default"/>
        <w:lang w:val="en-US" w:eastAsia="zh-CN" w:bidi="ar-SA"/>
      </w:rPr>
    </w:lvl>
    <w:lvl w:ilvl="6">
      <w:start w:val="0"/>
      <w:numFmt w:val="bullet"/>
      <w:lvlText w:val="•"/>
      <w:lvlJc w:val="left"/>
      <w:pPr>
        <w:ind w:left="6273" w:hanging="424"/>
      </w:pPr>
      <w:rPr>
        <w:rFonts w:hint="default"/>
        <w:lang w:val="en-US" w:eastAsia="zh-CN" w:bidi="ar-SA"/>
      </w:rPr>
    </w:lvl>
    <w:lvl w:ilvl="7">
      <w:start w:val="0"/>
      <w:numFmt w:val="bullet"/>
      <w:lvlText w:val="•"/>
      <w:lvlJc w:val="left"/>
      <w:pPr>
        <w:ind w:left="7376" w:hanging="424"/>
      </w:pPr>
      <w:rPr>
        <w:rFonts w:hint="default"/>
        <w:lang w:val="en-US" w:eastAsia="zh-CN" w:bidi="ar-SA"/>
      </w:rPr>
    </w:lvl>
    <w:lvl w:ilvl="8">
      <w:start w:val="0"/>
      <w:numFmt w:val="bullet"/>
      <w:lvlText w:val="•"/>
      <w:lvlJc w:val="left"/>
      <w:pPr>
        <w:ind w:left="8480" w:hanging="424"/>
      </w:pPr>
      <w:rPr>
        <w:rFonts w:hint="default"/>
        <w:lang w:val="en-US" w:eastAsia="zh-CN" w:bidi="ar-SA"/>
      </w:rPr>
    </w:lvl>
  </w:abstractNum>
  <w:abstractNum w:abstractNumId="26">
    <w:nsid w:val="2682289B"/>
    <w:multiLevelType w:val="hybridMultilevel"/>
    <w:tmpl w:val="00000000"/>
    <w:lvl w:ilvl="0">
      <w:start w:val="1"/>
      <w:numFmt w:val="decimal"/>
      <w:lvlText w:val="%1."/>
      <w:lvlJc w:val="left"/>
      <w:pPr>
        <w:ind w:left="784" w:hanging="363"/>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22" w:hanging="363"/>
      </w:pPr>
      <w:rPr>
        <w:rFonts w:hint="default"/>
        <w:lang w:val="en-US" w:eastAsia="zh-CN" w:bidi="ar-SA"/>
      </w:rPr>
    </w:lvl>
    <w:lvl w:ilvl="2">
      <w:start w:val="0"/>
      <w:numFmt w:val="bullet"/>
      <w:lvlText w:val="•"/>
      <w:lvlJc w:val="left"/>
      <w:pPr>
        <w:ind w:left="2665" w:hanging="363"/>
      </w:pPr>
      <w:rPr>
        <w:rFonts w:hint="default"/>
        <w:lang w:val="en-US" w:eastAsia="zh-CN" w:bidi="ar-SA"/>
      </w:rPr>
    </w:lvl>
    <w:lvl w:ilvl="3">
      <w:start w:val="0"/>
      <w:numFmt w:val="bullet"/>
      <w:lvlText w:val="•"/>
      <w:lvlJc w:val="left"/>
      <w:pPr>
        <w:ind w:left="3608" w:hanging="363"/>
      </w:pPr>
      <w:rPr>
        <w:rFonts w:hint="default"/>
        <w:lang w:val="en-US" w:eastAsia="zh-CN" w:bidi="ar-SA"/>
      </w:rPr>
    </w:lvl>
    <w:lvl w:ilvl="4">
      <w:start w:val="0"/>
      <w:numFmt w:val="bullet"/>
      <w:lvlText w:val="•"/>
      <w:lvlJc w:val="left"/>
      <w:pPr>
        <w:ind w:left="4550" w:hanging="363"/>
      </w:pPr>
      <w:rPr>
        <w:rFonts w:hint="default"/>
        <w:lang w:val="en-US" w:eastAsia="zh-CN" w:bidi="ar-SA"/>
      </w:rPr>
    </w:lvl>
    <w:lvl w:ilvl="5">
      <w:start w:val="0"/>
      <w:numFmt w:val="bullet"/>
      <w:lvlText w:val="•"/>
      <w:lvlJc w:val="left"/>
      <w:pPr>
        <w:ind w:left="5493" w:hanging="363"/>
      </w:pPr>
      <w:rPr>
        <w:rFonts w:hint="default"/>
        <w:lang w:val="en-US" w:eastAsia="zh-CN" w:bidi="ar-SA"/>
      </w:rPr>
    </w:lvl>
    <w:lvl w:ilvl="6">
      <w:start w:val="0"/>
      <w:numFmt w:val="bullet"/>
      <w:lvlText w:val="•"/>
      <w:lvlJc w:val="left"/>
      <w:pPr>
        <w:ind w:left="6436" w:hanging="363"/>
      </w:pPr>
      <w:rPr>
        <w:rFonts w:hint="default"/>
        <w:lang w:val="en-US" w:eastAsia="zh-CN" w:bidi="ar-SA"/>
      </w:rPr>
    </w:lvl>
    <w:lvl w:ilvl="7">
      <w:start w:val="0"/>
      <w:numFmt w:val="bullet"/>
      <w:lvlText w:val="•"/>
      <w:lvlJc w:val="left"/>
      <w:pPr>
        <w:ind w:left="7378" w:hanging="363"/>
      </w:pPr>
      <w:rPr>
        <w:rFonts w:hint="default"/>
        <w:lang w:val="en-US" w:eastAsia="zh-CN" w:bidi="ar-SA"/>
      </w:rPr>
    </w:lvl>
    <w:lvl w:ilvl="8">
      <w:start w:val="0"/>
      <w:numFmt w:val="bullet"/>
      <w:lvlText w:val="•"/>
      <w:lvlJc w:val="left"/>
      <w:pPr>
        <w:ind w:left="8321" w:hanging="363"/>
      </w:pPr>
      <w:rPr>
        <w:rFonts w:hint="default"/>
        <w:lang w:val="en-US" w:eastAsia="zh-CN" w:bidi="ar-SA"/>
      </w:rPr>
    </w:lvl>
  </w:abstractNum>
  <w:abstractNum w:abstractNumId="27">
    <w:nsid w:val="2709F526"/>
    <w:multiLevelType w:val="hybridMultilevel"/>
    <w:tmpl w:val="00000000"/>
    <w:lvl w:ilvl="0">
      <w:start w:val="1"/>
      <w:numFmt w:val="decimal"/>
      <w:lvlText w:val="%1."/>
      <w:lvlJc w:val="left"/>
      <w:pPr>
        <w:ind w:left="848" w:hanging="43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31"/>
      </w:pPr>
      <w:rPr>
        <w:rFonts w:hint="default"/>
        <w:lang w:val="en-US" w:eastAsia="zh-CN" w:bidi="ar-SA"/>
      </w:rPr>
    </w:lvl>
    <w:lvl w:ilvl="2">
      <w:start w:val="0"/>
      <w:numFmt w:val="bullet"/>
      <w:lvlText w:val="•"/>
      <w:lvlJc w:val="left"/>
      <w:pPr>
        <w:ind w:left="2713" w:hanging="431"/>
      </w:pPr>
      <w:rPr>
        <w:rFonts w:hint="default"/>
        <w:lang w:val="en-US" w:eastAsia="zh-CN" w:bidi="ar-SA"/>
      </w:rPr>
    </w:lvl>
    <w:lvl w:ilvl="3">
      <w:start w:val="0"/>
      <w:numFmt w:val="bullet"/>
      <w:lvlText w:val="•"/>
      <w:lvlJc w:val="left"/>
      <w:pPr>
        <w:ind w:left="3650" w:hanging="431"/>
      </w:pPr>
      <w:rPr>
        <w:rFonts w:hint="default"/>
        <w:lang w:val="en-US" w:eastAsia="zh-CN" w:bidi="ar-SA"/>
      </w:rPr>
    </w:lvl>
    <w:lvl w:ilvl="4">
      <w:start w:val="0"/>
      <w:numFmt w:val="bullet"/>
      <w:lvlText w:val="•"/>
      <w:lvlJc w:val="left"/>
      <w:pPr>
        <w:ind w:left="4586" w:hanging="431"/>
      </w:pPr>
      <w:rPr>
        <w:rFonts w:hint="default"/>
        <w:lang w:val="en-US" w:eastAsia="zh-CN" w:bidi="ar-SA"/>
      </w:rPr>
    </w:lvl>
    <w:lvl w:ilvl="5">
      <w:start w:val="0"/>
      <w:numFmt w:val="bullet"/>
      <w:lvlText w:val="•"/>
      <w:lvlJc w:val="left"/>
      <w:pPr>
        <w:ind w:left="5523" w:hanging="431"/>
      </w:pPr>
      <w:rPr>
        <w:rFonts w:hint="default"/>
        <w:lang w:val="en-US" w:eastAsia="zh-CN" w:bidi="ar-SA"/>
      </w:rPr>
    </w:lvl>
    <w:lvl w:ilvl="6">
      <w:start w:val="0"/>
      <w:numFmt w:val="bullet"/>
      <w:lvlText w:val="•"/>
      <w:lvlJc w:val="left"/>
      <w:pPr>
        <w:ind w:left="6460" w:hanging="431"/>
      </w:pPr>
      <w:rPr>
        <w:rFonts w:hint="default"/>
        <w:lang w:val="en-US" w:eastAsia="zh-CN" w:bidi="ar-SA"/>
      </w:rPr>
    </w:lvl>
    <w:lvl w:ilvl="7">
      <w:start w:val="0"/>
      <w:numFmt w:val="bullet"/>
      <w:lvlText w:val="•"/>
      <w:lvlJc w:val="left"/>
      <w:pPr>
        <w:ind w:left="7396" w:hanging="431"/>
      </w:pPr>
      <w:rPr>
        <w:rFonts w:hint="default"/>
        <w:lang w:val="en-US" w:eastAsia="zh-CN" w:bidi="ar-SA"/>
      </w:rPr>
    </w:lvl>
    <w:lvl w:ilvl="8">
      <w:start w:val="0"/>
      <w:numFmt w:val="bullet"/>
      <w:lvlText w:val="•"/>
      <w:lvlJc w:val="left"/>
      <w:pPr>
        <w:ind w:left="8333" w:hanging="431"/>
      </w:pPr>
      <w:rPr>
        <w:rFonts w:hint="default"/>
        <w:lang w:val="en-US" w:eastAsia="zh-CN" w:bidi="ar-SA"/>
      </w:rPr>
    </w:lvl>
  </w:abstractNum>
  <w:abstractNum w:abstractNumId="28">
    <w:nsid w:val="27F6E23A"/>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29">
    <w:nsid w:val="290C1D10"/>
    <w:multiLevelType w:val="hybridMultilevel"/>
    <w:tmpl w:val="00000000"/>
    <w:lvl w:ilvl="0">
      <w:start w:val="1"/>
      <w:numFmt w:val="decimal"/>
      <w:lvlText w:val="%1."/>
      <w:lvlJc w:val="left"/>
      <w:pPr>
        <w:ind w:left="1065" w:hanging="85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0"/>
      <w:numFmt w:val="bullet"/>
      <w:lvlText w:val="•"/>
      <w:lvlJc w:val="left"/>
      <w:pPr>
        <w:ind w:left="1948" w:hanging="852"/>
      </w:pPr>
      <w:rPr>
        <w:rFonts w:hint="default"/>
        <w:lang w:val="en-US" w:eastAsia="zh-CN" w:bidi="ar-SA"/>
      </w:rPr>
    </w:lvl>
    <w:lvl w:ilvl="2">
      <w:start w:val="0"/>
      <w:numFmt w:val="bullet"/>
      <w:lvlText w:val="•"/>
      <w:lvlJc w:val="left"/>
      <w:pPr>
        <w:ind w:left="2837" w:hanging="852"/>
      </w:pPr>
      <w:rPr>
        <w:rFonts w:hint="default"/>
        <w:lang w:val="en-US" w:eastAsia="zh-CN" w:bidi="ar-SA"/>
      </w:rPr>
    </w:lvl>
    <w:lvl w:ilvl="3">
      <w:start w:val="0"/>
      <w:numFmt w:val="bullet"/>
      <w:lvlText w:val="•"/>
      <w:lvlJc w:val="left"/>
      <w:pPr>
        <w:ind w:left="3726" w:hanging="852"/>
      </w:pPr>
      <w:rPr>
        <w:rFonts w:hint="default"/>
        <w:lang w:val="en-US" w:eastAsia="zh-CN" w:bidi="ar-SA"/>
      </w:rPr>
    </w:lvl>
    <w:lvl w:ilvl="4">
      <w:start w:val="0"/>
      <w:numFmt w:val="bullet"/>
      <w:lvlText w:val="•"/>
      <w:lvlJc w:val="left"/>
      <w:pPr>
        <w:ind w:left="4614" w:hanging="852"/>
      </w:pPr>
      <w:rPr>
        <w:rFonts w:hint="default"/>
        <w:lang w:val="en-US" w:eastAsia="zh-CN" w:bidi="ar-SA"/>
      </w:rPr>
    </w:lvl>
    <w:lvl w:ilvl="5">
      <w:start w:val="0"/>
      <w:numFmt w:val="bullet"/>
      <w:lvlText w:val="•"/>
      <w:lvlJc w:val="left"/>
      <w:pPr>
        <w:ind w:left="5503" w:hanging="852"/>
      </w:pPr>
      <w:rPr>
        <w:rFonts w:hint="default"/>
        <w:lang w:val="en-US" w:eastAsia="zh-CN" w:bidi="ar-SA"/>
      </w:rPr>
    </w:lvl>
    <w:lvl w:ilvl="6">
      <w:start w:val="0"/>
      <w:numFmt w:val="bullet"/>
      <w:lvlText w:val="•"/>
      <w:lvlJc w:val="left"/>
      <w:pPr>
        <w:ind w:left="6392" w:hanging="852"/>
      </w:pPr>
      <w:rPr>
        <w:rFonts w:hint="default"/>
        <w:lang w:val="en-US" w:eastAsia="zh-CN" w:bidi="ar-SA"/>
      </w:rPr>
    </w:lvl>
    <w:lvl w:ilvl="7">
      <w:start w:val="0"/>
      <w:numFmt w:val="bullet"/>
      <w:lvlText w:val="•"/>
      <w:lvlJc w:val="left"/>
      <w:pPr>
        <w:ind w:left="7280" w:hanging="852"/>
      </w:pPr>
      <w:rPr>
        <w:rFonts w:hint="default"/>
        <w:lang w:val="en-US" w:eastAsia="zh-CN" w:bidi="ar-SA"/>
      </w:rPr>
    </w:lvl>
    <w:lvl w:ilvl="8">
      <w:start w:val="0"/>
      <w:numFmt w:val="bullet"/>
      <w:lvlText w:val="•"/>
      <w:lvlJc w:val="left"/>
      <w:pPr>
        <w:ind w:left="8169" w:hanging="852"/>
      </w:pPr>
      <w:rPr>
        <w:rFonts w:hint="default"/>
        <w:lang w:val="en-US" w:eastAsia="zh-CN" w:bidi="ar-SA"/>
      </w:rPr>
    </w:lvl>
  </w:abstractNum>
  <w:abstractNum w:abstractNumId="30">
    <w:nsid w:val="298FB870"/>
    <w:multiLevelType w:val="hybridMultilevel"/>
    <w:tmpl w:val="00000000"/>
    <w:lvl w:ilvl="0">
      <w:start w:val="1"/>
      <w:numFmt w:val="decimal"/>
      <w:lvlText w:val="%1."/>
      <w:lvlJc w:val="left"/>
      <w:pPr>
        <w:ind w:left="850" w:hanging="424"/>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956" w:hanging="425"/>
        <w:jc w:val="left"/>
      </w:pPr>
      <w:rPr>
        <w:rFonts w:ascii="Microsoft JhengHei" w:eastAsia="Microsoft JhengHei" w:hAnsi="Microsoft JhengHei" w:cs="Microsoft JhengHei" w:hint="default"/>
        <w:b/>
        <w:bCs/>
        <w:i w:val="0"/>
        <w:iCs w:val="0"/>
        <w:w w:val="83"/>
        <w:sz w:val="24"/>
        <w:szCs w:val="24"/>
        <w:lang w:val="en-US" w:eastAsia="zh-CN" w:bidi="ar-SA"/>
      </w:rPr>
    </w:lvl>
    <w:lvl w:ilvl="2">
      <w:start w:val="0"/>
      <w:numFmt w:val="bullet"/>
      <w:lvlText w:val=""/>
      <w:lvlJc w:val="left"/>
      <w:pPr>
        <w:ind w:left="1062" w:hanging="424"/>
      </w:pPr>
      <w:rPr>
        <w:rFonts w:ascii="Wingdings" w:eastAsia="Wingdings" w:hAnsi="Wingdings" w:cs="Wingdings" w:hint="default"/>
        <w:b w:val="0"/>
        <w:bCs w:val="0"/>
        <w:i w:val="0"/>
        <w:iCs w:val="0"/>
        <w:w w:val="100"/>
        <w:sz w:val="21"/>
        <w:szCs w:val="21"/>
        <w:lang w:val="en-US" w:eastAsia="zh-CN" w:bidi="ar-SA"/>
      </w:rPr>
    </w:lvl>
    <w:lvl w:ilvl="3">
      <w:start w:val="0"/>
      <w:numFmt w:val="bullet"/>
      <w:lvlText w:val="•"/>
      <w:lvlJc w:val="left"/>
      <w:pPr>
        <w:ind w:left="2170" w:hanging="424"/>
      </w:pPr>
      <w:rPr>
        <w:rFonts w:hint="default"/>
        <w:lang w:val="en-US" w:eastAsia="zh-CN" w:bidi="ar-SA"/>
      </w:rPr>
    </w:lvl>
    <w:lvl w:ilvl="4">
      <w:start w:val="0"/>
      <w:numFmt w:val="bullet"/>
      <w:lvlText w:val="•"/>
      <w:lvlJc w:val="left"/>
      <w:pPr>
        <w:ind w:left="3281" w:hanging="424"/>
      </w:pPr>
      <w:rPr>
        <w:rFonts w:hint="default"/>
        <w:lang w:val="en-US" w:eastAsia="zh-CN" w:bidi="ar-SA"/>
      </w:rPr>
    </w:lvl>
    <w:lvl w:ilvl="5">
      <w:start w:val="0"/>
      <w:numFmt w:val="bullet"/>
      <w:lvlText w:val="•"/>
      <w:lvlJc w:val="left"/>
      <w:pPr>
        <w:ind w:left="4392" w:hanging="424"/>
      </w:pPr>
      <w:rPr>
        <w:rFonts w:hint="default"/>
        <w:lang w:val="en-US" w:eastAsia="zh-CN" w:bidi="ar-SA"/>
      </w:rPr>
    </w:lvl>
    <w:lvl w:ilvl="6">
      <w:start w:val="0"/>
      <w:numFmt w:val="bullet"/>
      <w:lvlText w:val="•"/>
      <w:lvlJc w:val="left"/>
      <w:pPr>
        <w:ind w:left="5503" w:hanging="424"/>
      </w:pPr>
      <w:rPr>
        <w:rFonts w:hint="default"/>
        <w:lang w:val="en-US" w:eastAsia="zh-CN" w:bidi="ar-SA"/>
      </w:rPr>
    </w:lvl>
    <w:lvl w:ilvl="7">
      <w:start w:val="0"/>
      <w:numFmt w:val="bullet"/>
      <w:lvlText w:val="•"/>
      <w:lvlJc w:val="left"/>
      <w:pPr>
        <w:ind w:left="6614" w:hanging="424"/>
      </w:pPr>
      <w:rPr>
        <w:rFonts w:hint="default"/>
        <w:lang w:val="en-US" w:eastAsia="zh-CN" w:bidi="ar-SA"/>
      </w:rPr>
    </w:lvl>
    <w:lvl w:ilvl="8">
      <w:start w:val="0"/>
      <w:numFmt w:val="bullet"/>
      <w:lvlText w:val="•"/>
      <w:lvlJc w:val="left"/>
      <w:pPr>
        <w:ind w:left="7725" w:hanging="424"/>
      </w:pPr>
      <w:rPr>
        <w:rFonts w:hint="default"/>
        <w:lang w:val="en-US" w:eastAsia="zh-CN" w:bidi="ar-SA"/>
      </w:rPr>
    </w:lvl>
  </w:abstractNum>
  <w:abstractNum w:abstractNumId="31">
    <w:nsid w:val="29B353A0"/>
    <w:multiLevelType w:val="hybridMultilevel"/>
    <w:tmpl w:val="00000000"/>
    <w:lvl w:ilvl="0">
      <w:start w:val="1"/>
      <w:numFmt w:val="decimal"/>
      <w:lvlText w:val="%1."/>
      <w:lvlJc w:val="left"/>
      <w:pPr>
        <w:ind w:left="744" w:hanging="53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660" w:hanging="531"/>
      </w:pPr>
      <w:rPr>
        <w:rFonts w:hint="default"/>
        <w:lang w:val="en-US" w:eastAsia="zh-CN" w:bidi="ar-SA"/>
      </w:rPr>
    </w:lvl>
    <w:lvl w:ilvl="2">
      <w:start w:val="0"/>
      <w:numFmt w:val="bullet"/>
      <w:lvlText w:val="•"/>
      <w:lvlJc w:val="left"/>
      <w:pPr>
        <w:ind w:left="2581" w:hanging="531"/>
      </w:pPr>
      <w:rPr>
        <w:rFonts w:hint="default"/>
        <w:lang w:val="en-US" w:eastAsia="zh-CN" w:bidi="ar-SA"/>
      </w:rPr>
    </w:lvl>
    <w:lvl w:ilvl="3">
      <w:start w:val="0"/>
      <w:numFmt w:val="bullet"/>
      <w:lvlText w:val="•"/>
      <w:lvlJc w:val="left"/>
      <w:pPr>
        <w:ind w:left="3502" w:hanging="531"/>
      </w:pPr>
      <w:rPr>
        <w:rFonts w:hint="default"/>
        <w:lang w:val="en-US" w:eastAsia="zh-CN" w:bidi="ar-SA"/>
      </w:rPr>
    </w:lvl>
    <w:lvl w:ilvl="4">
      <w:start w:val="0"/>
      <w:numFmt w:val="bullet"/>
      <w:lvlText w:val="•"/>
      <w:lvlJc w:val="left"/>
      <w:pPr>
        <w:ind w:left="4422" w:hanging="531"/>
      </w:pPr>
      <w:rPr>
        <w:rFonts w:hint="default"/>
        <w:lang w:val="en-US" w:eastAsia="zh-CN" w:bidi="ar-SA"/>
      </w:rPr>
    </w:lvl>
    <w:lvl w:ilvl="5">
      <w:start w:val="0"/>
      <w:numFmt w:val="bullet"/>
      <w:lvlText w:val="•"/>
      <w:lvlJc w:val="left"/>
      <w:pPr>
        <w:ind w:left="5343" w:hanging="531"/>
      </w:pPr>
      <w:rPr>
        <w:rFonts w:hint="default"/>
        <w:lang w:val="en-US" w:eastAsia="zh-CN" w:bidi="ar-SA"/>
      </w:rPr>
    </w:lvl>
    <w:lvl w:ilvl="6">
      <w:start w:val="0"/>
      <w:numFmt w:val="bullet"/>
      <w:lvlText w:val="•"/>
      <w:lvlJc w:val="left"/>
      <w:pPr>
        <w:ind w:left="6264" w:hanging="531"/>
      </w:pPr>
      <w:rPr>
        <w:rFonts w:hint="default"/>
        <w:lang w:val="en-US" w:eastAsia="zh-CN" w:bidi="ar-SA"/>
      </w:rPr>
    </w:lvl>
    <w:lvl w:ilvl="7">
      <w:start w:val="0"/>
      <w:numFmt w:val="bullet"/>
      <w:lvlText w:val="•"/>
      <w:lvlJc w:val="left"/>
      <w:pPr>
        <w:ind w:left="7184" w:hanging="531"/>
      </w:pPr>
      <w:rPr>
        <w:rFonts w:hint="default"/>
        <w:lang w:val="en-US" w:eastAsia="zh-CN" w:bidi="ar-SA"/>
      </w:rPr>
    </w:lvl>
    <w:lvl w:ilvl="8">
      <w:start w:val="0"/>
      <w:numFmt w:val="bullet"/>
      <w:lvlText w:val="•"/>
      <w:lvlJc w:val="left"/>
      <w:pPr>
        <w:ind w:left="8105" w:hanging="531"/>
      </w:pPr>
      <w:rPr>
        <w:rFonts w:hint="default"/>
        <w:lang w:val="en-US" w:eastAsia="zh-CN" w:bidi="ar-SA"/>
      </w:rPr>
    </w:lvl>
  </w:abstractNum>
  <w:abstractNum w:abstractNumId="32">
    <w:nsid w:val="29DAC994"/>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1486" w:hanging="424"/>
        <w:jc w:val="left"/>
      </w:pPr>
      <w:rPr>
        <w:rFonts w:ascii="宋体" w:eastAsia="宋体" w:hAnsi="宋体" w:cs="宋体" w:hint="default"/>
        <w:b w:val="0"/>
        <w:bCs w:val="0"/>
        <w:i w:val="0"/>
        <w:iCs w:val="0"/>
        <w:w w:val="100"/>
        <w:sz w:val="21"/>
        <w:szCs w:val="21"/>
        <w:lang w:val="en-US" w:eastAsia="zh-CN" w:bidi="ar-SA"/>
      </w:rPr>
    </w:lvl>
    <w:lvl w:ilvl="2">
      <w:start w:val="1"/>
      <w:numFmt w:val="lowerLetter"/>
      <w:lvlText w:val="%3)"/>
      <w:lvlJc w:val="left"/>
      <w:pPr>
        <w:ind w:left="1909" w:hanging="424"/>
        <w:jc w:val="left"/>
      </w:pPr>
      <w:rPr>
        <w:rFonts w:ascii="宋体" w:eastAsia="宋体" w:hAnsi="宋体" w:cs="宋体" w:hint="default"/>
        <w:b w:val="0"/>
        <w:bCs w:val="0"/>
        <w:i w:val="0"/>
        <w:iCs w:val="0"/>
        <w:w w:val="100"/>
        <w:sz w:val="21"/>
        <w:szCs w:val="21"/>
        <w:lang w:val="en-US" w:eastAsia="zh-CN" w:bidi="ar-SA"/>
      </w:rPr>
    </w:lvl>
    <w:lvl w:ilvl="3">
      <w:start w:val="0"/>
      <w:numFmt w:val="bullet"/>
      <w:lvlText w:val="•"/>
      <w:lvlJc w:val="left"/>
      <w:pPr>
        <w:ind w:left="2905" w:hanging="424"/>
      </w:pPr>
      <w:rPr>
        <w:rFonts w:hint="default"/>
        <w:lang w:val="en-US" w:eastAsia="zh-CN" w:bidi="ar-SA"/>
      </w:rPr>
    </w:lvl>
    <w:lvl w:ilvl="4">
      <w:start w:val="0"/>
      <w:numFmt w:val="bullet"/>
      <w:lvlText w:val="•"/>
      <w:lvlJc w:val="left"/>
      <w:pPr>
        <w:ind w:left="3911" w:hanging="424"/>
      </w:pPr>
      <w:rPr>
        <w:rFonts w:hint="default"/>
        <w:lang w:val="en-US" w:eastAsia="zh-CN" w:bidi="ar-SA"/>
      </w:rPr>
    </w:lvl>
    <w:lvl w:ilvl="5">
      <w:start w:val="0"/>
      <w:numFmt w:val="bullet"/>
      <w:lvlText w:val="•"/>
      <w:lvlJc w:val="left"/>
      <w:pPr>
        <w:ind w:left="4917" w:hanging="424"/>
      </w:pPr>
      <w:rPr>
        <w:rFonts w:hint="default"/>
        <w:lang w:val="en-US" w:eastAsia="zh-CN" w:bidi="ar-SA"/>
      </w:rPr>
    </w:lvl>
    <w:lvl w:ilvl="6">
      <w:start w:val="0"/>
      <w:numFmt w:val="bullet"/>
      <w:lvlText w:val="•"/>
      <w:lvlJc w:val="left"/>
      <w:pPr>
        <w:ind w:left="5923" w:hanging="424"/>
      </w:pPr>
      <w:rPr>
        <w:rFonts w:hint="default"/>
        <w:lang w:val="en-US" w:eastAsia="zh-CN" w:bidi="ar-SA"/>
      </w:rPr>
    </w:lvl>
    <w:lvl w:ilvl="7">
      <w:start w:val="0"/>
      <w:numFmt w:val="bullet"/>
      <w:lvlText w:val="•"/>
      <w:lvlJc w:val="left"/>
      <w:pPr>
        <w:ind w:left="6929" w:hanging="424"/>
      </w:pPr>
      <w:rPr>
        <w:rFonts w:hint="default"/>
        <w:lang w:val="en-US" w:eastAsia="zh-CN" w:bidi="ar-SA"/>
      </w:rPr>
    </w:lvl>
    <w:lvl w:ilvl="8">
      <w:start w:val="0"/>
      <w:numFmt w:val="bullet"/>
      <w:lvlText w:val="•"/>
      <w:lvlJc w:val="left"/>
      <w:pPr>
        <w:ind w:left="7935" w:hanging="424"/>
      </w:pPr>
      <w:rPr>
        <w:rFonts w:hint="default"/>
        <w:lang w:val="en-US" w:eastAsia="zh-CN" w:bidi="ar-SA"/>
      </w:rPr>
    </w:lvl>
  </w:abstractNum>
  <w:abstractNum w:abstractNumId="33">
    <w:nsid w:val="2A7669D3"/>
    <w:multiLevelType w:val="hybridMultilevel"/>
    <w:tmpl w:val="00000000"/>
    <w:lvl w:ilvl="0">
      <w:start w:val="1"/>
      <w:numFmt w:val="decimal"/>
      <w:lvlText w:val="%1."/>
      <w:lvlJc w:val="left"/>
      <w:pPr>
        <w:ind w:left="848" w:hanging="426"/>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6"/>
      </w:pPr>
      <w:rPr>
        <w:rFonts w:hint="default"/>
        <w:lang w:val="en-US" w:eastAsia="zh-CN" w:bidi="ar-SA"/>
      </w:rPr>
    </w:lvl>
    <w:lvl w:ilvl="2">
      <w:start w:val="0"/>
      <w:numFmt w:val="bullet"/>
      <w:lvlText w:val="•"/>
      <w:lvlJc w:val="left"/>
      <w:pPr>
        <w:ind w:left="2713" w:hanging="426"/>
      </w:pPr>
      <w:rPr>
        <w:rFonts w:hint="default"/>
        <w:lang w:val="en-US" w:eastAsia="zh-CN" w:bidi="ar-SA"/>
      </w:rPr>
    </w:lvl>
    <w:lvl w:ilvl="3">
      <w:start w:val="0"/>
      <w:numFmt w:val="bullet"/>
      <w:lvlText w:val="•"/>
      <w:lvlJc w:val="left"/>
      <w:pPr>
        <w:ind w:left="3650" w:hanging="426"/>
      </w:pPr>
      <w:rPr>
        <w:rFonts w:hint="default"/>
        <w:lang w:val="en-US" w:eastAsia="zh-CN" w:bidi="ar-SA"/>
      </w:rPr>
    </w:lvl>
    <w:lvl w:ilvl="4">
      <w:start w:val="0"/>
      <w:numFmt w:val="bullet"/>
      <w:lvlText w:val="•"/>
      <w:lvlJc w:val="left"/>
      <w:pPr>
        <w:ind w:left="4586" w:hanging="426"/>
      </w:pPr>
      <w:rPr>
        <w:rFonts w:hint="default"/>
        <w:lang w:val="en-US" w:eastAsia="zh-CN" w:bidi="ar-SA"/>
      </w:rPr>
    </w:lvl>
    <w:lvl w:ilvl="5">
      <w:start w:val="0"/>
      <w:numFmt w:val="bullet"/>
      <w:lvlText w:val="•"/>
      <w:lvlJc w:val="left"/>
      <w:pPr>
        <w:ind w:left="5523" w:hanging="426"/>
      </w:pPr>
      <w:rPr>
        <w:rFonts w:hint="default"/>
        <w:lang w:val="en-US" w:eastAsia="zh-CN" w:bidi="ar-SA"/>
      </w:rPr>
    </w:lvl>
    <w:lvl w:ilvl="6">
      <w:start w:val="0"/>
      <w:numFmt w:val="bullet"/>
      <w:lvlText w:val="•"/>
      <w:lvlJc w:val="left"/>
      <w:pPr>
        <w:ind w:left="6460" w:hanging="426"/>
      </w:pPr>
      <w:rPr>
        <w:rFonts w:hint="default"/>
        <w:lang w:val="en-US" w:eastAsia="zh-CN" w:bidi="ar-SA"/>
      </w:rPr>
    </w:lvl>
    <w:lvl w:ilvl="7">
      <w:start w:val="0"/>
      <w:numFmt w:val="bullet"/>
      <w:lvlText w:val="•"/>
      <w:lvlJc w:val="left"/>
      <w:pPr>
        <w:ind w:left="7396" w:hanging="426"/>
      </w:pPr>
      <w:rPr>
        <w:rFonts w:hint="default"/>
        <w:lang w:val="en-US" w:eastAsia="zh-CN" w:bidi="ar-SA"/>
      </w:rPr>
    </w:lvl>
    <w:lvl w:ilvl="8">
      <w:start w:val="0"/>
      <w:numFmt w:val="bullet"/>
      <w:lvlText w:val="•"/>
      <w:lvlJc w:val="left"/>
      <w:pPr>
        <w:ind w:left="8333" w:hanging="426"/>
      </w:pPr>
      <w:rPr>
        <w:rFonts w:hint="default"/>
        <w:lang w:val="en-US" w:eastAsia="zh-CN" w:bidi="ar-SA"/>
      </w:rPr>
    </w:lvl>
  </w:abstractNum>
  <w:abstractNum w:abstractNumId="34">
    <w:nsid w:val="2D3E55A5"/>
    <w:multiLevelType w:val="hybridMultilevel"/>
    <w:tmpl w:val="00000000"/>
    <w:lvl w:ilvl="0">
      <w:start w:val="0"/>
      <w:numFmt w:val="bullet"/>
      <w:lvlText w:val=""/>
      <w:lvlJc w:val="left"/>
      <w:pPr>
        <w:ind w:left="1474" w:hanging="420"/>
      </w:pPr>
      <w:rPr>
        <w:rFonts w:ascii="Wingdings" w:eastAsia="Wingdings" w:hAnsi="Wingdings" w:cs="Wingdings" w:hint="default"/>
        <w:b w:val="0"/>
        <w:bCs w:val="0"/>
        <w:i w:val="0"/>
        <w:iCs w:val="0"/>
        <w:w w:val="100"/>
        <w:sz w:val="21"/>
        <w:szCs w:val="21"/>
        <w:lang w:val="en-US" w:eastAsia="zh-CN" w:bidi="ar-SA"/>
      </w:rPr>
    </w:lvl>
    <w:lvl w:ilvl="1">
      <w:start w:val="0"/>
      <w:numFmt w:val="bullet"/>
      <w:lvlText w:val="•"/>
      <w:lvlJc w:val="left"/>
      <w:pPr>
        <w:ind w:left="2326" w:hanging="420"/>
      </w:pPr>
      <w:rPr>
        <w:rFonts w:hint="default"/>
        <w:lang w:val="en-US" w:eastAsia="zh-CN" w:bidi="ar-SA"/>
      </w:rPr>
    </w:lvl>
    <w:lvl w:ilvl="2">
      <w:start w:val="0"/>
      <w:numFmt w:val="bullet"/>
      <w:lvlText w:val="•"/>
      <w:lvlJc w:val="left"/>
      <w:pPr>
        <w:ind w:left="3173" w:hanging="420"/>
      </w:pPr>
      <w:rPr>
        <w:rFonts w:hint="default"/>
        <w:lang w:val="en-US" w:eastAsia="zh-CN" w:bidi="ar-SA"/>
      </w:rPr>
    </w:lvl>
    <w:lvl w:ilvl="3">
      <w:start w:val="0"/>
      <w:numFmt w:val="bullet"/>
      <w:lvlText w:val="•"/>
      <w:lvlJc w:val="left"/>
      <w:pPr>
        <w:ind w:left="4020" w:hanging="420"/>
      </w:pPr>
      <w:rPr>
        <w:rFonts w:hint="default"/>
        <w:lang w:val="en-US" w:eastAsia="zh-CN" w:bidi="ar-SA"/>
      </w:rPr>
    </w:lvl>
    <w:lvl w:ilvl="4">
      <w:start w:val="0"/>
      <w:numFmt w:val="bullet"/>
      <w:lvlText w:val="•"/>
      <w:lvlJc w:val="left"/>
      <w:pPr>
        <w:ind w:left="4866" w:hanging="420"/>
      </w:pPr>
      <w:rPr>
        <w:rFonts w:hint="default"/>
        <w:lang w:val="en-US" w:eastAsia="zh-CN" w:bidi="ar-SA"/>
      </w:rPr>
    </w:lvl>
    <w:lvl w:ilvl="5">
      <w:start w:val="0"/>
      <w:numFmt w:val="bullet"/>
      <w:lvlText w:val="•"/>
      <w:lvlJc w:val="left"/>
      <w:pPr>
        <w:ind w:left="5713" w:hanging="420"/>
      </w:pPr>
      <w:rPr>
        <w:rFonts w:hint="default"/>
        <w:lang w:val="en-US" w:eastAsia="zh-CN" w:bidi="ar-SA"/>
      </w:rPr>
    </w:lvl>
    <w:lvl w:ilvl="6">
      <w:start w:val="0"/>
      <w:numFmt w:val="bullet"/>
      <w:lvlText w:val="•"/>
      <w:lvlJc w:val="left"/>
      <w:pPr>
        <w:ind w:left="6560" w:hanging="420"/>
      </w:pPr>
      <w:rPr>
        <w:rFonts w:hint="default"/>
        <w:lang w:val="en-US" w:eastAsia="zh-CN" w:bidi="ar-SA"/>
      </w:rPr>
    </w:lvl>
    <w:lvl w:ilvl="7">
      <w:start w:val="0"/>
      <w:numFmt w:val="bullet"/>
      <w:lvlText w:val="•"/>
      <w:lvlJc w:val="left"/>
      <w:pPr>
        <w:ind w:left="7406" w:hanging="420"/>
      </w:pPr>
      <w:rPr>
        <w:rFonts w:hint="default"/>
        <w:lang w:val="en-US" w:eastAsia="zh-CN" w:bidi="ar-SA"/>
      </w:rPr>
    </w:lvl>
    <w:lvl w:ilvl="8">
      <w:start w:val="0"/>
      <w:numFmt w:val="bullet"/>
      <w:lvlText w:val="•"/>
      <w:lvlJc w:val="left"/>
      <w:pPr>
        <w:ind w:left="8253" w:hanging="420"/>
      </w:pPr>
      <w:rPr>
        <w:rFonts w:hint="default"/>
        <w:lang w:val="en-US" w:eastAsia="zh-CN" w:bidi="ar-SA"/>
      </w:rPr>
    </w:lvl>
  </w:abstractNum>
  <w:abstractNum w:abstractNumId="35">
    <w:nsid w:val="2F468903"/>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36">
    <w:nsid w:val="2F91A43A"/>
    <w:multiLevelType w:val="hybridMultilevel"/>
    <w:tmpl w:val="00000000"/>
    <w:lvl w:ilvl="0">
      <w:start w:val="1"/>
      <w:numFmt w:val="decimal"/>
      <w:lvlText w:val="%1."/>
      <w:lvlJc w:val="left"/>
      <w:pPr>
        <w:ind w:left="850"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68" w:hanging="424"/>
      </w:pPr>
      <w:rPr>
        <w:rFonts w:hint="default"/>
        <w:lang w:val="en-US" w:eastAsia="zh-CN" w:bidi="ar-SA"/>
      </w:rPr>
    </w:lvl>
    <w:lvl w:ilvl="2">
      <w:start w:val="0"/>
      <w:numFmt w:val="bullet"/>
      <w:lvlText w:val="•"/>
      <w:lvlJc w:val="left"/>
      <w:pPr>
        <w:ind w:left="2677" w:hanging="424"/>
      </w:pPr>
      <w:rPr>
        <w:rFonts w:hint="default"/>
        <w:lang w:val="en-US" w:eastAsia="zh-CN" w:bidi="ar-SA"/>
      </w:rPr>
    </w:lvl>
    <w:lvl w:ilvl="3">
      <w:start w:val="0"/>
      <w:numFmt w:val="bullet"/>
      <w:lvlText w:val="•"/>
      <w:lvlJc w:val="left"/>
      <w:pPr>
        <w:ind w:left="3586" w:hanging="424"/>
      </w:pPr>
      <w:rPr>
        <w:rFonts w:hint="default"/>
        <w:lang w:val="en-US" w:eastAsia="zh-CN" w:bidi="ar-SA"/>
      </w:rPr>
    </w:lvl>
    <w:lvl w:ilvl="4">
      <w:start w:val="0"/>
      <w:numFmt w:val="bullet"/>
      <w:lvlText w:val="•"/>
      <w:lvlJc w:val="left"/>
      <w:pPr>
        <w:ind w:left="4494" w:hanging="424"/>
      </w:pPr>
      <w:rPr>
        <w:rFonts w:hint="default"/>
        <w:lang w:val="en-US" w:eastAsia="zh-CN" w:bidi="ar-SA"/>
      </w:rPr>
    </w:lvl>
    <w:lvl w:ilvl="5">
      <w:start w:val="0"/>
      <w:numFmt w:val="bullet"/>
      <w:lvlText w:val="•"/>
      <w:lvlJc w:val="left"/>
      <w:pPr>
        <w:ind w:left="5403" w:hanging="424"/>
      </w:pPr>
      <w:rPr>
        <w:rFonts w:hint="default"/>
        <w:lang w:val="en-US" w:eastAsia="zh-CN" w:bidi="ar-SA"/>
      </w:rPr>
    </w:lvl>
    <w:lvl w:ilvl="6">
      <w:start w:val="0"/>
      <w:numFmt w:val="bullet"/>
      <w:lvlText w:val="•"/>
      <w:lvlJc w:val="left"/>
      <w:pPr>
        <w:ind w:left="6312" w:hanging="424"/>
      </w:pPr>
      <w:rPr>
        <w:rFonts w:hint="default"/>
        <w:lang w:val="en-US" w:eastAsia="zh-CN" w:bidi="ar-SA"/>
      </w:rPr>
    </w:lvl>
    <w:lvl w:ilvl="7">
      <w:start w:val="0"/>
      <w:numFmt w:val="bullet"/>
      <w:lvlText w:val="•"/>
      <w:lvlJc w:val="left"/>
      <w:pPr>
        <w:ind w:left="7220" w:hanging="424"/>
      </w:pPr>
      <w:rPr>
        <w:rFonts w:hint="default"/>
        <w:lang w:val="en-US" w:eastAsia="zh-CN" w:bidi="ar-SA"/>
      </w:rPr>
    </w:lvl>
    <w:lvl w:ilvl="8">
      <w:start w:val="0"/>
      <w:numFmt w:val="bullet"/>
      <w:lvlText w:val="•"/>
      <w:lvlJc w:val="left"/>
      <w:pPr>
        <w:ind w:left="8129" w:hanging="424"/>
      </w:pPr>
      <w:rPr>
        <w:rFonts w:hint="default"/>
        <w:lang w:val="en-US" w:eastAsia="zh-CN" w:bidi="ar-SA"/>
      </w:rPr>
    </w:lvl>
  </w:abstractNum>
  <w:abstractNum w:abstractNumId="37">
    <w:nsid w:val="3146B883"/>
    <w:multiLevelType w:val="hybridMultilevel"/>
    <w:tmpl w:val="00000000"/>
    <w:lvl w:ilvl="0">
      <w:start w:val="1"/>
      <w:numFmt w:val="decimal"/>
      <w:lvlText w:val="%1."/>
      <w:lvlJc w:val="left"/>
      <w:pPr>
        <w:ind w:left="844" w:hanging="42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776" w:hanging="420"/>
      </w:pPr>
      <w:rPr>
        <w:rFonts w:hint="default"/>
        <w:lang w:val="en-US" w:eastAsia="zh-CN" w:bidi="ar-SA"/>
      </w:rPr>
    </w:lvl>
    <w:lvl w:ilvl="2">
      <w:start w:val="0"/>
      <w:numFmt w:val="bullet"/>
      <w:lvlText w:val="•"/>
      <w:lvlJc w:val="left"/>
      <w:pPr>
        <w:ind w:left="2713" w:hanging="420"/>
      </w:pPr>
      <w:rPr>
        <w:rFonts w:hint="default"/>
        <w:lang w:val="en-US" w:eastAsia="zh-CN" w:bidi="ar-SA"/>
      </w:rPr>
    </w:lvl>
    <w:lvl w:ilvl="3">
      <w:start w:val="0"/>
      <w:numFmt w:val="bullet"/>
      <w:lvlText w:val="•"/>
      <w:lvlJc w:val="left"/>
      <w:pPr>
        <w:ind w:left="3650" w:hanging="420"/>
      </w:pPr>
      <w:rPr>
        <w:rFonts w:hint="default"/>
        <w:lang w:val="en-US" w:eastAsia="zh-CN" w:bidi="ar-SA"/>
      </w:rPr>
    </w:lvl>
    <w:lvl w:ilvl="4">
      <w:start w:val="0"/>
      <w:numFmt w:val="bullet"/>
      <w:lvlText w:val="•"/>
      <w:lvlJc w:val="left"/>
      <w:pPr>
        <w:ind w:left="4586" w:hanging="420"/>
      </w:pPr>
      <w:rPr>
        <w:rFonts w:hint="default"/>
        <w:lang w:val="en-US" w:eastAsia="zh-CN" w:bidi="ar-SA"/>
      </w:rPr>
    </w:lvl>
    <w:lvl w:ilvl="5">
      <w:start w:val="0"/>
      <w:numFmt w:val="bullet"/>
      <w:lvlText w:val="•"/>
      <w:lvlJc w:val="left"/>
      <w:pPr>
        <w:ind w:left="5523" w:hanging="420"/>
      </w:pPr>
      <w:rPr>
        <w:rFonts w:hint="default"/>
        <w:lang w:val="en-US" w:eastAsia="zh-CN" w:bidi="ar-SA"/>
      </w:rPr>
    </w:lvl>
    <w:lvl w:ilvl="6">
      <w:start w:val="0"/>
      <w:numFmt w:val="bullet"/>
      <w:lvlText w:val="•"/>
      <w:lvlJc w:val="left"/>
      <w:pPr>
        <w:ind w:left="6460" w:hanging="420"/>
      </w:pPr>
      <w:rPr>
        <w:rFonts w:hint="default"/>
        <w:lang w:val="en-US" w:eastAsia="zh-CN" w:bidi="ar-SA"/>
      </w:rPr>
    </w:lvl>
    <w:lvl w:ilvl="7">
      <w:start w:val="0"/>
      <w:numFmt w:val="bullet"/>
      <w:lvlText w:val="•"/>
      <w:lvlJc w:val="left"/>
      <w:pPr>
        <w:ind w:left="7396" w:hanging="420"/>
      </w:pPr>
      <w:rPr>
        <w:rFonts w:hint="default"/>
        <w:lang w:val="en-US" w:eastAsia="zh-CN" w:bidi="ar-SA"/>
      </w:rPr>
    </w:lvl>
    <w:lvl w:ilvl="8">
      <w:start w:val="0"/>
      <w:numFmt w:val="bullet"/>
      <w:lvlText w:val="•"/>
      <w:lvlJc w:val="left"/>
      <w:pPr>
        <w:ind w:left="8333" w:hanging="420"/>
      </w:pPr>
      <w:rPr>
        <w:rFonts w:hint="default"/>
        <w:lang w:val="en-US" w:eastAsia="zh-CN" w:bidi="ar-SA"/>
      </w:rPr>
    </w:lvl>
  </w:abstractNum>
  <w:abstractNum w:abstractNumId="38">
    <w:nsid w:val="33CD158E"/>
    <w:multiLevelType w:val="hybridMultilevel"/>
    <w:tmpl w:val="00000000"/>
    <w:lvl w:ilvl="0">
      <w:start w:val="1"/>
      <w:numFmt w:val="decimal"/>
      <w:lvlText w:val="%1."/>
      <w:lvlJc w:val="left"/>
      <w:pPr>
        <w:ind w:left="744" w:hanging="53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660" w:hanging="531"/>
      </w:pPr>
      <w:rPr>
        <w:rFonts w:hint="default"/>
        <w:lang w:val="en-US" w:eastAsia="zh-CN" w:bidi="ar-SA"/>
      </w:rPr>
    </w:lvl>
    <w:lvl w:ilvl="2">
      <w:start w:val="0"/>
      <w:numFmt w:val="bullet"/>
      <w:lvlText w:val="•"/>
      <w:lvlJc w:val="left"/>
      <w:pPr>
        <w:ind w:left="2581" w:hanging="531"/>
      </w:pPr>
      <w:rPr>
        <w:rFonts w:hint="default"/>
        <w:lang w:val="en-US" w:eastAsia="zh-CN" w:bidi="ar-SA"/>
      </w:rPr>
    </w:lvl>
    <w:lvl w:ilvl="3">
      <w:start w:val="0"/>
      <w:numFmt w:val="bullet"/>
      <w:lvlText w:val="•"/>
      <w:lvlJc w:val="left"/>
      <w:pPr>
        <w:ind w:left="3502" w:hanging="531"/>
      </w:pPr>
      <w:rPr>
        <w:rFonts w:hint="default"/>
        <w:lang w:val="en-US" w:eastAsia="zh-CN" w:bidi="ar-SA"/>
      </w:rPr>
    </w:lvl>
    <w:lvl w:ilvl="4">
      <w:start w:val="0"/>
      <w:numFmt w:val="bullet"/>
      <w:lvlText w:val="•"/>
      <w:lvlJc w:val="left"/>
      <w:pPr>
        <w:ind w:left="4422" w:hanging="531"/>
      </w:pPr>
      <w:rPr>
        <w:rFonts w:hint="default"/>
        <w:lang w:val="en-US" w:eastAsia="zh-CN" w:bidi="ar-SA"/>
      </w:rPr>
    </w:lvl>
    <w:lvl w:ilvl="5">
      <w:start w:val="0"/>
      <w:numFmt w:val="bullet"/>
      <w:lvlText w:val="•"/>
      <w:lvlJc w:val="left"/>
      <w:pPr>
        <w:ind w:left="5343" w:hanging="531"/>
      </w:pPr>
      <w:rPr>
        <w:rFonts w:hint="default"/>
        <w:lang w:val="en-US" w:eastAsia="zh-CN" w:bidi="ar-SA"/>
      </w:rPr>
    </w:lvl>
    <w:lvl w:ilvl="6">
      <w:start w:val="0"/>
      <w:numFmt w:val="bullet"/>
      <w:lvlText w:val="•"/>
      <w:lvlJc w:val="left"/>
      <w:pPr>
        <w:ind w:left="6264" w:hanging="531"/>
      </w:pPr>
      <w:rPr>
        <w:rFonts w:hint="default"/>
        <w:lang w:val="en-US" w:eastAsia="zh-CN" w:bidi="ar-SA"/>
      </w:rPr>
    </w:lvl>
    <w:lvl w:ilvl="7">
      <w:start w:val="0"/>
      <w:numFmt w:val="bullet"/>
      <w:lvlText w:val="•"/>
      <w:lvlJc w:val="left"/>
      <w:pPr>
        <w:ind w:left="7184" w:hanging="531"/>
      </w:pPr>
      <w:rPr>
        <w:rFonts w:hint="default"/>
        <w:lang w:val="en-US" w:eastAsia="zh-CN" w:bidi="ar-SA"/>
      </w:rPr>
    </w:lvl>
    <w:lvl w:ilvl="8">
      <w:start w:val="0"/>
      <w:numFmt w:val="bullet"/>
      <w:lvlText w:val="•"/>
      <w:lvlJc w:val="left"/>
      <w:pPr>
        <w:ind w:left="8105" w:hanging="531"/>
      </w:pPr>
      <w:rPr>
        <w:rFonts w:hint="default"/>
        <w:lang w:val="en-US" w:eastAsia="zh-CN" w:bidi="ar-SA"/>
      </w:rPr>
    </w:lvl>
  </w:abstractNum>
  <w:abstractNum w:abstractNumId="39">
    <w:nsid w:val="3426111E"/>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40">
    <w:nsid w:val="35D7676B"/>
    <w:multiLevelType w:val="hybridMultilevel"/>
    <w:tmpl w:val="00000000"/>
    <w:lvl w:ilvl="0">
      <w:start w:val="7"/>
      <w:numFmt w:val="decimal"/>
      <w:lvlText w:val="%1"/>
      <w:lvlJc w:val="left"/>
      <w:pPr>
        <w:ind w:left="697" w:hanging="484"/>
        <w:jc w:val="left"/>
      </w:pPr>
      <w:rPr>
        <w:rFonts w:hint="default"/>
        <w:lang w:val="en-US" w:eastAsia="zh-CN" w:bidi="ar-SA"/>
      </w:rPr>
    </w:lvl>
    <w:lvl w:ilvl="1">
      <w:start w:val="1"/>
      <w:numFmt w:val="decimal"/>
      <w:lvlText w:val="%1.%2"/>
      <w:lvlJc w:val="left"/>
      <w:pPr>
        <w:ind w:left="697" w:hanging="484"/>
        <w:jc w:val="left"/>
      </w:pPr>
      <w:rPr>
        <w:rFonts w:ascii="Microsoft JhengHei" w:eastAsia="Microsoft JhengHei" w:hAnsi="Microsoft JhengHei" w:cs="Microsoft JhengHei" w:hint="default"/>
        <w:b/>
        <w:bCs/>
        <w:i w:val="0"/>
        <w:iCs w:val="0"/>
        <w:w w:val="83"/>
        <w:sz w:val="24"/>
        <w:szCs w:val="24"/>
        <w:lang w:val="en-US" w:eastAsia="zh-CN" w:bidi="ar-SA"/>
      </w:rPr>
    </w:lvl>
    <w:lvl w:ilvl="2">
      <w:start w:val="1"/>
      <w:numFmt w:val="decimal"/>
      <w:lvlText w:val="%1.%2.%3"/>
      <w:lvlJc w:val="left"/>
      <w:pPr>
        <w:ind w:left="795" w:hanging="582"/>
        <w:jc w:val="left"/>
      </w:pPr>
      <w:rPr>
        <w:rFonts w:ascii="Microsoft JhengHei" w:eastAsia="Microsoft JhengHei" w:hAnsi="Microsoft JhengHei" w:cs="Microsoft JhengHei" w:hint="default"/>
        <w:b/>
        <w:bCs/>
        <w:i w:val="0"/>
        <w:iCs w:val="0"/>
        <w:w w:val="83"/>
        <w:sz w:val="21"/>
        <w:szCs w:val="21"/>
        <w:lang w:val="en-US" w:eastAsia="zh-CN" w:bidi="ar-SA"/>
      </w:rPr>
    </w:lvl>
    <w:lvl w:ilvl="3">
      <w:start w:val="1"/>
      <w:numFmt w:val="decimal"/>
      <w:lvlText w:val="%4."/>
      <w:lvlJc w:val="left"/>
      <w:pPr>
        <w:ind w:left="850" w:hanging="424"/>
        <w:jc w:val="left"/>
      </w:pPr>
      <w:rPr>
        <w:rFonts w:hint="default"/>
        <w:w w:val="100"/>
        <w:lang w:val="en-US" w:eastAsia="zh-CN" w:bidi="ar-SA"/>
      </w:rPr>
    </w:lvl>
    <w:lvl w:ilvl="4">
      <w:start w:val="0"/>
      <w:numFmt w:val="bullet"/>
      <w:lvlText w:val="•"/>
      <w:lvlJc w:val="left"/>
      <w:pPr>
        <w:ind w:left="3116" w:hanging="424"/>
      </w:pPr>
      <w:rPr>
        <w:rFonts w:hint="default"/>
        <w:lang w:val="en-US" w:eastAsia="zh-CN" w:bidi="ar-SA"/>
      </w:rPr>
    </w:lvl>
    <w:lvl w:ilvl="5">
      <w:start w:val="0"/>
      <w:numFmt w:val="bullet"/>
      <w:lvlText w:val="•"/>
      <w:lvlJc w:val="left"/>
      <w:pPr>
        <w:ind w:left="4255" w:hanging="424"/>
      </w:pPr>
      <w:rPr>
        <w:rFonts w:hint="default"/>
        <w:lang w:val="en-US" w:eastAsia="zh-CN" w:bidi="ar-SA"/>
      </w:rPr>
    </w:lvl>
    <w:lvl w:ilvl="6">
      <w:start w:val="0"/>
      <w:numFmt w:val="bullet"/>
      <w:lvlText w:val="•"/>
      <w:lvlJc w:val="left"/>
      <w:pPr>
        <w:ind w:left="5393" w:hanging="424"/>
      </w:pPr>
      <w:rPr>
        <w:rFonts w:hint="default"/>
        <w:lang w:val="en-US" w:eastAsia="zh-CN" w:bidi="ar-SA"/>
      </w:rPr>
    </w:lvl>
    <w:lvl w:ilvl="7">
      <w:start w:val="0"/>
      <w:numFmt w:val="bullet"/>
      <w:lvlText w:val="•"/>
      <w:lvlJc w:val="left"/>
      <w:pPr>
        <w:ind w:left="6531" w:hanging="424"/>
      </w:pPr>
      <w:rPr>
        <w:rFonts w:hint="default"/>
        <w:lang w:val="en-US" w:eastAsia="zh-CN" w:bidi="ar-SA"/>
      </w:rPr>
    </w:lvl>
    <w:lvl w:ilvl="8">
      <w:start w:val="0"/>
      <w:numFmt w:val="bullet"/>
      <w:lvlText w:val="•"/>
      <w:lvlJc w:val="left"/>
      <w:pPr>
        <w:ind w:left="7670" w:hanging="424"/>
      </w:pPr>
      <w:rPr>
        <w:rFonts w:hint="default"/>
        <w:lang w:val="en-US" w:eastAsia="zh-CN" w:bidi="ar-SA"/>
      </w:rPr>
    </w:lvl>
  </w:abstractNum>
  <w:abstractNum w:abstractNumId="41">
    <w:nsid w:val="36D6BAE9"/>
    <w:multiLevelType w:val="hybridMultilevel"/>
    <w:tmpl w:val="00000000"/>
    <w:lvl w:ilvl="0">
      <w:start w:val="1"/>
      <w:numFmt w:val="decimal"/>
      <w:lvlText w:val="%1."/>
      <w:lvlJc w:val="left"/>
      <w:pPr>
        <w:ind w:left="1065" w:hanging="85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0"/>
      <w:numFmt w:val="bullet"/>
      <w:lvlText w:val="•"/>
      <w:lvlJc w:val="left"/>
      <w:pPr>
        <w:ind w:left="1948" w:hanging="852"/>
      </w:pPr>
      <w:rPr>
        <w:rFonts w:hint="default"/>
        <w:lang w:val="en-US" w:eastAsia="zh-CN" w:bidi="ar-SA"/>
      </w:rPr>
    </w:lvl>
    <w:lvl w:ilvl="2">
      <w:start w:val="0"/>
      <w:numFmt w:val="bullet"/>
      <w:lvlText w:val="•"/>
      <w:lvlJc w:val="left"/>
      <w:pPr>
        <w:ind w:left="2837" w:hanging="852"/>
      </w:pPr>
      <w:rPr>
        <w:rFonts w:hint="default"/>
        <w:lang w:val="en-US" w:eastAsia="zh-CN" w:bidi="ar-SA"/>
      </w:rPr>
    </w:lvl>
    <w:lvl w:ilvl="3">
      <w:start w:val="0"/>
      <w:numFmt w:val="bullet"/>
      <w:lvlText w:val="•"/>
      <w:lvlJc w:val="left"/>
      <w:pPr>
        <w:ind w:left="3726" w:hanging="852"/>
      </w:pPr>
      <w:rPr>
        <w:rFonts w:hint="default"/>
        <w:lang w:val="en-US" w:eastAsia="zh-CN" w:bidi="ar-SA"/>
      </w:rPr>
    </w:lvl>
    <w:lvl w:ilvl="4">
      <w:start w:val="0"/>
      <w:numFmt w:val="bullet"/>
      <w:lvlText w:val="•"/>
      <w:lvlJc w:val="left"/>
      <w:pPr>
        <w:ind w:left="4614" w:hanging="852"/>
      </w:pPr>
      <w:rPr>
        <w:rFonts w:hint="default"/>
        <w:lang w:val="en-US" w:eastAsia="zh-CN" w:bidi="ar-SA"/>
      </w:rPr>
    </w:lvl>
    <w:lvl w:ilvl="5">
      <w:start w:val="0"/>
      <w:numFmt w:val="bullet"/>
      <w:lvlText w:val="•"/>
      <w:lvlJc w:val="left"/>
      <w:pPr>
        <w:ind w:left="5503" w:hanging="852"/>
      </w:pPr>
      <w:rPr>
        <w:rFonts w:hint="default"/>
        <w:lang w:val="en-US" w:eastAsia="zh-CN" w:bidi="ar-SA"/>
      </w:rPr>
    </w:lvl>
    <w:lvl w:ilvl="6">
      <w:start w:val="0"/>
      <w:numFmt w:val="bullet"/>
      <w:lvlText w:val="•"/>
      <w:lvlJc w:val="left"/>
      <w:pPr>
        <w:ind w:left="6392" w:hanging="852"/>
      </w:pPr>
      <w:rPr>
        <w:rFonts w:hint="default"/>
        <w:lang w:val="en-US" w:eastAsia="zh-CN" w:bidi="ar-SA"/>
      </w:rPr>
    </w:lvl>
    <w:lvl w:ilvl="7">
      <w:start w:val="0"/>
      <w:numFmt w:val="bullet"/>
      <w:lvlText w:val="•"/>
      <w:lvlJc w:val="left"/>
      <w:pPr>
        <w:ind w:left="7280" w:hanging="852"/>
      </w:pPr>
      <w:rPr>
        <w:rFonts w:hint="default"/>
        <w:lang w:val="en-US" w:eastAsia="zh-CN" w:bidi="ar-SA"/>
      </w:rPr>
    </w:lvl>
    <w:lvl w:ilvl="8">
      <w:start w:val="0"/>
      <w:numFmt w:val="bullet"/>
      <w:lvlText w:val="•"/>
      <w:lvlJc w:val="left"/>
      <w:pPr>
        <w:ind w:left="8169" w:hanging="852"/>
      </w:pPr>
      <w:rPr>
        <w:rFonts w:hint="default"/>
        <w:lang w:val="en-US" w:eastAsia="zh-CN" w:bidi="ar-SA"/>
      </w:rPr>
    </w:lvl>
  </w:abstractNum>
  <w:abstractNum w:abstractNumId="42">
    <w:nsid w:val="3704F37A"/>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43">
    <w:nsid w:val="3754D262"/>
    <w:multiLevelType w:val="hybridMultilevel"/>
    <w:tmpl w:val="00000000"/>
    <w:lvl w:ilvl="0">
      <w:start w:val="1"/>
      <w:numFmt w:val="decimal"/>
      <w:lvlText w:val="%1."/>
      <w:lvlJc w:val="left"/>
      <w:pPr>
        <w:ind w:left="954" w:hanging="53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884" w:hanging="534"/>
      </w:pPr>
      <w:rPr>
        <w:rFonts w:hint="default"/>
        <w:lang w:val="en-US" w:eastAsia="zh-CN" w:bidi="ar-SA"/>
      </w:rPr>
    </w:lvl>
    <w:lvl w:ilvl="2">
      <w:start w:val="0"/>
      <w:numFmt w:val="bullet"/>
      <w:lvlText w:val="•"/>
      <w:lvlJc w:val="left"/>
      <w:pPr>
        <w:ind w:left="2809" w:hanging="534"/>
      </w:pPr>
      <w:rPr>
        <w:rFonts w:hint="default"/>
        <w:lang w:val="en-US" w:eastAsia="zh-CN" w:bidi="ar-SA"/>
      </w:rPr>
    </w:lvl>
    <w:lvl w:ilvl="3">
      <w:start w:val="0"/>
      <w:numFmt w:val="bullet"/>
      <w:lvlText w:val="•"/>
      <w:lvlJc w:val="left"/>
      <w:pPr>
        <w:ind w:left="3734" w:hanging="534"/>
      </w:pPr>
      <w:rPr>
        <w:rFonts w:hint="default"/>
        <w:lang w:val="en-US" w:eastAsia="zh-CN" w:bidi="ar-SA"/>
      </w:rPr>
    </w:lvl>
    <w:lvl w:ilvl="4">
      <w:start w:val="0"/>
      <w:numFmt w:val="bullet"/>
      <w:lvlText w:val="•"/>
      <w:lvlJc w:val="left"/>
      <w:pPr>
        <w:ind w:left="4658" w:hanging="534"/>
      </w:pPr>
      <w:rPr>
        <w:rFonts w:hint="default"/>
        <w:lang w:val="en-US" w:eastAsia="zh-CN" w:bidi="ar-SA"/>
      </w:rPr>
    </w:lvl>
    <w:lvl w:ilvl="5">
      <w:start w:val="0"/>
      <w:numFmt w:val="bullet"/>
      <w:lvlText w:val="•"/>
      <w:lvlJc w:val="left"/>
      <w:pPr>
        <w:ind w:left="5583" w:hanging="534"/>
      </w:pPr>
      <w:rPr>
        <w:rFonts w:hint="default"/>
        <w:lang w:val="en-US" w:eastAsia="zh-CN" w:bidi="ar-SA"/>
      </w:rPr>
    </w:lvl>
    <w:lvl w:ilvl="6">
      <w:start w:val="0"/>
      <w:numFmt w:val="bullet"/>
      <w:lvlText w:val="•"/>
      <w:lvlJc w:val="left"/>
      <w:pPr>
        <w:ind w:left="6508" w:hanging="534"/>
      </w:pPr>
      <w:rPr>
        <w:rFonts w:hint="default"/>
        <w:lang w:val="en-US" w:eastAsia="zh-CN" w:bidi="ar-SA"/>
      </w:rPr>
    </w:lvl>
    <w:lvl w:ilvl="7">
      <w:start w:val="0"/>
      <w:numFmt w:val="bullet"/>
      <w:lvlText w:val="•"/>
      <w:lvlJc w:val="left"/>
      <w:pPr>
        <w:ind w:left="7432" w:hanging="534"/>
      </w:pPr>
      <w:rPr>
        <w:rFonts w:hint="default"/>
        <w:lang w:val="en-US" w:eastAsia="zh-CN" w:bidi="ar-SA"/>
      </w:rPr>
    </w:lvl>
    <w:lvl w:ilvl="8">
      <w:start w:val="0"/>
      <w:numFmt w:val="bullet"/>
      <w:lvlText w:val="•"/>
      <w:lvlJc w:val="left"/>
      <w:pPr>
        <w:ind w:left="8357" w:hanging="534"/>
      </w:pPr>
      <w:rPr>
        <w:rFonts w:hint="default"/>
        <w:lang w:val="en-US" w:eastAsia="zh-CN" w:bidi="ar-SA"/>
      </w:rPr>
    </w:lvl>
  </w:abstractNum>
  <w:abstractNum w:abstractNumId="44">
    <w:nsid w:val="3A8F8B15"/>
    <w:multiLevelType w:val="hybridMultilevel"/>
    <w:tmpl w:val="00000000"/>
    <w:lvl w:ilvl="0">
      <w:start w:val="1"/>
      <w:numFmt w:val="decimal"/>
      <w:lvlText w:val="%1."/>
      <w:lvlJc w:val="left"/>
      <w:pPr>
        <w:ind w:left="844" w:hanging="42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0"/>
      </w:pPr>
      <w:rPr>
        <w:rFonts w:hint="default"/>
        <w:lang w:val="en-US" w:eastAsia="zh-CN" w:bidi="ar-SA"/>
      </w:rPr>
    </w:lvl>
    <w:lvl w:ilvl="2">
      <w:start w:val="0"/>
      <w:numFmt w:val="bullet"/>
      <w:lvlText w:val="•"/>
      <w:lvlJc w:val="left"/>
      <w:pPr>
        <w:ind w:left="2713" w:hanging="420"/>
      </w:pPr>
      <w:rPr>
        <w:rFonts w:hint="default"/>
        <w:lang w:val="en-US" w:eastAsia="zh-CN" w:bidi="ar-SA"/>
      </w:rPr>
    </w:lvl>
    <w:lvl w:ilvl="3">
      <w:start w:val="0"/>
      <w:numFmt w:val="bullet"/>
      <w:lvlText w:val="•"/>
      <w:lvlJc w:val="left"/>
      <w:pPr>
        <w:ind w:left="3650" w:hanging="420"/>
      </w:pPr>
      <w:rPr>
        <w:rFonts w:hint="default"/>
        <w:lang w:val="en-US" w:eastAsia="zh-CN" w:bidi="ar-SA"/>
      </w:rPr>
    </w:lvl>
    <w:lvl w:ilvl="4">
      <w:start w:val="0"/>
      <w:numFmt w:val="bullet"/>
      <w:lvlText w:val="•"/>
      <w:lvlJc w:val="left"/>
      <w:pPr>
        <w:ind w:left="4586" w:hanging="420"/>
      </w:pPr>
      <w:rPr>
        <w:rFonts w:hint="default"/>
        <w:lang w:val="en-US" w:eastAsia="zh-CN" w:bidi="ar-SA"/>
      </w:rPr>
    </w:lvl>
    <w:lvl w:ilvl="5">
      <w:start w:val="0"/>
      <w:numFmt w:val="bullet"/>
      <w:lvlText w:val="•"/>
      <w:lvlJc w:val="left"/>
      <w:pPr>
        <w:ind w:left="5523" w:hanging="420"/>
      </w:pPr>
      <w:rPr>
        <w:rFonts w:hint="default"/>
        <w:lang w:val="en-US" w:eastAsia="zh-CN" w:bidi="ar-SA"/>
      </w:rPr>
    </w:lvl>
    <w:lvl w:ilvl="6">
      <w:start w:val="0"/>
      <w:numFmt w:val="bullet"/>
      <w:lvlText w:val="•"/>
      <w:lvlJc w:val="left"/>
      <w:pPr>
        <w:ind w:left="6460" w:hanging="420"/>
      </w:pPr>
      <w:rPr>
        <w:rFonts w:hint="default"/>
        <w:lang w:val="en-US" w:eastAsia="zh-CN" w:bidi="ar-SA"/>
      </w:rPr>
    </w:lvl>
    <w:lvl w:ilvl="7">
      <w:start w:val="0"/>
      <w:numFmt w:val="bullet"/>
      <w:lvlText w:val="•"/>
      <w:lvlJc w:val="left"/>
      <w:pPr>
        <w:ind w:left="7396" w:hanging="420"/>
      </w:pPr>
      <w:rPr>
        <w:rFonts w:hint="default"/>
        <w:lang w:val="en-US" w:eastAsia="zh-CN" w:bidi="ar-SA"/>
      </w:rPr>
    </w:lvl>
    <w:lvl w:ilvl="8">
      <w:start w:val="0"/>
      <w:numFmt w:val="bullet"/>
      <w:lvlText w:val="•"/>
      <w:lvlJc w:val="left"/>
      <w:pPr>
        <w:ind w:left="8333" w:hanging="420"/>
      </w:pPr>
      <w:rPr>
        <w:rFonts w:hint="default"/>
        <w:lang w:val="en-US" w:eastAsia="zh-CN" w:bidi="ar-SA"/>
      </w:rPr>
    </w:lvl>
  </w:abstractNum>
  <w:abstractNum w:abstractNumId="45">
    <w:nsid w:val="3B30A51F"/>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1"/>
      <w:numFmt w:val="lowerLetter"/>
      <w:lvlText w:val="%2）"/>
      <w:lvlJc w:val="left"/>
      <w:pPr>
        <w:ind w:left="1378" w:hanging="316"/>
        <w:jc w:val="left"/>
      </w:pPr>
      <w:rPr>
        <w:rFonts w:ascii="宋体" w:eastAsia="宋体" w:hAnsi="宋体" w:cs="宋体" w:hint="default"/>
        <w:b w:val="0"/>
        <w:bCs w:val="0"/>
        <w:i w:val="0"/>
        <w:iCs w:val="0"/>
        <w:w w:val="100"/>
        <w:sz w:val="19"/>
        <w:szCs w:val="19"/>
        <w:lang w:val="en-US" w:eastAsia="zh-CN" w:bidi="ar-SA"/>
      </w:rPr>
    </w:lvl>
    <w:lvl w:ilvl="2">
      <w:start w:val="0"/>
      <w:numFmt w:val="bullet"/>
      <w:lvlText w:val="•"/>
      <w:lvlJc w:val="left"/>
      <w:pPr>
        <w:ind w:left="2331" w:hanging="316"/>
      </w:pPr>
      <w:rPr>
        <w:rFonts w:hint="default"/>
        <w:lang w:val="en-US" w:eastAsia="zh-CN" w:bidi="ar-SA"/>
      </w:rPr>
    </w:lvl>
    <w:lvl w:ilvl="3">
      <w:start w:val="0"/>
      <w:numFmt w:val="bullet"/>
      <w:lvlText w:val="•"/>
      <w:lvlJc w:val="left"/>
      <w:pPr>
        <w:ind w:left="3283" w:hanging="316"/>
      </w:pPr>
      <w:rPr>
        <w:rFonts w:hint="default"/>
        <w:lang w:val="en-US" w:eastAsia="zh-CN" w:bidi="ar-SA"/>
      </w:rPr>
    </w:lvl>
    <w:lvl w:ilvl="4">
      <w:start w:val="0"/>
      <w:numFmt w:val="bullet"/>
      <w:lvlText w:val="•"/>
      <w:lvlJc w:val="left"/>
      <w:pPr>
        <w:ind w:left="4235" w:hanging="316"/>
      </w:pPr>
      <w:rPr>
        <w:rFonts w:hint="default"/>
        <w:lang w:val="en-US" w:eastAsia="zh-CN" w:bidi="ar-SA"/>
      </w:rPr>
    </w:lvl>
    <w:lvl w:ilvl="5">
      <w:start w:val="0"/>
      <w:numFmt w:val="bullet"/>
      <w:lvlText w:val="•"/>
      <w:lvlJc w:val="left"/>
      <w:pPr>
        <w:ind w:left="5187" w:hanging="316"/>
      </w:pPr>
      <w:rPr>
        <w:rFonts w:hint="default"/>
        <w:lang w:val="en-US" w:eastAsia="zh-CN" w:bidi="ar-SA"/>
      </w:rPr>
    </w:lvl>
    <w:lvl w:ilvl="6">
      <w:start w:val="0"/>
      <w:numFmt w:val="bullet"/>
      <w:lvlText w:val="•"/>
      <w:lvlJc w:val="left"/>
      <w:pPr>
        <w:ind w:left="6139" w:hanging="316"/>
      </w:pPr>
      <w:rPr>
        <w:rFonts w:hint="default"/>
        <w:lang w:val="en-US" w:eastAsia="zh-CN" w:bidi="ar-SA"/>
      </w:rPr>
    </w:lvl>
    <w:lvl w:ilvl="7">
      <w:start w:val="0"/>
      <w:numFmt w:val="bullet"/>
      <w:lvlText w:val="•"/>
      <w:lvlJc w:val="left"/>
      <w:pPr>
        <w:ind w:left="7091" w:hanging="316"/>
      </w:pPr>
      <w:rPr>
        <w:rFonts w:hint="default"/>
        <w:lang w:val="en-US" w:eastAsia="zh-CN" w:bidi="ar-SA"/>
      </w:rPr>
    </w:lvl>
    <w:lvl w:ilvl="8">
      <w:start w:val="0"/>
      <w:numFmt w:val="bullet"/>
      <w:lvlText w:val="•"/>
      <w:lvlJc w:val="left"/>
      <w:pPr>
        <w:ind w:left="8043" w:hanging="316"/>
      </w:pPr>
      <w:rPr>
        <w:rFonts w:hint="default"/>
        <w:lang w:val="en-US" w:eastAsia="zh-CN" w:bidi="ar-SA"/>
      </w:rPr>
    </w:lvl>
  </w:abstractNum>
  <w:abstractNum w:abstractNumId="46">
    <w:nsid w:val="3EB1F3C0"/>
    <w:multiLevelType w:val="hybridMultilevel"/>
    <w:tmpl w:val="00000000"/>
    <w:lvl w:ilvl="0">
      <w:start w:val="1"/>
      <w:numFmt w:val="decimal"/>
      <w:lvlText w:val="%1."/>
      <w:lvlJc w:val="left"/>
      <w:pPr>
        <w:ind w:left="424" w:hanging="211"/>
        <w:jc w:val="left"/>
      </w:pPr>
      <w:rPr>
        <w:rFonts w:ascii="宋体" w:eastAsia="宋体" w:hAnsi="宋体" w:cs="宋体" w:hint="default"/>
        <w:b w:val="0"/>
        <w:bCs w:val="0"/>
        <w:i w:val="0"/>
        <w:iCs w:val="0"/>
        <w:w w:val="100"/>
        <w:sz w:val="19"/>
        <w:szCs w:val="19"/>
        <w:lang w:val="en-US" w:eastAsia="zh-CN" w:bidi="ar-SA"/>
      </w:rPr>
    </w:lvl>
    <w:lvl w:ilvl="1">
      <w:start w:val="1"/>
      <w:numFmt w:val="decimal"/>
      <w:lvlText w:val="%2."/>
      <w:lvlJc w:val="left"/>
      <w:pPr>
        <w:ind w:left="1504" w:hanging="36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467" w:hanging="360"/>
      </w:pPr>
      <w:rPr>
        <w:rFonts w:hint="default"/>
        <w:lang w:val="en-US" w:eastAsia="zh-CN" w:bidi="ar-SA"/>
      </w:rPr>
    </w:lvl>
    <w:lvl w:ilvl="3">
      <w:start w:val="0"/>
      <w:numFmt w:val="bullet"/>
      <w:lvlText w:val="•"/>
      <w:lvlJc w:val="left"/>
      <w:pPr>
        <w:ind w:left="3434" w:hanging="360"/>
      </w:pPr>
      <w:rPr>
        <w:rFonts w:hint="default"/>
        <w:lang w:val="en-US" w:eastAsia="zh-CN" w:bidi="ar-SA"/>
      </w:rPr>
    </w:lvl>
    <w:lvl w:ilvl="4">
      <w:start w:val="0"/>
      <w:numFmt w:val="bullet"/>
      <w:lvlText w:val="•"/>
      <w:lvlJc w:val="left"/>
      <w:pPr>
        <w:ind w:left="4402" w:hanging="360"/>
      </w:pPr>
      <w:rPr>
        <w:rFonts w:hint="default"/>
        <w:lang w:val="en-US" w:eastAsia="zh-CN" w:bidi="ar-SA"/>
      </w:rPr>
    </w:lvl>
    <w:lvl w:ilvl="5">
      <w:start w:val="0"/>
      <w:numFmt w:val="bullet"/>
      <w:lvlText w:val="•"/>
      <w:lvlJc w:val="left"/>
      <w:pPr>
        <w:ind w:left="5369" w:hanging="360"/>
      </w:pPr>
      <w:rPr>
        <w:rFonts w:hint="default"/>
        <w:lang w:val="en-US" w:eastAsia="zh-CN" w:bidi="ar-SA"/>
      </w:rPr>
    </w:lvl>
    <w:lvl w:ilvl="6">
      <w:start w:val="0"/>
      <w:numFmt w:val="bullet"/>
      <w:lvlText w:val="•"/>
      <w:lvlJc w:val="left"/>
      <w:pPr>
        <w:ind w:left="6337" w:hanging="360"/>
      </w:pPr>
      <w:rPr>
        <w:rFonts w:hint="default"/>
        <w:lang w:val="en-US" w:eastAsia="zh-CN" w:bidi="ar-SA"/>
      </w:rPr>
    </w:lvl>
    <w:lvl w:ilvl="7">
      <w:start w:val="0"/>
      <w:numFmt w:val="bullet"/>
      <w:lvlText w:val="•"/>
      <w:lvlJc w:val="left"/>
      <w:pPr>
        <w:ind w:left="7304" w:hanging="360"/>
      </w:pPr>
      <w:rPr>
        <w:rFonts w:hint="default"/>
        <w:lang w:val="en-US" w:eastAsia="zh-CN" w:bidi="ar-SA"/>
      </w:rPr>
    </w:lvl>
    <w:lvl w:ilvl="8">
      <w:start w:val="0"/>
      <w:numFmt w:val="bullet"/>
      <w:lvlText w:val="•"/>
      <w:lvlJc w:val="left"/>
      <w:pPr>
        <w:ind w:left="8272" w:hanging="360"/>
      </w:pPr>
      <w:rPr>
        <w:rFonts w:hint="default"/>
        <w:lang w:val="en-US" w:eastAsia="zh-CN" w:bidi="ar-SA"/>
      </w:rPr>
    </w:lvl>
  </w:abstractNum>
  <w:abstractNum w:abstractNumId="47">
    <w:nsid w:val="3F7A13D6"/>
    <w:multiLevelType w:val="hybridMultilevel"/>
    <w:tmpl w:val="00000000"/>
    <w:lvl w:ilvl="0">
      <w:start w:val="1"/>
      <w:numFmt w:val="decimal"/>
      <w:lvlText w:val="%1."/>
      <w:lvlJc w:val="left"/>
      <w:pPr>
        <w:ind w:left="798" w:hanging="377"/>
        <w:jc w:val="left"/>
      </w:pPr>
      <w:rPr>
        <w:rFonts w:ascii="宋体" w:eastAsia="宋体" w:hAnsi="宋体" w:cs="宋体" w:hint="default"/>
        <w:b w:val="0"/>
        <w:bCs w:val="0"/>
        <w:i w:val="0"/>
        <w:iCs w:val="0"/>
        <w:w w:val="100"/>
        <w:sz w:val="21"/>
        <w:szCs w:val="21"/>
        <w:lang w:val="en-US" w:eastAsia="zh-CN" w:bidi="ar-SA"/>
      </w:rPr>
    </w:lvl>
    <w:lvl w:ilvl="1">
      <w:start w:val="1"/>
      <w:numFmt w:val="decimal"/>
      <w:lvlText w:val="%1.%2"/>
      <w:lvlJc w:val="left"/>
      <w:pPr>
        <w:ind w:left="424" w:hanging="42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1845" w:hanging="420"/>
      </w:pPr>
      <w:rPr>
        <w:rFonts w:hint="default"/>
        <w:lang w:val="en-US" w:eastAsia="zh-CN" w:bidi="ar-SA"/>
      </w:rPr>
    </w:lvl>
    <w:lvl w:ilvl="3">
      <w:start w:val="0"/>
      <w:numFmt w:val="bullet"/>
      <w:lvlText w:val="•"/>
      <w:lvlJc w:val="left"/>
      <w:pPr>
        <w:ind w:left="2890" w:hanging="420"/>
      </w:pPr>
      <w:rPr>
        <w:rFonts w:hint="default"/>
        <w:lang w:val="en-US" w:eastAsia="zh-CN" w:bidi="ar-SA"/>
      </w:rPr>
    </w:lvl>
    <w:lvl w:ilvl="4">
      <w:start w:val="0"/>
      <w:numFmt w:val="bullet"/>
      <w:lvlText w:val="•"/>
      <w:lvlJc w:val="left"/>
      <w:pPr>
        <w:ind w:left="3935" w:hanging="420"/>
      </w:pPr>
      <w:rPr>
        <w:rFonts w:hint="default"/>
        <w:lang w:val="en-US" w:eastAsia="zh-CN" w:bidi="ar-SA"/>
      </w:rPr>
    </w:lvl>
    <w:lvl w:ilvl="5">
      <w:start w:val="0"/>
      <w:numFmt w:val="bullet"/>
      <w:lvlText w:val="•"/>
      <w:lvlJc w:val="left"/>
      <w:pPr>
        <w:ind w:left="4980" w:hanging="420"/>
      </w:pPr>
      <w:rPr>
        <w:rFonts w:hint="default"/>
        <w:lang w:val="en-US" w:eastAsia="zh-CN" w:bidi="ar-SA"/>
      </w:rPr>
    </w:lvl>
    <w:lvl w:ilvl="6">
      <w:start w:val="0"/>
      <w:numFmt w:val="bullet"/>
      <w:lvlText w:val="•"/>
      <w:lvlJc w:val="left"/>
      <w:pPr>
        <w:ind w:left="6026" w:hanging="420"/>
      </w:pPr>
      <w:rPr>
        <w:rFonts w:hint="default"/>
        <w:lang w:val="en-US" w:eastAsia="zh-CN" w:bidi="ar-SA"/>
      </w:rPr>
    </w:lvl>
    <w:lvl w:ilvl="7">
      <w:start w:val="0"/>
      <w:numFmt w:val="bullet"/>
      <w:lvlText w:val="•"/>
      <w:lvlJc w:val="left"/>
      <w:pPr>
        <w:ind w:left="7071" w:hanging="420"/>
      </w:pPr>
      <w:rPr>
        <w:rFonts w:hint="default"/>
        <w:lang w:val="en-US" w:eastAsia="zh-CN" w:bidi="ar-SA"/>
      </w:rPr>
    </w:lvl>
    <w:lvl w:ilvl="8">
      <w:start w:val="0"/>
      <w:numFmt w:val="bullet"/>
      <w:lvlText w:val="•"/>
      <w:lvlJc w:val="left"/>
      <w:pPr>
        <w:ind w:left="8116" w:hanging="420"/>
      </w:pPr>
      <w:rPr>
        <w:rFonts w:hint="default"/>
        <w:lang w:val="en-US" w:eastAsia="zh-CN" w:bidi="ar-SA"/>
      </w:rPr>
    </w:lvl>
  </w:abstractNum>
  <w:abstractNum w:abstractNumId="48">
    <w:nsid w:val="407F93A3"/>
    <w:multiLevelType w:val="hybridMultilevel"/>
    <w:tmpl w:val="00000000"/>
    <w:lvl w:ilvl="0">
      <w:start w:val="1"/>
      <w:numFmt w:val="decimal"/>
      <w:lvlText w:val="(%1)"/>
      <w:lvlJc w:val="left"/>
      <w:pPr>
        <w:ind w:left="1062" w:hanging="848"/>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48"/>
      </w:pPr>
      <w:rPr>
        <w:rFonts w:hint="default"/>
        <w:lang w:val="en-US" w:eastAsia="zh-CN" w:bidi="ar-SA"/>
      </w:rPr>
    </w:lvl>
    <w:lvl w:ilvl="2">
      <w:start w:val="0"/>
      <w:numFmt w:val="bullet"/>
      <w:lvlText w:val="•"/>
      <w:lvlJc w:val="left"/>
      <w:pPr>
        <w:ind w:left="2837" w:hanging="848"/>
      </w:pPr>
      <w:rPr>
        <w:rFonts w:hint="default"/>
        <w:lang w:val="en-US" w:eastAsia="zh-CN" w:bidi="ar-SA"/>
      </w:rPr>
    </w:lvl>
    <w:lvl w:ilvl="3">
      <w:start w:val="0"/>
      <w:numFmt w:val="bullet"/>
      <w:lvlText w:val="•"/>
      <w:lvlJc w:val="left"/>
      <w:pPr>
        <w:ind w:left="3726" w:hanging="848"/>
      </w:pPr>
      <w:rPr>
        <w:rFonts w:hint="default"/>
        <w:lang w:val="en-US" w:eastAsia="zh-CN" w:bidi="ar-SA"/>
      </w:rPr>
    </w:lvl>
    <w:lvl w:ilvl="4">
      <w:start w:val="0"/>
      <w:numFmt w:val="bullet"/>
      <w:lvlText w:val="•"/>
      <w:lvlJc w:val="left"/>
      <w:pPr>
        <w:ind w:left="4614" w:hanging="848"/>
      </w:pPr>
      <w:rPr>
        <w:rFonts w:hint="default"/>
        <w:lang w:val="en-US" w:eastAsia="zh-CN" w:bidi="ar-SA"/>
      </w:rPr>
    </w:lvl>
    <w:lvl w:ilvl="5">
      <w:start w:val="0"/>
      <w:numFmt w:val="bullet"/>
      <w:lvlText w:val="•"/>
      <w:lvlJc w:val="left"/>
      <w:pPr>
        <w:ind w:left="5503" w:hanging="848"/>
      </w:pPr>
      <w:rPr>
        <w:rFonts w:hint="default"/>
        <w:lang w:val="en-US" w:eastAsia="zh-CN" w:bidi="ar-SA"/>
      </w:rPr>
    </w:lvl>
    <w:lvl w:ilvl="6">
      <w:start w:val="0"/>
      <w:numFmt w:val="bullet"/>
      <w:lvlText w:val="•"/>
      <w:lvlJc w:val="left"/>
      <w:pPr>
        <w:ind w:left="6392" w:hanging="848"/>
      </w:pPr>
      <w:rPr>
        <w:rFonts w:hint="default"/>
        <w:lang w:val="en-US" w:eastAsia="zh-CN" w:bidi="ar-SA"/>
      </w:rPr>
    </w:lvl>
    <w:lvl w:ilvl="7">
      <w:start w:val="0"/>
      <w:numFmt w:val="bullet"/>
      <w:lvlText w:val="•"/>
      <w:lvlJc w:val="left"/>
      <w:pPr>
        <w:ind w:left="7280" w:hanging="848"/>
      </w:pPr>
      <w:rPr>
        <w:rFonts w:hint="default"/>
        <w:lang w:val="en-US" w:eastAsia="zh-CN" w:bidi="ar-SA"/>
      </w:rPr>
    </w:lvl>
    <w:lvl w:ilvl="8">
      <w:start w:val="0"/>
      <w:numFmt w:val="bullet"/>
      <w:lvlText w:val="•"/>
      <w:lvlJc w:val="left"/>
      <w:pPr>
        <w:ind w:left="8169" w:hanging="848"/>
      </w:pPr>
      <w:rPr>
        <w:rFonts w:hint="default"/>
        <w:lang w:val="en-US" w:eastAsia="zh-CN" w:bidi="ar-SA"/>
      </w:rPr>
    </w:lvl>
  </w:abstractNum>
  <w:abstractNum w:abstractNumId="49">
    <w:nsid w:val="421C6FF7"/>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50">
    <w:nsid w:val="42C5FACF"/>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51">
    <w:nsid w:val="45D86B7F"/>
    <w:multiLevelType w:val="hybridMultilevel"/>
    <w:tmpl w:val="00000000"/>
    <w:lvl w:ilvl="0">
      <w:start w:val="1"/>
      <w:numFmt w:val="decimal"/>
      <w:lvlText w:val="%1."/>
      <w:lvlJc w:val="left"/>
      <w:pPr>
        <w:ind w:left="848" w:hanging="426"/>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6"/>
      </w:pPr>
      <w:rPr>
        <w:rFonts w:hint="default"/>
        <w:lang w:val="en-US" w:eastAsia="zh-CN" w:bidi="ar-SA"/>
      </w:rPr>
    </w:lvl>
    <w:lvl w:ilvl="2">
      <w:start w:val="0"/>
      <w:numFmt w:val="bullet"/>
      <w:lvlText w:val="•"/>
      <w:lvlJc w:val="left"/>
      <w:pPr>
        <w:ind w:left="2713" w:hanging="426"/>
      </w:pPr>
      <w:rPr>
        <w:rFonts w:hint="default"/>
        <w:lang w:val="en-US" w:eastAsia="zh-CN" w:bidi="ar-SA"/>
      </w:rPr>
    </w:lvl>
    <w:lvl w:ilvl="3">
      <w:start w:val="0"/>
      <w:numFmt w:val="bullet"/>
      <w:lvlText w:val="•"/>
      <w:lvlJc w:val="left"/>
      <w:pPr>
        <w:ind w:left="3650" w:hanging="426"/>
      </w:pPr>
      <w:rPr>
        <w:rFonts w:hint="default"/>
        <w:lang w:val="en-US" w:eastAsia="zh-CN" w:bidi="ar-SA"/>
      </w:rPr>
    </w:lvl>
    <w:lvl w:ilvl="4">
      <w:start w:val="0"/>
      <w:numFmt w:val="bullet"/>
      <w:lvlText w:val="•"/>
      <w:lvlJc w:val="left"/>
      <w:pPr>
        <w:ind w:left="4586" w:hanging="426"/>
      </w:pPr>
      <w:rPr>
        <w:rFonts w:hint="default"/>
        <w:lang w:val="en-US" w:eastAsia="zh-CN" w:bidi="ar-SA"/>
      </w:rPr>
    </w:lvl>
    <w:lvl w:ilvl="5">
      <w:start w:val="0"/>
      <w:numFmt w:val="bullet"/>
      <w:lvlText w:val="•"/>
      <w:lvlJc w:val="left"/>
      <w:pPr>
        <w:ind w:left="5523" w:hanging="426"/>
      </w:pPr>
      <w:rPr>
        <w:rFonts w:hint="default"/>
        <w:lang w:val="en-US" w:eastAsia="zh-CN" w:bidi="ar-SA"/>
      </w:rPr>
    </w:lvl>
    <w:lvl w:ilvl="6">
      <w:start w:val="0"/>
      <w:numFmt w:val="bullet"/>
      <w:lvlText w:val="•"/>
      <w:lvlJc w:val="left"/>
      <w:pPr>
        <w:ind w:left="6460" w:hanging="426"/>
      </w:pPr>
      <w:rPr>
        <w:rFonts w:hint="default"/>
        <w:lang w:val="en-US" w:eastAsia="zh-CN" w:bidi="ar-SA"/>
      </w:rPr>
    </w:lvl>
    <w:lvl w:ilvl="7">
      <w:start w:val="0"/>
      <w:numFmt w:val="bullet"/>
      <w:lvlText w:val="•"/>
      <w:lvlJc w:val="left"/>
      <w:pPr>
        <w:ind w:left="7396" w:hanging="426"/>
      </w:pPr>
      <w:rPr>
        <w:rFonts w:hint="default"/>
        <w:lang w:val="en-US" w:eastAsia="zh-CN" w:bidi="ar-SA"/>
      </w:rPr>
    </w:lvl>
    <w:lvl w:ilvl="8">
      <w:start w:val="0"/>
      <w:numFmt w:val="bullet"/>
      <w:lvlText w:val="•"/>
      <w:lvlJc w:val="left"/>
      <w:pPr>
        <w:ind w:left="8333" w:hanging="426"/>
      </w:pPr>
      <w:rPr>
        <w:rFonts w:hint="default"/>
        <w:lang w:val="en-US" w:eastAsia="zh-CN" w:bidi="ar-SA"/>
      </w:rPr>
    </w:lvl>
  </w:abstractNum>
  <w:abstractNum w:abstractNumId="52">
    <w:nsid w:val="47439571"/>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53">
    <w:nsid w:val="48BB6C5E"/>
    <w:multiLevelType w:val="hybridMultilevel"/>
    <w:tmpl w:val="00000000"/>
    <w:lvl w:ilvl="0">
      <w:start w:val="1"/>
      <w:numFmt w:val="decimal"/>
      <w:lvlText w:val="%1."/>
      <w:lvlJc w:val="left"/>
      <w:pPr>
        <w:ind w:left="638" w:hanging="424"/>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850" w:hanging="531"/>
        <w:jc w:val="left"/>
      </w:pPr>
      <w:rPr>
        <w:rFonts w:ascii="宋体" w:eastAsia="宋体" w:hAnsi="宋体" w:cs="宋体" w:hint="default"/>
        <w:b w:val="0"/>
        <w:bCs w:val="0"/>
        <w:i w:val="0"/>
        <w:iCs w:val="0"/>
        <w:w w:val="100"/>
        <w:sz w:val="19"/>
        <w:szCs w:val="19"/>
        <w:lang w:val="en-US" w:eastAsia="zh-CN" w:bidi="ar-SA"/>
      </w:rPr>
    </w:lvl>
    <w:lvl w:ilvl="2">
      <w:start w:val="1"/>
      <w:numFmt w:val="decimal"/>
      <w:lvlText w:val="（%3）"/>
      <w:lvlJc w:val="left"/>
      <w:pPr>
        <w:ind w:left="1274" w:hanging="531"/>
        <w:jc w:val="left"/>
      </w:pPr>
      <w:rPr>
        <w:rFonts w:ascii="宋体" w:eastAsia="宋体" w:hAnsi="宋体" w:cs="宋体" w:hint="default"/>
        <w:b w:val="0"/>
        <w:bCs w:val="0"/>
        <w:i w:val="0"/>
        <w:iCs w:val="0"/>
        <w:w w:val="100"/>
        <w:sz w:val="19"/>
        <w:szCs w:val="19"/>
        <w:lang w:val="en-US" w:eastAsia="zh-CN" w:bidi="ar-SA"/>
      </w:rPr>
    </w:lvl>
    <w:lvl w:ilvl="3">
      <w:start w:val="0"/>
      <w:numFmt w:val="bullet"/>
      <w:lvlText w:val="•"/>
      <w:lvlJc w:val="left"/>
      <w:pPr>
        <w:ind w:left="2363" w:hanging="531"/>
      </w:pPr>
      <w:rPr>
        <w:rFonts w:hint="default"/>
        <w:lang w:val="en-US" w:eastAsia="zh-CN" w:bidi="ar-SA"/>
      </w:rPr>
    </w:lvl>
    <w:lvl w:ilvl="4">
      <w:start w:val="0"/>
      <w:numFmt w:val="bullet"/>
      <w:lvlText w:val="•"/>
      <w:lvlJc w:val="left"/>
      <w:pPr>
        <w:ind w:left="3446" w:hanging="531"/>
      </w:pPr>
      <w:rPr>
        <w:rFonts w:hint="default"/>
        <w:lang w:val="en-US" w:eastAsia="zh-CN" w:bidi="ar-SA"/>
      </w:rPr>
    </w:lvl>
    <w:lvl w:ilvl="5">
      <w:start w:val="0"/>
      <w:numFmt w:val="bullet"/>
      <w:lvlText w:val="•"/>
      <w:lvlJc w:val="left"/>
      <w:pPr>
        <w:ind w:left="4530" w:hanging="531"/>
      </w:pPr>
      <w:rPr>
        <w:rFonts w:hint="default"/>
        <w:lang w:val="en-US" w:eastAsia="zh-CN" w:bidi="ar-SA"/>
      </w:rPr>
    </w:lvl>
    <w:lvl w:ilvl="6">
      <w:start w:val="0"/>
      <w:numFmt w:val="bullet"/>
      <w:lvlText w:val="•"/>
      <w:lvlJc w:val="left"/>
      <w:pPr>
        <w:ind w:left="5613" w:hanging="531"/>
      </w:pPr>
      <w:rPr>
        <w:rFonts w:hint="default"/>
        <w:lang w:val="en-US" w:eastAsia="zh-CN" w:bidi="ar-SA"/>
      </w:rPr>
    </w:lvl>
    <w:lvl w:ilvl="7">
      <w:start w:val="0"/>
      <w:numFmt w:val="bullet"/>
      <w:lvlText w:val="•"/>
      <w:lvlJc w:val="left"/>
      <w:pPr>
        <w:ind w:left="6696" w:hanging="531"/>
      </w:pPr>
      <w:rPr>
        <w:rFonts w:hint="default"/>
        <w:lang w:val="en-US" w:eastAsia="zh-CN" w:bidi="ar-SA"/>
      </w:rPr>
    </w:lvl>
    <w:lvl w:ilvl="8">
      <w:start w:val="0"/>
      <w:numFmt w:val="bullet"/>
      <w:lvlText w:val="•"/>
      <w:lvlJc w:val="left"/>
      <w:pPr>
        <w:ind w:left="7780" w:hanging="531"/>
      </w:pPr>
      <w:rPr>
        <w:rFonts w:hint="default"/>
        <w:lang w:val="en-US" w:eastAsia="zh-CN" w:bidi="ar-SA"/>
      </w:rPr>
    </w:lvl>
  </w:abstractNum>
  <w:abstractNum w:abstractNumId="54">
    <w:nsid w:val="4A8A3E5F"/>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55">
    <w:nsid w:val="4AD009A0"/>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56">
    <w:nsid w:val="4B9F7AD0"/>
    <w:multiLevelType w:val="hybridMultilevel"/>
    <w:tmpl w:val="00000000"/>
    <w:lvl w:ilvl="0">
      <w:start w:val="0"/>
      <w:numFmt w:val="bullet"/>
      <w:lvlText w:val=""/>
      <w:lvlJc w:val="left"/>
      <w:pPr>
        <w:ind w:left="974" w:hanging="420"/>
      </w:pPr>
      <w:rPr>
        <w:rFonts w:ascii="Wingdings" w:eastAsia="Wingdings" w:hAnsi="Wingdings" w:cs="Wingdings" w:hint="default"/>
        <w:b w:val="0"/>
        <w:bCs w:val="0"/>
        <w:i w:val="0"/>
        <w:iCs w:val="0"/>
        <w:w w:val="100"/>
        <w:sz w:val="21"/>
        <w:szCs w:val="21"/>
        <w:lang w:val="en-US" w:eastAsia="zh-CN" w:bidi="ar-SA"/>
      </w:rPr>
    </w:lvl>
    <w:lvl w:ilvl="1">
      <w:start w:val="0"/>
      <w:numFmt w:val="bullet"/>
      <w:lvlText w:val="•"/>
      <w:lvlJc w:val="left"/>
      <w:pPr>
        <w:ind w:left="1876" w:hanging="420"/>
      </w:pPr>
      <w:rPr>
        <w:rFonts w:hint="default"/>
        <w:lang w:val="en-US" w:eastAsia="zh-CN" w:bidi="ar-SA"/>
      </w:rPr>
    </w:lvl>
    <w:lvl w:ilvl="2">
      <w:start w:val="0"/>
      <w:numFmt w:val="bullet"/>
      <w:lvlText w:val="•"/>
      <w:lvlJc w:val="left"/>
      <w:pPr>
        <w:ind w:left="2773" w:hanging="420"/>
      </w:pPr>
      <w:rPr>
        <w:rFonts w:hint="default"/>
        <w:lang w:val="en-US" w:eastAsia="zh-CN" w:bidi="ar-SA"/>
      </w:rPr>
    </w:lvl>
    <w:lvl w:ilvl="3">
      <w:start w:val="0"/>
      <w:numFmt w:val="bullet"/>
      <w:lvlText w:val="•"/>
      <w:lvlJc w:val="left"/>
      <w:pPr>
        <w:ind w:left="3670" w:hanging="420"/>
      </w:pPr>
      <w:rPr>
        <w:rFonts w:hint="default"/>
        <w:lang w:val="en-US" w:eastAsia="zh-CN" w:bidi="ar-SA"/>
      </w:rPr>
    </w:lvl>
    <w:lvl w:ilvl="4">
      <w:start w:val="0"/>
      <w:numFmt w:val="bullet"/>
      <w:lvlText w:val="•"/>
      <w:lvlJc w:val="left"/>
      <w:pPr>
        <w:ind w:left="4566" w:hanging="420"/>
      </w:pPr>
      <w:rPr>
        <w:rFonts w:hint="default"/>
        <w:lang w:val="en-US" w:eastAsia="zh-CN" w:bidi="ar-SA"/>
      </w:rPr>
    </w:lvl>
    <w:lvl w:ilvl="5">
      <w:start w:val="0"/>
      <w:numFmt w:val="bullet"/>
      <w:lvlText w:val="•"/>
      <w:lvlJc w:val="left"/>
      <w:pPr>
        <w:ind w:left="5463" w:hanging="420"/>
      </w:pPr>
      <w:rPr>
        <w:rFonts w:hint="default"/>
        <w:lang w:val="en-US" w:eastAsia="zh-CN" w:bidi="ar-SA"/>
      </w:rPr>
    </w:lvl>
    <w:lvl w:ilvl="6">
      <w:start w:val="0"/>
      <w:numFmt w:val="bullet"/>
      <w:lvlText w:val="•"/>
      <w:lvlJc w:val="left"/>
      <w:pPr>
        <w:ind w:left="6360" w:hanging="420"/>
      </w:pPr>
      <w:rPr>
        <w:rFonts w:hint="default"/>
        <w:lang w:val="en-US" w:eastAsia="zh-CN" w:bidi="ar-SA"/>
      </w:rPr>
    </w:lvl>
    <w:lvl w:ilvl="7">
      <w:start w:val="0"/>
      <w:numFmt w:val="bullet"/>
      <w:lvlText w:val="•"/>
      <w:lvlJc w:val="left"/>
      <w:pPr>
        <w:ind w:left="7256" w:hanging="420"/>
      </w:pPr>
      <w:rPr>
        <w:rFonts w:hint="default"/>
        <w:lang w:val="en-US" w:eastAsia="zh-CN" w:bidi="ar-SA"/>
      </w:rPr>
    </w:lvl>
    <w:lvl w:ilvl="8">
      <w:start w:val="0"/>
      <w:numFmt w:val="bullet"/>
      <w:lvlText w:val="•"/>
      <w:lvlJc w:val="left"/>
      <w:pPr>
        <w:ind w:left="8153" w:hanging="420"/>
      </w:pPr>
      <w:rPr>
        <w:rFonts w:hint="default"/>
        <w:lang w:val="en-US" w:eastAsia="zh-CN" w:bidi="ar-SA"/>
      </w:rPr>
    </w:lvl>
  </w:abstractNum>
  <w:abstractNum w:abstractNumId="57">
    <w:nsid w:val="4CC93566"/>
    <w:multiLevelType w:val="hybridMultilevel"/>
    <w:tmpl w:val="00000000"/>
    <w:lvl w:ilvl="0">
      <w:start w:val="0"/>
      <w:numFmt w:val="bullet"/>
      <w:lvlText w:val=""/>
      <w:lvlJc w:val="left"/>
      <w:pPr>
        <w:ind w:left="1201" w:hanging="420"/>
      </w:pPr>
      <w:rPr>
        <w:rFonts w:ascii="Wingdings" w:eastAsia="Wingdings" w:hAnsi="Wingdings" w:cs="Wingdings" w:hint="default"/>
        <w:b w:val="0"/>
        <w:bCs w:val="0"/>
        <w:i w:val="0"/>
        <w:iCs w:val="0"/>
        <w:w w:val="100"/>
        <w:sz w:val="21"/>
        <w:szCs w:val="21"/>
        <w:lang w:val="en-US" w:eastAsia="zh-CN" w:bidi="ar-SA"/>
      </w:rPr>
    </w:lvl>
    <w:lvl w:ilvl="1">
      <w:start w:val="0"/>
      <w:numFmt w:val="bullet"/>
      <w:lvlText w:val="•"/>
      <w:lvlJc w:val="left"/>
      <w:pPr>
        <w:ind w:left="2074" w:hanging="420"/>
      </w:pPr>
      <w:rPr>
        <w:rFonts w:hint="default"/>
        <w:lang w:val="en-US" w:eastAsia="zh-CN" w:bidi="ar-SA"/>
      </w:rPr>
    </w:lvl>
    <w:lvl w:ilvl="2">
      <w:start w:val="0"/>
      <w:numFmt w:val="bullet"/>
      <w:lvlText w:val="•"/>
      <w:lvlJc w:val="left"/>
      <w:pPr>
        <w:ind w:left="2949" w:hanging="420"/>
      </w:pPr>
      <w:rPr>
        <w:rFonts w:hint="default"/>
        <w:lang w:val="en-US" w:eastAsia="zh-CN" w:bidi="ar-SA"/>
      </w:rPr>
    </w:lvl>
    <w:lvl w:ilvl="3">
      <w:start w:val="0"/>
      <w:numFmt w:val="bullet"/>
      <w:lvlText w:val="•"/>
      <w:lvlJc w:val="left"/>
      <w:pPr>
        <w:ind w:left="3824" w:hanging="420"/>
      </w:pPr>
      <w:rPr>
        <w:rFonts w:hint="default"/>
        <w:lang w:val="en-US" w:eastAsia="zh-CN" w:bidi="ar-SA"/>
      </w:rPr>
    </w:lvl>
    <w:lvl w:ilvl="4">
      <w:start w:val="0"/>
      <w:numFmt w:val="bullet"/>
      <w:lvlText w:val="•"/>
      <w:lvlJc w:val="left"/>
      <w:pPr>
        <w:ind w:left="4698" w:hanging="420"/>
      </w:pPr>
      <w:rPr>
        <w:rFonts w:hint="default"/>
        <w:lang w:val="en-US" w:eastAsia="zh-CN" w:bidi="ar-SA"/>
      </w:rPr>
    </w:lvl>
    <w:lvl w:ilvl="5">
      <w:start w:val="0"/>
      <w:numFmt w:val="bullet"/>
      <w:lvlText w:val="•"/>
      <w:lvlJc w:val="left"/>
      <w:pPr>
        <w:ind w:left="5573" w:hanging="420"/>
      </w:pPr>
      <w:rPr>
        <w:rFonts w:hint="default"/>
        <w:lang w:val="en-US" w:eastAsia="zh-CN" w:bidi="ar-SA"/>
      </w:rPr>
    </w:lvl>
    <w:lvl w:ilvl="6">
      <w:start w:val="0"/>
      <w:numFmt w:val="bullet"/>
      <w:lvlText w:val="•"/>
      <w:lvlJc w:val="left"/>
      <w:pPr>
        <w:ind w:left="6448" w:hanging="420"/>
      </w:pPr>
      <w:rPr>
        <w:rFonts w:hint="default"/>
        <w:lang w:val="en-US" w:eastAsia="zh-CN" w:bidi="ar-SA"/>
      </w:rPr>
    </w:lvl>
    <w:lvl w:ilvl="7">
      <w:start w:val="0"/>
      <w:numFmt w:val="bullet"/>
      <w:lvlText w:val="•"/>
      <w:lvlJc w:val="left"/>
      <w:pPr>
        <w:ind w:left="7322" w:hanging="420"/>
      </w:pPr>
      <w:rPr>
        <w:rFonts w:hint="default"/>
        <w:lang w:val="en-US" w:eastAsia="zh-CN" w:bidi="ar-SA"/>
      </w:rPr>
    </w:lvl>
    <w:lvl w:ilvl="8">
      <w:start w:val="0"/>
      <w:numFmt w:val="bullet"/>
      <w:lvlText w:val="•"/>
      <w:lvlJc w:val="left"/>
      <w:pPr>
        <w:ind w:left="8197" w:hanging="420"/>
      </w:pPr>
      <w:rPr>
        <w:rFonts w:hint="default"/>
        <w:lang w:val="en-US" w:eastAsia="zh-CN" w:bidi="ar-SA"/>
      </w:rPr>
    </w:lvl>
  </w:abstractNum>
  <w:abstractNum w:abstractNumId="58">
    <w:nsid w:val="4EBEED53"/>
    <w:multiLevelType w:val="hybridMultilevel"/>
    <w:tmpl w:val="00000000"/>
    <w:lvl w:ilvl="0">
      <w:start w:val="1"/>
      <w:numFmt w:val="decimal"/>
      <w:lvlText w:val="%1."/>
      <w:lvlJc w:val="left"/>
      <w:pPr>
        <w:ind w:left="783" w:hanging="36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22" w:hanging="360"/>
      </w:pPr>
      <w:rPr>
        <w:rFonts w:hint="default"/>
        <w:lang w:val="en-US" w:eastAsia="zh-CN" w:bidi="ar-SA"/>
      </w:rPr>
    </w:lvl>
    <w:lvl w:ilvl="2">
      <w:start w:val="0"/>
      <w:numFmt w:val="bullet"/>
      <w:lvlText w:val="•"/>
      <w:lvlJc w:val="left"/>
      <w:pPr>
        <w:ind w:left="2665" w:hanging="360"/>
      </w:pPr>
      <w:rPr>
        <w:rFonts w:hint="default"/>
        <w:lang w:val="en-US" w:eastAsia="zh-CN" w:bidi="ar-SA"/>
      </w:rPr>
    </w:lvl>
    <w:lvl w:ilvl="3">
      <w:start w:val="0"/>
      <w:numFmt w:val="bullet"/>
      <w:lvlText w:val="•"/>
      <w:lvlJc w:val="left"/>
      <w:pPr>
        <w:ind w:left="3608" w:hanging="360"/>
      </w:pPr>
      <w:rPr>
        <w:rFonts w:hint="default"/>
        <w:lang w:val="en-US" w:eastAsia="zh-CN" w:bidi="ar-SA"/>
      </w:rPr>
    </w:lvl>
    <w:lvl w:ilvl="4">
      <w:start w:val="0"/>
      <w:numFmt w:val="bullet"/>
      <w:lvlText w:val="•"/>
      <w:lvlJc w:val="left"/>
      <w:pPr>
        <w:ind w:left="4550" w:hanging="360"/>
      </w:pPr>
      <w:rPr>
        <w:rFonts w:hint="default"/>
        <w:lang w:val="en-US" w:eastAsia="zh-CN" w:bidi="ar-SA"/>
      </w:rPr>
    </w:lvl>
    <w:lvl w:ilvl="5">
      <w:start w:val="0"/>
      <w:numFmt w:val="bullet"/>
      <w:lvlText w:val="•"/>
      <w:lvlJc w:val="left"/>
      <w:pPr>
        <w:ind w:left="5493" w:hanging="360"/>
      </w:pPr>
      <w:rPr>
        <w:rFonts w:hint="default"/>
        <w:lang w:val="en-US" w:eastAsia="zh-CN" w:bidi="ar-SA"/>
      </w:rPr>
    </w:lvl>
    <w:lvl w:ilvl="6">
      <w:start w:val="0"/>
      <w:numFmt w:val="bullet"/>
      <w:lvlText w:val="•"/>
      <w:lvlJc w:val="left"/>
      <w:pPr>
        <w:ind w:left="6436" w:hanging="360"/>
      </w:pPr>
      <w:rPr>
        <w:rFonts w:hint="default"/>
        <w:lang w:val="en-US" w:eastAsia="zh-CN" w:bidi="ar-SA"/>
      </w:rPr>
    </w:lvl>
    <w:lvl w:ilvl="7">
      <w:start w:val="0"/>
      <w:numFmt w:val="bullet"/>
      <w:lvlText w:val="•"/>
      <w:lvlJc w:val="left"/>
      <w:pPr>
        <w:ind w:left="7378" w:hanging="360"/>
      </w:pPr>
      <w:rPr>
        <w:rFonts w:hint="default"/>
        <w:lang w:val="en-US" w:eastAsia="zh-CN" w:bidi="ar-SA"/>
      </w:rPr>
    </w:lvl>
    <w:lvl w:ilvl="8">
      <w:start w:val="0"/>
      <w:numFmt w:val="bullet"/>
      <w:lvlText w:val="•"/>
      <w:lvlJc w:val="left"/>
      <w:pPr>
        <w:ind w:left="8321" w:hanging="360"/>
      </w:pPr>
      <w:rPr>
        <w:rFonts w:hint="default"/>
        <w:lang w:val="en-US" w:eastAsia="zh-CN" w:bidi="ar-SA"/>
      </w:rPr>
    </w:lvl>
  </w:abstractNum>
  <w:abstractNum w:abstractNumId="59">
    <w:nsid w:val="4F931210"/>
    <w:multiLevelType w:val="hybridMultilevel"/>
    <w:tmpl w:val="00000000"/>
    <w:lvl w:ilvl="0">
      <w:start w:val="0"/>
      <w:numFmt w:val="bullet"/>
      <w:lvlText w:val=""/>
      <w:lvlJc w:val="left"/>
      <w:pPr>
        <w:ind w:left="1062" w:hanging="424"/>
      </w:pPr>
      <w:rPr>
        <w:rFonts w:ascii="Wingdings" w:eastAsia="Wingdings" w:hAnsi="Wingdings" w:cs="Wingdings" w:hint="default"/>
        <w:b w:val="0"/>
        <w:bCs w:val="0"/>
        <w:i w:val="0"/>
        <w:iCs w:val="0"/>
        <w:w w:val="100"/>
        <w:sz w:val="21"/>
        <w:szCs w:val="21"/>
        <w:lang w:val="en-US" w:eastAsia="zh-CN" w:bidi="ar-SA"/>
      </w:rPr>
    </w:lvl>
    <w:lvl w:ilvl="1">
      <w:start w:val="0"/>
      <w:numFmt w:val="bullet"/>
      <w:lvlText w:val=""/>
      <w:lvlJc w:val="left"/>
      <w:pPr>
        <w:ind w:left="1486" w:hanging="424"/>
      </w:pPr>
      <w:rPr>
        <w:rFonts w:ascii="Wingdings" w:eastAsia="Wingdings" w:hAnsi="Wingdings" w:cs="Wingdings" w:hint="default"/>
        <w:b w:val="0"/>
        <w:bCs w:val="0"/>
        <w:i w:val="0"/>
        <w:iCs w:val="0"/>
        <w:w w:val="100"/>
        <w:sz w:val="21"/>
        <w:szCs w:val="21"/>
        <w:lang w:val="en-US" w:eastAsia="zh-CN" w:bidi="ar-SA"/>
      </w:rPr>
    </w:lvl>
    <w:lvl w:ilvl="2">
      <w:start w:val="0"/>
      <w:numFmt w:val="bullet"/>
      <w:lvlText w:val="•"/>
      <w:lvlJc w:val="left"/>
      <w:pPr>
        <w:ind w:left="2420" w:hanging="424"/>
      </w:pPr>
      <w:rPr>
        <w:rFonts w:hint="default"/>
        <w:lang w:val="en-US" w:eastAsia="zh-CN" w:bidi="ar-SA"/>
      </w:rPr>
    </w:lvl>
    <w:lvl w:ilvl="3">
      <w:start w:val="0"/>
      <w:numFmt w:val="bullet"/>
      <w:lvlText w:val="•"/>
      <w:lvlJc w:val="left"/>
      <w:pPr>
        <w:ind w:left="3361" w:hanging="424"/>
      </w:pPr>
      <w:rPr>
        <w:rFonts w:hint="default"/>
        <w:lang w:val="en-US" w:eastAsia="zh-CN" w:bidi="ar-SA"/>
      </w:rPr>
    </w:lvl>
    <w:lvl w:ilvl="4">
      <w:start w:val="0"/>
      <w:numFmt w:val="bullet"/>
      <w:lvlText w:val="•"/>
      <w:lvlJc w:val="left"/>
      <w:pPr>
        <w:ind w:left="4302" w:hanging="424"/>
      </w:pPr>
      <w:rPr>
        <w:rFonts w:hint="default"/>
        <w:lang w:val="en-US" w:eastAsia="zh-CN" w:bidi="ar-SA"/>
      </w:rPr>
    </w:lvl>
    <w:lvl w:ilvl="5">
      <w:start w:val="0"/>
      <w:numFmt w:val="bullet"/>
      <w:lvlText w:val="•"/>
      <w:lvlJc w:val="left"/>
      <w:pPr>
        <w:ind w:left="5243" w:hanging="424"/>
      </w:pPr>
      <w:rPr>
        <w:rFonts w:hint="default"/>
        <w:lang w:val="en-US" w:eastAsia="zh-CN" w:bidi="ar-SA"/>
      </w:rPr>
    </w:lvl>
    <w:lvl w:ilvl="6">
      <w:start w:val="0"/>
      <w:numFmt w:val="bullet"/>
      <w:lvlText w:val="•"/>
      <w:lvlJc w:val="left"/>
      <w:pPr>
        <w:ind w:left="6183" w:hanging="424"/>
      </w:pPr>
      <w:rPr>
        <w:rFonts w:hint="default"/>
        <w:lang w:val="en-US" w:eastAsia="zh-CN" w:bidi="ar-SA"/>
      </w:rPr>
    </w:lvl>
    <w:lvl w:ilvl="7">
      <w:start w:val="0"/>
      <w:numFmt w:val="bullet"/>
      <w:lvlText w:val="•"/>
      <w:lvlJc w:val="left"/>
      <w:pPr>
        <w:ind w:left="7124" w:hanging="424"/>
      </w:pPr>
      <w:rPr>
        <w:rFonts w:hint="default"/>
        <w:lang w:val="en-US" w:eastAsia="zh-CN" w:bidi="ar-SA"/>
      </w:rPr>
    </w:lvl>
    <w:lvl w:ilvl="8">
      <w:start w:val="0"/>
      <w:numFmt w:val="bullet"/>
      <w:lvlText w:val="•"/>
      <w:lvlJc w:val="left"/>
      <w:pPr>
        <w:ind w:left="8065" w:hanging="424"/>
      </w:pPr>
      <w:rPr>
        <w:rFonts w:hint="default"/>
        <w:lang w:val="en-US" w:eastAsia="zh-CN" w:bidi="ar-SA"/>
      </w:rPr>
    </w:lvl>
  </w:abstractNum>
  <w:abstractNum w:abstractNumId="60">
    <w:nsid w:val="4FF5E285"/>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1"/>
      <w:numFmt w:val="lowerLetter"/>
      <w:lvlText w:val="%2)"/>
      <w:lvlJc w:val="left"/>
      <w:pPr>
        <w:ind w:left="1604" w:hanging="36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556" w:hanging="360"/>
      </w:pPr>
      <w:rPr>
        <w:rFonts w:hint="default"/>
        <w:lang w:val="en-US" w:eastAsia="zh-CN" w:bidi="ar-SA"/>
      </w:rPr>
    </w:lvl>
    <w:lvl w:ilvl="3">
      <w:start w:val="0"/>
      <w:numFmt w:val="bullet"/>
      <w:lvlText w:val="•"/>
      <w:lvlJc w:val="left"/>
      <w:pPr>
        <w:ind w:left="3512" w:hanging="360"/>
      </w:pPr>
      <w:rPr>
        <w:rFonts w:hint="default"/>
        <w:lang w:val="en-US" w:eastAsia="zh-CN" w:bidi="ar-SA"/>
      </w:rPr>
    </w:lvl>
    <w:lvl w:ilvl="4">
      <w:start w:val="0"/>
      <w:numFmt w:val="bullet"/>
      <w:lvlText w:val="•"/>
      <w:lvlJc w:val="left"/>
      <w:pPr>
        <w:ind w:left="4469" w:hanging="360"/>
      </w:pPr>
      <w:rPr>
        <w:rFonts w:hint="default"/>
        <w:lang w:val="en-US" w:eastAsia="zh-CN" w:bidi="ar-SA"/>
      </w:rPr>
    </w:lvl>
    <w:lvl w:ilvl="5">
      <w:start w:val="0"/>
      <w:numFmt w:val="bullet"/>
      <w:lvlText w:val="•"/>
      <w:lvlJc w:val="left"/>
      <w:pPr>
        <w:ind w:left="5425" w:hanging="360"/>
      </w:pPr>
      <w:rPr>
        <w:rFonts w:hint="default"/>
        <w:lang w:val="en-US" w:eastAsia="zh-CN" w:bidi="ar-SA"/>
      </w:rPr>
    </w:lvl>
    <w:lvl w:ilvl="6">
      <w:start w:val="0"/>
      <w:numFmt w:val="bullet"/>
      <w:lvlText w:val="•"/>
      <w:lvlJc w:val="left"/>
      <w:pPr>
        <w:ind w:left="6381" w:hanging="360"/>
      </w:pPr>
      <w:rPr>
        <w:rFonts w:hint="default"/>
        <w:lang w:val="en-US" w:eastAsia="zh-CN" w:bidi="ar-SA"/>
      </w:rPr>
    </w:lvl>
    <w:lvl w:ilvl="7">
      <w:start w:val="0"/>
      <w:numFmt w:val="bullet"/>
      <w:lvlText w:val="•"/>
      <w:lvlJc w:val="left"/>
      <w:pPr>
        <w:ind w:left="7338" w:hanging="360"/>
      </w:pPr>
      <w:rPr>
        <w:rFonts w:hint="default"/>
        <w:lang w:val="en-US" w:eastAsia="zh-CN" w:bidi="ar-SA"/>
      </w:rPr>
    </w:lvl>
    <w:lvl w:ilvl="8">
      <w:start w:val="0"/>
      <w:numFmt w:val="bullet"/>
      <w:lvlText w:val="•"/>
      <w:lvlJc w:val="left"/>
      <w:pPr>
        <w:ind w:left="8294" w:hanging="360"/>
      </w:pPr>
      <w:rPr>
        <w:rFonts w:hint="default"/>
        <w:lang w:val="en-US" w:eastAsia="zh-CN" w:bidi="ar-SA"/>
      </w:rPr>
    </w:lvl>
  </w:abstractNum>
  <w:abstractNum w:abstractNumId="61">
    <w:nsid w:val="51776BA5"/>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62">
    <w:nsid w:val="5387E3F4"/>
    <w:multiLevelType w:val="hybridMultilevel"/>
    <w:tmpl w:val="00000000"/>
    <w:lvl w:ilvl="0">
      <w:start w:val="1"/>
      <w:numFmt w:val="decimal"/>
      <w:lvlText w:val="%1."/>
      <w:lvlJc w:val="left"/>
      <w:pPr>
        <w:ind w:left="744"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660" w:hanging="424"/>
      </w:pPr>
      <w:rPr>
        <w:rFonts w:hint="default"/>
        <w:lang w:val="en-US" w:eastAsia="zh-CN" w:bidi="ar-SA"/>
      </w:rPr>
    </w:lvl>
    <w:lvl w:ilvl="2">
      <w:start w:val="0"/>
      <w:numFmt w:val="bullet"/>
      <w:lvlText w:val="•"/>
      <w:lvlJc w:val="left"/>
      <w:pPr>
        <w:ind w:left="2581" w:hanging="424"/>
      </w:pPr>
      <w:rPr>
        <w:rFonts w:hint="default"/>
        <w:lang w:val="en-US" w:eastAsia="zh-CN" w:bidi="ar-SA"/>
      </w:rPr>
    </w:lvl>
    <w:lvl w:ilvl="3">
      <w:start w:val="0"/>
      <w:numFmt w:val="bullet"/>
      <w:lvlText w:val="•"/>
      <w:lvlJc w:val="left"/>
      <w:pPr>
        <w:ind w:left="3502" w:hanging="424"/>
      </w:pPr>
      <w:rPr>
        <w:rFonts w:hint="default"/>
        <w:lang w:val="en-US" w:eastAsia="zh-CN" w:bidi="ar-SA"/>
      </w:rPr>
    </w:lvl>
    <w:lvl w:ilvl="4">
      <w:start w:val="0"/>
      <w:numFmt w:val="bullet"/>
      <w:lvlText w:val="•"/>
      <w:lvlJc w:val="left"/>
      <w:pPr>
        <w:ind w:left="4422" w:hanging="424"/>
      </w:pPr>
      <w:rPr>
        <w:rFonts w:hint="default"/>
        <w:lang w:val="en-US" w:eastAsia="zh-CN" w:bidi="ar-SA"/>
      </w:rPr>
    </w:lvl>
    <w:lvl w:ilvl="5">
      <w:start w:val="0"/>
      <w:numFmt w:val="bullet"/>
      <w:lvlText w:val="•"/>
      <w:lvlJc w:val="left"/>
      <w:pPr>
        <w:ind w:left="5343" w:hanging="424"/>
      </w:pPr>
      <w:rPr>
        <w:rFonts w:hint="default"/>
        <w:lang w:val="en-US" w:eastAsia="zh-CN" w:bidi="ar-SA"/>
      </w:rPr>
    </w:lvl>
    <w:lvl w:ilvl="6">
      <w:start w:val="0"/>
      <w:numFmt w:val="bullet"/>
      <w:lvlText w:val="•"/>
      <w:lvlJc w:val="left"/>
      <w:pPr>
        <w:ind w:left="6264" w:hanging="424"/>
      </w:pPr>
      <w:rPr>
        <w:rFonts w:hint="default"/>
        <w:lang w:val="en-US" w:eastAsia="zh-CN" w:bidi="ar-SA"/>
      </w:rPr>
    </w:lvl>
    <w:lvl w:ilvl="7">
      <w:start w:val="0"/>
      <w:numFmt w:val="bullet"/>
      <w:lvlText w:val="•"/>
      <w:lvlJc w:val="left"/>
      <w:pPr>
        <w:ind w:left="7184" w:hanging="424"/>
      </w:pPr>
      <w:rPr>
        <w:rFonts w:hint="default"/>
        <w:lang w:val="en-US" w:eastAsia="zh-CN" w:bidi="ar-SA"/>
      </w:rPr>
    </w:lvl>
    <w:lvl w:ilvl="8">
      <w:start w:val="0"/>
      <w:numFmt w:val="bullet"/>
      <w:lvlText w:val="•"/>
      <w:lvlJc w:val="left"/>
      <w:pPr>
        <w:ind w:left="8105" w:hanging="424"/>
      </w:pPr>
      <w:rPr>
        <w:rFonts w:hint="default"/>
        <w:lang w:val="en-US" w:eastAsia="zh-CN" w:bidi="ar-SA"/>
      </w:rPr>
    </w:lvl>
  </w:abstractNum>
  <w:abstractNum w:abstractNumId="63">
    <w:nsid w:val="553655AF"/>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64">
    <w:nsid w:val="555DF00C"/>
    <w:multiLevelType w:val="hybridMultilevel"/>
    <w:tmpl w:val="00000000"/>
    <w:lvl w:ilvl="0">
      <w:start w:val="1"/>
      <w:numFmt w:val="decimal"/>
      <w:lvlText w:val="%1."/>
      <w:lvlJc w:val="left"/>
      <w:pPr>
        <w:ind w:left="850"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68" w:hanging="424"/>
      </w:pPr>
      <w:rPr>
        <w:rFonts w:hint="default"/>
        <w:lang w:val="en-US" w:eastAsia="zh-CN" w:bidi="ar-SA"/>
      </w:rPr>
    </w:lvl>
    <w:lvl w:ilvl="2">
      <w:start w:val="0"/>
      <w:numFmt w:val="bullet"/>
      <w:lvlText w:val="•"/>
      <w:lvlJc w:val="left"/>
      <w:pPr>
        <w:ind w:left="2677" w:hanging="424"/>
      </w:pPr>
      <w:rPr>
        <w:rFonts w:hint="default"/>
        <w:lang w:val="en-US" w:eastAsia="zh-CN" w:bidi="ar-SA"/>
      </w:rPr>
    </w:lvl>
    <w:lvl w:ilvl="3">
      <w:start w:val="0"/>
      <w:numFmt w:val="bullet"/>
      <w:lvlText w:val="•"/>
      <w:lvlJc w:val="left"/>
      <w:pPr>
        <w:ind w:left="3586" w:hanging="424"/>
      </w:pPr>
      <w:rPr>
        <w:rFonts w:hint="default"/>
        <w:lang w:val="en-US" w:eastAsia="zh-CN" w:bidi="ar-SA"/>
      </w:rPr>
    </w:lvl>
    <w:lvl w:ilvl="4">
      <w:start w:val="0"/>
      <w:numFmt w:val="bullet"/>
      <w:lvlText w:val="•"/>
      <w:lvlJc w:val="left"/>
      <w:pPr>
        <w:ind w:left="4494" w:hanging="424"/>
      </w:pPr>
      <w:rPr>
        <w:rFonts w:hint="default"/>
        <w:lang w:val="en-US" w:eastAsia="zh-CN" w:bidi="ar-SA"/>
      </w:rPr>
    </w:lvl>
    <w:lvl w:ilvl="5">
      <w:start w:val="0"/>
      <w:numFmt w:val="bullet"/>
      <w:lvlText w:val="•"/>
      <w:lvlJc w:val="left"/>
      <w:pPr>
        <w:ind w:left="5403" w:hanging="424"/>
      </w:pPr>
      <w:rPr>
        <w:rFonts w:hint="default"/>
        <w:lang w:val="en-US" w:eastAsia="zh-CN" w:bidi="ar-SA"/>
      </w:rPr>
    </w:lvl>
    <w:lvl w:ilvl="6">
      <w:start w:val="0"/>
      <w:numFmt w:val="bullet"/>
      <w:lvlText w:val="•"/>
      <w:lvlJc w:val="left"/>
      <w:pPr>
        <w:ind w:left="6312" w:hanging="424"/>
      </w:pPr>
      <w:rPr>
        <w:rFonts w:hint="default"/>
        <w:lang w:val="en-US" w:eastAsia="zh-CN" w:bidi="ar-SA"/>
      </w:rPr>
    </w:lvl>
    <w:lvl w:ilvl="7">
      <w:start w:val="0"/>
      <w:numFmt w:val="bullet"/>
      <w:lvlText w:val="•"/>
      <w:lvlJc w:val="left"/>
      <w:pPr>
        <w:ind w:left="7220" w:hanging="424"/>
      </w:pPr>
      <w:rPr>
        <w:rFonts w:hint="default"/>
        <w:lang w:val="en-US" w:eastAsia="zh-CN" w:bidi="ar-SA"/>
      </w:rPr>
    </w:lvl>
    <w:lvl w:ilvl="8">
      <w:start w:val="0"/>
      <w:numFmt w:val="bullet"/>
      <w:lvlText w:val="•"/>
      <w:lvlJc w:val="left"/>
      <w:pPr>
        <w:ind w:left="8129" w:hanging="424"/>
      </w:pPr>
      <w:rPr>
        <w:rFonts w:hint="default"/>
        <w:lang w:val="en-US" w:eastAsia="zh-CN" w:bidi="ar-SA"/>
      </w:rPr>
    </w:lvl>
  </w:abstractNum>
  <w:abstractNum w:abstractNumId="65">
    <w:nsid w:val="558E6A3E"/>
    <w:multiLevelType w:val="hybridMultilevel"/>
    <w:tmpl w:val="00000000"/>
    <w:lvl w:ilvl="0">
      <w:start w:val="1"/>
      <w:numFmt w:val="decimal"/>
      <w:lvlText w:val="%1."/>
      <w:lvlJc w:val="left"/>
      <w:pPr>
        <w:ind w:left="848"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66">
    <w:nsid w:val="5668DB13"/>
    <w:multiLevelType w:val="hybridMultilevel"/>
    <w:tmpl w:val="00000000"/>
    <w:lvl w:ilvl="0">
      <w:start w:val="1"/>
      <w:numFmt w:val="decimal"/>
      <w:lvlText w:val="(%1)"/>
      <w:lvlJc w:val="left"/>
      <w:pPr>
        <w:ind w:left="1061" w:hanging="848"/>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48"/>
      </w:pPr>
      <w:rPr>
        <w:rFonts w:hint="default"/>
        <w:lang w:val="en-US" w:eastAsia="zh-CN" w:bidi="ar-SA"/>
      </w:rPr>
    </w:lvl>
    <w:lvl w:ilvl="2">
      <w:start w:val="0"/>
      <w:numFmt w:val="bullet"/>
      <w:lvlText w:val="•"/>
      <w:lvlJc w:val="left"/>
      <w:pPr>
        <w:ind w:left="2837" w:hanging="848"/>
      </w:pPr>
      <w:rPr>
        <w:rFonts w:hint="default"/>
        <w:lang w:val="en-US" w:eastAsia="zh-CN" w:bidi="ar-SA"/>
      </w:rPr>
    </w:lvl>
    <w:lvl w:ilvl="3">
      <w:start w:val="0"/>
      <w:numFmt w:val="bullet"/>
      <w:lvlText w:val="•"/>
      <w:lvlJc w:val="left"/>
      <w:pPr>
        <w:ind w:left="3726" w:hanging="848"/>
      </w:pPr>
      <w:rPr>
        <w:rFonts w:hint="default"/>
        <w:lang w:val="en-US" w:eastAsia="zh-CN" w:bidi="ar-SA"/>
      </w:rPr>
    </w:lvl>
    <w:lvl w:ilvl="4">
      <w:start w:val="0"/>
      <w:numFmt w:val="bullet"/>
      <w:lvlText w:val="•"/>
      <w:lvlJc w:val="left"/>
      <w:pPr>
        <w:ind w:left="4614" w:hanging="848"/>
      </w:pPr>
      <w:rPr>
        <w:rFonts w:hint="default"/>
        <w:lang w:val="en-US" w:eastAsia="zh-CN" w:bidi="ar-SA"/>
      </w:rPr>
    </w:lvl>
    <w:lvl w:ilvl="5">
      <w:start w:val="0"/>
      <w:numFmt w:val="bullet"/>
      <w:lvlText w:val="•"/>
      <w:lvlJc w:val="left"/>
      <w:pPr>
        <w:ind w:left="5503" w:hanging="848"/>
      </w:pPr>
      <w:rPr>
        <w:rFonts w:hint="default"/>
        <w:lang w:val="en-US" w:eastAsia="zh-CN" w:bidi="ar-SA"/>
      </w:rPr>
    </w:lvl>
    <w:lvl w:ilvl="6">
      <w:start w:val="0"/>
      <w:numFmt w:val="bullet"/>
      <w:lvlText w:val="•"/>
      <w:lvlJc w:val="left"/>
      <w:pPr>
        <w:ind w:left="6392" w:hanging="848"/>
      </w:pPr>
      <w:rPr>
        <w:rFonts w:hint="default"/>
        <w:lang w:val="en-US" w:eastAsia="zh-CN" w:bidi="ar-SA"/>
      </w:rPr>
    </w:lvl>
    <w:lvl w:ilvl="7">
      <w:start w:val="0"/>
      <w:numFmt w:val="bullet"/>
      <w:lvlText w:val="•"/>
      <w:lvlJc w:val="left"/>
      <w:pPr>
        <w:ind w:left="7280" w:hanging="848"/>
      </w:pPr>
      <w:rPr>
        <w:rFonts w:hint="default"/>
        <w:lang w:val="en-US" w:eastAsia="zh-CN" w:bidi="ar-SA"/>
      </w:rPr>
    </w:lvl>
    <w:lvl w:ilvl="8">
      <w:start w:val="0"/>
      <w:numFmt w:val="bullet"/>
      <w:lvlText w:val="•"/>
      <w:lvlJc w:val="left"/>
      <w:pPr>
        <w:ind w:left="8169" w:hanging="848"/>
      </w:pPr>
      <w:rPr>
        <w:rFonts w:hint="default"/>
        <w:lang w:val="en-US" w:eastAsia="zh-CN" w:bidi="ar-SA"/>
      </w:rPr>
    </w:lvl>
  </w:abstractNum>
  <w:abstractNum w:abstractNumId="67">
    <w:nsid w:val="56C322FF"/>
    <w:multiLevelType w:val="hybridMultilevel"/>
    <w:tmpl w:val="00000000"/>
    <w:lvl w:ilvl="0">
      <w:start w:val="1"/>
      <w:numFmt w:val="decimal"/>
      <w:lvlText w:val="%1."/>
      <w:lvlJc w:val="left"/>
      <w:pPr>
        <w:ind w:left="848"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68">
    <w:nsid w:val="5A6660CB"/>
    <w:multiLevelType w:val="hybridMultilevel"/>
    <w:tmpl w:val="00000000"/>
    <w:lvl w:ilvl="0">
      <w:start w:val="1"/>
      <w:numFmt w:val="decimal"/>
      <w:lvlText w:val="(%1)"/>
      <w:lvlJc w:val="left"/>
      <w:pPr>
        <w:ind w:left="1062" w:hanging="848"/>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48"/>
      </w:pPr>
      <w:rPr>
        <w:rFonts w:hint="default"/>
        <w:lang w:val="en-US" w:eastAsia="zh-CN" w:bidi="ar-SA"/>
      </w:rPr>
    </w:lvl>
    <w:lvl w:ilvl="2">
      <w:start w:val="0"/>
      <w:numFmt w:val="bullet"/>
      <w:lvlText w:val="•"/>
      <w:lvlJc w:val="left"/>
      <w:pPr>
        <w:ind w:left="2837" w:hanging="848"/>
      </w:pPr>
      <w:rPr>
        <w:rFonts w:hint="default"/>
        <w:lang w:val="en-US" w:eastAsia="zh-CN" w:bidi="ar-SA"/>
      </w:rPr>
    </w:lvl>
    <w:lvl w:ilvl="3">
      <w:start w:val="0"/>
      <w:numFmt w:val="bullet"/>
      <w:lvlText w:val="•"/>
      <w:lvlJc w:val="left"/>
      <w:pPr>
        <w:ind w:left="3726" w:hanging="848"/>
      </w:pPr>
      <w:rPr>
        <w:rFonts w:hint="default"/>
        <w:lang w:val="en-US" w:eastAsia="zh-CN" w:bidi="ar-SA"/>
      </w:rPr>
    </w:lvl>
    <w:lvl w:ilvl="4">
      <w:start w:val="0"/>
      <w:numFmt w:val="bullet"/>
      <w:lvlText w:val="•"/>
      <w:lvlJc w:val="left"/>
      <w:pPr>
        <w:ind w:left="4614" w:hanging="848"/>
      </w:pPr>
      <w:rPr>
        <w:rFonts w:hint="default"/>
        <w:lang w:val="en-US" w:eastAsia="zh-CN" w:bidi="ar-SA"/>
      </w:rPr>
    </w:lvl>
    <w:lvl w:ilvl="5">
      <w:start w:val="0"/>
      <w:numFmt w:val="bullet"/>
      <w:lvlText w:val="•"/>
      <w:lvlJc w:val="left"/>
      <w:pPr>
        <w:ind w:left="5503" w:hanging="848"/>
      </w:pPr>
      <w:rPr>
        <w:rFonts w:hint="default"/>
        <w:lang w:val="en-US" w:eastAsia="zh-CN" w:bidi="ar-SA"/>
      </w:rPr>
    </w:lvl>
    <w:lvl w:ilvl="6">
      <w:start w:val="0"/>
      <w:numFmt w:val="bullet"/>
      <w:lvlText w:val="•"/>
      <w:lvlJc w:val="left"/>
      <w:pPr>
        <w:ind w:left="6392" w:hanging="848"/>
      </w:pPr>
      <w:rPr>
        <w:rFonts w:hint="default"/>
        <w:lang w:val="en-US" w:eastAsia="zh-CN" w:bidi="ar-SA"/>
      </w:rPr>
    </w:lvl>
    <w:lvl w:ilvl="7">
      <w:start w:val="0"/>
      <w:numFmt w:val="bullet"/>
      <w:lvlText w:val="•"/>
      <w:lvlJc w:val="left"/>
      <w:pPr>
        <w:ind w:left="7280" w:hanging="848"/>
      </w:pPr>
      <w:rPr>
        <w:rFonts w:hint="default"/>
        <w:lang w:val="en-US" w:eastAsia="zh-CN" w:bidi="ar-SA"/>
      </w:rPr>
    </w:lvl>
    <w:lvl w:ilvl="8">
      <w:start w:val="0"/>
      <w:numFmt w:val="bullet"/>
      <w:lvlText w:val="•"/>
      <w:lvlJc w:val="left"/>
      <w:pPr>
        <w:ind w:left="8169" w:hanging="848"/>
      </w:pPr>
      <w:rPr>
        <w:rFonts w:hint="default"/>
        <w:lang w:val="en-US" w:eastAsia="zh-CN" w:bidi="ar-SA"/>
      </w:rPr>
    </w:lvl>
  </w:abstractNum>
  <w:abstractNum w:abstractNumId="69">
    <w:nsid w:val="5B220398"/>
    <w:multiLevelType w:val="hybridMultilevel"/>
    <w:tmpl w:val="00000000"/>
    <w:lvl w:ilvl="0">
      <w:start w:val="1"/>
      <w:numFmt w:val="decimal"/>
      <w:lvlText w:val="%1."/>
      <w:lvlJc w:val="left"/>
      <w:pPr>
        <w:ind w:left="848" w:hanging="426"/>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6"/>
      </w:pPr>
      <w:rPr>
        <w:rFonts w:hint="default"/>
        <w:lang w:val="en-US" w:eastAsia="zh-CN" w:bidi="ar-SA"/>
      </w:rPr>
    </w:lvl>
    <w:lvl w:ilvl="2">
      <w:start w:val="0"/>
      <w:numFmt w:val="bullet"/>
      <w:lvlText w:val="•"/>
      <w:lvlJc w:val="left"/>
      <w:pPr>
        <w:ind w:left="2713" w:hanging="426"/>
      </w:pPr>
      <w:rPr>
        <w:rFonts w:hint="default"/>
        <w:lang w:val="en-US" w:eastAsia="zh-CN" w:bidi="ar-SA"/>
      </w:rPr>
    </w:lvl>
    <w:lvl w:ilvl="3">
      <w:start w:val="0"/>
      <w:numFmt w:val="bullet"/>
      <w:lvlText w:val="•"/>
      <w:lvlJc w:val="left"/>
      <w:pPr>
        <w:ind w:left="3650" w:hanging="426"/>
      </w:pPr>
      <w:rPr>
        <w:rFonts w:hint="default"/>
        <w:lang w:val="en-US" w:eastAsia="zh-CN" w:bidi="ar-SA"/>
      </w:rPr>
    </w:lvl>
    <w:lvl w:ilvl="4">
      <w:start w:val="0"/>
      <w:numFmt w:val="bullet"/>
      <w:lvlText w:val="•"/>
      <w:lvlJc w:val="left"/>
      <w:pPr>
        <w:ind w:left="4586" w:hanging="426"/>
      </w:pPr>
      <w:rPr>
        <w:rFonts w:hint="default"/>
        <w:lang w:val="en-US" w:eastAsia="zh-CN" w:bidi="ar-SA"/>
      </w:rPr>
    </w:lvl>
    <w:lvl w:ilvl="5">
      <w:start w:val="0"/>
      <w:numFmt w:val="bullet"/>
      <w:lvlText w:val="•"/>
      <w:lvlJc w:val="left"/>
      <w:pPr>
        <w:ind w:left="5523" w:hanging="426"/>
      </w:pPr>
      <w:rPr>
        <w:rFonts w:hint="default"/>
        <w:lang w:val="en-US" w:eastAsia="zh-CN" w:bidi="ar-SA"/>
      </w:rPr>
    </w:lvl>
    <w:lvl w:ilvl="6">
      <w:start w:val="0"/>
      <w:numFmt w:val="bullet"/>
      <w:lvlText w:val="•"/>
      <w:lvlJc w:val="left"/>
      <w:pPr>
        <w:ind w:left="6460" w:hanging="426"/>
      </w:pPr>
      <w:rPr>
        <w:rFonts w:hint="default"/>
        <w:lang w:val="en-US" w:eastAsia="zh-CN" w:bidi="ar-SA"/>
      </w:rPr>
    </w:lvl>
    <w:lvl w:ilvl="7">
      <w:start w:val="0"/>
      <w:numFmt w:val="bullet"/>
      <w:lvlText w:val="•"/>
      <w:lvlJc w:val="left"/>
      <w:pPr>
        <w:ind w:left="7396" w:hanging="426"/>
      </w:pPr>
      <w:rPr>
        <w:rFonts w:hint="default"/>
        <w:lang w:val="en-US" w:eastAsia="zh-CN" w:bidi="ar-SA"/>
      </w:rPr>
    </w:lvl>
    <w:lvl w:ilvl="8">
      <w:start w:val="0"/>
      <w:numFmt w:val="bullet"/>
      <w:lvlText w:val="•"/>
      <w:lvlJc w:val="left"/>
      <w:pPr>
        <w:ind w:left="8333" w:hanging="426"/>
      </w:pPr>
      <w:rPr>
        <w:rFonts w:hint="default"/>
        <w:lang w:val="en-US" w:eastAsia="zh-CN" w:bidi="ar-SA"/>
      </w:rPr>
    </w:lvl>
  </w:abstractNum>
  <w:abstractNum w:abstractNumId="70">
    <w:nsid w:val="5BCCF387"/>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71">
    <w:nsid w:val="5BCD4C48"/>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72">
    <w:nsid w:val="5D4D8222"/>
    <w:multiLevelType w:val="hybridMultilevel"/>
    <w:tmpl w:val="00000000"/>
    <w:lvl w:ilvl="0">
      <w:start w:val="1"/>
      <w:numFmt w:val="decimal"/>
      <w:lvlText w:val="%1."/>
      <w:lvlJc w:val="left"/>
      <w:pPr>
        <w:ind w:left="844" w:hanging="42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0"/>
      </w:pPr>
      <w:rPr>
        <w:rFonts w:hint="default"/>
        <w:lang w:val="en-US" w:eastAsia="zh-CN" w:bidi="ar-SA"/>
      </w:rPr>
    </w:lvl>
    <w:lvl w:ilvl="2">
      <w:start w:val="0"/>
      <w:numFmt w:val="bullet"/>
      <w:lvlText w:val="•"/>
      <w:lvlJc w:val="left"/>
      <w:pPr>
        <w:ind w:left="2713" w:hanging="420"/>
      </w:pPr>
      <w:rPr>
        <w:rFonts w:hint="default"/>
        <w:lang w:val="en-US" w:eastAsia="zh-CN" w:bidi="ar-SA"/>
      </w:rPr>
    </w:lvl>
    <w:lvl w:ilvl="3">
      <w:start w:val="0"/>
      <w:numFmt w:val="bullet"/>
      <w:lvlText w:val="•"/>
      <w:lvlJc w:val="left"/>
      <w:pPr>
        <w:ind w:left="3650" w:hanging="420"/>
      </w:pPr>
      <w:rPr>
        <w:rFonts w:hint="default"/>
        <w:lang w:val="en-US" w:eastAsia="zh-CN" w:bidi="ar-SA"/>
      </w:rPr>
    </w:lvl>
    <w:lvl w:ilvl="4">
      <w:start w:val="0"/>
      <w:numFmt w:val="bullet"/>
      <w:lvlText w:val="•"/>
      <w:lvlJc w:val="left"/>
      <w:pPr>
        <w:ind w:left="4586" w:hanging="420"/>
      </w:pPr>
      <w:rPr>
        <w:rFonts w:hint="default"/>
        <w:lang w:val="en-US" w:eastAsia="zh-CN" w:bidi="ar-SA"/>
      </w:rPr>
    </w:lvl>
    <w:lvl w:ilvl="5">
      <w:start w:val="0"/>
      <w:numFmt w:val="bullet"/>
      <w:lvlText w:val="•"/>
      <w:lvlJc w:val="left"/>
      <w:pPr>
        <w:ind w:left="5523" w:hanging="420"/>
      </w:pPr>
      <w:rPr>
        <w:rFonts w:hint="default"/>
        <w:lang w:val="en-US" w:eastAsia="zh-CN" w:bidi="ar-SA"/>
      </w:rPr>
    </w:lvl>
    <w:lvl w:ilvl="6">
      <w:start w:val="0"/>
      <w:numFmt w:val="bullet"/>
      <w:lvlText w:val="•"/>
      <w:lvlJc w:val="left"/>
      <w:pPr>
        <w:ind w:left="6460" w:hanging="420"/>
      </w:pPr>
      <w:rPr>
        <w:rFonts w:hint="default"/>
        <w:lang w:val="en-US" w:eastAsia="zh-CN" w:bidi="ar-SA"/>
      </w:rPr>
    </w:lvl>
    <w:lvl w:ilvl="7">
      <w:start w:val="0"/>
      <w:numFmt w:val="bullet"/>
      <w:lvlText w:val="•"/>
      <w:lvlJc w:val="left"/>
      <w:pPr>
        <w:ind w:left="7396" w:hanging="420"/>
      </w:pPr>
      <w:rPr>
        <w:rFonts w:hint="default"/>
        <w:lang w:val="en-US" w:eastAsia="zh-CN" w:bidi="ar-SA"/>
      </w:rPr>
    </w:lvl>
    <w:lvl w:ilvl="8">
      <w:start w:val="0"/>
      <w:numFmt w:val="bullet"/>
      <w:lvlText w:val="•"/>
      <w:lvlJc w:val="left"/>
      <w:pPr>
        <w:ind w:left="8333" w:hanging="420"/>
      </w:pPr>
      <w:rPr>
        <w:rFonts w:hint="default"/>
        <w:lang w:val="en-US" w:eastAsia="zh-CN" w:bidi="ar-SA"/>
      </w:rPr>
    </w:lvl>
  </w:abstractNum>
  <w:abstractNum w:abstractNumId="73">
    <w:nsid w:val="5E66950D"/>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486" w:hanging="424"/>
      </w:pPr>
      <w:rPr>
        <w:rFonts w:ascii="Wingdings" w:eastAsia="Wingdings" w:hAnsi="Wingdings" w:cs="Wingdings" w:hint="default"/>
        <w:b w:val="0"/>
        <w:bCs w:val="0"/>
        <w:i w:val="0"/>
        <w:iCs w:val="0"/>
        <w:w w:val="100"/>
        <w:sz w:val="21"/>
        <w:szCs w:val="21"/>
        <w:lang w:val="en-US" w:eastAsia="zh-CN" w:bidi="ar-SA"/>
      </w:rPr>
    </w:lvl>
    <w:lvl w:ilvl="2">
      <w:start w:val="0"/>
      <w:numFmt w:val="bullet"/>
      <w:lvlText w:val="•"/>
      <w:lvlJc w:val="left"/>
      <w:pPr>
        <w:ind w:left="2420" w:hanging="424"/>
      </w:pPr>
      <w:rPr>
        <w:rFonts w:hint="default"/>
        <w:lang w:val="en-US" w:eastAsia="zh-CN" w:bidi="ar-SA"/>
      </w:rPr>
    </w:lvl>
    <w:lvl w:ilvl="3">
      <w:start w:val="0"/>
      <w:numFmt w:val="bullet"/>
      <w:lvlText w:val="•"/>
      <w:lvlJc w:val="left"/>
      <w:pPr>
        <w:ind w:left="3361" w:hanging="424"/>
      </w:pPr>
      <w:rPr>
        <w:rFonts w:hint="default"/>
        <w:lang w:val="en-US" w:eastAsia="zh-CN" w:bidi="ar-SA"/>
      </w:rPr>
    </w:lvl>
    <w:lvl w:ilvl="4">
      <w:start w:val="0"/>
      <w:numFmt w:val="bullet"/>
      <w:lvlText w:val="•"/>
      <w:lvlJc w:val="left"/>
      <w:pPr>
        <w:ind w:left="4302" w:hanging="424"/>
      </w:pPr>
      <w:rPr>
        <w:rFonts w:hint="default"/>
        <w:lang w:val="en-US" w:eastAsia="zh-CN" w:bidi="ar-SA"/>
      </w:rPr>
    </w:lvl>
    <w:lvl w:ilvl="5">
      <w:start w:val="0"/>
      <w:numFmt w:val="bullet"/>
      <w:lvlText w:val="•"/>
      <w:lvlJc w:val="left"/>
      <w:pPr>
        <w:ind w:left="5243" w:hanging="424"/>
      </w:pPr>
      <w:rPr>
        <w:rFonts w:hint="default"/>
        <w:lang w:val="en-US" w:eastAsia="zh-CN" w:bidi="ar-SA"/>
      </w:rPr>
    </w:lvl>
    <w:lvl w:ilvl="6">
      <w:start w:val="0"/>
      <w:numFmt w:val="bullet"/>
      <w:lvlText w:val="•"/>
      <w:lvlJc w:val="left"/>
      <w:pPr>
        <w:ind w:left="6183" w:hanging="424"/>
      </w:pPr>
      <w:rPr>
        <w:rFonts w:hint="default"/>
        <w:lang w:val="en-US" w:eastAsia="zh-CN" w:bidi="ar-SA"/>
      </w:rPr>
    </w:lvl>
    <w:lvl w:ilvl="7">
      <w:start w:val="0"/>
      <w:numFmt w:val="bullet"/>
      <w:lvlText w:val="•"/>
      <w:lvlJc w:val="left"/>
      <w:pPr>
        <w:ind w:left="7124" w:hanging="424"/>
      </w:pPr>
      <w:rPr>
        <w:rFonts w:hint="default"/>
        <w:lang w:val="en-US" w:eastAsia="zh-CN" w:bidi="ar-SA"/>
      </w:rPr>
    </w:lvl>
    <w:lvl w:ilvl="8">
      <w:start w:val="0"/>
      <w:numFmt w:val="bullet"/>
      <w:lvlText w:val="•"/>
      <w:lvlJc w:val="left"/>
      <w:pPr>
        <w:ind w:left="8065" w:hanging="424"/>
      </w:pPr>
      <w:rPr>
        <w:rFonts w:hint="default"/>
        <w:lang w:val="en-US" w:eastAsia="zh-CN" w:bidi="ar-SA"/>
      </w:rPr>
    </w:lvl>
  </w:abstractNum>
  <w:abstractNum w:abstractNumId="74">
    <w:nsid w:val="613155DE"/>
    <w:multiLevelType w:val="hybridMultilevel"/>
    <w:tmpl w:val="00000000"/>
    <w:lvl w:ilvl="0">
      <w:start w:val="6"/>
      <w:numFmt w:val="decimal"/>
      <w:lvlText w:val="%1"/>
      <w:lvlJc w:val="left"/>
      <w:pPr>
        <w:ind w:left="697" w:hanging="484"/>
        <w:jc w:val="left"/>
      </w:pPr>
      <w:rPr>
        <w:rFonts w:hint="default"/>
        <w:lang w:val="en-US" w:eastAsia="zh-CN" w:bidi="ar-SA"/>
      </w:rPr>
    </w:lvl>
    <w:lvl w:ilvl="1">
      <w:start w:val="1"/>
      <w:numFmt w:val="decimal"/>
      <w:lvlText w:val="%1.%2"/>
      <w:lvlJc w:val="left"/>
      <w:pPr>
        <w:ind w:left="697" w:hanging="484"/>
        <w:jc w:val="left"/>
      </w:pPr>
      <w:rPr>
        <w:rFonts w:ascii="Microsoft JhengHei" w:eastAsia="Microsoft JhengHei" w:hAnsi="Microsoft JhengHei" w:cs="Microsoft JhengHei" w:hint="default"/>
        <w:b/>
        <w:bCs/>
        <w:i w:val="0"/>
        <w:iCs w:val="0"/>
        <w:w w:val="83"/>
        <w:sz w:val="24"/>
        <w:szCs w:val="24"/>
        <w:lang w:val="en-US" w:eastAsia="zh-CN" w:bidi="ar-SA"/>
      </w:rPr>
    </w:lvl>
    <w:lvl w:ilvl="2">
      <w:start w:val="0"/>
      <w:numFmt w:val="bullet"/>
      <w:lvlText w:val="•"/>
      <w:lvlJc w:val="left"/>
      <w:pPr>
        <w:ind w:left="2549" w:hanging="484"/>
      </w:pPr>
      <w:rPr>
        <w:rFonts w:hint="default"/>
        <w:lang w:val="en-US" w:eastAsia="zh-CN" w:bidi="ar-SA"/>
      </w:rPr>
    </w:lvl>
    <w:lvl w:ilvl="3">
      <w:start w:val="0"/>
      <w:numFmt w:val="bullet"/>
      <w:lvlText w:val="•"/>
      <w:lvlJc w:val="left"/>
      <w:pPr>
        <w:ind w:left="3474" w:hanging="484"/>
      </w:pPr>
      <w:rPr>
        <w:rFonts w:hint="default"/>
        <w:lang w:val="en-US" w:eastAsia="zh-CN" w:bidi="ar-SA"/>
      </w:rPr>
    </w:lvl>
    <w:lvl w:ilvl="4">
      <w:start w:val="0"/>
      <w:numFmt w:val="bullet"/>
      <w:lvlText w:val="•"/>
      <w:lvlJc w:val="left"/>
      <w:pPr>
        <w:ind w:left="4398" w:hanging="484"/>
      </w:pPr>
      <w:rPr>
        <w:rFonts w:hint="default"/>
        <w:lang w:val="en-US" w:eastAsia="zh-CN" w:bidi="ar-SA"/>
      </w:rPr>
    </w:lvl>
    <w:lvl w:ilvl="5">
      <w:start w:val="0"/>
      <w:numFmt w:val="bullet"/>
      <w:lvlText w:val="•"/>
      <w:lvlJc w:val="left"/>
      <w:pPr>
        <w:ind w:left="5323" w:hanging="484"/>
      </w:pPr>
      <w:rPr>
        <w:rFonts w:hint="default"/>
        <w:lang w:val="en-US" w:eastAsia="zh-CN" w:bidi="ar-SA"/>
      </w:rPr>
    </w:lvl>
    <w:lvl w:ilvl="6">
      <w:start w:val="0"/>
      <w:numFmt w:val="bullet"/>
      <w:lvlText w:val="•"/>
      <w:lvlJc w:val="left"/>
      <w:pPr>
        <w:ind w:left="6248" w:hanging="484"/>
      </w:pPr>
      <w:rPr>
        <w:rFonts w:hint="default"/>
        <w:lang w:val="en-US" w:eastAsia="zh-CN" w:bidi="ar-SA"/>
      </w:rPr>
    </w:lvl>
    <w:lvl w:ilvl="7">
      <w:start w:val="0"/>
      <w:numFmt w:val="bullet"/>
      <w:lvlText w:val="•"/>
      <w:lvlJc w:val="left"/>
      <w:pPr>
        <w:ind w:left="7172" w:hanging="484"/>
      </w:pPr>
      <w:rPr>
        <w:rFonts w:hint="default"/>
        <w:lang w:val="en-US" w:eastAsia="zh-CN" w:bidi="ar-SA"/>
      </w:rPr>
    </w:lvl>
    <w:lvl w:ilvl="8">
      <w:start w:val="0"/>
      <w:numFmt w:val="bullet"/>
      <w:lvlText w:val="•"/>
      <w:lvlJc w:val="left"/>
      <w:pPr>
        <w:ind w:left="8097" w:hanging="484"/>
      </w:pPr>
      <w:rPr>
        <w:rFonts w:hint="default"/>
        <w:lang w:val="en-US" w:eastAsia="zh-CN" w:bidi="ar-SA"/>
      </w:rPr>
    </w:lvl>
  </w:abstractNum>
  <w:abstractNum w:abstractNumId="75">
    <w:nsid w:val="63D6AF7D"/>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76">
    <w:nsid w:val="63E51726"/>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77">
    <w:nsid w:val="6632CCB2"/>
    <w:multiLevelType w:val="hybridMultilevel"/>
    <w:tmpl w:val="00000000"/>
    <w:lvl w:ilvl="0">
      <w:start w:val="1"/>
      <w:numFmt w:val="decimal"/>
      <w:lvlText w:val="%1."/>
      <w:lvlJc w:val="left"/>
      <w:pPr>
        <w:ind w:left="846" w:hanging="42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0"/>
      </w:pPr>
      <w:rPr>
        <w:rFonts w:hint="default"/>
        <w:lang w:val="en-US" w:eastAsia="zh-CN" w:bidi="ar-SA"/>
      </w:rPr>
    </w:lvl>
    <w:lvl w:ilvl="2">
      <w:start w:val="0"/>
      <w:numFmt w:val="bullet"/>
      <w:lvlText w:val="•"/>
      <w:lvlJc w:val="left"/>
      <w:pPr>
        <w:ind w:left="2713" w:hanging="420"/>
      </w:pPr>
      <w:rPr>
        <w:rFonts w:hint="default"/>
        <w:lang w:val="en-US" w:eastAsia="zh-CN" w:bidi="ar-SA"/>
      </w:rPr>
    </w:lvl>
    <w:lvl w:ilvl="3">
      <w:start w:val="0"/>
      <w:numFmt w:val="bullet"/>
      <w:lvlText w:val="•"/>
      <w:lvlJc w:val="left"/>
      <w:pPr>
        <w:ind w:left="3650" w:hanging="420"/>
      </w:pPr>
      <w:rPr>
        <w:rFonts w:hint="default"/>
        <w:lang w:val="en-US" w:eastAsia="zh-CN" w:bidi="ar-SA"/>
      </w:rPr>
    </w:lvl>
    <w:lvl w:ilvl="4">
      <w:start w:val="0"/>
      <w:numFmt w:val="bullet"/>
      <w:lvlText w:val="•"/>
      <w:lvlJc w:val="left"/>
      <w:pPr>
        <w:ind w:left="4586" w:hanging="420"/>
      </w:pPr>
      <w:rPr>
        <w:rFonts w:hint="default"/>
        <w:lang w:val="en-US" w:eastAsia="zh-CN" w:bidi="ar-SA"/>
      </w:rPr>
    </w:lvl>
    <w:lvl w:ilvl="5">
      <w:start w:val="0"/>
      <w:numFmt w:val="bullet"/>
      <w:lvlText w:val="•"/>
      <w:lvlJc w:val="left"/>
      <w:pPr>
        <w:ind w:left="5523" w:hanging="420"/>
      </w:pPr>
      <w:rPr>
        <w:rFonts w:hint="default"/>
        <w:lang w:val="en-US" w:eastAsia="zh-CN" w:bidi="ar-SA"/>
      </w:rPr>
    </w:lvl>
    <w:lvl w:ilvl="6">
      <w:start w:val="0"/>
      <w:numFmt w:val="bullet"/>
      <w:lvlText w:val="•"/>
      <w:lvlJc w:val="left"/>
      <w:pPr>
        <w:ind w:left="6460" w:hanging="420"/>
      </w:pPr>
      <w:rPr>
        <w:rFonts w:hint="default"/>
        <w:lang w:val="en-US" w:eastAsia="zh-CN" w:bidi="ar-SA"/>
      </w:rPr>
    </w:lvl>
    <w:lvl w:ilvl="7">
      <w:start w:val="0"/>
      <w:numFmt w:val="bullet"/>
      <w:lvlText w:val="•"/>
      <w:lvlJc w:val="left"/>
      <w:pPr>
        <w:ind w:left="7396" w:hanging="420"/>
      </w:pPr>
      <w:rPr>
        <w:rFonts w:hint="default"/>
        <w:lang w:val="en-US" w:eastAsia="zh-CN" w:bidi="ar-SA"/>
      </w:rPr>
    </w:lvl>
    <w:lvl w:ilvl="8">
      <w:start w:val="0"/>
      <w:numFmt w:val="bullet"/>
      <w:lvlText w:val="•"/>
      <w:lvlJc w:val="left"/>
      <w:pPr>
        <w:ind w:left="8333" w:hanging="420"/>
      </w:pPr>
      <w:rPr>
        <w:rFonts w:hint="default"/>
        <w:lang w:val="en-US" w:eastAsia="zh-CN" w:bidi="ar-SA"/>
      </w:rPr>
    </w:lvl>
  </w:abstractNum>
  <w:abstractNum w:abstractNumId="78">
    <w:nsid w:val="664F7218"/>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79">
    <w:nsid w:val="6C0EBEC2"/>
    <w:multiLevelType w:val="hybridMultilevel"/>
    <w:tmpl w:val="00000000"/>
    <w:lvl w:ilvl="0">
      <w:start w:val="1"/>
      <w:numFmt w:val="decimal"/>
      <w:lvlText w:val="%1."/>
      <w:lvlJc w:val="left"/>
      <w:pPr>
        <w:ind w:left="848"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80">
    <w:nsid w:val="6C127B9A"/>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81">
    <w:nsid w:val="6C23BCCD"/>
    <w:multiLevelType w:val="hybridMultilevel"/>
    <w:tmpl w:val="00000000"/>
    <w:lvl w:ilvl="0">
      <w:start w:val="1"/>
      <w:numFmt w:val="decimal"/>
      <w:lvlText w:val="%1."/>
      <w:lvlJc w:val="left"/>
      <w:pPr>
        <w:ind w:left="954" w:hanging="534"/>
        <w:jc w:val="righ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4405" w:hanging="424"/>
        <w:jc w:val="left"/>
      </w:pPr>
      <w:rPr>
        <w:rFonts w:ascii="Microsoft JhengHei" w:eastAsia="Microsoft JhengHei" w:hAnsi="Microsoft JhengHei" w:cs="Microsoft JhengHei" w:hint="default"/>
        <w:b/>
        <w:bCs/>
        <w:i w:val="0"/>
        <w:iCs w:val="0"/>
        <w:spacing w:val="0"/>
        <w:w w:val="83"/>
        <w:sz w:val="28"/>
        <w:szCs w:val="28"/>
        <w:lang w:val="en-US" w:eastAsia="zh-CN" w:bidi="ar-SA"/>
      </w:rPr>
    </w:lvl>
    <w:lvl w:ilvl="2">
      <w:start w:val="0"/>
      <w:numFmt w:val="bullet"/>
      <w:lvlText w:val="•"/>
      <w:lvlJc w:val="left"/>
      <w:pPr>
        <w:ind w:left="5045" w:hanging="424"/>
      </w:pPr>
      <w:rPr>
        <w:rFonts w:hint="default"/>
        <w:lang w:val="en-US" w:eastAsia="zh-CN" w:bidi="ar-SA"/>
      </w:rPr>
    </w:lvl>
    <w:lvl w:ilvl="3">
      <w:start w:val="0"/>
      <w:numFmt w:val="bullet"/>
      <w:lvlText w:val="•"/>
      <w:lvlJc w:val="left"/>
      <w:pPr>
        <w:ind w:left="5690" w:hanging="424"/>
      </w:pPr>
      <w:rPr>
        <w:rFonts w:hint="default"/>
        <w:lang w:val="en-US" w:eastAsia="zh-CN" w:bidi="ar-SA"/>
      </w:rPr>
    </w:lvl>
    <w:lvl w:ilvl="4">
      <w:start w:val="0"/>
      <w:numFmt w:val="bullet"/>
      <w:lvlText w:val="•"/>
      <w:lvlJc w:val="left"/>
      <w:pPr>
        <w:ind w:left="6335" w:hanging="424"/>
      </w:pPr>
      <w:rPr>
        <w:rFonts w:hint="default"/>
        <w:lang w:val="en-US" w:eastAsia="zh-CN" w:bidi="ar-SA"/>
      </w:rPr>
    </w:lvl>
    <w:lvl w:ilvl="5">
      <w:start w:val="0"/>
      <w:numFmt w:val="bullet"/>
      <w:lvlText w:val="•"/>
      <w:lvlJc w:val="left"/>
      <w:pPr>
        <w:ind w:left="6980" w:hanging="424"/>
      </w:pPr>
      <w:rPr>
        <w:rFonts w:hint="default"/>
        <w:lang w:val="en-US" w:eastAsia="zh-CN" w:bidi="ar-SA"/>
      </w:rPr>
    </w:lvl>
    <w:lvl w:ilvl="6">
      <w:start w:val="0"/>
      <w:numFmt w:val="bullet"/>
      <w:lvlText w:val="•"/>
      <w:lvlJc w:val="left"/>
      <w:pPr>
        <w:ind w:left="7626" w:hanging="424"/>
      </w:pPr>
      <w:rPr>
        <w:rFonts w:hint="default"/>
        <w:lang w:val="en-US" w:eastAsia="zh-CN" w:bidi="ar-SA"/>
      </w:rPr>
    </w:lvl>
    <w:lvl w:ilvl="7">
      <w:start w:val="0"/>
      <w:numFmt w:val="bullet"/>
      <w:lvlText w:val="•"/>
      <w:lvlJc w:val="left"/>
      <w:pPr>
        <w:ind w:left="8271" w:hanging="424"/>
      </w:pPr>
      <w:rPr>
        <w:rFonts w:hint="default"/>
        <w:lang w:val="en-US" w:eastAsia="zh-CN" w:bidi="ar-SA"/>
      </w:rPr>
    </w:lvl>
    <w:lvl w:ilvl="8">
      <w:start w:val="0"/>
      <w:numFmt w:val="bullet"/>
      <w:lvlText w:val="•"/>
      <w:lvlJc w:val="left"/>
      <w:pPr>
        <w:ind w:left="8916" w:hanging="424"/>
      </w:pPr>
      <w:rPr>
        <w:rFonts w:hint="default"/>
        <w:lang w:val="en-US" w:eastAsia="zh-CN" w:bidi="ar-SA"/>
      </w:rPr>
    </w:lvl>
  </w:abstractNum>
  <w:abstractNum w:abstractNumId="82">
    <w:nsid w:val="6CBA69AC"/>
    <w:multiLevelType w:val="hybridMultilevel"/>
    <w:tmpl w:val="00000000"/>
    <w:lvl w:ilvl="0">
      <w:start w:val="1"/>
      <w:numFmt w:val="decimal"/>
      <w:lvlText w:val="%1."/>
      <w:lvlJc w:val="left"/>
      <w:pPr>
        <w:ind w:left="956" w:hanging="53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858" w:hanging="531"/>
      </w:pPr>
      <w:rPr>
        <w:rFonts w:hint="default"/>
        <w:lang w:val="en-US" w:eastAsia="zh-CN" w:bidi="ar-SA"/>
      </w:rPr>
    </w:lvl>
    <w:lvl w:ilvl="2">
      <w:start w:val="0"/>
      <w:numFmt w:val="bullet"/>
      <w:lvlText w:val="•"/>
      <w:lvlJc w:val="left"/>
      <w:pPr>
        <w:ind w:left="2757" w:hanging="531"/>
      </w:pPr>
      <w:rPr>
        <w:rFonts w:hint="default"/>
        <w:lang w:val="en-US" w:eastAsia="zh-CN" w:bidi="ar-SA"/>
      </w:rPr>
    </w:lvl>
    <w:lvl w:ilvl="3">
      <w:start w:val="0"/>
      <w:numFmt w:val="bullet"/>
      <w:lvlText w:val="•"/>
      <w:lvlJc w:val="left"/>
      <w:pPr>
        <w:ind w:left="3656" w:hanging="531"/>
      </w:pPr>
      <w:rPr>
        <w:rFonts w:hint="default"/>
        <w:lang w:val="en-US" w:eastAsia="zh-CN" w:bidi="ar-SA"/>
      </w:rPr>
    </w:lvl>
    <w:lvl w:ilvl="4">
      <w:start w:val="0"/>
      <w:numFmt w:val="bullet"/>
      <w:lvlText w:val="•"/>
      <w:lvlJc w:val="left"/>
      <w:pPr>
        <w:ind w:left="4554" w:hanging="531"/>
      </w:pPr>
      <w:rPr>
        <w:rFonts w:hint="default"/>
        <w:lang w:val="en-US" w:eastAsia="zh-CN" w:bidi="ar-SA"/>
      </w:rPr>
    </w:lvl>
    <w:lvl w:ilvl="5">
      <w:start w:val="0"/>
      <w:numFmt w:val="bullet"/>
      <w:lvlText w:val="•"/>
      <w:lvlJc w:val="left"/>
      <w:pPr>
        <w:ind w:left="5453" w:hanging="531"/>
      </w:pPr>
      <w:rPr>
        <w:rFonts w:hint="default"/>
        <w:lang w:val="en-US" w:eastAsia="zh-CN" w:bidi="ar-SA"/>
      </w:rPr>
    </w:lvl>
    <w:lvl w:ilvl="6">
      <w:start w:val="0"/>
      <w:numFmt w:val="bullet"/>
      <w:lvlText w:val="•"/>
      <w:lvlJc w:val="left"/>
      <w:pPr>
        <w:ind w:left="6352" w:hanging="531"/>
      </w:pPr>
      <w:rPr>
        <w:rFonts w:hint="default"/>
        <w:lang w:val="en-US" w:eastAsia="zh-CN" w:bidi="ar-SA"/>
      </w:rPr>
    </w:lvl>
    <w:lvl w:ilvl="7">
      <w:start w:val="0"/>
      <w:numFmt w:val="bullet"/>
      <w:lvlText w:val="•"/>
      <w:lvlJc w:val="left"/>
      <w:pPr>
        <w:ind w:left="7250" w:hanging="531"/>
      </w:pPr>
      <w:rPr>
        <w:rFonts w:hint="default"/>
        <w:lang w:val="en-US" w:eastAsia="zh-CN" w:bidi="ar-SA"/>
      </w:rPr>
    </w:lvl>
    <w:lvl w:ilvl="8">
      <w:start w:val="0"/>
      <w:numFmt w:val="bullet"/>
      <w:lvlText w:val="•"/>
      <w:lvlJc w:val="left"/>
      <w:pPr>
        <w:ind w:left="8149" w:hanging="531"/>
      </w:pPr>
      <w:rPr>
        <w:rFonts w:hint="default"/>
        <w:lang w:val="en-US" w:eastAsia="zh-CN" w:bidi="ar-SA"/>
      </w:rPr>
    </w:lvl>
  </w:abstractNum>
  <w:abstractNum w:abstractNumId="83">
    <w:nsid w:val="6E7E33A4"/>
    <w:multiLevelType w:val="hybridMultilevel"/>
    <w:tmpl w:val="00000000"/>
    <w:lvl w:ilvl="0">
      <w:start w:val="1"/>
      <w:numFmt w:val="decimal"/>
      <w:lvlText w:val="(%1)"/>
      <w:lvlJc w:val="left"/>
      <w:pPr>
        <w:ind w:left="1065" w:hanging="848"/>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48"/>
      </w:pPr>
      <w:rPr>
        <w:rFonts w:hint="default"/>
        <w:lang w:val="en-US" w:eastAsia="zh-CN" w:bidi="ar-SA"/>
      </w:rPr>
    </w:lvl>
    <w:lvl w:ilvl="2">
      <w:start w:val="0"/>
      <w:numFmt w:val="bullet"/>
      <w:lvlText w:val="•"/>
      <w:lvlJc w:val="left"/>
      <w:pPr>
        <w:ind w:left="2837" w:hanging="848"/>
      </w:pPr>
      <w:rPr>
        <w:rFonts w:hint="default"/>
        <w:lang w:val="en-US" w:eastAsia="zh-CN" w:bidi="ar-SA"/>
      </w:rPr>
    </w:lvl>
    <w:lvl w:ilvl="3">
      <w:start w:val="0"/>
      <w:numFmt w:val="bullet"/>
      <w:lvlText w:val="•"/>
      <w:lvlJc w:val="left"/>
      <w:pPr>
        <w:ind w:left="3726" w:hanging="848"/>
      </w:pPr>
      <w:rPr>
        <w:rFonts w:hint="default"/>
        <w:lang w:val="en-US" w:eastAsia="zh-CN" w:bidi="ar-SA"/>
      </w:rPr>
    </w:lvl>
    <w:lvl w:ilvl="4">
      <w:start w:val="0"/>
      <w:numFmt w:val="bullet"/>
      <w:lvlText w:val="•"/>
      <w:lvlJc w:val="left"/>
      <w:pPr>
        <w:ind w:left="4614" w:hanging="848"/>
      </w:pPr>
      <w:rPr>
        <w:rFonts w:hint="default"/>
        <w:lang w:val="en-US" w:eastAsia="zh-CN" w:bidi="ar-SA"/>
      </w:rPr>
    </w:lvl>
    <w:lvl w:ilvl="5">
      <w:start w:val="0"/>
      <w:numFmt w:val="bullet"/>
      <w:lvlText w:val="•"/>
      <w:lvlJc w:val="left"/>
      <w:pPr>
        <w:ind w:left="5503" w:hanging="848"/>
      </w:pPr>
      <w:rPr>
        <w:rFonts w:hint="default"/>
        <w:lang w:val="en-US" w:eastAsia="zh-CN" w:bidi="ar-SA"/>
      </w:rPr>
    </w:lvl>
    <w:lvl w:ilvl="6">
      <w:start w:val="0"/>
      <w:numFmt w:val="bullet"/>
      <w:lvlText w:val="•"/>
      <w:lvlJc w:val="left"/>
      <w:pPr>
        <w:ind w:left="6392" w:hanging="848"/>
      </w:pPr>
      <w:rPr>
        <w:rFonts w:hint="default"/>
        <w:lang w:val="en-US" w:eastAsia="zh-CN" w:bidi="ar-SA"/>
      </w:rPr>
    </w:lvl>
    <w:lvl w:ilvl="7">
      <w:start w:val="0"/>
      <w:numFmt w:val="bullet"/>
      <w:lvlText w:val="•"/>
      <w:lvlJc w:val="left"/>
      <w:pPr>
        <w:ind w:left="7280" w:hanging="848"/>
      </w:pPr>
      <w:rPr>
        <w:rFonts w:hint="default"/>
        <w:lang w:val="en-US" w:eastAsia="zh-CN" w:bidi="ar-SA"/>
      </w:rPr>
    </w:lvl>
    <w:lvl w:ilvl="8">
      <w:start w:val="0"/>
      <w:numFmt w:val="bullet"/>
      <w:lvlText w:val="•"/>
      <w:lvlJc w:val="left"/>
      <w:pPr>
        <w:ind w:left="8169" w:hanging="848"/>
      </w:pPr>
      <w:rPr>
        <w:rFonts w:hint="default"/>
        <w:lang w:val="en-US" w:eastAsia="zh-CN" w:bidi="ar-SA"/>
      </w:rPr>
    </w:lvl>
  </w:abstractNum>
  <w:abstractNum w:abstractNumId="84">
    <w:nsid w:val="7019E653"/>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1"/>
      <w:numFmt w:val="lowerLetter"/>
      <w:lvlText w:val="%2）"/>
      <w:lvlJc w:val="left"/>
      <w:pPr>
        <w:ind w:left="1370" w:hanging="316"/>
        <w:jc w:val="left"/>
      </w:pPr>
      <w:rPr>
        <w:rFonts w:hint="default"/>
        <w:w w:val="100"/>
        <w:lang w:val="en-US" w:eastAsia="zh-CN" w:bidi="ar-SA"/>
      </w:rPr>
    </w:lvl>
    <w:lvl w:ilvl="2">
      <w:start w:val="0"/>
      <w:numFmt w:val="bullet"/>
      <w:lvlText w:val="•"/>
      <w:lvlJc w:val="left"/>
      <w:pPr>
        <w:ind w:left="1600" w:hanging="316"/>
      </w:pPr>
      <w:rPr>
        <w:rFonts w:hint="default"/>
        <w:lang w:val="en-US" w:eastAsia="zh-CN" w:bidi="ar-SA"/>
      </w:rPr>
    </w:lvl>
    <w:lvl w:ilvl="3">
      <w:start w:val="0"/>
      <w:numFmt w:val="bullet"/>
      <w:lvlText w:val="•"/>
      <w:lvlJc w:val="left"/>
      <w:pPr>
        <w:ind w:left="2643" w:hanging="316"/>
      </w:pPr>
      <w:rPr>
        <w:rFonts w:hint="default"/>
        <w:lang w:val="en-US" w:eastAsia="zh-CN" w:bidi="ar-SA"/>
      </w:rPr>
    </w:lvl>
    <w:lvl w:ilvl="4">
      <w:start w:val="0"/>
      <w:numFmt w:val="bullet"/>
      <w:lvlText w:val="•"/>
      <w:lvlJc w:val="left"/>
      <w:pPr>
        <w:ind w:left="3686" w:hanging="316"/>
      </w:pPr>
      <w:rPr>
        <w:rFonts w:hint="default"/>
        <w:lang w:val="en-US" w:eastAsia="zh-CN" w:bidi="ar-SA"/>
      </w:rPr>
    </w:lvl>
    <w:lvl w:ilvl="5">
      <w:start w:val="0"/>
      <w:numFmt w:val="bullet"/>
      <w:lvlText w:val="•"/>
      <w:lvlJc w:val="left"/>
      <w:pPr>
        <w:ind w:left="4730" w:hanging="316"/>
      </w:pPr>
      <w:rPr>
        <w:rFonts w:hint="default"/>
        <w:lang w:val="en-US" w:eastAsia="zh-CN" w:bidi="ar-SA"/>
      </w:rPr>
    </w:lvl>
    <w:lvl w:ilvl="6">
      <w:start w:val="0"/>
      <w:numFmt w:val="bullet"/>
      <w:lvlText w:val="•"/>
      <w:lvlJc w:val="left"/>
      <w:pPr>
        <w:ind w:left="5773" w:hanging="316"/>
      </w:pPr>
      <w:rPr>
        <w:rFonts w:hint="default"/>
        <w:lang w:val="en-US" w:eastAsia="zh-CN" w:bidi="ar-SA"/>
      </w:rPr>
    </w:lvl>
    <w:lvl w:ilvl="7">
      <w:start w:val="0"/>
      <w:numFmt w:val="bullet"/>
      <w:lvlText w:val="•"/>
      <w:lvlJc w:val="left"/>
      <w:pPr>
        <w:ind w:left="6816" w:hanging="316"/>
      </w:pPr>
      <w:rPr>
        <w:rFonts w:hint="default"/>
        <w:lang w:val="en-US" w:eastAsia="zh-CN" w:bidi="ar-SA"/>
      </w:rPr>
    </w:lvl>
    <w:lvl w:ilvl="8">
      <w:start w:val="0"/>
      <w:numFmt w:val="bullet"/>
      <w:lvlText w:val="•"/>
      <w:lvlJc w:val="left"/>
      <w:pPr>
        <w:ind w:left="7860" w:hanging="316"/>
      </w:pPr>
      <w:rPr>
        <w:rFonts w:hint="default"/>
        <w:lang w:val="en-US" w:eastAsia="zh-CN" w:bidi="ar-SA"/>
      </w:rPr>
    </w:lvl>
  </w:abstractNum>
  <w:abstractNum w:abstractNumId="85">
    <w:nsid w:val="73808255"/>
    <w:multiLevelType w:val="hybridMultilevel"/>
    <w:tmpl w:val="00000000"/>
    <w:lvl w:ilvl="0">
      <w:start w:val="1"/>
      <w:numFmt w:val="decimal"/>
      <w:lvlText w:val="%1)"/>
      <w:lvlJc w:val="left"/>
      <w:pPr>
        <w:ind w:left="1168" w:hanging="527"/>
        <w:jc w:val="left"/>
      </w:pPr>
      <w:rPr>
        <w:rFonts w:ascii="Arial" w:eastAsia="Arial" w:hAnsi="Arial" w:cs="Arial" w:hint="default"/>
        <w:b w:val="0"/>
        <w:bCs w:val="0"/>
        <w:i w:val="0"/>
        <w:iCs w:val="0"/>
        <w:spacing w:val="-1"/>
        <w:w w:val="100"/>
        <w:sz w:val="21"/>
        <w:szCs w:val="21"/>
        <w:lang w:val="en-US" w:eastAsia="zh-CN" w:bidi="ar-SA"/>
      </w:rPr>
    </w:lvl>
    <w:lvl w:ilvl="1">
      <w:start w:val="0"/>
      <w:numFmt w:val="bullet"/>
      <w:lvlText w:val="•"/>
      <w:lvlJc w:val="left"/>
      <w:pPr>
        <w:ind w:left="2038" w:hanging="527"/>
      </w:pPr>
      <w:rPr>
        <w:rFonts w:hint="default"/>
        <w:lang w:val="en-US" w:eastAsia="zh-CN" w:bidi="ar-SA"/>
      </w:rPr>
    </w:lvl>
    <w:lvl w:ilvl="2">
      <w:start w:val="0"/>
      <w:numFmt w:val="bullet"/>
      <w:lvlText w:val="•"/>
      <w:lvlJc w:val="left"/>
      <w:pPr>
        <w:ind w:left="2917" w:hanging="527"/>
      </w:pPr>
      <w:rPr>
        <w:rFonts w:hint="default"/>
        <w:lang w:val="en-US" w:eastAsia="zh-CN" w:bidi="ar-SA"/>
      </w:rPr>
    </w:lvl>
    <w:lvl w:ilvl="3">
      <w:start w:val="0"/>
      <w:numFmt w:val="bullet"/>
      <w:lvlText w:val="•"/>
      <w:lvlJc w:val="left"/>
      <w:pPr>
        <w:ind w:left="3796" w:hanging="527"/>
      </w:pPr>
      <w:rPr>
        <w:rFonts w:hint="default"/>
        <w:lang w:val="en-US" w:eastAsia="zh-CN" w:bidi="ar-SA"/>
      </w:rPr>
    </w:lvl>
    <w:lvl w:ilvl="4">
      <w:start w:val="0"/>
      <w:numFmt w:val="bullet"/>
      <w:lvlText w:val="•"/>
      <w:lvlJc w:val="left"/>
      <w:pPr>
        <w:ind w:left="4674" w:hanging="527"/>
      </w:pPr>
      <w:rPr>
        <w:rFonts w:hint="default"/>
        <w:lang w:val="en-US" w:eastAsia="zh-CN" w:bidi="ar-SA"/>
      </w:rPr>
    </w:lvl>
    <w:lvl w:ilvl="5">
      <w:start w:val="0"/>
      <w:numFmt w:val="bullet"/>
      <w:lvlText w:val="•"/>
      <w:lvlJc w:val="left"/>
      <w:pPr>
        <w:ind w:left="5553" w:hanging="527"/>
      </w:pPr>
      <w:rPr>
        <w:rFonts w:hint="default"/>
        <w:lang w:val="en-US" w:eastAsia="zh-CN" w:bidi="ar-SA"/>
      </w:rPr>
    </w:lvl>
    <w:lvl w:ilvl="6">
      <w:start w:val="0"/>
      <w:numFmt w:val="bullet"/>
      <w:lvlText w:val="•"/>
      <w:lvlJc w:val="left"/>
      <w:pPr>
        <w:ind w:left="6432" w:hanging="527"/>
      </w:pPr>
      <w:rPr>
        <w:rFonts w:hint="default"/>
        <w:lang w:val="en-US" w:eastAsia="zh-CN" w:bidi="ar-SA"/>
      </w:rPr>
    </w:lvl>
    <w:lvl w:ilvl="7">
      <w:start w:val="0"/>
      <w:numFmt w:val="bullet"/>
      <w:lvlText w:val="•"/>
      <w:lvlJc w:val="left"/>
      <w:pPr>
        <w:ind w:left="7310" w:hanging="527"/>
      </w:pPr>
      <w:rPr>
        <w:rFonts w:hint="default"/>
        <w:lang w:val="en-US" w:eastAsia="zh-CN" w:bidi="ar-SA"/>
      </w:rPr>
    </w:lvl>
    <w:lvl w:ilvl="8">
      <w:start w:val="0"/>
      <w:numFmt w:val="bullet"/>
      <w:lvlText w:val="•"/>
      <w:lvlJc w:val="left"/>
      <w:pPr>
        <w:ind w:left="8189" w:hanging="527"/>
      </w:pPr>
      <w:rPr>
        <w:rFonts w:hint="default"/>
        <w:lang w:val="en-US" w:eastAsia="zh-CN" w:bidi="ar-SA"/>
      </w:rPr>
    </w:lvl>
  </w:abstractNum>
  <w:abstractNum w:abstractNumId="86">
    <w:nsid w:val="75B6FCD4"/>
    <w:multiLevelType w:val="hybridMultilevel"/>
    <w:tmpl w:val="00000000"/>
    <w:lvl w:ilvl="0">
      <w:start w:val="1"/>
      <w:numFmt w:val="decimal"/>
      <w:lvlText w:val="%1."/>
      <w:lvlJc w:val="left"/>
      <w:pPr>
        <w:ind w:left="744" w:hanging="424"/>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660" w:hanging="424"/>
      </w:pPr>
      <w:rPr>
        <w:rFonts w:hint="default"/>
        <w:lang w:val="en-US" w:eastAsia="zh-CN" w:bidi="ar-SA"/>
      </w:rPr>
    </w:lvl>
    <w:lvl w:ilvl="2">
      <w:start w:val="0"/>
      <w:numFmt w:val="bullet"/>
      <w:lvlText w:val="•"/>
      <w:lvlJc w:val="left"/>
      <w:pPr>
        <w:ind w:left="2581" w:hanging="424"/>
      </w:pPr>
      <w:rPr>
        <w:rFonts w:hint="default"/>
        <w:lang w:val="en-US" w:eastAsia="zh-CN" w:bidi="ar-SA"/>
      </w:rPr>
    </w:lvl>
    <w:lvl w:ilvl="3">
      <w:start w:val="0"/>
      <w:numFmt w:val="bullet"/>
      <w:lvlText w:val="•"/>
      <w:lvlJc w:val="left"/>
      <w:pPr>
        <w:ind w:left="3502" w:hanging="424"/>
      </w:pPr>
      <w:rPr>
        <w:rFonts w:hint="default"/>
        <w:lang w:val="en-US" w:eastAsia="zh-CN" w:bidi="ar-SA"/>
      </w:rPr>
    </w:lvl>
    <w:lvl w:ilvl="4">
      <w:start w:val="0"/>
      <w:numFmt w:val="bullet"/>
      <w:lvlText w:val="•"/>
      <w:lvlJc w:val="left"/>
      <w:pPr>
        <w:ind w:left="4422" w:hanging="424"/>
      </w:pPr>
      <w:rPr>
        <w:rFonts w:hint="default"/>
        <w:lang w:val="en-US" w:eastAsia="zh-CN" w:bidi="ar-SA"/>
      </w:rPr>
    </w:lvl>
    <w:lvl w:ilvl="5">
      <w:start w:val="0"/>
      <w:numFmt w:val="bullet"/>
      <w:lvlText w:val="•"/>
      <w:lvlJc w:val="left"/>
      <w:pPr>
        <w:ind w:left="5343" w:hanging="424"/>
      </w:pPr>
      <w:rPr>
        <w:rFonts w:hint="default"/>
        <w:lang w:val="en-US" w:eastAsia="zh-CN" w:bidi="ar-SA"/>
      </w:rPr>
    </w:lvl>
    <w:lvl w:ilvl="6">
      <w:start w:val="0"/>
      <w:numFmt w:val="bullet"/>
      <w:lvlText w:val="•"/>
      <w:lvlJc w:val="left"/>
      <w:pPr>
        <w:ind w:left="6264" w:hanging="424"/>
      </w:pPr>
      <w:rPr>
        <w:rFonts w:hint="default"/>
        <w:lang w:val="en-US" w:eastAsia="zh-CN" w:bidi="ar-SA"/>
      </w:rPr>
    </w:lvl>
    <w:lvl w:ilvl="7">
      <w:start w:val="0"/>
      <w:numFmt w:val="bullet"/>
      <w:lvlText w:val="•"/>
      <w:lvlJc w:val="left"/>
      <w:pPr>
        <w:ind w:left="7184" w:hanging="424"/>
      </w:pPr>
      <w:rPr>
        <w:rFonts w:hint="default"/>
        <w:lang w:val="en-US" w:eastAsia="zh-CN" w:bidi="ar-SA"/>
      </w:rPr>
    </w:lvl>
    <w:lvl w:ilvl="8">
      <w:start w:val="0"/>
      <w:numFmt w:val="bullet"/>
      <w:lvlText w:val="•"/>
      <w:lvlJc w:val="left"/>
      <w:pPr>
        <w:ind w:left="8105" w:hanging="424"/>
      </w:pPr>
      <w:rPr>
        <w:rFonts w:hint="default"/>
        <w:lang w:val="en-US" w:eastAsia="zh-CN" w:bidi="ar-SA"/>
      </w:rPr>
    </w:lvl>
  </w:abstractNum>
  <w:abstractNum w:abstractNumId="87">
    <w:nsid w:val="761F8514"/>
    <w:multiLevelType w:val="hybridMultilevel"/>
    <w:tmpl w:val="00000000"/>
    <w:lvl w:ilvl="0">
      <w:start w:val="1"/>
      <w:numFmt w:val="decimal"/>
      <w:lvlText w:val="%1."/>
      <w:lvlJc w:val="left"/>
      <w:pPr>
        <w:ind w:left="637"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570" w:hanging="210"/>
      </w:pPr>
      <w:rPr>
        <w:rFonts w:hint="default"/>
        <w:lang w:val="en-US" w:eastAsia="zh-CN" w:bidi="ar-SA"/>
      </w:rPr>
    </w:lvl>
    <w:lvl w:ilvl="2">
      <w:start w:val="0"/>
      <w:numFmt w:val="bullet"/>
      <w:lvlText w:val="•"/>
      <w:lvlJc w:val="left"/>
      <w:pPr>
        <w:ind w:left="2501" w:hanging="210"/>
      </w:pPr>
      <w:rPr>
        <w:rFonts w:hint="default"/>
        <w:lang w:val="en-US" w:eastAsia="zh-CN" w:bidi="ar-SA"/>
      </w:rPr>
    </w:lvl>
    <w:lvl w:ilvl="3">
      <w:start w:val="0"/>
      <w:numFmt w:val="bullet"/>
      <w:lvlText w:val="•"/>
      <w:lvlJc w:val="left"/>
      <w:pPr>
        <w:ind w:left="3432" w:hanging="210"/>
      </w:pPr>
      <w:rPr>
        <w:rFonts w:hint="default"/>
        <w:lang w:val="en-US" w:eastAsia="zh-CN" w:bidi="ar-SA"/>
      </w:rPr>
    </w:lvl>
    <w:lvl w:ilvl="4">
      <w:start w:val="0"/>
      <w:numFmt w:val="bullet"/>
      <w:lvlText w:val="•"/>
      <w:lvlJc w:val="left"/>
      <w:pPr>
        <w:ind w:left="4362" w:hanging="210"/>
      </w:pPr>
      <w:rPr>
        <w:rFonts w:hint="default"/>
        <w:lang w:val="en-US" w:eastAsia="zh-CN" w:bidi="ar-SA"/>
      </w:rPr>
    </w:lvl>
    <w:lvl w:ilvl="5">
      <w:start w:val="0"/>
      <w:numFmt w:val="bullet"/>
      <w:lvlText w:val="•"/>
      <w:lvlJc w:val="left"/>
      <w:pPr>
        <w:ind w:left="5293" w:hanging="210"/>
      </w:pPr>
      <w:rPr>
        <w:rFonts w:hint="default"/>
        <w:lang w:val="en-US" w:eastAsia="zh-CN" w:bidi="ar-SA"/>
      </w:rPr>
    </w:lvl>
    <w:lvl w:ilvl="6">
      <w:start w:val="0"/>
      <w:numFmt w:val="bullet"/>
      <w:lvlText w:val="•"/>
      <w:lvlJc w:val="left"/>
      <w:pPr>
        <w:ind w:left="6224" w:hanging="210"/>
      </w:pPr>
      <w:rPr>
        <w:rFonts w:hint="default"/>
        <w:lang w:val="en-US" w:eastAsia="zh-CN" w:bidi="ar-SA"/>
      </w:rPr>
    </w:lvl>
    <w:lvl w:ilvl="7">
      <w:start w:val="0"/>
      <w:numFmt w:val="bullet"/>
      <w:lvlText w:val="•"/>
      <w:lvlJc w:val="left"/>
      <w:pPr>
        <w:ind w:left="7154" w:hanging="210"/>
      </w:pPr>
      <w:rPr>
        <w:rFonts w:hint="default"/>
        <w:lang w:val="en-US" w:eastAsia="zh-CN" w:bidi="ar-SA"/>
      </w:rPr>
    </w:lvl>
    <w:lvl w:ilvl="8">
      <w:start w:val="0"/>
      <w:numFmt w:val="bullet"/>
      <w:lvlText w:val="•"/>
      <w:lvlJc w:val="left"/>
      <w:pPr>
        <w:ind w:left="8085" w:hanging="210"/>
      </w:pPr>
      <w:rPr>
        <w:rFonts w:hint="default"/>
        <w:lang w:val="en-US" w:eastAsia="zh-CN" w:bidi="ar-SA"/>
      </w:rPr>
    </w:lvl>
  </w:abstractNum>
  <w:abstractNum w:abstractNumId="88">
    <w:nsid w:val="76587878"/>
    <w:multiLevelType w:val="hybridMultilevel"/>
    <w:tmpl w:val="00000000"/>
    <w:lvl w:ilvl="0">
      <w:start w:val="1"/>
      <w:numFmt w:val="decimal"/>
      <w:lvlText w:val="（%1）"/>
      <w:lvlJc w:val="left"/>
      <w:pPr>
        <w:ind w:left="956" w:hanging="637"/>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858" w:hanging="637"/>
      </w:pPr>
      <w:rPr>
        <w:rFonts w:hint="default"/>
        <w:lang w:val="en-US" w:eastAsia="zh-CN" w:bidi="ar-SA"/>
      </w:rPr>
    </w:lvl>
    <w:lvl w:ilvl="2">
      <w:start w:val="0"/>
      <w:numFmt w:val="bullet"/>
      <w:lvlText w:val="•"/>
      <w:lvlJc w:val="left"/>
      <w:pPr>
        <w:ind w:left="2757" w:hanging="637"/>
      </w:pPr>
      <w:rPr>
        <w:rFonts w:hint="default"/>
        <w:lang w:val="en-US" w:eastAsia="zh-CN" w:bidi="ar-SA"/>
      </w:rPr>
    </w:lvl>
    <w:lvl w:ilvl="3">
      <w:start w:val="0"/>
      <w:numFmt w:val="bullet"/>
      <w:lvlText w:val="•"/>
      <w:lvlJc w:val="left"/>
      <w:pPr>
        <w:ind w:left="3656" w:hanging="637"/>
      </w:pPr>
      <w:rPr>
        <w:rFonts w:hint="default"/>
        <w:lang w:val="en-US" w:eastAsia="zh-CN" w:bidi="ar-SA"/>
      </w:rPr>
    </w:lvl>
    <w:lvl w:ilvl="4">
      <w:start w:val="0"/>
      <w:numFmt w:val="bullet"/>
      <w:lvlText w:val="•"/>
      <w:lvlJc w:val="left"/>
      <w:pPr>
        <w:ind w:left="4554" w:hanging="637"/>
      </w:pPr>
      <w:rPr>
        <w:rFonts w:hint="default"/>
        <w:lang w:val="en-US" w:eastAsia="zh-CN" w:bidi="ar-SA"/>
      </w:rPr>
    </w:lvl>
    <w:lvl w:ilvl="5">
      <w:start w:val="0"/>
      <w:numFmt w:val="bullet"/>
      <w:lvlText w:val="•"/>
      <w:lvlJc w:val="left"/>
      <w:pPr>
        <w:ind w:left="5453" w:hanging="637"/>
      </w:pPr>
      <w:rPr>
        <w:rFonts w:hint="default"/>
        <w:lang w:val="en-US" w:eastAsia="zh-CN" w:bidi="ar-SA"/>
      </w:rPr>
    </w:lvl>
    <w:lvl w:ilvl="6">
      <w:start w:val="0"/>
      <w:numFmt w:val="bullet"/>
      <w:lvlText w:val="•"/>
      <w:lvlJc w:val="left"/>
      <w:pPr>
        <w:ind w:left="6352" w:hanging="637"/>
      </w:pPr>
      <w:rPr>
        <w:rFonts w:hint="default"/>
        <w:lang w:val="en-US" w:eastAsia="zh-CN" w:bidi="ar-SA"/>
      </w:rPr>
    </w:lvl>
    <w:lvl w:ilvl="7">
      <w:start w:val="0"/>
      <w:numFmt w:val="bullet"/>
      <w:lvlText w:val="•"/>
      <w:lvlJc w:val="left"/>
      <w:pPr>
        <w:ind w:left="7250" w:hanging="637"/>
      </w:pPr>
      <w:rPr>
        <w:rFonts w:hint="default"/>
        <w:lang w:val="en-US" w:eastAsia="zh-CN" w:bidi="ar-SA"/>
      </w:rPr>
    </w:lvl>
    <w:lvl w:ilvl="8">
      <w:start w:val="0"/>
      <w:numFmt w:val="bullet"/>
      <w:lvlText w:val="•"/>
      <w:lvlJc w:val="left"/>
      <w:pPr>
        <w:ind w:left="8149" w:hanging="637"/>
      </w:pPr>
      <w:rPr>
        <w:rFonts w:hint="default"/>
        <w:lang w:val="en-US" w:eastAsia="zh-CN" w:bidi="ar-SA"/>
      </w:rPr>
    </w:lvl>
  </w:abstractNum>
  <w:abstractNum w:abstractNumId="89">
    <w:nsid w:val="766150E4"/>
    <w:multiLevelType w:val="hybridMultilevel"/>
    <w:tmpl w:val="00000000"/>
    <w:lvl w:ilvl="0">
      <w:start w:val="1"/>
      <w:numFmt w:val="decimal"/>
      <w:lvlText w:val="%1."/>
      <w:lvlJc w:val="left"/>
      <w:pPr>
        <w:ind w:left="637"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570" w:hanging="210"/>
      </w:pPr>
      <w:rPr>
        <w:rFonts w:hint="default"/>
        <w:lang w:val="en-US" w:eastAsia="zh-CN" w:bidi="ar-SA"/>
      </w:rPr>
    </w:lvl>
    <w:lvl w:ilvl="2">
      <w:start w:val="0"/>
      <w:numFmt w:val="bullet"/>
      <w:lvlText w:val="•"/>
      <w:lvlJc w:val="left"/>
      <w:pPr>
        <w:ind w:left="2501" w:hanging="210"/>
      </w:pPr>
      <w:rPr>
        <w:rFonts w:hint="default"/>
        <w:lang w:val="en-US" w:eastAsia="zh-CN" w:bidi="ar-SA"/>
      </w:rPr>
    </w:lvl>
    <w:lvl w:ilvl="3">
      <w:start w:val="0"/>
      <w:numFmt w:val="bullet"/>
      <w:lvlText w:val="•"/>
      <w:lvlJc w:val="left"/>
      <w:pPr>
        <w:ind w:left="3432" w:hanging="210"/>
      </w:pPr>
      <w:rPr>
        <w:rFonts w:hint="default"/>
        <w:lang w:val="en-US" w:eastAsia="zh-CN" w:bidi="ar-SA"/>
      </w:rPr>
    </w:lvl>
    <w:lvl w:ilvl="4">
      <w:start w:val="0"/>
      <w:numFmt w:val="bullet"/>
      <w:lvlText w:val="•"/>
      <w:lvlJc w:val="left"/>
      <w:pPr>
        <w:ind w:left="4362" w:hanging="210"/>
      </w:pPr>
      <w:rPr>
        <w:rFonts w:hint="default"/>
        <w:lang w:val="en-US" w:eastAsia="zh-CN" w:bidi="ar-SA"/>
      </w:rPr>
    </w:lvl>
    <w:lvl w:ilvl="5">
      <w:start w:val="0"/>
      <w:numFmt w:val="bullet"/>
      <w:lvlText w:val="•"/>
      <w:lvlJc w:val="left"/>
      <w:pPr>
        <w:ind w:left="5293" w:hanging="210"/>
      </w:pPr>
      <w:rPr>
        <w:rFonts w:hint="default"/>
        <w:lang w:val="en-US" w:eastAsia="zh-CN" w:bidi="ar-SA"/>
      </w:rPr>
    </w:lvl>
    <w:lvl w:ilvl="6">
      <w:start w:val="0"/>
      <w:numFmt w:val="bullet"/>
      <w:lvlText w:val="•"/>
      <w:lvlJc w:val="left"/>
      <w:pPr>
        <w:ind w:left="6224" w:hanging="210"/>
      </w:pPr>
      <w:rPr>
        <w:rFonts w:hint="default"/>
        <w:lang w:val="en-US" w:eastAsia="zh-CN" w:bidi="ar-SA"/>
      </w:rPr>
    </w:lvl>
    <w:lvl w:ilvl="7">
      <w:start w:val="0"/>
      <w:numFmt w:val="bullet"/>
      <w:lvlText w:val="•"/>
      <w:lvlJc w:val="left"/>
      <w:pPr>
        <w:ind w:left="7154" w:hanging="210"/>
      </w:pPr>
      <w:rPr>
        <w:rFonts w:hint="default"/>
        <w:lang w:val="en-US" w:eastAsia="zh-CN" w:bidi="ar-SA"/>
      </w:rPr>
    </w:lvl>
    <w:lvl w:ilvl="8">
      <w:start w:val="0"/>
      <w:numFmt w:val="bullet"/>
      <w:lvlText w:val="•"/>
      <w:lvlJc w:val="left"/>
      <w:pPr>
        <w:ind w:left="8085" w:hanging="210"/>
      </w:pPr>
      <w:rPr>
        <w:rFonts w:hint="default"/>
        <w:lang w:val="en-US" w:eastAsia="zh-CN" w:bidi="ar-SA"/>
      </w:rPr>
    </w:lvl>
  </w:abstractNum>
  <w:abstractNum w:abstractNumId="90">
    <w:nsid w:val="76A84D8E"/>
    <w:multiLevelType w:val="hybridMultilevel"/>
    <w:tmpl w:val="00000000"/>
    <w:lvl w:ilvl="0">
      <w:start w:val="1"/>
      <w:numFmt w:val="decimal"/>
      <w:lvlText w:val="(%1)"/>
      <w:lvlJc w:val="left"/>
      <w:pPr>
        <w:ind w:left="1064" w:hanging="851"/>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1486" w:hanging="424"/>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420" w:hanging="424"/>
      </w:pPr>
      <w:rPr>
        <w:rFonts w:hint="default"/>
        <w:lang w:val="en-US" w:eastAsia="zh-CN" w:bidi="ar-SA"/>
      </w:rPr>
    </w:lvl>
    <w:lvl w:ilvl="3">
      <w:start w:val="0"/>
      <w:numFmt w:val="bullet"/>
      <w:lvlText w:val="•"/>
      <w:lvlJc w:val="left"/>
      <w:pPr>
        <w:ind w:left="3361" w:hanging="424"/>
      </w:pPr>
      <w:rPr>
        <w:rFonts w:hint="default"/>
        <w:lang w:val="en-US" w:eastAsia="zh-CN" w:bidi="ar-SA"/>
      </w:rPr>
    </w:lvl>
    <w:lvl w:ilvl="4">
      <w:start w:val="0"/>
      <w:numFmt w:val="bullet"/>
      <w:lvlText w:val="•"/>
      <w:lvlJc w:val="left"/>
      <w:pPr>
        <w:ind w:left="4302" w:hanging="424"/>
      </w:pPr>
      <w:rPr>
        <w:rFonts w:hint="default"/>
        <w:lang w:val="en-US" w:eastAsia="zh-CN" w:bidi="ar-SA"/>
      </w:rPr>
    </w:lvl>
    <w:lvl w:ilvl="5">
      <w:start w:val="0"/>
      <w:numFmt w:val="bullet"/>
      <w:lvlText w:val="•"/>
      <w:lvlJc w:val="left"/>
      <w:pPr>
        <w:ind w:left="5243" w:hanging="424"/>
      </w:pPr>
      <w:rPr>
        <w:rFonts w:hint="default"/>
        <w:lang w:val="en-US" w:eastAsia="zh-CN" w:bidi="ar-SA"/>
      </w:rPr>
    </w:lvl>
    <w:lvl w:ilvl="6">
      <w:start w:val="0"/>
      <w:numFmt w:val="bullet"/>
      <w:lvlText w:val="•"/>
      <w:lvlJc w:val="left"/>
      <w:pPr>
        <w:ind w:left="6183" w:hanging="424"/>
      </w:pPr>
      <w:rPr>
        <w:rFonts w:hint="default"/>
        <w:lang w:val="en-US" w:eastAsia="zh-CN" w:bidi="ar-SA"/>
      </w:rPr>
    </w:lvl>
    <w:lvl w:ilvl="7">
      <w:start w:val="0"/>
      <w:numFmt w:val="bullet"/>
      <w:lvlText w:val="•"/>
      <w:lvlJc w:val="left"/>
      <w:pPr>
        <w:ind w:left="7124" w:hanging="424"/>
      </w:pPr>
      <w:rPr>
        <w:rFonts w:hint="default"/>
        <w:lang w:val="en-US" w:eastAsia="zh-CN" w:bidi="ar-SA"/>
      </w:rPr>
    </w:lvl>
    <w:lvl w:ilvl="8">
      <w:start w:val="0"/>
      <w:numFmt w:val="bullet"/>
      <w:lvlText w:val="•"/>
      <w:lvlJc w:val="left"/>
      <w:pPr>
        <w:ind w:left="8065" w:hanging="424"/>
      </w:pPr>
      <w:rPr>
        <w:rFonts w:hint="default"/>
        <w:lang w:val="en-US" w:eastAsia="zh-CN" w:bidi="ar-SA"/>
      </w:rPr>
    </w:lvl>
  </w:abstractNum>
  <w:abstractNum w:abstractNumId="91">
    <w:nsid w:val="774EAD47"/>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1"/>
      <w:numFmt w:val="lowerLetter"/>
      <w:lvlText w:val="%2)"/>
      <w:lvlJc w:val="left"/>
      <w:pPr>
        <w:ind w:left="1486" w:hanging="424"/>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420" w:hanging="424"/>
      </w:pPr>
      <w:rPr>
        <w:rFonts w:hint="default"/>
        <w:lang w:val="en-US" w:eastAsia="zh-CN" w:bidi="ar-SA"/>
      </w:rPr>
    </w:lvl>
    <w:lvl w:ilvl="3">
      <w:start w:val="0"/>
      <w:numFmt w:val="bullet"/>
      <w:lvlText w:val="•"/>
      <w:lvlJc w:val="left"/>
      <w:pPr>
        <w:ind w:left="3361" w:hanging="424"/>
      </w:pPr>
      <w:rPr>
        <w:rFonts w:hint="default"/>
        <w:lang w:val="en-US" w:eastAsia="zh-CN" w:bidi="ar-SA"/>
      </w:rPr>
    </w:lvl>
    <w:lvl w:ilvl="4">
      <w:start w:val="0"/>
      <w:numFmt w:val="bullet"/>
      <w:lvlText w:val="•"/>
      <w:lvlJc w:val="left"/>
      <w:pPr>
        <w:ind w:left="4302" w:hanging="424"/>
      </w:pPr>
      <w:rPr>
        <w:rFonts w:hint="default"/>
        <w:lang w:val="en-US" w:eastAsia="zh-CN" w:bidi="ar-SA"/>
      </w:rPr>
    </w:lvl>
    <w:lvl w:ilvl="5">
      <w:start w:val="0"/>
      <w:numFmt w:val="bullet"/>
      <w:lvlText w:val="•"/>
      <w:lvlJc w:val="left"/>
      <w:pPr>
        <w:ind w:left="5243" w:hanging="424"/>
      </w:pPr>
      <w:rPr>
        <w:rFonts w:hint="default"/>
        <w:lang w:val="en-US" w:eastAsia="zh-CN" w:bidi="ar-SA"/>
      </w:rPr>
    </w:lvl>
    <w:lvl w:ilvl="6">
      <w:start w:val="0"/>
      <w:numFmt w:val="bullet"/>
      <w:lvlText w:val="•"/>
      <w:lvlJc w:val="left"/>
      <w:pPr>
        <w:ind w:left="6183" w:hanging="424"/>
      </w:pPr>
      <w:rPr>
        <w:rFonts w:hint="default"/>
        <w:lang w:val="en-US" w:eastAsia="zh-CN" w:bidi="ar-SA"/>
      </w:rPr>
    </w:lvl>
    <w:lvl w:ilvl="7">
      <w:start w:val="0"/>
      <w:numFmt w:val="bullet"/>
      <w:lvlText w:val="•"/>
      <w:lvlJc w:val="left"/>
      <w:pPr>
        <w:ind w:left="7124" w:hanging="424"/>
      </w:pPr>
      <w:rPr>
        <w:rFonts w:hint="default"/>
        <w:lang w:val="en-US" w:eastAsia="zh-CN" w:bidi="ar-SA"/>
      </w:rPr>
    </w:lvl>
    <w:lvl w:ilvl="8">
      <w:start w:val="0"/>
      <w:numFmt w:val="bullet"/>
      <w:lvlText w:val="•"/>
      <w:lvlJc w:val="left"/>
      <w:pPr>
        <w:ind w:left="8065" w:hanging="424"/>
      </w:pPr>
      <w:rPr>
        <w:rFonts w:hint="default"/>
        <w:lang w:val="en-US" w:eastAsia="zh-CN" w:bidi="ar-SA"/>
      </w:rPr>
    </w:lvl>
  </w:abstractNum>
  <w:abstractNum w:abstractNumId="92">
    <w:nsid w:val="79F2630F"/>
    <w:multiLevelType w:val="hybridMultilevel"/>
    <w:tmpl w:val="00000000"/>
    <w:lvl w:ilvl="0">
      <w:start w:val="1"/>
      <w:numFmt w:val="decimal"/>
      <w:lvlText w:val="%1."/>
      <w:lvlJc w:val="left"/>
      <w:pPr>
        <w:ind w:left="1166" w:hanging="316"/>
        <w:jc w:val="righ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064" w:hanging="316"/>
      </w:pPr>
      <w:rPr>
        <w:rFonts w:hint="default"/>
        <w:lang w:val="en-US" w:eastAsia="zh-CN" w:bidi="ar-SA"/>
      </w:rPr>
    </w:lvl>
    <w:lvl w:ilvl="2">
      <w:start w:val="0"/>
      <w:numFmt w:val="bullet"/>
      <w:lvlText w:val="•"/>
      <w:lvlJc w:val="left"/>
      <w:pPr>
        <w:ind w:left="2969" w:hanging="316"/>
      </w:pPr>
      <w:rPr>
        <w:rFonts w:hint="default"/>
        <w:lang w:val="en-US" w:eastAsia="zh-CN" w:bidi="ar-SA"/>
      </w:rPr>
    </w:lvl>
    <w:lvl w:ilvl="3">
      <w:start w:val="0"/>
      <w:numFmt w:val="bullet"/>
      <w:lvlText w:val="•"/>
      <w:lvlJc w:val="left"/>
      <w:pPr>
        <w:ind w:left="3874" w:hanging="316"/>
      </w:pPr>
      <w:rPr>
        <w:rFonts w:hint="default"/>
        <w:lang w:val="en-US" w:eastAsia="zh-CN" w:bidi="ar-SA"/>
      </w:rPr>
    </w:lvl>
    <w:lvl w:ilvl="4">
      <w:start w:val="0"/>
      <w:numFmt w:val="bullet"/>
      <w:lvlText w:val="•"/>
      <w:lvlJc w:val="left"/>
      <w:pPr>
        <w:ind w:left="4778" w:hanging="316"/>
      </w:pPr>
      <w:rPr>
        <w:rFonts w:hint="default"/>
        <w:lang w:val="en-US" w:eastAsia="zh-CN" w:bidi="ar-SA"/>
      </w:rPr>
    </w:lvl>
    <w:lvl w:ilvl="5">
      <w:start w:val="0"/>
      <w:numFmt w:val="bullet"/>
      <w:lvlText w:val="•"/>
      <w:lvlJc w:val="left"/>
      <w:pPr>
        <w:ind w:left="5683" w:hanging="316"/>
      </w:pPr>
      <w:rPr>
        <w:rFonts w:hint="default"/>
        <w:lang w:val="en-US" w:eastAsia="zh-CN" w:bidi="ar-SA"/>
      </w:rPr>
    </w:lvl>
    <w:lvl w:ilvl="6">
      <w:start w:val="0"/>
      <w:numFmt w:val="bullet"/>
      <w:lvlText w:val="•"/>
      <w:lvlJc w:val="left"/>
      <w:pPr>
        <w:ind w:left="6588" w:hanging="316"/>
      </w:pPr>
      <w:rPr>
        <w:rFonts w:hint="default"/>
        <w:lang w:val="en-US" w:eastAsia="zh-CN" w:bidi="ar-SA"/>
      </w:rPr>
    </w:lvl>
    <w:lvl w:ilvl="7">
      <w:start w:val="0"/>
      <w:numFmt w:val="bullet"/>
      <w:lvlText w:val="•"/>
      <w:lvlJc w:val="left"/>
      <w:pPr>
        <w:ind w:left="7492" w:hanging="316"/>
      </w:pPr>
      <w:rPr>
        <w:rFonts w:hint="default"/>
        <w:lang w:val="en-US" w:eastAsia="zh-CN" w:bidi="ar-SA"/>
      </w:rPr>
    </w:lvl>
    <w:lvl w:ilvl="8">
      <w:start w:val="0"/>
      <w:numFmt w:val="bullet"/>
      <w:lvlText w:val="•"/>
      <w:lvlJc w:val="left"/>
      <w:pPr>
        <w:ind w:left="8397" w:hanging="316"/>
      </w:pPr>
      <w:rPr>
        <w:rFonts w:hint="default"/>
        <w:lang w:val="en-US" w:eastAsia="zh-CN" w:bidi="ar-SA"/>
      </w:rPr>
    </w:lvl>
  </w:abstractNum>
  <w:abstractNum w:abstractNumId="93">
    <w:nsid w:val="7A8F59BC"/>
    <w:multiLevelType w:val="hybridMultilevel"/>
    <w:tmpl w:val="00000000"/>
    <w:lvl w:ilvl="0">
      <w:start w:val="1"/>
      <w:numFmt w:val="decimal"/>
      <w:lvlText w:val="%1."/>
      <w:lvlJc w:val="left"/>
      <w:pPr>
        <w:ind w:left="1065" w:hanging="852"/>
        <w:jc w:val="left"/>
      </w:pPr>
      <w:rPr>
        <w:rFonts w:ascii="Microsoft JhengHei" w:eastAsia="Microsoft JhengHei" w:hAnsi="Microsoft JhengHei" w:cs="Microsoft JhengHei" w:hint="default"/>
        <w:b/>
        <w:bCs/>
        <w:i w:val="0"/>
        <w:iCs w:val="0"/>
        <w:w w:val="83"/>
        <w:sz w:val="24"/>
        <w:szCs w:val="24"/>
        <w:lang w:val="en-US" w:eastAsia="zh-CN" w:bidi="ar-SA"/>
      </w:rPr>
    </w:lvl>
    <w:lvl w:ilvl="1">
      <w:start w:val="0"/>
      <w:numFmt w:val="bullet"/>
      <w:lvlText w:val="•"/>
      <w:lvlJc w:val="left"/>
      <w:pPr>
        <w:ind w:left="1948" w:hanging="852"/>
      </w:pPr>
      <w:rPr>
        <w:rFonts w:hint="default"/>
        <w:lang w:val="en-US" w:eastAsia="zh-CN" w:bidi="ar-SA"/>
      </w:rPr>
    </w:lvl>
    <w:lvl w:ilvl="2">
      <w:start w:val="0"/>
      <w:numFmt w:val="bullet"/>
      <w:lvlText w:val="•"/>
      <w:lvlJc w:val="left"/>
      <w:pPr>
        <w:ind w:left="2837" w:hanging="852"/>
      </w:pPr>
      <w:rPr>
        <w:rFonts w:hint="default"/>
        <w:lang w:val="en-US" w:eastAsia="zh-CN" w:bidi="ar-SA"/>
      </w:rPr>
    </w:lvl>
    <w:lvl w:ilvl="3">
      <w:start w:val="0"/>
      <w:numFmt w:val="bullet"/>
      <w:lvlText w:val="•"/>
      <w:lvlJc w:val="left"/>
      <w:pPr>
        <w:ind w:left="3726" w:hanging="852"/>
      </w:pPr>
      <w:rPr>
        <w:rFonts w:hint="default"/>
        <w:lang w:val="en-US" w:eastAsia="zh-CN" w:bidi="ar-SA"/>
      </w:rPr>
    </w:lvl>
    <w:lvl w:ilvl="4">
      <w:start w:val="0"/>
      <w:numFmt w:val="bullet"/>
      <w:lvlText w:val="•"/>
      <w:lvlJc w:val="left"/>
      <w:pPr>
        <w:ind w:left="4614" w:hanging="852"/>
      </w:pPr>
      <w:rPr>
        <w:rFonts w:hint="default"/>
        <w:lang w:val="en-US" w:eastAsia="zh-CN" w:bidi="ar-SA"/>
      </w:rPr>
    </w:lvl>
    <w:lvl w:ilvl="5">
      <w:start w:val="0"/>
      <w:numFmt w:val="bullet"/>
      <w:lvlText w:val="•"/>
      <w:lvlJc w:val="left"/>
      <w:pPr>
        <w:ind w:left="5503" w:hanging="852"/>
      </w:pPr>
      <w:rPr>
        <w:rFonts w:hint="default"/>
        <w:lang w:val="en-US" w:eastAsia="zh-CN" w:bidi="ar-SA"/>
      </w:rPr>
    </w:lvl>
    <w:lvl w:ilvl="6">
      <w:start w:val="0"/>
      <w:numFmt w:val="bullet"/>
      <w:lvlText w:val="•"/>
      <w:lvlJc w:val="left"/>
      <w:pPr>
        <w:ind w:left="6392" w:hanging="852"/>
      </w:pPr>
      <w:rPr>
        <w:rFonts w:hint="default"/>
        <w:lang w:val="en-US" w:eastAsia="zh-CN" w:bidi="ar-SA"/>
      </w:rPr>
    </w:lvl>
    <w:lvl w:ilvl="7">
      <w:start w:val="0"/>
      <w:numFmt w:val="bullet"/>
      <w:lvlText w:val="•"/>
      <w:lvlJc w:val="left"/>
      <w:pPr>
        <w:ind w:left="7280" w:hanging="852"/>
      </w:pPr>
      <w:rPr>
        <w:rFonts w:hint="default"/>
        <w:lang w:val="en-US" w:eastAsia="zh-CN" w:bidi="ar-SA"/>
      </w:rPr>
    </w:lvl>
    <w:lvl w:ilvl="8">
      <w:start w:val="0"/>
      <w:numFmt w:val="bullet"/>
      <w:lvlText w:val="•"/>
      <w:lvlJc w:val="left"/>
      <w:pPr>
        <w:ind w:left="8169" w:hanging="852"/>
      </w:pPr>
      <w:rPr>
        <w:rFonts w:hint="default"/>
        <w:lang w:val="en-US" w:eastAsia="zh-CN" w:bidi="ar-SA"/>
      </w:rPr>
    </w:lvl>
  </w:abstractNum>
  <w:abstractNum w:abstractNumId="94">
    <w:nsid w:val="7AA98C05"/>
    <w:multiLevelType w:val="hybridMultilevel"/>
    <w:tmpl w:val="00000000"/>
    <w:lvl w:ilvl="0">
      <w:start w:val="1"/>
      <w:numFmt w:val="decimal"/>
      <w:lvlText w:val="%1."/>
      <w:lvlJc w:val="left"/>
      <w:pPr>
        <w:ind w:left="739" w:hanging="315"/>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686" w:hanging="315"/>
      </w:pPr>
      <w:rPr>
        <w:rFonts w:hint="default"/>
        <w:lang w:val="en-US" w:eastAsia="zh-CN" w:bidi="ar-SA"/>
      </w:rPr>
    </w:lvl>
    <w:lvl w:ilvl="2">
      <w:start w:val="0"/>
      <w:numFmt w:val="bullet"/>
      <w:lvlText w:val="•"/>
      <w:lvlJc w:val="left"/>
      <w:pPr>
        <w:ind w:left="2633" w:hanging="315"/>
      </w:pPr>
      <w:rPr>
        <w:rFonts w:hint="default"/>
        <w:lang w:val="en-US" w:eastAsia="zh-CN" w:bidi="ar-SA"/>
      </w:rPr>
    </w:lvl>
    <w:lvl w:ilvl="3">
      <w:start w:val="0"/>
      <w:numFmt w:val="bullet"/>
      <w:lvlText w:val="•"/>
      <w:lvlJc w:val="left"/>
      <w:pPr>
        <w:ind w:left="3580" w:hanging="315"/>
      </w:pPr>
      <w:rPr>
        <w:rFonts w:hint="default"/>
        <w:lang w:val="en-US" w:eastAsia="zh-CN" w:bidi="ar-SA"/>
      </w:rPr>
    </w:lvl>
    <w:lvl w:ilvl="4">
      <w:start w:val="0"/>
      <w:numFmt w:val="bullet"/>
      <w:lvlText w:val="•"/>
      <w:lvlJc w:val="left"/>
      <w:pPr>
        <w:ind w:left="4526" w:hanging="315"/>
      </w:pPr>
      <w:rPr>
        <w:rFonts w:hint="default"/>
        <w:lang w:val="en-US" w:eastAsia="zh-CN" w:bidi="ar-SA"/>
      </w:rPr>
    </w:lvl>
    <w:lvl w:ilvl="5">
      <w:start w:val="0"/>
      <w:numFmt w:val="bullet"/>
      <w:lvlText w:val="•"/>
      <w:lvlJc w:val="left"/>
      <w:pPr>
        <w:ind w:left="5473" w:hanging="315"/>
      </w:pPr>
      <w:rPr>
        <w:rFonts w:hint="default"/>
        <w:lang w:val="en-US" w:eastAsia="zh-CN" w:bidi="ar-SA"/>
      </w:rPr>
    </w:lvl>
    <w:lvl w:ilvl="6">
      <w:start w:val="0"/>
      <w:numFmt w:val="bullet"/>
      <w:lvlText w:val="•"/>
      <w:lvlJc w:val="left"/>
      <w:pPr>
        <w:ind w:left="6420" w:hanging="315"/>
      </w:pPr>
      <w:rPr>
        <w:rFonts w:hint="default"/>
        <w:lang w:val="en-US" w:eastAsia="zh-CN" w:bidi="ar-SA"/>
      </w:rPr>
    </w:lvl>
    <w:lvl w:ilvl="7">
      <w:start w:val="0"/>
      <w:numFmt w:val="bullet"/>
      <w:lvlText w:val="•"/>
      <w:lvlJc w:val="left"/>
      <w:pPr>
        <w:ind w:left="7366" w:hanging="315"/>
      </w:pPr>
      <w:rPr>
        <w:rFonts w:hint="default"/>
        <w:lang w:val="en-US" w:eastAsia="zh-CN" w:bidi="ar-SA"/>
      </w:rPr>
    </w:lvl>
    <w:lvl w:ilvl="8">
      <w:start w:val="0"/>
      <w:numFmt w:val="bullet"/>
      <w:lvlText w:val="•"/>
      <w:lvlJc w:val="left"/>
      <w:pPr>
        <w:ind w:left="8313" w:hanging="315"/>
      </w:pPr>
      <w:rPr>
        <w:rFonts w:hint="default"/>
        <w:lang w:val="en-US" w:eastAsia="zh-CN" w:bidi="ar-SA"/>
      </w:rPr>
    </w:lvl>
  </w:abstractNum>
  <w:abstractNum w:abstractNumId="95">
    <w:nsid w:val="7BD9F4D4"/>
    <w:multiLevelType w:val="hybridMultilevel"/>
    <w:tmpl w:val="00000000"/>
    <w:lvl w:ilvl="0">
      <w:start w:val="1"/>
      <w:numFmt w:val="decimal"/>
      <w:lvlText w:val="%1."/>
      <w:lvlJc w:val="left"/>
      <w:pPr>
        <w:ind w:left="847" w:hanging="424"/>
        <w:jc w:val="left"/>
      </w:pPr>
      <w:rPr>
        <w:rFonts w:ascii="宋体" w:eastAsia="宋体" w:hAnsi="宋体" w:cs="宋体" w:hint="default"/>
        <w:b w:val="0"/>
        <w:bCs w:val="0"/>
        <w:i w:val="0"/>
        <w:iCs w:val="0"/>
        <w:w w:val="100"/>
        <w:sz w:val="21"/>
        <w:szCs w:val="21"/>
        <w:lang w:val="en-US" w:eastAsia="zh-CN" w:bidi="ar-SA"/>
      </w:rPr>
    </w:lvl>
    <w:lvl w:ilvl="1">
      <w:start w:val="1"/>
      <w:numFmt w:val="decimal"/>
      <w:lvlText w:val="（%2）"/>
      <w:lvlJc w:val="left"/>
      <w:pPr>
        <w:ind w:left="1863" w:hanging="1016"/>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787" w:hanging="1016"/>
      </w:pPr>
      <w:rPr>
        <w:rFonts w:hint="default"/>
        <w:lang w:val="en-US" w:eastAsia="zh-CN" w:bidi="ar-SA"/>
      </w:rPr>
    </w:lvl>
    <w:lvl w:ilvl="3">
      <w:start w:val="0"/>
      <w:numFmt w:val="bullet"/>
      <w:lvlText w:val="•"/>
      <w:lvlJc w:val="left"/>
      <w:pPr>
        <w:ind w:left="3714" w:hanging="1016"/>
      </w:pPr>
      <w:rPr>
        <w:rFonts w:hint="default"/>
        <w:lang w:val="en-US" w:eastAsia="zh-CN" w:bidi="ar-SA"/>
      </w:rPr>
    </w:lvl>
    <w:lvl w:ilvl="4">
      <w:start w:val="0"/>
      <w:numFmt w:val="bullet"/>
      <w:lvlText w:val="•"/>
      <w:lvlJc w:val="left"/>
      <w:pPr>
        <w:ind w:left="4642" w:hanging="1016"/>
      </w:pPr>
      <w:rPr>
        <w:rFonts w:hint="default"/>
        <w:lang w:val="en-US" w:eastAsia="zh-CN" w:bidi="ar-SA"/>
      </w:rPr>
    </w:lvl>
    <w:lvl w:ilvl="5">
      <w:start w:val="0"/>
      <w:numFmt w:val="bullet"/>
      <w:lvlText w:val="•"/>
      <w:lvlJc w:val="left"/>
      <w:pPr>
        <w:ind w:left="5569" w:hanging="1016"/>
      </w:pPr>
      <w:rPr>
        <w:rFonts w:hint="default"/>
        <w:lang w:val="en-US" w:eastAsia="zh-CN" w:bidi="ar-SA"/>
      </w:rPr>
    </w:lvl>
    <w:lvl w:ilvl="6">
      <w:start w:val="0"/>
      <w:numFmt w:val="bullet"/>
      <w:lvlText w:val="•"/>
      <w:lvlJc w:val="left"/>
      <w:pPr>
        <w:ind w:left="6497" w:hanging="1016"/>
      </w:pPr>
      <w:rPr>
        <w:rFonts w:hint="default"/>
        <w:lang w:val="en-US" w:eastAsia="zh-CN" w:bidi="ar-SA"/>
      </w:rPr>
    </w:lvl>
    <w:lvl w:ilvl="7">
      <w:start w:val="0"/>
      <w:numFmt w:val="bullet"/>
      <w:lvlText w:val="•"/>
      <w:lvlJc w:val="left"/>
      <w:pPr>
        <w:ind w:left="7424" w:hanging="1016"/>
      </w:pPr>
      <w:rPr>
        <w:rFonts w:hint="default"/>
        <w:lang w:val="en-US" w:eastAsia="zh-CN" w:bidi="ar-SA"/>
      </w:rPr>
    </w:lvl>
    <w:lvl w:ilvl="8">
      <w:start w:val="0"/>
      <w:numFmt w:val="bullet"/>
      <w:lvlText w:val="•"/>
      <w:lvlJc w:val="left"/>
      <w:pPr>
        <w:ind w:left="8352" w:hanging="1016"/>
      </w:pPr>
      <w:rPr>
        <w:rFonts w:hint="default"/>
        <w:lang w:val="en-US" w:eastAsia="zh-CN" w:bidi="ar-SA"/>
      </w:rPr>
    </w:lvl>
  </w:abstractNum>
  <w:abstractNum w:abstractNumId="96">
    <w:nsid w:val="7C133D93"/>
    <w:multiLevelType w:val="hybridMultilevel"/>
    <w:tmpl w:val="00000000"/>
    <w:lvl w:ilvl="0">
      <w:start w:val="1"/>
      <w:numFmt w:val="decimal"/>
      <w:lvlText w:val="(%1)"/>
      <w:lvlJc w:val="left"/>
      <w:pPr>
        <w:ind w:left="1065" w:hanging="85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51"/>
      </w:pPr>
      <w:rPr>
        <w:rFonts w:hint="default"/>
        <w:lang w:val="en-US" w:eastAsia="zh-CN" w:bidi="ar-SA"/>
      </w:rPr>
    </w:lvl>
    <w:lvl w:ilvl="2">
      <w:start w:val="0"/>
      <w:numFmt w:val="bullet"/>
      <w:lvlText w:val="•"/>
      <w:lvlJc w:val="left"/>
      <w:pPr>
        <w:ind w:left="2837" w:hanging="851"/>
      </w:pPr>
      <w:rPr>
        <w:rFonts w:hint="default"/>
        <w:lang w:val="en-US" w:eastAsia="zh-CN" w:bidi="ar-SA"/>
      </w:rPr>
    </w:lvl>
    <w:lvl w:ilvl="3">
      <w:start w:val="0"/>
      <w:numFmt w:val="bullet"/>
      <w:lvlText w:val="•"/>
      <w:lvlJc w:val="left"/>
      <w:pPr>
        <w:ind w:left="3726" w:hanging="851"/>
      </w:pPr>
      <w:rPr>
        <w:rFonts w:hint="default"/>
        <w:lang w:val="en-US" w:eastAsia="zh-CN" w:bidi="ar-SA"/>
      </w:rPr>
    </w:lvl>
    <w:lvl w:ilvl="4">
      <w:start w:val="0"/>
      <w:numFmt w:val="bullet"/>
      <w:lvlText w:val="•"/>
      <w:lvlJc w:val="left"/>
      <w:pPr>
        <w:ind w:left="4614" w:hanging="851"/>
      </w:pPr>
      <w:rPr>
        <w:rFonts w:hint="default"/>
        <w:lang w:val="en-US" w:eastAsia="zh-CN" w:bidi="ar-SA"/>
      </w:rPr>
    </w:lvl>
    <w:lvl w:ilvl="5">
      <w:start w:val="0"/>
      <w:numFmt w:val="bullet"/>
      <w:lvlText w:val="•"/>
      <w:lvlJc w:val="left"/>
      <w:pPr>
        <w:ind w:left="5503" w:hanging="851"/>
      </w:pPr>
      <w:rPr>
        <w:rFonts w:hint="default"/>
        <w:lang w:val="en-US" w:eastAsia="zh-CN" w:bidi="ar-SA"/>
      </w:rPr>
    </w:lvl>
    <w:lvl w:ilvl="6">
      <w:start w:val="0"/>
      <w:numFmt w:val="bullet"/>
      <w:lvlText w:val="•"/>
      <w:lvlJc w:val="left"/>
      <w:pPr>
        <w:ind w:left="6392" w:hanging="851"/>
      </w:pPr>
      <w:rPr>
        <w:rFonts w:hint="default"/>
        <w:lang w:val="en-US" w:eastAsia="zh-CN" w:bidi="ar-SA"/>
      </w:rPr>
    </w:lvl>
    <w:lvl w:ilvl="7">
      <w:start w:val="0"/>
      <w:numFmt w:val="bullet"/>
      <w:lvlText w:val="•"/>
      <w:lvlJc w:val="left"/>
      <w:pPr>
        <w:ind w:left="7280" w:hanging="851"/>
      </w:pPr>
      <w:rPr>
        <w:rFonts w:hint="default"/>
        <w:lang w:val="en-US" w:eastAsia="zh-CN" w:bidi="ar-SA"/>
      </w:rPr>
    </w:lvl>
    <w:lvl w:ilvl="8">
      <w:start w:val="0"/>
      <w:numFmt w:val="bullet"/>
      <w:lvlText w:val="•"/>
      <w:lvlJc w:val="left"/>
      <w:pPr>
        <w:ind w:left="8169" w:hanging="851"/>
      </w:pPr>
      <w:rPr>
        <w:rFonts w:hint="default"/>
        <w:lang w:val="en-US" w:eastAsia="zh-CN" w:bidi="ar-SA"/>
      </w:rPr>
    </w:lvl>
  </w:abstractNum>
  <w:abstractNum w:abstractNumId="97">
    <w:nsid w:val="7C5C5640"/>
    <w:multiLevelType w:val="hybridMultilevel"/>
    <w:tmpl w:val="00000000"/>
    <w:lvl w:ilvl="0">
      <w:start w:val="1"/>
      <w:numFmt w:val="decimal"/>
      <w:lvlText w:val="%1."/>
      <w:lvlJc w:val="left"/>
      <w:pPr>
        <w:ind w:left="848" w:hanging="424"/>
        <w:jc w:val="left"/>
      </w:pPr>
      <w:rPr>
        <w:rFonts w:ascii="宋体" w:eastAsia="宋体" w:hAnsi="宋体" w:cs="宋体" w:hint="default"/>
        <w:b w:val="0"/>
        <w:bCs w:val="0"/>
        <w:i w:val="0"/>
        <w:iCs w:val="0"/>
        <w:w w:val="100"/>
        <w:position w:val="-2"/>
        <w:sz w:val="21"/>
        <w:szCs w:val="21"/>
        <w:lang w:val="en-US" w:eastAsia="zh-CN" w:bidi="ar-SA"/>
      </w:rPr>
    </w:lvl>
    <w:lvl w:ilvl="1">
      <w:start w:val="0"/>
      <w:numFmt w:val="bullet"/>
      <w:lvlText w:val="•"/>
      <w:lvlJc w:val="left"/>
      <w:pPr>
        <w:ind w:left="1776" w:hanging="424"/>
      </w:pPr>
      <w:rPr>
        <w:rFonts w:hint="default"/>
        <w:lang w:val="en-US" w:eastAsia="zh-CN" w:bidi="ar-SA"/>
      </w:rPr>
    </w:lvl>
    <w:lvl w:ilvl="2">
      <w:start w:val="0"/>
      <w:numFmt w:val="bullet"/>
      <w:lvlText w:val="•"/>
      <w:lvlJc w:val="left"/>
      <w:pPr>
        <w:ind w:left="2713" w:hanging="424"/>
      </w:pPr>
      <w:rPr>
        <w:rFonts w:hint="default"/>
        <w:lang w:val="en-US" w:eastAsia="zh-CN" w:bidi="ar-SA"/>
      </w:rPr>
    </w:lvl>
    <w:lvl w:ilvl="3">
      <w:start w:val="0"/>
      <w:numFmt w:val="bullet"/>
      <w:lvlText w:val="•"/>
      <w:lvlJc w:val="left"/>
      <w:pPr>
        <w:ind w:left="3650" w:hanging="424"/>
      </w:pPr>
      <w:rPr>
        <w:rFonts w:hint="default"/>
        <w:lang w:val="en-US" w:eastAsia="zh-CN" w:bidi="ar-SA"/>
      </w:rPr>
    </w:lvl>
    <w:lvl w:ilvl="4">
      <w:start w:val="0"/>
      <w:numFmt w:val="bullet"/>
      <w:lvlText w:val="•"/>
      <w:lvlJc w:val="left"/>
      <w:pPr>
        <w:ind w:left="4586" w:hanging="424"/>
      </w:pPr>
      <w:rPr>
        <w:rFonts w:hint="default"/>
        <w:lang w:val="en-US" w:eastAsia="zh-CN" w:bidi="ar-SA"/>
      </w:rPr>
    </w:lvl>
    <w:lvl w:ilvl="5">
      <w:start w:val="0"/>
      <w:numFmt w:val="bullet"/>
      <w:lvlText w:val="•"/>
      <w:lvlJc w:val="left"/>
      <w:pPr>
        <w:ind w:left="5523" w:hanging="424"/>
      </w:pPr>
      <w:rPr>
        <w:rFonts w:hint="default"/>
        <w:lang w:val="en-US" w:eastAsia="zh-CN" w:bidi="ar-SA"/>
      </w:rPr>
    </w:lvl>
    <w:lvl w:ilvl="6">
      <w:start w:val="0"/>
      <w:numFmt w:val="bullet"/>
      <w:lvlText w:val="•"/>
      <w:lvlJc w:val="left"/>
      <w:pPr>
        <w:ind w:left="6460" w:hanging="424"/>
      </w:pPr>
      <w:rPr>
        <w:rFonts w:hint="default"/>
        <w:lang w:val="en-US" w:eastAsia="zh-CN" w:bidi="ar-SA"/>
      </w:rPr>
    </w:lvl>
    <w:lvl w:ilvl="7">
      <w:start w:val="0"/>
      <w:numFmt w:val="bullet"/>
      <w:lvlText w:val="•"/>
      <w:lvlJc w:val="left"/>
      <w:pPr>
        <w:ind w:left="7396" w:hanging="424"/>
      </w:pPr>
      <w:rPr>
        <w:rFonts w:hint="default"/>
        <w:lang w:val="en-US" w:eastAsia="zh-CN" w:bidi="ar-SA"/>
      </w:rPr>
    </w:lvl>
    <w:lvl w:ilvl="8">
      <w:start w:val="0"/>
      <w:numFmt w:val="bullet"/>
      <w:lvlText w:val="•"/>
      <w:lvlJc w:val="left"/>
      <w:pPr>
        <w:ind w:left="8333" w:hanging="424"/>
      </w:pPr>
      <w:rPr>
        <w:rFonts w:hint="default"/>
        <w:lang w:val="en-US" w:eastAsia="zh-CN" w:bidi="ar-SA"/>
      </w:rPr>
    </w:lvl>
  </w:abstractNum>
  <w:abstractNum w:abstractNumId="98">
    <w:nsid w:val="7D08BD91"/>
    <w:multiLevelType w:val="hybridMultilevel"/>
    <w:tmpl w:val="00000000"/>
    <w:lvl w:ilvl="0">
      <w:start w:val="1"/>
      <w:numFmt w:val="decimal"/>
      <w:lvlText w:val="(%1)"/>
      <w:lvlJc w:val="left"/>
      <w:pPr>
        <w:ind w:left="1062" w:hanging="848"/>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1948" w:hanging="848"/>
      </w:pPr>
      <w:rPr>
        <w:rFonts w:hint="default"/>
        <w:lang w:val="en-US" w:eastAsia="zh-CN" w:bidi="ar-SA"/>
      </w:rPr>
    </w:lvl>
    <w:lvl w:ilvl="2">
      <w:start w:val="0"/>
      <w:numFmt w:val="bullet"/>
      <w:lvlText w:val="•"/>
      <w:lvlJc w:val="left"/>
      <w:pPr>
        <w:ind w:left="2837" w:hanging="848"/>
      </w:pPr>
      <w:rPr>
        <w:rFonts w:hint="default"/>
        <w:lang w:val="en-US" w:eastAsia="zh-CN" w:bidi="ar-SA"/>
      </w:rPr>
    </w:lvl>
    <w:lvl w:ilvl="3">
      <w:start w:val="0"/>
      <w:numFmt w:val="bullet"/>
      <w:lvlText w:val="•"/>
      <w:lvlJc w:val="left"/>
      <w:pPr>
        <w:ind w:left="3726" w:hanging="848"/>
      </w:pPr>
      <w:rPr>
        <w:rFonts w:hint="default"/>
        <w:lang w:val="en-US" w:eastAsia="zh-CN" w:bidi="ar-SA"/>
      </w:rPr>
    </w:lvl>
    <w:lvl w:ilvl="4">
      <w:start w:val="0"/>
      <w:numFmt w:val="bullet"/>
      <w:lvlText w:val="•"/>
      <w:lvlJc w:val="left"/>
      <w:pPr>
        <w:ind w:left="4614" w:hanging="848"/>
      </w:pPr>
      <w:rPr>
        <w:rFonts w:hint="default"/>
        <w:lang w:val="en-US" w:eastAsia="zh-CN" w:bidi="ar-SA"/>
      </w:rPr>
    </w:lvl>
    <w:lvl w:ilvl="5">
      <w:start w:val="0"/>
      <w:numFmt w:val="bullet"/>
      <w:lvlText w:val="•"/>
      <w:lvlJc w:val="left"/>
      <w:pPr>
        <w:ind w:left="5503" w:hanging="848"/>
      </w:pPr>
      <w:rPr>
        <w:rFonts w:hint="default"/>
        <w:lang w:val="en-US" w:eastAsia="zh-CN" w:bidi="ar-SA"/>
      </w:rPr>
    </w:lvl>
    <w:lvl w:ilvl="6">
      <w:start w:val="0"/>
      <w:numFmt w:val="bullet"/>
      <w:lvlText w:val="•"/>
      <w:lvlJc w:val="left"/>
      <w:pPr>
        <w:ind w:left="6392" w:hanging="848"/>
      </w:pPr>
      <w:rPr>
        <w:rFonts w:hint="default"/>
        <w:lang w:val="en-US" w:eastAsia="zh-CN" w:bidi="ar-SA"/>
      </w:rPr>
    </w:lvl>
    <w:lvl w:ilvl="7">
      <w:start w:val="0"/>
      <w:numFmt w:val="bullet"/>
      <w:lvlText w:val="•"/>
      <w:lvlJc w:val="left"/>
      <w:pPr>
        <w:ind w:left="7280" w:hanging="848"/>
      </w:pPr>
      <w:rPr>
        <w:rFonts w:hint="default"/>
        <w:lang w:val="en-US" w:eastAsia="zh-CN" w:bidi="ar-SA"/>
      </w:rPr>
    </w:lvl>
    <w:lvl w:ilvl="8">
      <w:start w:val="0"/>
      <w:numFmt w:val="bullet"/>
      <w:lvlText w:val="•"/>
      <w:lvlJc w:val="left"/>
      <w:pPr>
        <w:ind w:left="8169" w:hanging="848"/>
      </w:pPr>
      <w:rPr>
        <w:rFonts w:hint="default"/>
        <w:lang w:val="en-US" w:eastAsia="zh-CN" w:bidi="ar-SA"/>
      </w:rPr>
    </w:lvl>
  </w:abstractNum>
  <w:num w:numId="1">
    <w:abstractNumId w:val="25"/>
  </w:num>
  <w:num w:numId="2">
    <w:abstractNumId w:val="18"/>
  </w:num>
  <w:num w:numId="3">
    <w:abstractNumId w:val="0"/>
  </w:num>
  <w:num w:numId="4">
    <w:abstractNumId w:val="94"/>
  </w:num>
  <w:num w:numId="5">
    <w:abstractNumId w:val="46"/>
  </w:num>
  <w:num w:numId="6">
    <w:abstractNumId w:val="15"/>
  </w:num>
  <w:num w:numId="7">
    <w:abstractNumId w:val="10"/>
  </w:num>
  <w:num w:numId="8">
    <w:abstractNumId w:val="92"/>
  </w:num>
  <w:num w:numId="9">
    <w:abstractNumId w:val="69"/>
  </w:num>
  <w:num w:numId="10">
    <w:abstractNumId w:val="23"/>
  </w:num>
  <w:num w:numId="11">
    <w:abstractNumId w:val="27"/>
  </w:num>
  <w:num w:numId="12">
    <w:abstractNumId w:val="43"/>
  </w:num>
  <w:num w:numId="13">
    <w:abstractNumId w:val="81"/>
  </w:num>
  <w:num w:numId="14">
    <w:abstractNumId w:val="54"/>
  </w:num>
  <w:num w:numId="15">
    <w:abstractNumId w:val="60"/>
  </w:num>
  <w:num w:numId="16">
    <w:abstractNumId w:val="75"/>
  </w:num>
  <w:num w:numId="17">
    <w:abstractNumId w:val="51"/>
  </w:num>
  <w:num w:numId="18">
    <w:abstractNumId w:val="95"/>
  </w:num>
  <w:num w:numId="19">
    <w:abstractNumId w:val="28"/>
  </w:num>
  <w:num w:numId="20">
    <w:abstractNumId w:val="61"/>
  </w:num>
  <w:num w:numId="21">
    <w:abstractNumId w:val="80"/>
  </w:num>
  <w:num w:numId="22">
    <w:abstractNumId w:val="72"/>
  </w:num>
  <w:num w:numId="23">
    <w:abstractNumId w:val="65"/>
  </w:num>
  <w:num w:numId="24">
    <w:abstractNumId w:val="77"/>
  </w:num>
  <w:num w:numId="25">
    <w:abstractNumId w:val="33"/>
  </w:num>
  <w:num w:numId="26">
    <w:abstractNumId w:val="97"/>
  </w:num>
  <w:num w:numId="27">
    <w:abstractNumId w:val="37"/>
  </w:num>
  <w:num w:numId="28">
    <w:abstractNumId w:val="55"/>
  </w:num>
  <w:num w:numId="29">
    <w:abstractNumId w:val="58"/>
  </w:num>
  <w:num w:numId="30">
    <w:abstractNumId w:val="47"/>
  </w:num>
  <w:num w:numId="31">
    <w:abstractNumId w:val="67"/>
  </w:num>
  <w:num w:numId="32">
    <w:abstractNumId w:val="79"/>
  </w:num>
  <w:num w:numId="33">
    <w:abstractNumId w:val="44"/>
  </w:num>
  <w:num w:numId="34">
    <w:abstractNumId w:val="26"/>
  </w:num>
  <w:num w:numId="35">
    <w:abstractNumId w:val="98"/>
  </w:num>
  <w:num w:numId="36">
    <w:abstractNumId w:val="52"/>
  </w:num>
  <w:num w:numId="37">
    <w:abstractNumId w:val="24"/>
  </w:num>
  <w:num w:numId="38">
    <w:abstractNumId w:val="90"/>
  </w:num>
  <w:num w:numId="39">
    <w:abstractNumId w:val="5"/>
  </w:num>
  <w:num w:numId="40">
    <w:abstractNumId w:val="14"/>
  </w:num>
  <w:num w:numId="41">
    <w:abstractNumId w:val="68"/>
  </w:num>
  <w:num w:numId="42">
    <w:abstractNumId w:val="34"/>
  </w:num>
  <w:num w:numId="43">
    <w:abstractNumId w:val="45"/>
  </w:num>
  <w:num w:numId="44">
    <w:abstractNumId w:val="91"/>
  </w:num>
  <w:num w:numId="45">
    <w:abstractNumId w:val="35"/>
  </w:num>
  <w:num w:numId="46">
    <w:abstractNumId w:val="50"/>
  </w:num>
  <w:num w:numId="47">
    <w:abstractNumId w:val="32"/>
  </w:num>
  <w:num w:numId="48">
    <w:abstractNumId w:val="63"/>
  </w:num>
  <w:num w:numId="49">
    <w:abstractNumId w:val="78"/>
  </w:num>
  <w:num w:numId="50">
    <w:abstractNumId w:val="76"/>
  </w:num>
  <w:num w:numId="51">
    <w:abstractNumId w:val="20"/>
  </w:num>
  <w:num w:numId="52">
    <w:abstractNumId w:val="49"/>
  </w:num>
  <w:num w:numId="53">
    <w:abstractNumId w:val="9"/>
  </w:num>
  <w:num w:numId="54">
    <w:abstractNumId w:val="12"/>
  </w:num>
  <w:num w:numId="55">
    <w:abstractNumId w:val="84"/>
  </w:num>
  <w:num w:numId="56">
    <w:abstractNumId w:val="96"/>
  </w:num>
  <w:num w:numId="57">
    <w:abstractNumId w:val="4"/>
  </w:num>
  <w:num w:numId="58">
    <w:abstractNumId w:val="73"/>
  </w:num>
  <w:num w:numId="59">
    <w:abstractNumId w:val="70"/>
  </w:num>
  <w:num w:numId="60">
    <w:abstractNumId w:val="16"/>
  </w:num>
  <w:num w:numId="61">
    <w:abstractNumId w:val="83"/>
  </w:num>
  <w:num w:numId="62">
    <w:abstractNumId w:val="39"/>
  </w:num>
  <w:num w:numId="63">
    <w:abstractNumId w:val="48"/>
  </w:num>
  <w:num w:numId="64">
    <w:abstractNumId w:val="71"/>
  </w:num>
  <w:num w:numId="65">
    <w:abstractNumId w:val="66"/>
  </w:num>
  <w:num w:numId="66">
    <w:abstractNumId w:val="42"/>
  </w:num>
  <w:num w:numId="67">
    <w:abstractNumId w:val="93"/>
  </w:num>
  <w:num w:numId="68">
    <w:abstractNumId w:val="82"/>
  </w:num>
  <w:num w:numId="69">
    <w:abstractNumId w:val="59"/>
  </w:num>
  <w:num w:numId="70">
    <w:abstractNumId w:val="21"/>
  </w:num>
  <w:num w:numId="71">
    <w:abstractNumId w:val="13"/>
  </w:num>
  <w:num w:numId="72">
    <w:abstractNumId w:val="88"/>
  </w:num>
  <w:num w:numId="73">
    <w:abstractNumId w:val="30"/>
  </w:num>
  <w:num w:numId="74">
    <w:abstractNumId w:val="36"/>
  </w:num>
  <w:num w:numId="75">
    <w:abstractNumId w:val="3"/>
  </w:num>
  <w:num w:numId="76">
    <w:abstractNumId w:val="85"/>
  </w:num>
  <w:num w:numId="77">
    <w:abstractNumId w:val="56"/>
  </w:num>
  <w:num w:numId="78">
    <w:abstractNumId w:val="57"/>
  </w:num>
  <w:num w:numId="79">
    <w:abstractNumId w:val="6"/>
  </w:num>
  <w:num w:numId="80">
    <w:abstractNumId w:val="19"/>
  </w:num>
  <w:num w:numId="81">
    <w:abstractNumId w:val="74"/>
  </w:num>
  <w:num w:numId="82">
    <w:abstractNumId w:val="1"/>
  </w:num>
  <w:num w:numId="83">
    <w:abstractNumId w:val="53"/>
  </w:num>
  <w:num w:numId="84">
    <w:abstractNumId w:val="31"/>
  </w:num>
  <w:num w:numId="85">
    <w:abstractNumId w:val="7"/>
  </w:num>
  <w:num w:numId="86">
    <w:abstractNumId w:val="62"/>
  </w:num>
  <w:num w:numId="87">
    <w:abstractNumId w:val="87"/>
  </w:num>
  <w:num w:numId="88">
    <w:abstractNumId w:val="89"/>
  </w:num>
  <w:num w:numId="89">
    <w:abstractNumId w:val="86"/>
  </w:num>
  <w:num w:numId="90">
    <w:abstractNumId w:val="38"/>
  </w:num>
  <w:num w:numId="91">
    <w:abstractNumId w:val="17"/>
  </w:num>
  <w:num w:numId="92">
    <w:abstractNumId w:val="2"/>
  </w:num>
  <w:num w:numId="93">
    <w:abstractNumId w:val="40"/>
  </w:num>
  <w:num w:numId="94">
    <w:abstractNumId w:val="64"/>
  </w:num>
  <w:num w:numId="95">
    <w:abstractNumId w:val="22"/>
  </w:num>
  <w:num w:numId="96">
    <w:abstractNumId w:val="41"/>
  </w:num>
  <w:num w:numId="97">
    <w:abstractNumId w:val="11"/>
  </w:num>
  <w:num w:numId="98">
    <w:abstractNumId w:val="29"/>
  </w:num>
  <w:num w:numId="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702" w:lineRule="exact"/>
      <w:jc w:val="center"/>
      <w:outlineLvl w:val="0"/>
    </w:pPr>
    <w:rPr>
      <w:rFonts w:ascii="Microsoft JhengHei" w:eastAsia="Microsoft JhengHei" w:hAnsi="Microsoft JhengHei" w:cs="Microsoft JhengHei"/>
      <w:b/>
      <w:bCs/>
      <w:sz w:val="44"/>
      <w:szCs w:val="44"/>
      <w:lang w:val="en-US" w:eastAsia="zh-CN" w:bidi="ar-SA"/>
    </w:rPr>
  </w:style>
  <w:style w:type="paragraph" w:styleId="Heading2">
    <w:name w:val="heading 2"/>
    <w:basedOn w:val="Normal"/>
    <w:uiPriority w:val="1"/>
    <w:qFormat/>
    <w:pPr>
      <w:spacing w:line="484" w:lineRule="exact"/>
      <w:jc w:val="center"/>
      <w:outlineLvl w:val="1"/>
    </w:pPr>
    <w:rPr>
      <w:rFonts w:ascii="Microsoft JhengHei" w:eastAsia="Microsoft JhengHei" w:hAnsi="Microsoft JhengHei" w:cs="Microsoft JhengHei"/>
      <w:b/>
      <w:bCs/>
      <w:sz w:val="28"/>
      <w:szCs w:val="28"/>
      <w:lang w:val="en-US" w:eastAsia="zh-CN" w:bidi="ar-SA"/>
    </w:rPr>
  </w:style>
  <w:style w:type="paragraph" w:styleId="Heading3">
    <w:name w:val="heading 3"/>
    <w:basedOn w:val="Normal"/>
    <w:uiPriority w:val="1"/>
    <w:qFormat/>
    <w:pPr>
      <w:ind w:left="1065" w:hanging="852"/>
      <w:outlineLvl w:val="2"/>
    </w:pPr>
    <w:rPr>
      <w:rFonts w:ascii="Microsoft JhengHei" w:eastAsia="Microsoft JhengHei" w:hAnsi="Microsoft JhengHei" w:cs="Microsoft JhengHei"/>
      <w:b/>
      <w:bCs/>
      <w:sz w:val="24"/>
      <w:szCs w:val="24"/>
      <w:lang w:val="en-US" w:eastAsia="zh-CN" w:bidi="ar-SA"/>
    </w:rPr>
  </w:style>
  <w:style w:type="paragraph" w:styleId="Heading4">
    <w:name w:val="heading 4"/>
    <w:basedOn w:val="Normal"/>
    <w:uiPriority w:val="1"/>
    <w:qFormat/>
    <w:pPr>
      <w:ind w:left="849" w:hanging="636"/>
      <w:outlineLvl w:val="3"/>
    </w:pPr>
    <w:rPr>
      <w:rFonts w:ascii="Microsoft JhengHei" w:eastAsia="Microsoft JhengHei" w:hAnsi="Microsoft JhengHei" w:cs="Microsoft JhengHei"/>
      <w:b/>
      <w:bCs/>
      <w:sz w:val="21"/>
      <w:szCs w:val="21"/>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line="373" w:lineRule="exact"/>
      <w:ind w:left="213"/>
    </w:pPr>
    <w:rPr>
      <w:rFonts w:ascii="Microsoft JhengHei" w:eastAsia="Microsoft JhengHei" w:hAnsi="Microsoft JhengHei" w:cs="Microsoft JhengHei"/>
      <w:b/>
      <w:bCs/>
      <w:sz w:val="21"/>
      <w:szCs w:val="21"/>
      <w:lang w:val="en-US" w:eastAsia="zh-CN" w:bidi="ar-SA"/>
    </w:rPr>
  </w:style>
  <w:style w:type="paragraph" w:styleId="TOC2">
    <w:name w:val="toc 2"/>
    <w:basedOn w:val="Normal"/>
    <w:uiPriority w:val="1"/>
    <w:qFormat/>
    <w:pPr>
      <w:spacing w:before="91"/>
      <w:ind w:left="427"/>
    </w:pPr>
    <w:rPr>
      <w:rFonts w:ascii="宋体" w:eastAsia="宋体" w:hAnsi="宋体" w:cs="宋体"/>
      <w:sz w:val="21"/>
      <w:szCs w:val="21"/>
      <w:lang w:val="en-US" w:eastAsia="zh-CN" w:bidi="ar-SA"/>
    </w:r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ListParagraph">
    <w:name w:val="List Paragraph"/>
    <w:basedOn w:val="Normal"/>
    <w:uiPriority w:val="1"/>
    <w:qFormat/>
    <w:pPr>
      <w:ind w:left="1065" w:hanging="424"/>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ender.gd.gov.cn/"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mailto:tender_zs@gd.gov.cn" TargetMode="Externa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header" Target="header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footer" Target="footer19.xml" /><Relationship Id="rId44" Type="http://schemas.openxmlformats.org/officeDocument/2006/relationships/header" Target="header20.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footer" Target="footer22.xml" /><Relationship Id="rId5" Type="http://schemas.openxmlformats.org/officeDocument/2006/relationships/footer" Target="footer1.xml" /><Relationship Id="rId50" Type="http://schemas.openxmlformats.org/officeDocument/2006/relationships/header" Target="header23.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footer" Target="footer25.xml" /><Relationship Id="rId56" Type="http://schemas.openxmlformats.org/officeDocument/2006/relationships/hyperlink" Target="http://www.zsnews.cn/zt/zsjcy" TargetMode="Externa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header" Target="header2.xml"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footer" Target="footer2.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eader" Target="header36.xml" /><Relationship Id="rId78" Type="http://schemas.openxmlformats.org/officeDocument/2006/relationships/footer" Target="footer36.xml" /><Relationship Id="rId79" Type="http://schemas.openxmlformats.org/officeDocument/2006/relationships/header" Target="header37.xml" /><Relationship Id="rId8" Type="http://schemas.openxmlformats.org/officeDocument/2006/relationships/header" Target="header3.xml" /><Relationship Id="rId80" Type="http://schemas.openxmlformats.org/officeDocument/2006/relationships/footer" Target="footer37.xml" /><Relationship Id="rId81" Type="http://schemas.openxmlformats.org/officeDocument/2006/relationships/header" Target="header38.xml" /><Relationship Id="rId82" Type="http://schemas.openxmlformats.org/officeDocument/2006/relationships/footer" Target="footer38.xml" /><Relationship Id="rId83" Type="http://schemas.openxmlformats.org/officeDocument/2006/relationships/header" Target="header39.xml" /><Relationship Id="rId84" Type="http://schemas.openxmlformats.org/officeDocument/2006/relationships/footer" Target="footer39.xml" /><Relationship Id="rId85" Type="http://schemas.openxmlformats.org/officeDocument/2006/relationships/hyperlink" Target="https://d.book118.com/666025211125010055" TargetMode="External" /><Relationship Id="rId86" Type="http://schemas.openxmlformats.org/officeDocument/2006/relationships/header" Target="header40.xml" /><Relationship Id="rId87" Type="http://schemas.openxmlformats.org/officeDocument/2006/relationships/footer" Target="footer40.xml" /><Relationship Id="rId88" Type="http://schemas.openxmlformats.org/officeDocument/2006/relationships/theme" Target="theme/theme1.xml" /><Relationship Id="rId89" Type="http://schemas.openxmlformats.org/officeDocument/2006/relationships/numbering" Target="numbering.xml" /><Relationship Id="rId9" Type="http://schemas.openxmlformats.org/officeDocument/2006/relationships/footer" Target="footer3.xml" /><Relationship Id="rId90"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2024-03-05T07:04:17Z</dcterms:created>
  <dcterms:modified xsi:type="dcterms:W3CDTF">2024-03-05T07:04:17Z</dcterms:modified>
</cp:coreProperties>
</file>