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159" w:lineRule="exact"/>
        <w:ind w:left="2540"/>
        <w:rPr>
          <w:rFonts w:ascii="Times New Roman"/>
          <w:sz w:val="15"/>
        </w:rPr>
      </w:pPr>
      <w:r>
        <w:rPr>
          <w:rFonts w:ascii="Times New Roman"/>
          <w:position w:val="-2"/>
          <w:sz w:val="15"/>
        </w:rPr>
        <w:drawing>
          <wp:inline distT="0" distB="0" distL="0" distR="0">
            <wp:extent cx="8095011" cy="10134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95011" cy="101346"/>
                    </a:xfrm>
                    <a:prstGeom prst="rect">
                      <a:avLst/>
                    </a:prstGeom>
                  </pic:spPr>
                </pic:pic>
              </a:graphicData>
            </a:graphic>
          </wp:inline>
        </w:drawing>
      </w:r>
    </w:p>
    <w:p>
      <w:pPr>
        <w:pStyle w:val="BodyText"/>
        <w:ind w:left="0"/>
        <w:rPr>
          <w:rFonts w:ascii="Times New Roman"/>
          <w:sz w:val="20"/>
        </w:rPr>
      </w:pPr>
    </w:p>
    <w:p>
      <w:pPr>
        <w:pStyle w:val="Heading2"/>
        <w:spacing w:before="240"/>
        <w:ind w:left="3334"/>
      </w:pPr>
      <w:r>
        <w:t>第一章：概论</w:t>
      </w:r>
    </w:p>
    <w:p>
      <w:pPr>
        <w:pStyle w:val="BodyText"/>
        <w:spacing w:before="1"/>
        <w:ind w:left="0"/>
        <w:rPr>
          <w:b/>
          <w:sz w:val="42"/>
        </w:rPr>
      </w:pPr>
    </w:p>
    <w:p>
      <w:pPr>
        <w:spacing w:before="0"/>
        <w:ind w:left="2700" w:right="0" w:firstLine="0"/>
        <w:jc w:val="left"/>
        <w:rPr>
          <w:b/>
          <w:sz w:val="31"/>
        </w:rPr>
      </w:pPr>
      <w:r>
        <w:rPr>
          <w:b/>
          <w:sz w:val="31"/>
        </w:rPr>
        <w:t>一、单项选择题</w:t>
      </w:r>
    </w:p>
    <w:p>
      <w:pPr>
        <w:pStyle w:val="BodyText"/>
        <w:spacing w:before="71"/>
      </w:pPr>
      <w:r>
        <w:rPr>
          <w:w w:val="102"/>
        </w:rPr>
        <w:t>1</w:t>
      </w:r>
      <w:r>
        <w:rPr>
          <w:spacing w:val="-76"/>
        </w:rPr>
        <w:t xml:space="preserve"> </w:t>
      </w:r>
      <w:r>
        <w:rPr>
          <w:w w:val="102"/>
        </w:rPr>
        <w:t>现代企业财务管理的最优化目标是（</w:t>
      </w:r>
      <w:r>
        <w:rPr>
          <w:spacing w:val="-187"/>
          <w:w w:val="102"/>
        </w:rPr>
        <w:t>）</w:t>
      </w:r>
      <w:r>
        <w:rPr>
          <w:w w:val="102"/>
        </w:rPr>
        <w:t>。</w:t>
      </w:r>
    </w:p>
    <w:p>
      <w:pPr>
        <w:pStyle w:val="BodyText"/>
        <w:tabs>
          <w:tab w:val="left" w:pos="5857"/>
          <w:tab w:val="left" w:pos="8533"/>
          <w:tab w:val="left" w:pos="9477"/>
          <w:tab w:val="left" w:pos="11842"/>
        </w:tabs>
        <w:spacing w:before="71" w:line="283" w:lineRule="auto"/>
        <w:ind w:right="3171" w:firstLine="475"/>
      </w:pPr>
      <w:r>
        <w:t>A．</w:t>
      </w:r>
      <w:r>
        <w:rPr>
          <w:spacing w:val="17"/>
        </w:rPr>
        <w:t xml:space="preserve"> </w:t>
      </w:r>
      <w:r>
        <w:t>产值最大化</w:t>
        <w:tab/>
      </w:r>
      <w:r>
        <w:rPr>
          <w:spacing w:val="-4"/>
        </w:rPr>
        <w:t>B．</w:t>
      </w:r>
      <w:r>
        <w:rPr>
          <w:spacing w:val="20"/>
        </w:rPr>
        <w:t xml:space="preserve"> </w:t>
      </w:r>
      <w:r>
        <w:t>利润最大化</w:t>
        <w:tab/>
        <w:t>C．</w:t>
      </w:r>
      <w:r>
        <w:rPr>
          <w:spacing w:val="53"/>
        </w:rPr>
        <w:t xml:space="preserve"> </w:t>
      </w:r>
      <w:r>
        <w:t>每股利润最大化</w:t>
        <w:tab/>
        <w:t>D．</w:t>
      </w:r>
      <w:r>
        <w:rPr>
          <w:spacing w:val="47"/>
        </w:rPr>
        <w:t xml:space="preserve"> </w:t>
      </w:r>
      <w:r>
        <w:t>企业价值最大</w:t>
      </w:r>
      <w:r>
        <w:rPr>
          <w:spacing w:val="-17"/>
        </w:rPr>
        <w:t>化</w:t>
      </w:r>
      <w:r>
        <w:t>2．企业与债权人之间的财务关系主要体现为（</w:t>
        <w:tab/>
      </w:r>
      <w:r>
        <w:rPr>
          <w:spacing w:val="-162"/>
        </w:rPr>
        <w:t>）</w:t>
      </w:r>
      <w:r>
        <w:t>。</w:t>
      </w:r>
    </w:p>
    <w:p>
      <w:pPr>
        <w:pStyle w:val="BodyText"/>
        <w:tabs>
          <w:tab w:val="left" w:pos="8389"/>
        </w:tabs>
        <w:spacing w:line="396" w:lineRule="exact"/>
        <w:ind w:left="3172"/>
      </w:pPr>
      <w:r>
        <w:t>A</w:t>
      </w:r>
      <w:r>
        <w:rPr>
          <w:spacing w:val="25"/>
        </w:rPr>
        <w:t xml:space="preserve"> </w:t>
      </w:r>
      <w:r>
        <w:t>投资—收益关系</w:t>
        <w:tab/>
        <w:t>B</w:t>
      </w:r>
      <w:r>
        <w:rPr>
          <w:spacing w:val="29"/>
        </w:rPr>
        <w:t xml:space="preserve"> </w:t>
      </w:r>
      <w:r>
        <w:t>债务债权关系</w:t>
      </w:r>
    </w:p>
    <w:p>
      <w:pPr>
        <w:pStyle w:val="BodyText"/>
        <w:tabs>
          <w:tab w:val="left" w:pos="8388"/>
        </w:tabs>
        <w:spacing w:before="71"/>
        <w:ind w:left="3172"/>
      </w:pPr>
      <w:r>
        <w:t>C</w:t>
      </w:r>
      <w:r>
        <w:rPr>
          <w:spacing w:val="22"/>
        </w:rPr>
        <w:t xml:space="preserve"> </w:t>
      </w:r>
      <w:r>
        <w:t>分工协作关系</w:t>
        <w:tab/>
        <w:t>D</w:t>
      </w:r>
      <w:r>
        <w:rPr>
          <w:spacing w:val="30"/>
        </w:rPr>
        <w:t xml:space="preserve"> </w:t>
      </w:r>
      <w:r>
        <w:t>债权债务关系</w:t>
      </w:r>
    </w:p>
    <w:p>
      <w:pPr>
        <w:pStyle w:val="BodyText"/>
        <w:spacing w:before="11"/>
        <w:ind w:left="0"/>
        <w:rPr>
          <w:sz w:val="22"/>
        </w:rPr>
      </w:pPr>
    </w:p>
    <w:tbl>
      <w:tblPr>
        <w:tblStyle w:val="TableNormal"/>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05"/>
        <w:gridCol w:w="2438"/>
        <w:gridCol w:w="2253"/>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1"/>
          <w:jc w:val="left"/>
        </w:trPr>
        <w:tc>
          <w:tcPr>
            <w:tcW w:w="5105" w:type="dxa"/>
          </w:tcPr>
          <w:p>
            <w:pPr>
              <w:pStyle w:val="TableParagraph"/>
              <w:spacing w:line="205" w:lineRule="exact"/>
              <w:ind w:left="50"/>
              <w:rPr>
                <w:sz w:val="18"/>
              </w:rPr>
            </w:pPr>
            <w:r>
              <w:rPr>
                <w:sz w:val="18"/>
              </w:rPr>
              <w:t>%</w:t>
            </w:r>
          </w:p>
        </w:tc>
        <w:tc>
          <w:tcPr>
            <w:tcW w:w="4691" w:type="dxa"/>
            <w:gridSpan w:val="2"/>
          </w:tcPr>
          <w:p>
            <w:pPr>
              <w:pStyle w:val="TableParagraph"/>
              <w:rPr>
                <w:rFonts w:ascii="Times New Roman"/>
                <w:sz w:val="16"/>
              </w:rPr>
            </w:pPr>
          </w:p>
        </w:tc>
      </w:tr>
      <w:tr>
        <w:tblPrEx>
          <w:tblW w:w="0" w:type="auto"/>
          <w:jc w:val="left"/>
          <w:tblInd w:w="2658" w:type="dxa"/>
          <w:tblLayout w:type="fixed"/>
          <w:tblCellMar>
            <w:top w:w="0" w:type="dxa"/>
            <w:left w:w="0" w:type="dxa"/>
            <w:bottom w:w="0" w:type="dxa"/>
            <w:right w:w="0" w:type="dxa"/>
          </w:tblCellMar>
          <w:tblLook w:val="01E0"/>
        </w:tblPrEx>
        <w:trPr>
          <w:trHeight w:val="836"/>
          <w:jc w:val="left"/>
        </w:trPr>
        <w:tc>
          <w:tcPr>
            <w:tcW w:w="5105" w:type="dxa"/>
          </w:tcPr>
          <w:p>
            <w:pPr>
              <w:pStyle w:val="TableParagraph"/>
              <w:spacing w:before="14"/>
              <w:ind w:left="50"/>
              <w:rPr>
                <w:sz w:val="31"/>
              </w:rPr>
            </w:pPr>
            <w:r>
              <w:rPr>
                <w:sz w:val="31"/>
              </w:rPr>
              <w:t>3. 下列不属于财务活动内容的是（</w:t>
            </w:r>
          </w:p>
          <w:p>
            <w:pPr>
              <w:pStyle w:val="TableParagraph"/>
              <w:tabs>
                <w:tab w:val="left" w:pos="2731"/>
              </w:tabs>
              <w:spacing w:before="70" w:line="335" w:lineRule="exact"/>
              <w:ind w:left="521"/>
              <w:rPr>
                <w:sz w:val="31"/>
              </w:rPr>
            </w:pPr>
            <w:r>
              <w:rPr>
                <w:sz w:val="31"/>
              </w:rPr>
              <w:t>A</w:t>
            </w:r>
            <w:r>
              <w:rPr>
                <w:spacing w:val="16"/>
                <w:sz w:val="31"/>
              </w:rPr>
              <w:t xml:space="preserve"> </w:t>
            </w:r>
            <w:r>
              <w:rPr>
                <w:sz w:val="31"/>
              </w:rPr>
              <w:t>生产活动</w:t>
              <w:tab/>
              <w:t>B</w:t>
            </w:r>
            <w:r>
              <w:rPr>
                <w:spacing w:val="5"/>
                <w:sz w:val="31"/>
              </w:rPr>
              <w:t xml:space="preserve"> </w:t>
            </w:r>
            <w:r>
              <w:rPr>
                <w:sz w:val="31"/>
              </w:rPr>
              <w:t>投资活动</w:t>
            </w:r>
          </w:p>
        </w:tc>
        <w:tc>
          <w:tcPr>
            <w:tcW w:w="2438" w:type="dxa"/>
          </w:tcPr>
          <w:p>
            <w:pPr>
              <w:pStyle w:val="TableParagraph"/>
              <w:spacing w:before="14"/>
              <w:ind w:left="144"/>
              <w:rPr>
                <w:sz w:val="31"/>
              </w:rPr>
            </w:pPr>
            <w:r>
              <w:rPr>
                <w:spacing w:val="-159"/>
                <w:sz w:val="31"/>
              </w:rPr>
              <w:t>）</w:t>
            </w:r>
            <w:r>
              <w:rPr>
                <w:sz w:val="31"/>
              </w:rPr>
              <w:t>。</w:t>
            </w:r>
          </w:p>
          <w:p>
            <w:pPr>
              <w:pStyle w:val="TableParagraph"/>
              <w:spacing w:before="70" w:line="335" w:lineRule="exact"/>
              <w:ind w:left="309"/>
              <w:rPr>
                <w:sz w:val="31"/>
              </w:rPr>
            </w:pPr>
            <w:r>
              <w:rPr>
                <w:sz w:val="31"/>
              </w:rPr>
              <w:t>C 筹资活动</w:t>
            </w:r>
          </w:p>
        </w:tc>
        <w:tc>
          <w:tcPr>
            <w:tcW w:w="2253" w:type="dxa"/>
          </w:tcPr>
          <w:p>
            <w:pPr>
              <w:pStyle w:val="TableParagraph"/>
              <w:spacing w:before="7"/>
              <w:rPr>
                <w:sz w:val="37"/>
              </w:rPr>
            </w:pPr>
          </w:p>
          <w:p>
            <w:pPr>
              <w:pStyle w:val="TableParagraph"/>
              <w:spacing w:before="1" w:line="335" w:lineRule="exact"/>
              <w:ind w:left="630"/>
              <w:rPr>
                <w:sz w:val="31"/>
              </w:rPr>
            </w:pPr>
            <w:r>
              <w:rPr>
                <w:sz w:val="31"/>
              </w:rPr>
              <w:t>D 分配活动</w:t>
            </w:r>
          </w:p>
        </w:tc>
      </w:tr>
    </w:tbl>
    <w:p>
      <w:pPr>
        <w:pStyle w:val="ListParagraph"/>
        <w:numPr>
          <w:ilvl w:val="0"/>
          <w:numId w:val="117"/>
        </w:numPr>
        <w:tabs>
          <w:tab w:val="left" w:pos="3177"/>
        </w:tabs>
        <w:spacing w:before="113" w:after="0" w:line="240" w:lineRule="auto"/>
        <w:ind w:left="3177" w:right="0" w:hanging="477"/>
        <w:jc w:val="left"/>
        <w:rPr>
          <w:sz w:val="31"/>
        </w:rPr>
      </w:pPr>
      <w:r>
        <w:rPr>
          <w:w w:val="102"/>
          <w:sz w:val="31"/>
        </w:rPr>
        <w:t>企业财务管理区别于其它管理的基本特征是（</w:t>
      </w:r>
      <w:r>
        <w:rPr>
          <w:spacing w:val="-197"/>
          <w:w w:val="102"/>
          <w:sz w:val="31"/>
        </w:rPr>
        <w:t>）</w:t>
      </w:r>
      <w:r>
        <w:rPr>
          <w:w w:val="102"/>
          <w:sz w:val="31"/>
        </w:rPr>
        <w:t>。</w:t>
      </w:r>
    </w:p>
    <w:p>
      <w:pPr>
        <w:pStyle w:val="BodyText"/>
        <w:tabs>
          <w:tab w:val="left" w:pos="5936"/>
          <w:tab w:val="left" w:pos="8536"/>
          <w:tab w:val="left" w:pos="10661"/>
        </w:tabs>
        <w:spacing w:before="72"/>
        <w:ind w:left="3489"/>
      </w:pPr>
      <w:r>
        <w:t>A</w:t>
      </w:r>
      <w:r>
        <w:rPr>
          <w:spacing w:val="-68"/>
        </w:rPr>
        <w:t xml:space="preserve"> </w:t>
      </w:r>
      <w:r>
        <w:t>价值管理</w:t>
        <w:tab/>
        <w:t>B</w:t>
      </w:r>
      <w:r>
        <w:rPr>
          <w:spacing w:val="-75"/>
        </w:rPr>
        <w:t xml:space="preserve"> </w:t>
      </w:r>
      <w:r>
        <w:t>物资管理</w:t>
        <w:tab/>
        <w:t>C</w:t>
      </w:r>
      <w:r>
        <w:rPr>
          <w:spacing w:val="-74"/>
        </w:rPr>
        <w:t xml:space="preserve"> </w:t>
      </w:r>
      <w:r>
        <w:t>使用管理</w:t>
        <w:tab/>
        <w:t>D</w:t>
      </w:r>
      <w:r>
        <w:rPr>
          <w:spacing w:val="-83"/>
        </w:rPr>
        <w:t xml:space="preserve"> </w:t>
      </w:r>
      <w:r>
        <w:t>劳动管理</w:t>
      </w:r>
    </w:p>
    <w:p>
      <w:pPr>
        <w:pStyle w:val="ListParagraph"/>
        <w:numPr>
          <w:ilvl w:val="0"/>
          <w:numId w:val="117"/>
        </w:numPr>
        <w:tabs>
          <w:tab w:val="left" w:pos="3176"/>
        </w:tabs>
        <w:spacing w:before="38" w:after="0" w:line="240" w:lineRule="auto"/>
        <w:ind w:left="3175" w:right="0" w:hanging="476"/>
        <w:jc w:val="left"/>
        <w:rPr>
          <w:sz w:val="31"/>
        </w:rPr>
      </w:pPr>
      <w:r>
        <w:rPr>
          <w:sz w:val="31"/>
        </w:rPr>
        <w:t>最关心企业偿债能力的是（）。</w:t>
      </w:r>
    </w:p>
    <w:p>
      <w:pPr>
        <w:pStyle w:val="BodyText"/>
        <w:tabs>
          <w:tab w:val="left" w:pos="5011"/>
          <w:tab w:val="left" w:pos="6506"/>
          <w:tab w:val="left" w:pos="6801"/>
          <w:tab w:val="left" w:pos="8792"/>
        </w:tabs>
        <w:spacing w:before="10" w:line="247" w:lineRule="auto"/>
        <w:ind w:right="6296" w:firstLine="651"/>
      </w:pPr>
      <w:r>
        <w:t>A</w:t>
      </w:r>
      <w:r>
        <w:rPr>
          <w:spacing w:val="-70"/>
        </w:rPr>
        <w:t xml:space="preserve"> </w:t>
      </w:r>
      <w:r>
        <w:t>所有者</w:t>
        <w:tab/>
        <w:t>B</w:t>
      </w:r>
      <w:r>
        <w:rPr>
          <w:spacing w:val="-73"/>
        </w:rPr>
        <w:t xml:space="preserve"> </w:t>
      </w:r>
      <w:r>
        <w:t>债权人</w:t>
        <w:tab/>
        <w:t>C</w:t>
      </w:r>
      <w:r>
        <w:rPr>
          <w:spacing w:val="-43"/>
        </w:rPr>
        <w:t xml:space="preserve"> </w:t>
      </w:r>
      <w:r>
        <w:t>经营决策者</w:t>
        <w:tab/>
        <w:t>D</w:t>
      </w:r>
      <w:r>
        <w:rPr>
          <w:spacing w:val="-34"/>
        </w:rPr>
        <w:t xml:space="preserve"> </w:t>
      </w:r>
      <w:r>
        <w:t>政府经济管理机</w:t>
      </w:r>
      <w:r>
        <w:rPr>
          <w:spacing w:val="-17"/>
        </w:rPr>
        <w:t>构</w:t>
      </w:r>
      <w:r>
        <w:t>6.企业资金运动的起点是（</w:t>
        <w:tab/>
        <w:tab/>
        <w:t>）。</w:t>
      </w:r>
    </w:p>
    <w:p>
      <w:pPr>
        <w:pStyle w:val="BodyText"/>
        <w:tabs>
          <w:tab w:val="left" w:pos="5069"/>
          <w:tab w:val="left" w:pos="6956"/>
          <w:tab w:val="left" w:pos="9166"/>
        </w:tabs>
        <w:spacing w:line="396" w:lineRule="exact"/>
        <w:ind w:left="3017"/>
      </w:pPr>
      <w:r>
        <w:t>A</w:t>
      </w:r>
      <w:r>
        <w:rPr>
          <w:spacing w:val="16"/>
        </w:rPr>
        <w:t xml:space="preserve"> </w:t>
      </w:r>
      <w:r>
        <w:t>筹资活动</w:t>
        <w:tab/>
        <w:t>B</w:t>
      </w:r>
      <w:r>
        <w:rPr>
          <w:spacing w:val="12"/>
        </w:rPr>
        <w:t xml:space="preserve"> </w:t>
      </w:r>
      <w:r>
        <w:t>投资活动</w:t>
        <w:tab/>
        <w:t>C</w:t>
      </w:r>
      <w:r>
        <w:rPr>
          <w:spacing w:val="17"/>
        </w:rPr>
        <w:t xml:space="preserve"> </w:t>
      </w:r>
      <w:r>
        <w:t>营运活动</w:t>
        <w:tab/>
        <w:t>D</w:t>
      </w:r>
      <w:r>
        <w:rPr>
          <w:spacing w:val="-3"/>
        </w:rPr>
        <w:t xml:space="preserve"> </w:t>
      </w:r>
      <w:r>
        <w:t>分配活动</w:t>
      </w:r>
    </w:p>
    <w:p>
      <w:pPr>
        <w:spacing w:before="243"/>
        <w:ind w:left="2700" w:right="0" w:firstLine="0"/>
        <w:jc w:val="left"/>
        <w:rPr>
          <w:sz w:val="18"/>
        </w:rPr>
      </w:pPr>
      <w:r>
        <w:rPr>
          <w:sz w:val="18"/>
        </w:rPr>
        <w:t>-</w:t>
      </w:r>
    </w:p>
    <w:p>
      <w:pPr>
        <w:pStyle w:val="BodyText"/>
        <w:tabs>
          <w:tab w:val="left" w:pos="14834"/>
        </w:tabs>
        <w:spacing w:before="40" w:line="283" w:lineRule="auto"/>
        <w:ind w:left="3176" w:right="2547" w:hanging="476"/>
      </w:pPr>
      <w:r>
        <w:t>7、作为企业财务管理目标，每股利润最大化目标较之利润最大化目标的优点在于（</w:t>
        <w:tab/>
      </w:r>
      <w:r>
        <w:rPr>
          <w:spacing w:val="-159"/>
        </w:rPr>
        <w:t>）</w:t>
      </w:r>
      <w:r>
        <w:rPr>
          <w:spacing w:val="-16"/>
        </w:rPr>
        <w:t>。</w:t>
      </w:r>
      <w:r>
        <w:t>A</w:t>
      </w:r>
      <w:r>
        <w:rPr>
          <w:spacing w:val="4"/>
        </w:rPr>
        <w:t xml:space="preserve"> </w:t>
      </w:r>
      <w:r>
        <w:rPr>
          <w:spacing w:val="-4"/>
        </w:rPr>
        <w:t>.</w:t>
      </w:r>
      <w:r>
        <w:t>考虑的资金时间价值因素</w:t>
      </w:r>
    </w:p>
    <w:p>
      <w:pPr>
        <w:pStyle w:val="BodyText"/>
        <w:spacing w:line="283" w:lineRule="auto"/>
        <w:ind w:left="3176" w:right="8824"/>
      </w:pPr>
      <w:r>
        <w:t>B .反映了创造利润与投入资本之间的关系C .考虑了风险因素</w:t>
      </w:r>
    </w:p>
    <w:p>
      <w:pPr>
        <w:pStyle w:val="BodyText"/>
        <w:spacing w:line="396" w:lineRule="exact"/>
        <w:ind w:left="3176"/>
      </w:pPr>
      <w:r>
        <w:t>D .能够避免企业的短期行为</w:t>
      </w:r>
    </w:p>
    <w:p>
      <w:pPr>
        <w:pStyle w:val="BodyText"/>
        <w:ind w:left="0"/>
        <w:rPr>
          <w:sz w:val="42"/>
        </w:rPr>
      </w:pPr>
    </w:p>
    <w:p>
      <w:pPr>
        <w:pStyle w:val="Heading2"/>
      </w:pPr>
      <w:r>
        <w:t>二、多项选择题</w:t>
      </w:r>
    </w:p>
    <w:p>
      <w:pPr>
        <w:pStyle w:val="BodyText"/>
        <w:spacing w:before="71" w:line="283" w:lineRule="auto"/>
        <w:ind w:right="5856"/>
      </w:pPr>
      <w:r>
        <w:t>1、作为企业财务管理目标，企业价值最大化目标的优点在于（</w:t>
      </w:r>
      <w:r>
        <w:rPr>
          <w:spacing w:val="127"/>
        </w:rPr>
        <w:t xml:space="preserve"> </w:t>
      </w:r>
      <w:r>
        <w:rPr>
          <w:spacing w:val="-159"/>
        </w:rPr>
        <w:t>）</w:t>
      </w:r>
      <w:r>
        <w:rPr>
          <w:spacing w:val="-16"/>
        </w:rPr>
        <w:t>。</w:t>
      </w:r>
      <w:r>
        <w:t>A、考虑了资金时间价值因素</w:t>
      </w:r>
    </w:p>
    <w:p>
      <w:pPr>
        <w:pStyle w:val="BodyText"/>
        <w:spacing w:line="283" w:lineRule="auto"/>
        <w:ind w:right="9243"/>
      </w:pPr>
      <w:r>
        <w:t>B、反映了创造利润与投入资本之间的关系C、考虑了风险因素</w:t>
      </w:r>
    </w:p>
    <w:p>
      <w:pPr>
        <w:pStyle w:val="BodyText"/>
        <w:spacing w:line="283" w:lineRule="auto"/>
        <w:ind w:right="11196"/>
      </w:pPr>
      <w:r>
        <w:t>D、能够避免企业的短期行为E、考虑了社会公共利益</w:t>
      </w:r>
    </w:p>
    <w:p>
      <w:pPr>
        <w:pStyle w:val="BodyText"/>
        <w:spacing w:line="396" w:lineRule="exact"/>
      </w:pPr>
      <w:r>
        <w:t xml:space="preserve">2、以利润最大化作为财务管理的目标，其缺陷是（ </w:t>
      </w:r>
      <w:r>
        <w:rPr>
          <w:spacing w:val="-159"/>
        </w:rPr>
        <w:t>）</w:t>
      </w:r>
      <w:r>
        <w:t>。</w:t>
      </w:r>
    </w:p>
    <w:p>
      <w:pPr>
        <w:pStyle w:val="BodyText"/>
        <w:spacing w:before="11"/>
        <w:ind w:left="0"/>
        <w:rPr>
          <w:sz w:val="14"/>
        </w:rPr>
      </w:pPr>
    </w:p>
    <w:p>
      <w:pPr>
        <w:spacing w:before="74"/>
        <w:ind w:left="2700" w:right="0" w:firstLine="0"/>
        <w:jc w:val="left"/>
        <w:rPr>
          <w:sz w:val="18"/>
        </w:rPr>
      </w:pPr>
      <w:r>
        <w:rPr>
          <w:sz w:val="18"/>
        </w:rPr>
        <w:t>%</w:t>
      </w:r>
    </w:p>
    <w:p>
      <w:pPr>
        <w:pStyle w:val="ListParagraph"/>
        <w:numPr>
          <w:ilvl w:val="1"/>
          <w:numId w:val="117"/>
        </w:numPr>
        <w:tabs>
          <w:tab w:val="left" w:pos="3648"/>
        </w:tabs>
        <w:spacing w:before="41" w:after="0" w:line="240" w:lineRule="auto"/>
        <w:ind w:left="3647" w:right="0" w:hanging="631"/>
        <w:jc w:val="left"/>
        <w:rPr>
          <w:sz w:val="31"/>
        </w:rPr>
      </w:pPr>
      <w:r>
        <w:rPr>
          <w:sz w:val="31"/>
        </w:rPr>
        <w:t>没有考虑资金的时间价值</w:t>
      </w:r>
    </w:p>
    <w:p>
      <w:pPr>
        <w:pStyle w:val="ListParagraph"/>
        <w:numPr>
          <w:ilvl w:val="1"/>
          <w:numId w:val="117"/>
        </w:numPr>
        <w:tabs>
          <w:tab w:val="left" w:pos="3648"/>
        </w:tabs>
        <w:spacing w:before="71" w:after="0" w:line="240" w:lineRule="auto"/>
        <w:ind w:left="3647" w:right="0" w:hanging="631"/>
        <w:jc w:val="left"/>
        <w:rPr>
          <w:sz w:val="31"/>
        </w:rPr>
      </w:pPr>
      <w:r>
        <w:rPr>
          <w:sz w:val="31"/>
        </w:rPr>
        <w:t>没有考虑风险因素</w:t>
      </w:r>
    </w:p>
    <w:p>
      <w:pPr>
        <w:pStyle w:val="ListParagraph"/>
        <w:numPr>
          <w:ilvl w:val="1"/>
          <w:numId w:val="117"/>
        </w:numPr>
        <w:tabs>
          <w:tab w:val="left" w:pos="3648"/>
        </w:tabs>
        <w:spacing w:before="70" w:after="0" w:line="240" w:lineRule="auto"/>
        <w:ind w:left="3647" w:right="0" w:hanging="631"/>
        <w:jc w:val="left"/>
        <w:rPr>
          <w:sz w:val="31"/>
        </w:rPr>
      </w:pPr>
      <w:r>
        <w:rPr>
          <w:sz w:val="31"/>
        </w:rPr>
        <w:t>只考虑近期收益而没有考虑远期收益</w:t>
      </w:r>
    </w:p>
    <w:p>
      <w:pPr>
        <w:pStyle w:val="ListParagraph"/>
        <w:numPr>
          <w:ilvl w:val="1"/>
          <w:numId w:val="117"/>
        </w:numPr>
        <w:tabs>
          <w:tab w:val="left" w:pos="3648"/>
        </w:tabs>
        <w:spacing w:before="72" w:after="0" w:line="240" w:lineRule="auto"/>
        <w:ind w:left="3647" w:right="0" w:hanging="631"/>
        <w:jc w:val="left"/>
        <w:rPr>
          <w:sz w:val="31"/>
        </w:rPr>
      </w:pPr>
      <w:r>
        <w:rPr>
          <w:sz w:val="31"/>
        </w:rPr>
        <w:t>只考虑自身收益而没有考虑社会收益</w:t>
      </w:r>
    </w:p>
    <w:p>
      <w:pPr>
        <w:pStyle w:val="ListParagraph"/>
        <w:numPr>
          <w:ilvl w:val="1"/>
          <w:numId w:val="117"/>
        </w:numPr>
        <w:tabs>
          <w:tab w:val="left" w:pos="3648"/>
        </w:tabs>
        <w:spacing w:before="71" w:after="0" w:line="240" w:lineRule="auto"/>
        <w:ind w:left="3647" w:right="0" w:hanging="631"/>
        <w:jc w:val="left"/>
        <w:rPr>
          <w:sz w:val="31"/>
        </w:rPr>
      </w:pPr>
      <w:r>
        <w:rPr>
          <w:sz w:val="31"/>
        </w:rPr>
        <w:t>没有考虑投入资本与获利之间的关系</w:t>
      </w:r>
    </w:p>
    <w:p>
      <w:pPr>
        <w:pStyle w:val="BodyText"/>
        <w:ind w:left="0"/>
        <w:rPr>
          <w:sz w:val="20"/>
        </w:rPr>
      </w:pPr>
    </w:p>
    <w:p>
      <w:pPr>
        <w:pStyle w:val="BodyText"/>
        <w:spacing w:before="2"/>
        <w:ind w:left="0"/>
        <w:rPr>
          <w:sz w:val="17"/>
        </w:rPr>
      </w:pPr>
    </w:p>
    <w:p>
      <w:pPr>
        <w:pStyle w:val="Heading2"/>
        <w:spacing w:before="63"/>
      </w:pPr>
      <w:r>
        <w:t>三、判断题</w:t>
      </w:r>
    </w:p>
    <w:p>
      <w:pPr>
        <w:pStyle w:val="BodyText"/>
        <w:spacing w:before="70" w:line="283" w:lineRule="auto"/>
        <w:ind w:right="2584"/>
      </w:pPr>
      <w:r>
        <w:t>1、股东和经营者发生冲突的重要原因是他们掌握的信息不同，而防止冲突发生的有效办法是监督和激励。</w:t>
      </w:r>
    </w:p>
    <w:p>
      <w:pPr>
        <w:pStyle w:val="ListParagraph"/>
        <w:numPr>
          <w:ilvl w:val="0"/>
          <w:numId w:val="116"/>
        </w:numPr>
        <w:tabs>
          <w:tab w:val="left" w:pos="3019"/>
        </w:tabs>
        <w:spacing w:before="0" w:after="0" w:line="396" w:lineRule="exact"/>
        <w:ind w:left="3018" w:right="0" w:hanging="319"/>
        <w:jc w:val="left"/>
        <w:rPr>
          <w:sz w:val="31"/>
        </w:rPr>
      </w:pPr>
      <w:r>
        <w:rPr>
          <w:sz w:val="31"/>
        </w:rPr>
        <w:t>企业的债权人往往比较关注企业资本的保值和增值状况。</w:t>
      </w:r>
    </w:p>
    <w:p>
      <w:pPr>
        <w:pStyle w:val="BodyText"/>
        <w:spacing w:before="12"/>
        <w:ind w:left="0"/>
        <w:rPr>
          <w:sz w:val="36"/>
        </w:rPr>
      </w:pPr>
    </w:p>
    <w:p>
      <w:pPr>
        <w:spacing w:before="0"/>
        <w:ind w:left="2700" w:right="0" w:firstLine="0"/>
        <w:jc w:val="left"/>
        <w:rPr>
          <w:sz w:val="18"/>
        </w:rPr>
      </w:pPr>
      <w:r>
        <w:rPr>
          <w:sz w:val="18"/>
        </w:rPr>
        <w:t>·</w:t>
      </w:r>
    </w:p>
    <w:p>
      <w:pPr>
        <w:spacing w:after="0"/>
        <w:jc w:val="left"/>
        <w:rPr>
          <w:sz w:val="18"/>
        </w:rPr>
        <w:sectPr>
          <w:type w:val="continuous"/>
          <w:pgSz w:w="17860" w:h="25260"/>
          <w:pgMar w:top="1280" w:right="0" w:bottom="280" w:left="0" w:header="708" w:footer="708"/>
          <w:cols w:space="708"/>
        </w:sectPr>
      </w:pPr>
    </w:p>
    <w:p>
      <w:pPr>
        <w:pStyle w:val="BodyText"/>
        <w:ind w:left="0"/>
        <w:rPr>
          <w:sz w:val="20"/>
        </w:rPr>
      </w:pPr>
    </w:p>
    <w:p>
      <w:pPr>
        <w:pStyle w:val="BodyText"/>
        <w:ind w:left="0"/>
        <w:rPr>
          <w:sz w:val="20"/>
        </w:rPr>
      </w:pPr>
    </w:p>
    <w:p>
      <w:pPr>
        <w:pStyle w:val="ListParagraph"/>
        <w:numPr>
          <w:ilvl w:val="0"/>
          <w:numId w:val="116"/>
        </w:numPr>
        <w:tabs>
          <w:tab w:val="left" w:pos="3019"/>
        </w:tabs>
        <w:spacing w:before="209" w:after="0" w:line="240" w:lineRule="auto"/>
        <w:ind w:left="3018" w:right="0" w:hanging="319"/>
        <w:jc w:val="left"/>
        <w:rPr>
          <w:sz w:val="31"/>
        </w:rPr>
      </w:pPr>
      <w:r>
        <w:rPr>
          <w:sz w:val="31"/>
        </w:rPr>
        <w:t>以企业价值最大化作为财务管理的目标，有利于社会资源的合理配置。</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8"/>
        <w:ind w:left="0"/>
        <w:rPr>
          <w:sz w:val="34"/>
        </w:rPr>
      </w:pPr>
    </w:p>
    <w:p>
      <w:pPr>
        <w:pStyle w:val="Heading2"/>
        <w:tabs>
          <w:tab w:val="left" w:pos="1281"/>
        </w:tabs>
        <w:ind w:left="13"/>
        <w:jc w:val="center"/>
      </w:pPr>
      <w:r>
        <w:t>第二章</w:t>
        <w:tab/>
        <w:t>练习题</w:t>
      </w:r>
    </w:p>
    <w:p>
      <w:pPr>
        <w:pStyle w:val="BodyText"/>
        <w:ind w:left="0"/>
        <w:rPr>
          <w:b/>
          <w:sz w:val="32"/>
        </w:rPr>
      </w:pPr>
    </w:p>
    <w:p>
      <w:pPr>
        <w:pStyle w:val="BodyText"/>
        <w:spacing w:before="11"/>
        <w:ind w:left="0"/>
        <w:rPr>
          <w:b/>
          <w:sz w:val="37"/>
        </w:rPr>
      </w:pPr>
    </w:p>
    <w:p>
      <w:pPr>
        <w:pStyle w:val="ListParagraph"/>
        <w:numPr>
          <w:ilvl w:val="0"/>
          <w:numId w:val="115"/>
        </w:numPr>
        <w:tabs>
          <w:tab w:val="left" w:pos="3019"/>
        </w:tabs>
        <w:spacing w:before="0" w:after="0" w:line="240" w:lineRule="auto"/>
        <w:ind w:left="3018" w:right="0" w:hanging="319"/>
        <w:jc w:val="left"/>
        <w:rPr>
          <w:sz w:val="31"/>
        </w:rPr>
      </w:pPr>
      <w:r>
        <w:rPr>
          <w:sz w:val="31"/>
        </w:rPr>
        <w:t>名词解释</w:t>
      </w:r>
    </w:p>
    <w:p>
      <w:pPr>
        <w:pStyle w:val="BodyText"/>
        <w:spacing w:before="71" w:line="283" w:lineRule="auto"/>
        <w:ind w:right="2702"/>
        <w:jc w:val="both"/>
      </w:pPr>
      <w:r>
        <w:t>财务管理环境   财务管理宏观环境   政治环境    经济周期   货币市场   资本市场金融性资产  利率   纯粹利率   通货膨胀附加率   风险附加率   财务管理微观环境公司</w:t>
      </w:r>
    </w:p>
    <w:p>
      <w:pPr>
        <w:pStyle w:val="ListParagraph"/>
        <w:numPr>
          <w:ilvl w:val="0"/>
          <w:numId w:val="115"/>
        </w:numPr>
        <w:tabs>
          <w:tab w:val="left" w:pos="3019"/>
        </w:tabs>
        <w:spacing w:before="0" w:after="0" w:line="396" w:lineRule="exact"/>
        <w:ind w:left="3018" w:right="0" w:hanging="319"/>
        <w:jc w:val="left"/>
        <w:rPr>
          <w:sz w:val="31"/>
        </w:rPr>
      </w:pPr>
      <w:r>
        <w:rPr>
          <w:sz w:val="31"/>
        </w:rPr>
        <w:t>填空题</w:t>
      </w:r>
    </w:p>
    <w:p>
      <w:pPr>
        <w:pStyle w:val="BodyText"/>
        <w:tabs>
          <w:tab w:val="left" w:pos="4748"/>
          <w:tab w:val="left" w:pos="14536"/>
        </w:tabs>
        <w:spacing w:before="71" w:line="283" w:lineRule="auto"/>
        <w:ind w:right="2687"/>
      </w:pPr>
      <w:r>
        <w:drawing>
          <wp:anchor distT="0" distB="0" distL="0" distR="0" simplePos="0" relativeHeight="251658240" behindDoc="1" locked="0" layoutInCell="1" allowOverlap="1">
            <wp:simplePos x="0" y="0"/>
            <wp:positionH relativeFrom="page">
              <wp:posOffset>7823200</wp:posOffset>
            </wp:positionH>
            <wp:positionV relativeFrom="paragraph">
              <wp:posOffset>241173</wp:posOffset>
            </wp:positionV>
            <wp:extent cx="14224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4224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1905000</wp:posOffset>
            </wp:positionH>
            <wp:positionV relativeFrom="paragraph">
              <wp:posOffset>542798</wp:posOffset>
            </wp:positionV>
            <wp:extent cx="11303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11303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3314700</wp:posOffset>
            </wp:positionH>
            <wp:positionV relativeFrom="paragraph">
              <wp:posOffset>1139698</wp:posOffset>
            </wp:positionV>
            <wp:extent cx="1114806" cy="38004"/>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1114806" cy="38004"/>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4610100</wp:posOffset>
            </wp:positionH>
            <wp:positionV relativeFrom="paragraph">
              <wp:posOffset>1139698</wp:posOffset>
            </wp:positionV>
            <wp:extent cx="1127474" cy="38004"/>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8" cstate="print"/>
                    <a:stretch>
                      <a:fillRect/>
                    </a:stretch>
                  </pic:blipFill>
                  <pic:spPr>
                    <a:xfrm>
                      <a:off x="0" y="0"/>
                      <a:ext cx="1127474" cy="38004"/>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6007100</wp:posOffset>
            </wp:positionH>
            <wp:positionV relativeFrom="paragraph">
              <wp:posOffset>1139698</wp:posOffset>
            </wp:positionV>
            <wp:extent cx="1228820" cy="38004"/>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9" cstate="print"/>
                    <a:stretch>
                      <a:fillRect/>
                    </a:stretch>
                  </pic:blipFill>
                  <pic:spPr>
                    <a:xfrm>
                      <a:off x="0" y="0"/>
                      <a:ext cx="1228820" cy="38004"/>
                    </a:xfrm>
                    <a:prstGeom prst="rect">
                      <a:avLst/>
                    </a:prstGeom>
                  </pic:spPr>
                </pic:pic>
              </a:graphicData>
            </a:graphic>
          </wp:anchor>
        </w:drawing>
      </w:r>
      <w:r>
        <w:t>企业财务管理系统与财务管理环境之间的关系体现在两个方面：一是</w:t>
        <w:tab/>
        <w:t>，</w:t>
      </w:r>
      <w:r>
        <w:rPr>
          <w:spacing w:val="-17"/>
        </w:rPr>
        <w:t>二</w:t>
      </w:r>
      <w:r>
        <w:t>是</w:t>
        <w:tab/>
        <w:t>。</w:t>
      </w:r>
    </w:p>
    <w:p>
      <w:pPr>
        <w:pStyle w:val="BodyText"/>
        <w:spacing w:before="3"/>
        <w:ind w:left="0"/>
        <w:rPr>
          <w:sz w:val="17"/>
        </w:rPr>
      </w:pP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81"/>
        <w:gridCol w:w="1942"/>
        <w:gridCol w:w="2427"/>
        <w:gridCol w:w="3462"/>
        <w:gridCol w:w="849"/>
        <w:gridCol w:w="547"/>
        <w:gridCol w:w="457"/>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1"/>
          <w:jc w:val="left"/>
        </w:trPr>
        <w:tc>
          <w:tcPr>
            <w:tcW w:w="2881" w:type="dxa"/>
          </w:tcPr>
          <w:p>
            <w:pPr>
              <w:pStyle w:val="TableParagraph"/>
              <w:spacing w:line="205" w:lineRule="exact"/>
              <w:ind w:left="50"/>
              <w:rPr>
                <w:sz w:val="18"/>
              </w:rPr>
            </w:pPr>
            <w:r>
              <w:rPr>
                <w:sz w:val="18"/>
              </w:rPr>
              <w:t>/</w:t>
            </w:r>
          </w:p>
        </w:tc>
        <w:tc>
          <w:tcPr>
            <w:tcW w:w="1942" w:type="dxa"/>
          </w:tcPr>
          <w:p>
            <w:pPr>
              <w:pStyle w:val="TableParagraph"/>
              <w:rPr>
                <w:rFonts w:ascii="Times New Roman"/>
                <w:sz w:val="16"/>
              </w:rPr>
            </w:pPr>
          </w:p>
        </w:tc>
        <w:tc>
          <w:tcPr>
            <w:tcW w:w="2427" w:type="dxa"/>
          </w:tcPr>
          <w:p>
            <w:pPr>
              <w:pStyle w:val="TableParagraph"/>
              <w:rPr>
                <w:rFonts w:ascii="Times New Roman"/>
                <w:sz w:val="16"/>
              </w:rPr>
            </w:pPr>
          </w:p>
        </w:tc>
        <w:tc>
          <w:tcPr>
            <w:tcW w:w="3462" w:type="dxa"/>
          </w:tcPr>
          <w:p>
            <w:pPr>
              <w:pStyle w:val="TableParagraph"/>
              <w:rPr>
                <w:rFonts w:ascii="Times New Roman"/>
                <w:sz w:val="16"/>
              </w:rPr>
            </w:pPr>
          </w:p>
        </w:tc>
        <w:tc>
          <w:tcPr>
            <w:tcW w:w="1853" w:type="dxa"/>
            <w:gridSpan w:val="3"/>
            <w:vMerge w:val="restart"/>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444"/>
          <w:jc w:val="left"/>
        </w:trPr>
        <w:tc>
          <w:tcPr>
            <w:tcW w:w="2881" w:type="dxa"/>
          </w:tcPr>
          <w:p>
            <w:pPr>
              <w:pStyle w:val="TableParagraph"/>
              <w:spacing w:before="14"/>
              <w:ind w:left="50"/>
              <w:rPr>
                <w:sz w:val="31"/>
              </w:rPr>
            </w:pPr>
            <w:r>
              <w:rPr>
                <w:sz w:val="31"/>
              </w:rPr>
              <w:t>财务管理环境具有</w:t>
            </w:r>
          </w:p>
        </w:tc>
        <w:tc>
          <w:tcPr>
            <w:tcW w:w="1942" w:type="dxa"/>
          </w:tcPr>
          <w:p>
            <w:pPr>
              <w:pStyle w:val="TableParagraph"/>
              <w:spacing w:before="14"/>
              <w:ind w:right="198"/>
              <w:jc w:val="right"/>
              <w:rPr>
                <w:sz w:val="31"/>
              </w:rPr>
            </w:pPr>
            <w:r>
              <w:rPr>
                <w:w w:val="102"/>
                <w:sz w:val="31"/>
              </w:rPr>
              <w:t>、</w:t>
            </w:r>
          </w:p>
        </w:tc>
        <w:tc>
          <w:tcPr>
            <w:tcW w:w="2427" w:type="dxa"/>
          </w:tcPr>
          <w:p>
            <w:pPr>
              <w:pStyle w:val="TableParagraph"/>
              <w:spacing w:before="14"/>
              <w:ind w:right="422"/>
              <w:jc w:val="right"/>
              <w:rPr>
                <w:sz w:val="31"/>
              </w:rPr>
            </w:pPr>
            <w:r>
              <w:rPr>
                <w:w w:val="102"/>
                <w:sz w:val="31"/>
              </w:rPr>
              <w:t>、</w:t>
            </w:r>
          </w:p>
        </w:tc>
        <w:tc>
          <w:tcPr>
            <w:tcW w:w="3462" w:type="dxa"/>
          </w:tcPr>
          <w:p>
            <w:pPr>
              <w:pStyle w:val="TableParagraph"/>
              <w:spacing w:before="14"/>
              <w:ind w:left="1621"/>
              <w:rPr>
                <w:sz w:val="31"/>
              </w:rPr>
            </w:pPr>
            <w:r>
              <w:rPr>
                <w:sz w:val="31"/>
              </w:rPr>
              <w:t>三个特征。</w:t>
            </w:r>
          </w:p>
        </w:tc>
        <w:tc>
          <w:tcPr>
            <w:tcW w:w="1853" w:type="dxa"/>
            <w:gridSpan w:val="3"/>
            <w:vMerge/>
            <w:tcBorders>
              <w:top w:val="nil"/>
            </w:tcBorders>
          </w:tcPr>
          <w:p>
            <w:pPr>
              <w:rPr>
                <w:sz w:val="2"/>
                <w:szCs w:val="2"/>
              </w:rPr>
            </w:pP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2881" w:type="dxa"/>
          </w:tcPr>
          <w:p>
            <w:pPr>
              <w:pStyle w:val="TableParagraph"/>
              <w:tabs>
                <w:tab w:val="left" w:pos="657"/>
                <w:tab w:val="left" w:pos="1265"/>
                <w:tab w:val="left" w:pos="1873"/>
                <w:tab w:val="left" w:pos="2478"/>
              </w:tabs>
              <w:spacing w:before="38"/>
              <w:ind w:left="50"/>
              <w:rPr>
                <w:sz w:val="31"/>
              </w:rPr>
            </w:pPr>
            <w:r>
              <w:rPr>
                <w:sz w:val="31"/>
              </w:rPr>
              <w:t>宏</w:t>
              <w:tab/>
              <w:t>观</w:t>
              <w:tab/>
              <w:t>财</w:t>
              <w:tab/>
              <w:t>务</w:t>
              <w:tab/>
              <w:t>管</w:t>
            </w:r>
          </w:p>
        </w:tc>
        <w:tc>
          <w:tcPr>
            <w:tcW w:w="1942" w:type="dxa"/>
          </w:tcPr>
          <w:p>
            <w:pPr>
              <w:pStyle w:val="TableParagraph"/>
              <w:tabs>
                <w:tab w:val="left" w:pos="809"/>
                <w:tab w:val="left" w:pos="1417"/>
              </w:tabs>
              <w:spacing w:before="38"/>
              <w:ind w:left="205"/>
              <w:rPr>
                <w:sz w:val="31"/>
              </w:rPr>
            </w:pPr>
            <w:r>
              <w:rPr>
                <w:sz w:val="31"/>
              </w:rPr>
              <w:t>理</w:t>
              <w:tab/>
              <w:t>中</w:t>
              <w:tab/>
              <w:t>与</w:t>
            </w:r>
          </w:p>
        </w:tc>
        <w:tc>
          <w:tcPr>
            <w:tcW w:w="2427" w:type="dxa"/>
          </w:tcPr>
          <w:p>
            <w:pPr>
              <w:pStyle w:val="TableParagraph"/>
              <w:tabs>
                <w:tab w:val="left" w:pos="691"/>
                <w:tab w:val="left" w:pos="1295"/>
                <w:tab w:val="left" w:pos="1903"/>
              </w:tabs>
              <w:spacing w:before="38"/>
              <w:ind w:left="83"/>
              <w:rPr>
                <w:sz w:val="31"/>
              </w:rPr>
            </w:pPr>
            <w:r>
              <w:rPr>
                <w:sz w:val="31"/>
              </w:rPr>
              <w:t>财</w:t>
              <w:tab/>
              <w:t>务</w:t>
              <w:tab/>
              <w:t>管</w:t>
              <w:tab/>
              <w:t>理</w:t>
            </w:r>
          </w:p>
        </w:tc>
        <w:tc>
          <w:tcPr>
            <w:tcW w:w="3462" w:type="dxa"/>
          </w:tcPr>
          <w:p>
            <w:pPr>
              <w:pStyle w:val="TableParagraph"/>
              <w:tabs>
                <w:tab w:val="left" w:pos="689"/>
                <w:tab w:val="left" w:pos="1297"/>
                <w:tab w:val="left" w:pos="1904"/>
                <w:tab w:val="left" w:pos="2509"/>
                <w:tab w:val="left" w:pos="3117"/>
              </w:tabs>
              <w:spacing w:before="38"/>
              <w:ind w:left="81"/>
              <w:rPr>
                <w:sz w:val="31"/>
              </w:rPr>
            </w:pPr>
            <w:r>
              <w:rPr>
                <w:sz w:val="31"/>
              </w:rPr>
              <w:t>联</w:t>
              <w:tab/>
              <w:t>系</w:t>
              <w:tab/>
              <w:t>较</w:t>
              <w:tab/>
              <w:t>为</w:t>
              <w:tab/>
              <w:t>密</w:t>
              <w:tab/>
              <w:t>切</w:t>
            </w:r>
          </w:p>
        </w:tc>
        <w:tc>
          <w:tcPr>
            <w:tcW w:w="849" w:type="dxa"/>
          </w:tcPr>
          <w:p>
            <w:pPr>
              <w:pStyle w:val="TableParagraph"/>
              <w:spacing w:before="38"/>
              <w:ind w:right="10"/>
              <w:jc w:val="center"/>
              <w:rPr>
                <w:sz w:val="31"/>
              </w:rPr>
            </w:pPr>
            <w:r>
              <w:rPr>
                <w:w w:val="102"/>
                <w:sz w:val="31"/>
              </w:rPr>
              <w:t>的</w:t>
            </w:r>
          </w:p>
        </w:tc>
        <w:tc>
          <w:tcPr>
            <w:tcW w:w="547" w:type="dxa"/>
          </w:tcPr>
          <w:p>
            <w:pPr>
              <w:pStyle w:val="TableParagraph"/>
              <w:spacing w:before="38"/>
              <w:ind w:left="18"/>
              <w:rPr>
                <w:sz w:val="31"/>
              </w:rPr>
            </w:pPr>
            <w:r>
              <w:rPr>
                <w:w w:val="102"/>
                <w:sz w:val="31"/>
              </w:rPr>
              <w:t>主</w:t>
            </w:r>
          </w:p>
        </w:tc>
        <w:tc>
          <w:tcPr>
            <w:tcW w:w="457" w:type="dxa"/>
          </w:tcPr>
          <w:p>
            <w:pPr>
              <w:pStyle w:val="TableParagraph"/>
              <w:spacing w:before="38"/>
              <w:ind w:left="79"/>
              <w:rPr>
                <w:sz w:val="31"/>
              </w:rPr>
            </w:pPr>
            <w:r>
              <w:rPr>
                <w:w w:val="102"/>
                <w:sz w:val="31"/>
              </w:rPr>
              <w:t>要</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2881" w:type="dxa"/>
          </w:tcPr>
          <w:p>
            <w:pPr>
              <w:pStyle w:val="TableParagraph"/>
              <w:tabs>
                <w:tab w:val="left" w:pos="1784"/>
              </w:tabs>
              <w:spacing w:before="38"/>
              <w:ind w:left="50"/>
              <w:rPr>
                <w:sz w:val="31"/>
              </w:rPr>
            </w:pPr>
            <w:r>
              <w:rPr>
                <w:sz w:val="31"/>
              </w:rPr>
              <w:t>有</w:t>
              <w:tab/>
              <w:t>、</w:t>
            </w:r>
          </w:p>
        </w:tc>
        <w:tc>
          <w:tcPr>
            <w:tcW w:w="1942" w:type="dxa"/>
          </w:tcPr>
          <w:p>
            <w:pPr>
              <w:pStyle w:val="TableParagraph"/>
              <w:spacing w:before="38"/>
              <w:ind w:left="477"/>
              <w:rPr>
                <w:sz w:val="31"/>
              </w:rPr>
            </w:pPr>
            <w:r>
              <w:rPr>
                <w:w w:val="102"/>
                <w:sz w:val="31"/>
              </w:rPr>
              <w:t>、</w:t>
            </w:r>
          </w:p>
        </w:tc>
        <w:tc>
          <w:tcPr>
            <w:tcW w:w="2427" w:type="dxa"/>
          </w:tcPr>
          <w:p>
            <w:pPr>
              <w:pStyle w:val="TableParagraph"/>
              <w:tabs>
                <w:tab w:val="left" w:pos="1844"/>
              </w:tabs>
              <w:spacing w:before="38"/>
              <w:ind w:left="267"/>
              <w:rPr>
                <w:sz w:val="31"/>
              </w:rPr>
            </w:pPr>
            <w:r>
              <w:rPr>
                <w:sz w:val="31"/>
              </w:rPr>
              <w:t>、</w:t>
              <w:tab/>
              <w:t>、</w:t>
            </w:r>
          </w:p>
        </w:tc>
        <w:tc>
          <w:tcPr>
            <w:tcW w:w="3462" w:type="dxa"/>
          </w:tcPr>
          <w:p>
            <w:pPr>
              <w:pStyle w:val="TableParagraph"/>
              <w:spacing w:before="38"/>
              <w:ind w:right="527"/>
              <w:jc w:val="center"/>
              <w:rPr>
                <w:sz w:val="31"/>
              </w:rPr>
            </w:pPr>
            <w:r>
              <w:rPr>
                <w:w w:val="102"/>
                <w:sz w:val="31"/>
              </w:rPr>
              <w:t>。</w:t>
            </w:r>
          </w:p>
        </w:tc>
        <w:tc>
          <w:tcPr>
            <w:tcW w:w="849" w:type="dxa"/>
          </w:tcPr>
          <w:p>
            <w:pPr>
              <w:pStyle w:val="TableParagraph"/>
              <w:rPr>
                <w:rFonts w:ascii="Times New Roman"/>
                <w:sz w:val="30"/>
              </w:rPr>
            </w:pPr>
          </w:p>
        </w:tc>
        <w:tc>
          <w:tcPr>
            <w:tcW w:w="547" w:type="dxa"/>
          </w:tcPr>
          <w:p>
            <w:pPr>
              <w:pStyle w:val="TableParagraph"/>
              <w:rPr>
                <w:rFonts w:ascii="Times New Roman"/>
                <w:sz w:val="30"/>
              </w:rPr>
            </w:pPr>
          </w:p>
        </w:tc>
        <w:tc>
          <w:tcPr>
            <w:tcW w:w="457" w:type="dxa"/>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2881" w:type="dxa"/>
          </w:tcPr>
          <w:p>
            <w:pPr>
              <w:pStyle w:val="TableParagraph"/>
              <w:spacing w:before="38"/>
              <w:ind w:left="50"/>
              <w:rPr>
                <w:sz w:val="31"/>
              </w:rPr>
            </w:pPr>
            <w:r>
              <w:rPr>
                <w:sz w:val="31"/>
              </w:rPr>
              <w:t>财 务 管 理 的 经</w:t>
            </w:r>
          </w:p>
        </w:tc>
        <w:tc>
          <w:tcPr>
            <w:tcW w:w="1942" w:type="dxa"/>
          </w:tcPr>
          <w:p>
            <w:pPr>
              <w:pStyle w:val="TableParagraph"/>
              <w:spacing w:before="38"/>
              <w:ind w:right="80"/>
              <w:jc w:val="right"/>
              <w:rPr>
                <w:sz w:val="31"/>
              </w:rPr>
            </w:pPr>
            <w:r>
              <w:rPr>
                <w:sz w:val="31"/>
              </w:rPr>
              <w:t>济 环 境 是</w:t>
            </w:r>
          </w:p>
        </w:tc>
        <w:tc>
          <w:tcPr>
            <w:tcW w:w="2427" w:type="dxa"/>
          </w:tcPr>
          <w:p>
            <w:pPr>
              <w:pStyle w:val="TableParagraph"/>
              <w:spacing w:before="38"/>
              <w:ind w:left="86"/>
              <w:rPr>
                <w:sz w:val="31"/>
              </w:rPr>
            </w:pPr>
            <w:r>
              <w:rPr>
                <w:sz w:val="31"/>
              </w:rPr>
              <w:t>影 响 企 业 财</w:t>
            </w:r>
          </w:p>
        </w:tc>
        <w:tc>
          <w:tcPr>
            <w:tcW w:w="3462" w:type="dxa"/>
          </w:tcPr>
          <w:p>
            <w:pPr>
              <w:pStyle w:val="TableParagraph"/>
              <w:spacing w:before="38"/>
              <w:ind w:left="89"/>
              <w:rPr>
                <w:sz w:val="31"/>
              </w:rPr>
            </w:pPr>
            <w:r>
              <w:rPr>
                <w:sz w:val="31"/>
              </w:rPr>
              <w:t>务 管 理 的 各 种 经</w:t>
            </w:r>
          </w:p>
        </w:tc>
        <w:tc>
          <w:tcPr>
            <w:tcW w:w="849" w:type="dxa"/>
          </w:tcPr>
          <w:p>
            <w:pPr>
              <w:pStyle w:val="TableParagraph"/>
              <w:spacing w:before="38"/>
              <w:ind w:left="23" w:right="10"/>
              <w:jc w:val="center"/>
              <w:rPr>
                <w:sz w:val="31"/>
              </w:rPr>
            </w:pPr>
            <w:r>
              <w:rPr>
                <w:sz w:val="31"/>
              </w:rPr>
              <w:t>济 因</w:t>
            </w:r>
          </w:p>
        </w:tc>
        <w:tc>
          <w:tcPr>
            <w:tcW w:w="547" w:type="dxa"/>
          </w:tcPr>
          <w:p>
            <w:pPr>
              <w:pStyle w:val="TableParagraph"/>
              <w:spacing w:before="38"/>
              <w:ind w:left="152"/>
              <w:rPr>
                <w:sz w:val="31"/>
              </w:rPr>
            </w:pPr>
            <w:r>
              <w:rPr>
                <w:w w:val="102"/>
                <w:sz w:val="31"/>
              </w:rPr>
              <w:t>素</w:t>
            </w:r>
          </w:p>
        </w:tc>
        <w:tc>
          <w:tcPr>
            <w:tcW w:w="457" w:type="dxa"/>
          </w:tcPr>
          <w:p>
            <w:pPr>
              <w:pStyle w:val="TableParagraph"/>
              <w:spacing w:before="38"/>
              <w:ind w:left="91"/>
              <w:rPr>
                <w:sz w:val="31"/>
              </w:rPr>
            </w:pPr>
            <w:r>
              <w:rPr>
                <w:w w:val="102"/>
                <w:sz w:val="31"/>
              </w:rPr>
              <w:t>，</w:t>
            </w:r>
          </w:p>
        </w:tc>
      </w:tr>
      <w:tr>
        <w:tblPrEx>
          <w:tblW w:w="0" w:type="auto"/>
          <w:jc w:val="left"/>
          <w:tblInd w:w="2658" w:type="dxa"/>
          <w:tblLayout w:type="fixed"/>
          <w:tblCellMar>
            <w:top w:w="0" w:type="dxa"/>
            <w:left w:w="0" w:type="dxa"/>
            <w:bottom w:w="0" w:type="dxa"/>
            <w:right w:w="0" w:type="dxa"/>
          </w:tblCellMar>
          <w:tblLook w:val="01E0"/>
        </w:tblPrEx>
        <w:trPr>
          <w:trHeight w:val="392"/>
          <w:jc w:val="left"/>
        </w:trPr>
        <w:tc>
          <w:tcPr>
            <w:tcW w:w="2881" w:type="dxa"/>
          </w:tcPr>
          <w:p>
            <w:pPr>
              <w:pStyle w:val="TableParagraph"/>
              <w:tabs>
                <w:tab w:val="left" w:pos="1943"/>
              </w:tabs>
              <w:spacing w:before="38" w:line="335" w:lineRule="exact"/>
              <w:ind w:left="50"/>
              <w:rPr>
                <w:sz w:val="31"/>
              </w:rPr>
            </w:pPr>
            <w:r>
              <w:rPr>
                <w:sz w:val="31"/>
              </w:rPr>
              <w:t>如</w:t>
              <w:tab/>
              <w:t>、</w:t>
            </w:r>
          </w:p>
          <w:p>
            <w:pPr>
              <w:pStyle w:val="TableParagraph"/>
              <w:spacing w:line="20" w:lineRule="exact"/>
              <w:ind w:left="349"/>
              <w:rPr>
                <w:sz w:val="2"/>
              </w:rPr>
            </w:pPr>
            <w:r>
              <w:rPr>
                <w:sz w:val="2"/>
              </w:rPr>
              <w:drawing>
                <wp:inline distT="0" distB="0" distL="0" distR="0">
                  <wp:extent cx="1023563" cy="12573"/>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0" cstate="print"/>
                          <a:stretch>
                            <a:fillRect/>
                          </a:stretch>
                        </pic:blipFill>
                        <pic:spPr>
                          <a:xfrm>
                            <a:off x="0" y="0"/>
                            <a:ext cx="1023563" cy="12573"/>
                          </a:xfrm>
                          <a:prstGeom prst="rect">
                            <a:avLst/>
                          </a:prstGeom>
                        </pic:spPr>
                      </pic:pic>
                    </a:graphicData>
                  </a:graphic>
                </wp:inline>
              </w:drawing>
            </w:r>
          </w:p>
        </w:tc>
        <w:tc>
          <w:tcPr>
            <w:tcW w:w="1942" w:type="dxa"/>
          </w:tcPr>
          <w:p>
            <w:pPr>
              <w:pStyle w:val="TableParagraph"/>
              <w:spacing w:before="38" w:line="335" w:lineRule="exact"/>
              <w:ind w:left="274"/>
              <w:jc w:val="center"/>
              <w:rPr>
                <w:sz w:val="31"/>
              </w:rPr>
            </w:pPr>
            <w:r>
              <w:rPr>
                <w:w w:val="102"/>
                <w:sz w:val="31"/>
              </w:rPr>
              <w:t>、</w:t>
            </w:r>
          </w:p>
        </w:tc>
        <w:tc>
          <w:tcPr>
            <w:tcW w:w="2427" w:type="dxa"/>
          </w:tcPr>
          <w:p>
            <w:pPr>
              <w:pStyle w:val="TableParagraph"/>
              <w:spacing w:before="38" w:line="335" w:lineRule="exact"/>
              <w:ind w:right="312"/>
              <w:jc w:val="center"/>
              <w:rPr>
                <w:sz w:val="31"/>
              </w:rPr>
            </w:pPr>
            <w:r>
              <w:rPr>
                <w:w w:val="102"/>
                <w:sz w:val="31"/>
              </w:rPr>
              <w:t>、</w:t>
            </w:r>
          </w:p>
        </w:tc>
        <w:tc>
          <w:tcPr>
            <w:tcW w:w="3462" w:type="dxa"/>
          </w:tcPr>
          <w:p>
            <w:pPr>
              <w:pStyle w:val="TableParagraph"/>
              <w:spacing w:before="38" w:line="335" w:lineRule="exact"/>
              <w:ind w:left="361"/>
              <w:rPr>
                <w:sz w:val="31"/>
              </w:rPr>
            </w:pPr>
            <w:r>
              <w:rPr>
                <w:sz w:val="31"/>
              </w:rPr>
              <w:t>等。</w:t>
            </w:r>
          </w:p>
        </w:tc>
        <w:tc>
          <w:tcPr>
            <w:tcW w:w="849" w:type="dxa"/>
          </w:tcPr>
          <w:p>
            <w:pPr>
              <w:pStyle w:val="TableParagraph"/>
              <w:rPr>
                <w:rFonts w:ascii="Times New Roman"/>
                <w:sz w:val="30"/>
              </w:rPr>
            </w:pPr>
          </w:p>
        </w:tc>
        <w:tc>
          <w:tcPr>
            <w:tcW w:w="547" w:type="dxa"/>
          </w:tcPr>
          <w:p>
            <w:pPr>
              <w:pStyle w:val="TableParagraph"/>
              <w:rPr>
                <w:rFonts w:ascii="Times New Roman"/>
                <w:sz w:val="30"/>
              </w:rPr>
            </w:pPr>
          </w:p>
        </w:tc>
        <w:tc>
          <w:tcPr>
            <w:tcW w:w="457" w:type="dxa"/>
          </w:tcPr>
          <w:p>
            <w:pPr>
              <w:pStyle w:val="TableParagraph"/>
              <w:rPr>
                <w:rFonts w:ascii="Times New Roman"/>
                <w:sz w:val="30"/>
              </w:rPr>
            </w:pPr>
          </w:p>
        </w:tc>
      </w:tr>
    </w:tbl>
    <w:p>
      <w:pPr>
        <w:pStyle w:val="BodyText"/>
        <w:tabs>
          <w:tab w:val="left" w:pos="12198"/>
          <w:tab w:val="left" w:pos="13524"/>
          <w:tab w:val="left" w:pos="14849"/>
        </w:tabs>
        <w:spacing w:before="113" w:line="283" w:lineRule="auto"/>
        <w:ind w:right="2691"/>
      </w:pPr>
      <w:r>
        <w:drawing>
          <wp:anchor distT="0" distB="0" distL="0" distR="0" simplePos="0" relativeHeight="251663360" behindDoc="1" locked="0" layoutInCell="1" allowOverlap="1">
            <wp:simplePos x="0" y="0"/>
            <wp:positionH relativeFrom="page">
              <wp:posOffset>1905000</wp:posOffset>
            </wp:positionH>
            <wp:positionV relativeFrom="paragraph">
              <wp:posOffset>-623697</wp:posOffset>
            </wp:positionV>
            <wp:extent cx="823436" cy="38004"/>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1" cstate="print"/>
                    <a:stretch>
                      <a:fillRect/>
                    </a:stretch>
                  </pic:blipFill>
                  <pic:spPr>
                    <a:xfrm>
                      <a:off x="0" y="0"/>
                      <a:ext cx="823436" cy="38004"/>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3009900</wp:posOffset>
            </wp:positionH>
            <wp:positionV relativeFrom="paragraph">
              <wp:posOffset>-623697</wp:posOffset>
            </wp:positionV>
            <wp:extent cx="823436" cy="38004"/>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2" cstate="print"/>
                    <a:stretch>
                      <a:fillRect/>
                    </a:stretch>
                  </pic:blipFill>
                  <pic:spPr>
                    <a:xfrm>
                      <a:off x="0" y="0"/>
                      <a:ext cx="823436" cy="38004"/>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4013200</wp:posOffset>
            </wp:positionH>
            <wp:positionV relativeFrom="paragraph">
              <wp:posOffset>-623697</wp:posOffset>
            </wp:positionV>
            <wp:extent cx="924782" cy="38004"/>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3" cstate="print"/>
                    <a:stretch>
                      <a:fillRect/>
                    </a:stretch>
                  </pic:blipFill>
                  <pic:spPr>
                    <a:xfrm>
                      <a:off x="0" y="0"/>
                      <a:ext cx="924782" cy="38004"/>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5105400</wp:posOffset>
            </wp:positionH>
            <wp:positionV relativeFrom="paragraph">
              <wp:posOffset>-623697</wp:posOffset>
            </wp:positionV>
            <wp:extent cx="823436" cy="38004"/>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1" cstate="print"/>
                    <a:stretch>
                      <a:fillRect/>
                    </a:stretch>
                  </pic:blipFill>
                  <pic:spPr>
                    <a:xfrm>
                      <a:off x="0" y="0"/>
                      <a:ext cx="823436" cy="38004"/>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6108700</wp:posOffset>
            </wp:positionH>
            <wp:positionV relativeFrom="paragraph">
              <wp:posOffset>-623697</wp:posOffset>
            </wp:positionV>
            <wp:extent cx="1026128" cy="38004"/>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4" cstate="print"/>
                    <a:stretch>
                      <a:fillRect/>
                    </a:stretch>
                  </pic:blipFill>
                  <pic:spPr>
                    <a:xfrm>
                      <a:off x="0" y="0"/>
                      <a:ext cx="1026128" cy="38004"/>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3111500</wp:posOffset>
            </wp:positionH>
            <wp:positionV relativeFrom="paragraph">
              <wp:posOffset>-29972</wp:posOffset>
            </wp:positionV>
            <wp:extent cx="1026128" cy="38004"/>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5" cstate="print"/>
                    <a:stretch>
                      <a:fillRect/>
                    </a:stretch>
                  </pic:blipFill>
                  <pic:spPr>
                    <a:xfrm>
                      <a:off x="0" y="0"/>
                      <a:ext cx="1026128" cy="38004"/>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4305300</wp:posOffset>
            </wp:positionH>
            <wp:positionV relativeFrom="paragraph">
              <wp:posOffset>-29972</wp:posOffset>
            </wp:positionV>
            <wp:extent cx="1026128" cy="38004"/>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0" cstate="print"/>
                    <a:stretch>
                      <a:fillRect/>
                    </a:stretch>
                  </pic:blipFill>
                  <pic:spPr>
                    <a:xfrm>
                      <a:off x="0" y="0"/>
                      <a:ext cx="1026128" cy="38004"/>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5511800</wp:posOffset>
            </wp:positionH>
            <wp:positionV relativeFrom="paragraph">
              <wp:posOffset>-29972</wp:posOffset>
            </wp:positionV>
            <wp:extent cx="1026128" cy="38004"/>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5" cstate="print"/>
                    <a:stretch>
                      <a:fillRect/>
                    </a:stretch>
                  </pic:blipFill>
                  <pic:spPr>
                    <a:xfrm>
                      <a:off x="0" y="0"/>
                      <a:ext cx="1026128" cy="38004"/>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6756400</wp:posOffset>
            </wp:positionH>
            <wp:positionV relativeFrom="paragraph">
              <wp:posOffset>274827</wp:posOffset>
            </wp:positionV>
            <wp:extent cx="10033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16" cstate="print"/>
                    <a:stretch>
                      <a:fillRect/>
                    </a:stretch>
                  </pic:blipFill>
                  <pic:spPr>
                    <a:xfrm>
                      <a:off x="0" y="0"/>
                      <a:ext cx="10033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7962900</wp:posOffset>
            </wp:positionH>
            <wp:positionV relativeFrom="paragraph">
              <wp:posOffset>274827</wp:posOffset>
            </wp:positionV>
            <wp:extent cx="6477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17" cstate="print"/>
                    <a:stretch>
                      <a:fillRect/>
                    </a:stretch>
                  </pic:blipFill>
                  <pic:spPr>
                    <a:xfrm>
                      <a:off x="0" y="0"/>
                      <a:ext cx="6477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8801100</wp:posOffset>
            </wp:positionH>
            <wp:positionV relativeFrom="paragraph">
              <wp:posOffset>274827</wp:posOffset>
            </wp:positionV>
            <wp:extent cx="6477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17" cstate="print"/>
                    <a:stretch>
                      <a:fillRect/>
                    </a:stretch>
                  </pic:blipFill>
                  <pic:spPr>
                    <a:xfrm>
                      <a:off x="0" y="0"/>
                      <a:ext cx="647700" cy="38100"/>
                    </a:xfrm>
                    <a:prstGeom prst="rect">
                      <a:avLst/>
                    </a:prstGeom>
                  </pic:spPr>
                </pic:pic>
              </a:graphicData>
            </a:graphic>
          </wp:anchor>
        </w:drawing>
      </w:r>
      <w:r>
        <w:t>金融资产作为证明信用交易内容的书面证明，具有</w:t>
        <w:tab/>
        <w:t>、</w:t>
        <w:tab/>
        <w:t>、</w:t>
        <w:tab/>
      </w:r>
      <w:r>
        <w:rPr>
          <w:spacing w:val="-18"/>
        </w:rPr>
        <w:t>与</w:t>
      </w:r>
      <w:r>
        <w:t>的基本特征。</w:t>
      </w:r>
    </w:p>
    <w:p>
      <w:pPr>
        <w:pStyle w:val="ListParagraph"/>
        <w:numPr>
          <w:ilvl w:val="0"/>
          <w:numId w:val="115"/>
        </w:numPr>
        <w:tabs>
          <w:tab w:val="left" w:pos="3019"/>
        </w:tabs>
        <w:spacing w:before="0" w:after="0" w:line="396" w:lineRule="exact"/>
        <w:ind w:left="3018" w:right="0" w:hanging="319"/>
        <w:jc w:val="left"/>
        <w:rPr>
          <w:sz w:val="31"/>
        </w:rPr>
      </w:pPr>
      <w:r>
        <w:rPr>
          <w:sz w:val="31"/>
        </w:rPr>
        <w:t>选择题</w:t>
      </w:r>
    </w:p>
    <w:p>
      <w:pPr>
        <w:pStyle w:val="BodyText"/>
        <w:tabs>
          <w:tab w:val="left" w:pos="8846"/>
        </w:tabs>
        <w:spacing w:before="233" w:line="360" w:lineRule="auto"/>
        <w:ind w:left="3334" w:right="8539" w:hanging="476"/>
      </w:pPr>
      <w:r>
        <w:t>财务管理环境按其包括的范围，分为（</w:t>
        <w:tab/>
      </w:r>
      <w:r>
        <w:rPr>
          <w:spacing w:val="-162"/>
        </w:rPr>
        <w:t>）</w:t>
      </w:r>
      <w:r>
        <w:rPr>
          <w:spacing w:val="-17"/>
        </w:rPr>
        <w:t>。</w:t>
      </w:r>
      <w:r>
        <w:t>A.宏观财务管理环境</w:t>
      </w:r>
    </w:p>
    <w:p>
      <w:pPr>
        <w:pStyle w:val="BodyText"/>
        <w:spacing w:before="7"/>
        <w:ind w:left="3334"/>
      </w:pPr>
      <w:r>
        <w:t>B.企业内部财务管理环境</w:t>
      </w:r>
    </w:p>
    <w:p>
      <w:pPr>
        <w:pStyle w:val="BodyText"/>
        <w:ind w:left="0"/>
        <w:rPr>
          <w:sz w:val="20"/>
        </w:rPr>
      </w:pPr>
    </w:p>
    <w:p>
      <w:pPr>
        <w:pStyle w:val="BodyText"/>
        <w:spacing w:before="4"/>
        <w:ind w:left="0"/>
        <w:rPr>
          <w:sz w:val="18"/>
        </w:rPr>
      </w:pPr>
    </w:p>
    <w:p>
      <w:pPr>
        <w:spacing w:before="0"/>
        <w:ind w:left="2700" w:right="0" w:firstLine="0"/>
        <w:jc w:val="left"/>
        <w:rPr>
          <w:sz w:val="18"/>
        </w:rPr>
      </w:pPr>
      <w:r>
        <w:rPr>
          <w:sz w:val="18"/>
        </w:rPr>
        <w:t>&gt;</w:t>
      </w:r>
    </w:p>
    <w:p>
      <w:pPr>
        <w:pStyle w:val="BodyText"/>
        <w:spacing w:before="80" w:line="362" w:lineRule="auto"/>
        <w:ind w:left="3334" w:right="11042"/>
      </w:pPr>
      <w:r>
        <w:t>C.企业外部财务管理环境D.静态财务管理环境</w:t>
      </w:r>
    </w:p>
    <w:p>
      <w:pPr>
        <w:pStyle w:val="BodyText"/>
        <w:spacing w:before="3"/>
        <w:ind w:left="3334"/>
      </w:pPr>
      <w:r>
        <w:t>E.微观财务管理环境。</w:t>
      </w:r>
    </w:p>
    <w:p>
      <w:pPr>
        <w:pStyle w:val="BodyText"/>
        <w:tabs>
          <w:tab w:val="left" w:pos="7428"/>
        </w:tabs>
        <w:spacing w:before="201" w:line="364" w:lineRule="auto"/>
        <w:ind w:left="3348" w:right="9954" w:hanging="490"/>
      </w:pPr>
      <w:r>
        <w:t>微观财务管理环境主要包括（</w:t>
        <w:tab/>
      </w:r>
      <w:r>
        <w:rPr>
          <w:spacing w:val="-159"/>
        </w:rPr>
        <w:t>）</w:t>
      </w:r>
      <w:r>
        <w:rPr>
          <w:spacing w:val="-17"/>
        </w:rPr>
        <w:t>。</w:t>
      </w:r>
      <w:r>
        <w:t>A.企业管理体制</w:t>
      </w:r>
    </w:p>
    <w:p>
      <w:pPr>
        <w:pStyle w:val="BodyText"/>
        <w:spacing w:line="393" w:lineRule="exact"/>
        <w:ind w:left="3348"/>
      </w:pPr>
      <w:r>
        <w:t>B.企业组织形式</w:t>
      </w:r>
    </w:p>
    <w:p>
      <w:pPr>
        <w:pStyle w:val="BodyText"/>
        <w:spacing w:before="200" w:line="362" w:lineRule="auto"/>
        <w:ind w:left="3348" w:right="11342"/>
      </w:pPr>
      <w:r>
        <w:t>C.生产经营规模及特点D.管理水平与管理状况</w:t>
      </w:r>
    </w:p>
    <w:p>
      <w:pPr>
        <w:pStyle w:val="BodyText"/>
        <w:spacing w:before="8"/>
        <w:ind w:left="0"/>
        <w:rPr>
          <w:sz w:val="22"/>
        </w:rPr>
      </w:pPr>
    </w:p>
    <w:p>
      <w:pPr>
        <w:spacing w:before="0"/>
        <w:ind w:left="3348" w:right="0" w:firstLine="0"/>
        <w:jc w:val="left"/>
        <w:rPr>
          <w:sz w:val="18"/>
        </w:rPr>
      </w:pPr>
      <w:r>
        <w:rPr>
          <w:sz w:val="18"/>
        </w:rPr>
        <w:t>@</w:t>
      </w:r>
    </w:p>
    <w:p>
      <w:pPr>
        <w:pStyle w:val="BodyText"/>
        <w:spacing w:before="80"/>
        <w:ind w:left="3348"/>
      </w:pPr>
      <w:r>
        <w:t>E.人员素质等因素。</w:t>
      </w:r>
    </w:p>
    <w:p>
      <w:pPr>
        <w:pStyle w:val="BodyText"/>
        <w:tabs>
          <w:tab w:val="left" w:pos="12285"/>
        </w:tabs>
        <w:spacing w:before="204"/>
        <w:ind w:left="309"/>
        <w:jc w:val="center"/>
      </w:pPr>
      <w:r>
        <w:t>企业内部财务管理环境是指企业内部的影响财务管理的各种因素，主要包括企业的（</w:t>
        <w:tab/>
      </w:r>
      <w:r>
        <w:rPr>
          <w:spacing w:val="-159"/>
        </w:rPr>
        <w:t>）</w:t>
      </w:r>
      <w:r>
        <w:t>。</w:t>
      </w:r>
    </w:p>
    <w:p>
      <w:pPr>
        <w:spacing w:after="0"/>
        <w:jc w:val="center"/>
        <w:sectPr>
          <w:headerReference w:type="default" r:id="rId18"/>
          <w:pgSz w:w="17860" w:h="25260"/>
          <w:pgMar w:top="1360" w:right="0" w:bottom="280" w:left="0" w:header="1160" w:footer="0"/>
          <w:pgNumType w:start="2"/>
          <w:cols w:space="708"/>
        </w:sectPr>
      </w:pPr>
    </w:p>
    <w:p>
      <w:pPr>
        <w:pStyle w:val="BodyText"/>
        <w:ind w:left="0"/>
        <w:rPr>
          <w:sz w:val="20"/>
        </w:rPr>
      </w:pPr>
    </w:p>
    <w:p>
      <w:pPr>
        <w:pStyle w:val="BodyText"/>
        <w:ind w:left="0"/>
        <w:rPr>
          <w:sz w:val="20"/>
        </w:rPr>
      </w:pPr>
    </w:p>
    <w:p>
      <w:pPr>
        <w:pStyle w:val="BodyText"/>
        <w:spacing w:before="216" w:line="362" w:lineRule="auto"/>
        <w:ind w:left="3334" w:right="12854"/>
        <w:jc w:val="both"/>
      </w:pPr>
      <w:r>
        <w:t>A.生产情况B.技术情况C.经营规模D.资产结构E.经济周期</w:t>
      </w:r>
    </w:p>
    <w:p>
      <w:pPr>
        <w:pStyle w:val="BodyText"/>
        <w:spacing w:before="1"/>
        <w:ind w:left="2859"/>
        <w:jc w:val="both"/>
      </w:pPr>
      <w:r>
        <w:t>在经济繁荣阶段，企业通常应该（</w:t>
      </w:r>
      <w:r>
        <w:rPr>
          <w:spacing w:val="136"/>
        </w:rPr>
        <w:t xml:space="preserve"> </w:t>
      </w:r>
      <w:r>
        <w:t>）</w:t>
      </w:r>
    </w:p>
    <w:p>
      <w:pPr>
        <w:pStyle w:val="BodyText"/>
        <w:spacing w:before="4"/>
        <w:ind w:left="0"/>
        <w:rPr>
          <w:sz w:val="38"/>
        </w:rPr>
      </w:pPr>
    </w:p>
    <w:p>
      <w:pPr>
        <w:spacing w:before="0"/>
        <w:ind w:left="3348" w:right="0" w:firstLine="0"/>
        <w:jc w:val="left"/>
        <w:rPr>
          <w:sz w:val="18"/>
        </w:rPr>
      </w:pPr>
      <w:r>
        <w:rPr>
          <w:sz w:val="18"/>
        </w:rPr>
        <w:t>}</w:t>
      </w:r>
    </w:p>
    <w:p>
      <w:pPr>
        <w:pStyle w:val="ListParagraph"/>
        <w:numPr>
          <w:ilvl w:val="0"/>
          <w:numId w:val="114"/>
        </w:numPr>
        <w:tabs>
          <w:tab w:val="left" w:pos="3667"/>
        </w:tabs>
        <w:spacing w:before="80" w:after="0" w:line="240" w:lineRule="auto"/>
        <w:ind w:left="3666" w:right="0" w:hanging="319"/>
        <w:jc w:val="left"/>
        <w:rPr>
          <w:sz w:val="31"/>
        </w:rPr>
      </w:pPr>
      <w:r>
        <w:rPr>
          <w:sz w:val="31"/>
        </w:rPr>
        <w:t>消减存货</w:t>
      </w:r>
    </w:p>
    <w:p>
      <w:pPr>
        <w:pStyle w:val="ListParagraph"/>
        <w:numPr>
          <w:ilvl w:val="0"/>
          <w:numId w:val="114"/>
        </w:numPr>
        <w:tabs>
          <w:tab w:val="left" w:pos="3667"/>
        </w:tabs>
        <w:spacing w:before="204" w:after="0" w:line="362" w:lineRule="auto"/>
        <w:ind w:left="3348" w:right="12291" w:firstLine="0"/>
        <w:jc w:val="both"/>
        <w:rPr>
          <w:sz w:val="31"/>
        </w:rPr>
      </w:pPr>
      <w:r>
        <w:rPr>
          <w:spacing w:val="-4"/>
          <w:sz w:val="31"/>
        </w:rPr>
        <w:t>开展营销规划</w:t>
      </w:r>
      <w:r>
        <w:rPr>
          <w:sz w:val="31"/>
        </w:rPr>
        <w:t>C.</w:t>
      </w:r>
      <w:r>
        <w:rPr>
          <w:spacing w:val="-4"/>
          <w:sz w:val="31"/>
        </w:rPr>
        <w:t>缩减管理费用</w:t>
      </w:r>
      <w:r>
        <w:rPr>
          <w:sz w:val="31"/>
        </w:rPr>
        <w:t>D.产量增加</w:t>
      </w:r>
    </w:p>
    <w:p>
      <w:pPr>
        <w:pStyle w:val="BodyText"/>
        <w:spacing w:before="2"/>
        <w:ind w:left="3348"/>
      </w:pPr>
      <w:r>
        <w:t>E.投资锐减</w:t>
      </w:r>
    </w:p>
    <w:p>
      <w:pPr>
        <w:pStyle w:val="BodyText"/>
        <w:tabs>
          <w:tab w:val="left" w:pos="6639"/>
        </w:tabs>
        <w:spacing w:before="204" w:line="360" w:lineRule="auto"/>
        <w:ind w:left="3348" w:right="10902" w:hanging="490"/>
      </w:pPr>
      <w:r>
        <w:t>金融市场的构成要素有（</w:t>
        <w:tab/>
      </w:r>
      <w:r>
        <w:rPr>
          <w:spacing w:val="-19"/>
        </w:rPr>
        <w:t xml:space="preserve">） </w:t>
      </w:r>
      <w:r>
        <w:t>A.金融机构</w:t>
      </w:r>
    </w:p>
    <w:p>
      <w:pPr>
        <w:pStyle w:val="BodyText"/>
        <w:spacing w:before="7"/>
        <w:ind w:left="3348"/>
      </w:pPr>
      <w:r>
        <w:t>B.金融工具</w:t>
      </w:r>
    </w:p>
    <w:p>
      <w:pPr>
        <w:pStyle w:val="BodyText"/>
        <w:spacing w:before="4"/>
        <w:ind w:left="0"/>
        <w:rPr>
          <w:sz w:val="38"/>
        </w:rPr>
      </w:pPr>
    </w:p>
    <w:p>
      <w:pPr>
        <w:spacing w:before="0"/>
        <w:ind w:left="3348" w:right="0" w:firstLine="0"/>
        <w:jc w:val="left"/>
        <w:rPr>
          <w:sz w:val="18"/>
        </w:rPr>
      </w:pPr>
      <w:r>
        <w:rPr>
          <w:sz w:val="18"/>
        </w:rPr>
        <w:t>]</w:t>
      </w:r>
    </w:p>
    <w:p>
      <w:pPr>
        <w:pStyle w:val="BodyText"/>
        <w:spacing w:before="80" w:line="362" w:lineRule="auto"/>
        <w:ind w:left="3348" w:right="12291"/>
      </w:pPr>
      <w:r>
        <w:t>C.</w:t>
      </w:r>
      <w:r>
        <w:rPr>
          <w:spacing w:val="-4"/>
        </w:rPr>
        <w:t>企业管理制度</w:t>
      </w:r>
      <w:r>
        <w:t>D.资金需求方 E.</w:t>
      </w:r>
      <w:r>
        <w:rPr>
          <w:spacing w:val="-4"/>
        </w:rPr>
        <w:t>金融市场机制</w:t>
      </w:r>
    </w:p>
    <w:p>
      <w:pPr>
        <w:pStyle w:val="ListParagraph"/>
        <w:numPr>
          <w:ilvl w:val="0"/>
          <w:numId w:val="115"/>
        </w:numPr>
        <w:tabs>
          <w:tab w:val="left" w:pos="3019"/>
        </w:tabs>
        <w:spacing w:before="1" w:after="0" w:line="240" w:lineRule="auto"/>
        <w:ind w:left="3018" w:right="0" w:hanging="319"/>
        <w:jc w:val="left"/>
        <w:rPr>
          <w:sz w:val="31"/>
        </w:rPr>
      </w:pPr>
      <w:r>
        <w:rPr>
          <w:sz w:val="31"/>
        </w:rPr>
        <w:t>判断题</w:t>
      </w:r>
    </w:p>
    <w:p>
      <w:pPr>
        <w:pStyle w:val="BodyText"/>
        <w:spacing w:before="204"/>
      </w:pPr>
      <w:r>
        <w:t>企业外部财务管理环境均属于宏观财务管理环境。</w:t>
      </w:r>
    </w:p>
    <w:p>
      <w:pPr>
        <w:pStyle w:val="BodyText"/>
        <w:spacing w:before="204" w:line="360" w:lineRule="auto"/>
        <w:ind w:left="2859" w:right="3435" w:hanging="159"/>
      </w:pPr>
      <w:r>
        <w:t>资金市场的资金供求状况及利息率的高低，都是不断变化的，属动态财务管理环境。在经济萧条阶段，企业很可能处于紧缩状态之中，产量和销售量下降。</w:t>
      </w:r>
    </w:p>
    <w:p>
      <w:pPr>
        <w:pStyle w:val="BodyText"/>
        <w:spacing w:before="8"/>
        <w:ind w:left="2859"/>
      </w:pPr>
      <w:r>
        <w:t>货币市场主要满足企业中长期投资资金需要。</w:t>
      </w:r>
    </w:p>
    <w:p>
      <w:pPr>
        <w:pStyle w:val="BodyText"/>
        <w:spacing w:before="4"/>
        <w:ind w:left="0"/>
        <w:rPr>
          <w:sz w:val="38"/>
        </w:rPr>
      </w:pPr>
    </w:p>
    <w:p>
      <w:pPr>
        <w:spacing w:before="0"/>
        <w:ind w:left="0" w:right="14976" w:firstLine="0"/>
        <w:jc w:val="right"/>
        <w:rPr>
          <w:sz w:val="18"/>
        </w:rPr>
      </w:pPr>
      <w:r>
        <w:rPr>
          <w:sz w:val="18"/>
        </w:rPr>
        <w:t>】</w:t>
      </w:r>
    </w:p>
    <w:p>
      <w:pPr>
        <w:pStyle w:val="BodyText"/>
        <w:spacing w:before="80" w:line="362" w:lineRule="auto"/>
        <w:ind w:right="2643" w:firstLine="158"/>
      </w:pPr>
      <w:r>
        <w:t>二级市场上的交易不会增加发行在外的金融资产的总额，但是它的存在会增加金融资产的流动性。</w:t>
      </w:r>
    </w:p>
    <w:p>
      <w:pPr>
        <w:pStyle w:val="BodyText"/>
        <w:spacing w:before="7"/>
        <w:ind w:left="0"/>
        <w:rPr>
          <w:sz w:val="34"/>
        </w:rPr>
      </w:pPr>
    </w:p>
    <w:p>
      <w:pPr>
        <w:pStyle w:val="Heading2"/>
        <w:spacing w:line="283" w:lineRule="auto"/>
        <w:ind w:right="11355"/>
      </w:pPr>
      <w:r>
        <w:t>第三章：财务价值计量基础一、单项选择题</w:t>
      </w:r>
    </w:p>
    <w:p>
      <w:pPr>
        <w:pStyle w:val="ListParagraph"/>
        <w:numPr>
          <w:ilvl w:val="0"/>
          <w:numId w:val="113"/>
        </w:numPr>
        <w:tabs>
          <w:tab w:val="left" w:pos="3177"/>
          <w:tab w:val="left" w:pos="13618"/>
        </w:tabs>
        <w:spacing w:before="0" w:after="0" w:line="283" w:lineRule="auto"/>
        <w:ind w:left="3172" w:right="2655" w:hanging="472"/>
        <w:jc w:val="left"/>
        <w:rPr>
          <w:sz w:val="31"/>
        </w:rPr>
      </w:pPr>
      <w:r>
        <w:rPr>
          <w:sz w:val="31"/>
        </w:rPr>
        <w:t>某公司采用分期付款的方式购入房产一套，每年年初付</w:t>
      </w:r>
      <w:r>
        <w:rPr>
          <w:spacing w:val="40"/>
          <w:sz w:val="31"/>
        </w:rPr>
        <w:t>款</w:t>
      </w:r>
      <w:r>
        <w:rPr>
          <w:sz w:val="31"/>
        </w:rPr>
        <w:t>20</w:t>
      </w:r>
      <w:r>
        <w:rPr>
          <w:spacing w:val="95"/>
          <w:sz w:val="31"/>
        </w:rPr>
        <w:t xml:space="preserve"> </w:t>
      </w:r>
      <w:r>
        <w:rPr>
          <w:sz w:val="31"/>
        </w:rPr>
        <w:t>000</w:t>
      </w:r>
      <w:r>
        <w:rPr>
          <w:spacing w:val="-36"/>
          <w:sz w:val="31"/>
        </w:rPr>
        <w:t xml:space="preserve"> </w:t>
      </w:r>
      <w:r>
        <w:rPr>
          <w:sz w:val="31"/>
        </w:rPr>
        <w:t>元，分</w:t>
      </w:r>
      <w:r>
        <w:rPr>
          <w:spacing w:val="-30"/>
          <w:sz w:val="31"/>
        </w:rPr>
        <w:t xml:space="preserve"> </w:t>
      </w:r>
      <w:r>
        <w:rPr>
          <w:sz w:val="31"/>
        </w:rPr>
        <w:t>10</w:t>
      </w:r>
      <w:r>
        <w:rPr>
          <w:spacing w:val="-28"/>
          <w:sz w:val="31"/>
        </w:rPr>
        <w:t xml:space="preserve"> </w:t>
      </w:r>
      <w:r>
        <w:rPr>
          <w:sz w:val="31"/>
        </w:rPr>
        <w:t>年付清，在银行利率为</w:t>
      </w:r>
      <w:r>
        <w:rPr>
          <w:spacing w:val="123"/>
          <w:sz w:val="31"/>
        </w:rPr>
        <w:t xml:space="preserve"> </w:t>
      </w:r>
      <w:r>
        <w:rPr>
          <w:sz w:val="31"/>
        </w:rPr>
        <w:t>6%的情况下，则该项分期付款相当于企业现在一次性付款（</w:t>
        <w:tab/>
        <w:t>）元。已</w:t>
      </w:r>
      <w:r>
        <w:rPr>
          <w:spacing w:val="-18"/>
          <w:sz w:val="31"/>
        </w:rPr>
        <w:t>知</w:t>
      </w:r>
    </w:p>
    <w:p>
      <w:pPr>
        <w:pStyle w:val="BodyText"/>
        <w:tabs>
          <w:tab w:val="left" w:pos="5389"/>
          <w:tab w:val="left" w:pos="7765"/>
          <w:tab w:val="left" w:pos="9824"/>
        </w:tabs>
        <w:spacing w:line="283" w:lineRule="auto"/>
        <w:ind w:left="3172" w:right="6608"/>
      </w:pPr>
      <w:r>
        <w:rPr>
          <w:w w:val="102"/>
        </w:rPr>
        <w:t>（P/</w:t>
      </w:r>
      <w:r>
        <w:rPr>
          <w:spacing w:val="-4"/>
          <w:w w:val="102"/>
        </w:rPr>
        <w:t>A</w:t>
      </w:r>
      <w:r>
        <w:rPr>
          <w:w w:val="102"/>
        </w:rPr>
        <w:t>，6</w:t>
      </w:r>
      <w:r>
        <w:rPr>
          <w:spacing w:val="-4"/>
          <w:w w:val="102"/>
        </w:rPr>
        <w:t>%</w:t>
      </w:r>
      <w:r>
        <w:rPr>
          <w:w w:val="102"/>
        </w:rPr>
        <w:t>，9</w:t>
      </w:r>
      <w:r>
        <w:rPr>
          <w:spacing w:val="-4"/>
          <w:w w:val="102"/>
        </w:rPr>
        <w:t>）</w:t>
      </w:r>
      <w:r>
        <w:rPr>
          <w:w w:val="102"/>
        </w:rPr>
        <w:t>=</w:t>
      </w:r>
      <w:r>
        <w:rPr>
          <w:spacing w:val="-159"/>
          <w:w w:val="102"/>
        </w:rPr>
        <w:t>；</w:t>
      </w:r>
      <w:r>
        <w:rPr>
          <w:spacing w:val="-3"/>
          <w:w w:val="102"/>
        </w:rPr>
        <w:t>（</w:t>
      </w:r>
      <w:r>
        <w:rPr>
          <w:w w:val="102"/>
        </w:rPr>
        <w:t>P/</w:t>
      </w:r>
      <w:r>
        <w:rPr>
          <w:spacing w:val="-4"/>
          <w:w w:val="102"/>
        </w:rPr>
        <w:t>A，</w:t>
      </w:r>
      <w:r>
        <w:rPr>
          <w:w w:val="102"/>
        </w:rPr>
        <w:t>6%</w:t>
      </w:r>
      <w:r>
        <w:rPr>
          <w:spacing w:val="-1"/>
          <w:w w:val="102"/>
        </w:rPr>
        <w:t>，</w:t>
      </w:r>
      <w:r>
        <w:rPr>
          <w:w w:val="102"/>
        </w:rPr>
        <w:t>1</w:t>
      </w:r>
      <w:r>
        <w:rPr>
          <w:spacing w:val="-4"/>
          <w:w w:val="102"/>
        </w:rPr>
        <w:t>0</w:t>
      </w:r>
      <w:r>
        <w:rPr>
          <w:w w:val="102"/>
        </w:rPr>
        <w:t>）</w:t>
      </w:r>
      <w:r>
        <w:rPr>
          <w:spacing w:val="-1"/>
          <w:w w:val="102"/>
        </w:rPr>
        <w:t>=</w:t>
      </w:r>
      <w:r>
        <w:rPr>
          <w:spacing w:val="-162"/>
          <w:w w:val="102"/>
        </w:rPr>
        <w:t>；</w:t>
      </w:r>
      <w:r>
        <w:rPr>
          <w:w w:val="102"/>
        </w:rPr>
        <w:t>（P/</w:t>
      </w:r>
      <w:r>
        <w:rPr>
          <w:spacing w:val="-4"/>
          <w:w w:val="102"/>
        </w:rPr>
        <w:t>A</w:t>
      </w:r>
      <w:r>
        <w:rPr>
          <w:w w:val="102"/>
        </w:rPr>
        <w:t>，6</w:t>
      </w:r>
      <w:r>
        <w:rPr>
          <w:spacing w:val="-4"/>
          <w:w w:val="102"/>
        </w:rPr>
        <w:t>%</w:t>
      </w:r>
      <w:r>
        <w:rPr>
          <w:w w:val="102"/>
        </w:rPr>
        <w:t>，1</w:t>
      </w:r>
      <w:r>
        <w:rPr>
          <w:spacing w:val="-8"/>
          <w:w w:val="102"/>
        </w:rPr>
        <w:t>1</w:t>
      </w:r>
      <w:r>
        <w:rPr>
          <w:w w:val="102"/>
        </w:rPr>
        <w:t xml:space="preserve">）=. </w:t>
      </w:r>
      <w:r>
        <w:t>A</w:t>
      </w:r>
      <w:r>
        <w:rPr>
          <w:spacing w:val="9"/>
        </w:rPr>
        <w:t xml:space="preserve"> </w:t>
      </w:r>
      <w:r>
        <w:t>96</w:t>
      </w:r>
      <w:r>
        <w:rPr>
          <w:spacing w:val="9"/>
        </w:rPr>
        <w:t xml:space="preserve"> </w:t>
      </w:r>
      <w:r>
        <w:t>034</w:t>
        <w:tab/>
        <w:t>B</w:t>
      </w:r>
      <w:r>
        <w:rPr>
          <w:spacing w:val="10"/>
        </w:rPr>
        <w:t xml:space="preserve"> </w:t>
      </w:r>
      <w:r>
        <w:t>116</w:t>
      </w:r>
      <w:r>
        <w:rPr>
          <w:spacing w:val="11"/>
        </w:rPr>
        <w:t xml:space="preserve"> </w:t>
      </w:r>
      <w:r>
        <w:t>034</w:t>
        <w:tab/>
        <w:t>C</w:t>
      </w:r>
      <w:r>
        <w:rPr>
          <w:spacing w:val="10"/>
        </w:rPr>
        <w:t xml:space="preserve"> </w:t>
      </w:r>
      <w:r>
        <w:t>136</w:t>
      </w:r>
      <w:r>
        <w:rPr>
          <w:spacing w:val="10"/>
        </w:rPr>
        <w:t xml:space="preserve"> </w:t>
      </w:r>
      <w:r>
        <w:t>034</w:t>
        <w:tab/>
        <w:t>D 156</w:t>
      </w:r>
      <w:r>
        <w:rPr>
          <w:spacing w:val="29"/>
        </w:rPr>
        <w:t xml:space="preserve"> </w:t>
      </w:r>
      <w:r>
        <w:rPr>
          <w:spacing w:val="-6"/>
        </w:rPr>
        <w:t>034</w:t>
      </w:r>
    </w:p>
    <w:p>
      <w:pPr>
        <w:pStyle w:val="ListParagraph"/>
        <w:numPr>
          <w:ilvl w:val="0"/>
          <w:numId w:val="113"/>
        </w:numPr>
        <w:tabs>
          <w:tab w:val="left" w:pos="3177"/>
        </w:tabs>
        <w:spacing w:before="0" w:after="0" w:line="396" w:lineRule="exact"/>
        <w:ind w:left="3177" w:right="0" w:hanging="477"/>
        <w:jc w:val="left"/>
        <w:rPr>
          <w:sz w:val="31"/>
        </w:rPr>
      </w:pPr>
      <w:r>
        <w:rPr>
          <w:w w:val="102"/>
          <w:sz w:val="31"/>
        </w:rPr>
        <w:t>下列说法中，不正确的有（</w:t>
      </w:r>
      <w:r>
        <w:rPr>
          <w:spacing w:val="-183"/>
          <w:w w:val="102"/>
          <w:sz w:val="31"/>
        </w:rPr>
        <w:t>）</w:t>
      </w:r>
      <w:r>
        <w:rPr>
          <w:w w:val="102"/>
          <w:sz w:val="31"/>
        </w:rPr>
        <w:t>。</w:t>
      </w:r>
    </w:p>
    <w:p>
      <w:pPr>
        <w:pStyle w:val="BodyText"/>
        <w:spacing w:before="68"/>
        <w:ind w:left="3017"/>
      </w:pPr>
      <w:r>
        <w:t>A 复利终值系数和复利现值系数互为倒数</w:t>
      </w:r>
    </w:p>
    <w:p>
      <w:pPr>
        <w:spacing w:before="268"/>
        <w:ind w:left="0" w:right="14886" w:firstLine="0"/>
        <w:jc w:val="right"/>
        <w:rPr>
          <w:sz w:val="18"/>
        </w:rPr>
      </w:pPr>
      <w:r>
        <w:rPr>
          <w:sz w:val="18"/>
        </w:rPr>
        <w:t>{</w:t>
      </w:r>
    </w:p>
    <w:p>
      <w:pPr>
        <w:spacing w:after="0"/>
        <w:jc w:val="right"/>
        <w:rPr>
          <w:sz w:val="18"/>
        </w:rPr>
        <w:sectPr>
          <w:headerReference w:type="default" r:id="rId19"/>
          <w:pgSz w:w="17860" w:h="25260"/>
          <w:pgMar w:top="1360" w:right="0" w:bottom="280" w:left="0" w:header="1160" w:footer="0"/>
          <w:pgNumType w:start="3"/>
          <w:cols w:space="708"/>
        </w:sectPr>
      </w:pPr>
    </w:p>
    <w:p>
      <w:pPr>
        <w:pStyle w:val="BodyText"/>
        <w:ind w:left="0"/>
        <w:rPr>
          <w:sz w:val="20"/>
        </w:rPr>
      </w:pPr>
    </w:p>
    <w:p>
      <w:pPr>
        <w:pStyle w:val="BodyText"/>
        <w:spacing w:before="5"/>
        <w:ind w:left="0"/>
        <w:rPr>
          <w:sz w:val="19"/>
        </w:rPr>
      </w:pPr>
    </w:p>
    <w:p>
      <w:pPr>
        <w:pStyle w:val="BodyText"/>
        <w:spacing w:before="62" w:line="283" w:lineRule="auto"/>
        <w:ind w:left="3017" w:right="7870"/>
      </w:pPr>
      <w:r>
        <w:t>B</w:t>
      </w:r>
      <w:r>
        <w:rPr>
          <w:spacing w:val="-1"/>
        </w:rPr>
        <w:t xml:space="preserve"> 普通年金终值系数和普通年金现值系数互为倒数</w:t>
      </w:r>
      <w:r>
        <w:t>C 普通年金终值系数和偿债基金系数互为倒数</w:t>
      </w:r>
    </w:p>
    <w:p>
      <w:pPr>
        <w:pStyle w:val="BodyText"/>
        <w:spacing w:line="396" w:lineRule="exact"/>
        <w:ind w:left="3017"/>
      </w:pPr>
      <w:r>
        <w:t>D</w:t>
      </w:r>
      <w:r>
        <w:rPr>
          <w:spacing w:val="1"/>
        </w:rPr>
        <w:t xml:space="preserve"> 普通年金现值系数和资本回收系数互为倒数</w:t>
      </w:r>
    </w:p>
    <w:p>
      <w:pPr>
        <w:pStyle w:val="ListParagraph"/>
        <w:numPr>
          <w:ilvl w:val="0"/>
          <w:numId w:val="113"/>
        </w:numPr>
        <w:tabs>
          <w:tab w:val="left" w:pos="3177"/>
          <w:tab w:val="left" w:pos="11374"/>
        </w:tabs>
        <w:spacing w:before="38" w:after="0" w:line="244" w:lineRule="auto"/>
        <w:ind w:left="2700" w:right="2687" w:firstLine="0"/>
        <w:jc w:val="left"/>
        <w:rPr>
          <w:sz w:val="31"/>
        </w:rPr>
      </w:pPr>
      <w:r>
        <w:rPr>
          <w:sz w:val="31"/>
        </w:rPr>
        <w:t>已知甲方案投资收益率的期望值</w:t>
      </w:r>
      <w:r>
        <w:rPr>
          <w:spacing w:val="51"/>
          <w:sz w:val="31"/>
        </w:rPr>
        <w:t>为</w:t>
      </w:r>
      <w:r>
        <w:rPr>
          <w:sz w:val="31"/>
        </w:rPr>
        <w:t>15%,乙方案投资收益率的期望值</w:t>
      </w:r>
      <w:r>
        <w:rPr>
          <w:spacing w:val="54"/>
          <w:sz w:val="31"/>
        </w:rPr>
        <w:t>为</w:t>
      </w:r>
      <w:r>
        <w:rPr>
          <w:sz w:val="31"/>
        </w:rPr>
        <w:t xml:space="preserve">12%,两个方案都 </w:t>
      </w:r>
      <w:r>
        <w:rPr>
          <w:spacing w:val="-15"/>
          <w:sz w:val="31"/>
        </w:rPr>
        <w:t>存</w:t>
      </w:r>
      <w:r>
        <w:rPr>
          <w:sz w:val="31"/>
        </w:rPr>
        <w:t>在投资风险。比较甲、乙两方案风险大小应采用的指标</w:t>
      </w:r>
      <w:r>
        <w:rPr>
          <w:spacing w:val="-39"/>
          <w:sz w:val="31"/>
        </w:rPr>
        <w:t>是</w:t>
      </w:r>
      <w:r>
        <w:rPr>
          <w:sz w:val="31"/>
        </w:rPr>
        <w:t>(</w:t>
        <w:tab/>
      </w:r>
      <w:r>
        <w:rPr>
          <w:spacing w:val="-4"/>
          <w:sz w:val="31"/>
        </w:rPr>
        <w:t>)</w:t>
      </w:r>
      <w:r>
        <w:rPr>
          <w:sz w:val="31"/>
        </w:rPr>
        <w:t>。</w:t>
      </w:r>
    </w:p>
    <w:p>
      <w:pPr>
        <w:pStyle w:val="BodyText"/>
        <w:tabs>
          <w:tab w:val="left" w:pos="8395"/>
        </w:tabs>
        <w:spacing w:before="7"/>
        <w:ind w:left="3330"/>
      </w:pPr>
      <w:r>
        <w:t>A.方差</w:t>
        <w:tab/>
      </w:r>
      <w:r>
        <w:rPr>
          <w:spacing w:val="-13"/>
        </w:rPr>
        <w:t>B.</w:t>
      </w:r>
      <w:r>
        <w:t>净现值</w:t>
      </w:r>
    </w:p>
    <w:p>
      <w:pPr>
        <w:pStyle w:val="BodyText"/>
        <w:tabs>
          <w:tab w:val="left" w:pos="8392"/>
        </w:tabs>
        <w:spacing w:before="10"/>
        <w:ind w:left="3330"/>
      </w:pPr>
      <w:r>
        <w:t>C.标准离差</w:t>
        <w:tab/>
      </w:r>
      <w:r>
        <w:rPr>
          <w:spacing w:val="-11"/>
        </w:rPr>
        <w:t>D.</w:t>
      </w:r>
      <w:r>
        <w:t>标准离差率</w:t>
      </w:r>
    </w:p>
    <w:p>
      <w:pPr>
        <w:pStyle w:val="ListParagraph"/>
        <w:numPr>
          <w:ilvl w:val="0"/>
          <w:numId w:val="113"/>
        </w:numPr>
        <w:tabs>
          <w:tab w:val="left" w:pos="3177"/>
          <w:tab w:val="left" w:pos="10103"/>
        </w:tabs>
        <w:spacing w:before="13" w:after="0" w:line="240" w:lineRule="auto"/>
        <w:ind w:left="3177" w:right="0" w:hanging="477"/>
        <w:jc w:val="left"/>
        <w:rPr>
          <w:sz w:val="31"/>
        </w:rPr>
      </w:pPr>
      <w:r>
        <w:rPr>
          <w:sz w:val="31"/>
        </w:rPr>
        <w:t>下列各项年金中，只有现值没有终值的年金是（</w:t>
        <w:tab/>
        <w:t>）。</w:t>
      </w:r>
    </w:p>
    <w:p>
      <w:pPr>
        <w:pStyle w:val="BodyText"/>
        <w:tabs>
          <w:tab w:val="left" w:pos="5483"/>
          <w:tab w:val="left" w:pos="7532"/>
          <w:tab w:val="left" w:pos="9897"/>
        </w:tabs>
        <w:spacing w:before="10"/>
        <w:ind w:left="3352"/>
      </w:pPr>
      <w:r>
        <w:t>A</w:t>
      </w:r>
      <w:r>
        <w:rPr>
          <w:spacing w:val="-68"/>
        </w:rPr>
        <w:t xml:space="preserve"> </w:t>
      </w:r>
      <w:r>
        <w:t>普通年金</w:t>
        <w:tab/>
        <w:t>B</w:t>
      </w:r>
      <w:r>
        <w:rPr>
          <w:spacing w:val="14"/>
        </w:rPr>
        <w:t xml:space="preserve"> </w:t>
      </w:r>
      <w:r>
        <w:t>即付年金</w:t>
        <w:tab/>
        <w:t>C</w:t>
      </w:r>
      <w:r>
        <w:rPr>
          <w:spacing w:val="12"/>
        </w:rPr>
        <w:t xml:space="preserve"> </w:t>
      </w:r>
      <w:r>
        <w:t>先付年金</w:t>
        <w:tab/>
        <w:t>D</w:t>
      </w:r>
      <w:r>
        <w:rPr>
          <w:spacing w:val="-83"/>
        </w:rPr>
        <w:t xml:space="preserve"> </w:t>
      </w:r>
      <w:r>
        <w:t>永续年金</w:t>
      </w:r>
    </w:p>
    <w:p>
      <w:pPr>
        <w:spacing w:before="127" w:line="175" w:lineRule="exact"/>
        <w:ind w:left="2700" w:right="0" w:firstLine="0"/>
        <w:jc w:val="left"/>
        <w:rPr>
          <w:sz w:val="18"/>
        </w:rPr>
      </w:pPr>
      <w:r>
        <w:rPr>
          <w:sz w:val="18"/>
        </w:rPr>
        <w:t>/</w:t>
      </w:r>
    </w:p>
    <w:p>
      <w:pPr>
        <w:pStyle w:val="ListParagraph"/>
        <w:numPr>
          <w:ilvl w:val="0"/>
          <w:numId w:val="113"/>
        </w:numPr>
        <w:tabs>
          <w:tab w:val="left" w:pos="3177"/>
        </w:tabs>
        <w:spacing w:before="0" w:after="0" w:line="342" w:lineRule="exact"/>
        <w:ind w:left="3177" w:right="0" w:hanging="477"/>
        <w:jc w:val="left"/>
        <w:rPr>
          <w:sz w:val="31"/>
        </w:rPr>
      </w:pPr>
      <w:r>
        <w:rPr>
          <w:sz w:val="31"/>
        </w:rPr>
        <w:t>某公司为其职工办理的养老保险基金可保证退休职工自退休后的第三年开始，每年从保</w:t>
      </w:r>
    </w:p>
    <w:p>
      <w:pPr>
        <w:pStyle w:val="BodyText"/>
        <w:tabs>
          <w:tab w:val="left" w:pos="5562"/>
          <w:tab w:val="left" w:pos="7770"/>
          <w:tab w:val="left" w:pos="9976"/>
          <w:tab w:val="left" w:pos="11838"/>
        </w:tabs>
        <w:spacing w:before="10" w:line="247" w:lineRule="auto"/>
        <w:ind w:left="3352" w:right="5385" w:hanging="335"/>
      </w:pPr>
      <w:r>
        <w:t>险公司领取</w:t>
      </w:r>
      <w:r>
        <w:rPr>
          <w:spacing w:val="-39"/>
        </w:rPr>
        <w:t xml:space="preserve"> </w:t>
      </w:r>
      <w:r>
        <w:t>5000</w:t>
      </w:r>
      <w:r>
        <w:rPr>
          <w:spacing w:val="-35"/>
        </w:rPr>
        <w:t xml:space="preserve"> </w:t>
      </w:r>
      <w:r>
        <w:t>元养老金，连续领</w:t>
      </w:r>
      <w:r>
        <w:rPr>
          <w:spacing w:val="-48"/>
        </w:rPr>
        <w:t xml:space="preserve"> </w:t>
      </w:r>
      <w:r>
        <w:t>10</w:t>
      </w:r>
      <w:r>
        <w:rPr>
          <w:spacing w:val="-35"/>
        </w:rPr>
        <w:t xml:space="preserve"> </w:t>
      </w:r>
      <w:r>
        <w:t>年，该项养老金属于（</w:t>
        <w:tab/>
        <w:t>）</w:t>
      </w:r>
      <w:r>
        <w:rPr>
          <w:spacing w:val="-17"/>
        </w:rPr>
        <w:t>。</w:t>
      </w:r>
      <w:r>
        <w:t>A</w:t>
      </w:r>
      <w:r>
        <w:rPr>
          <w:spacing w:val="16"/>
        </w:rPr>
        <w:t xml:space="preserve"> </w:t>
      </w:r>
      <w:r>
        <w:t>普通年金</w:t>
        <w:tab/>
        <w:t>B</w:t>
      </w:r>
      <w:r>
        <w:rPr>
          <w:spacing w:val="13"/>
        </w:rPr>
        <w:t xml:space="preserve"> </w:t>
      </w:r>
      <w:r>
        <w:t>即付年金</w:t>
        <w:tab/>
        <w:t>C</w:t>
      </w:r>
      <w:r>
        <w:rPr>
          <w:spacing w:val="13"/>
        </w:rPr>
        <w:t xml:space="preserve"> </w:t>
      </w:r>
      <w:r>
        <w:t>永续年金</w:t>
        <w:tab/>
        <w:t>D 递延年金</w:t>
      </w:r>
    </w:p>
    <w:p>
      <w:pPr>
        <w:pStyle w:val="ListParagraph"/>
        <w:numPr>
          <w:ilvl w:val="0"/>
          <w:numId w:val="113"/>
        </w:numPr>
        <w:tabs>
          <w:tab w:val="left" w:pos="3177"/>
        </w:tabs>
        <w:spacing w:before="0" w:after="0" w:line="247" w:lineRule="auto"/>
        <w:ind w:left="3172" w:right="2687" w:hanging="472"/>
        <w:jc w:val="both"/>
        <w:rPr>
          <w:sz w:val="31"/>
        </w:rPr>
      </w:pPr>
      <w:r>
        <w:rPr>
          <w:spacing w:val="-5"/>
          <w:sz w:val="31"/>
        </w:rPr>
        <w:t xml:space="preserve">某公司计划自筹资本于 </w:t>
      </w:r>
      <w:r>
        <w:rPr>
          <w:sz w:val="31"/>
        </w:rPr>
        <w:t>5</w:t>
      </w:r>
      <w:r>
        <w:rPr>
          <w:spacing w:val="-10"/>
          <w:sz w:val="31"/>
        </w:rPr>
        <w:t xml:space="preserve"> 年后新建一个基本生产车间，预计需要投资 </w:t>
      </w:r>
      <w:r>
        <w:rPr>
          <w:sz w:val="31"/>
        </w:rPr>
        <w:t>2000</w:t>
      </w:r>
      <w:r>
        <w:rPr>
          <w:spacing w:val="-14"/>
          <w:sz w:val="31"/>
        </w:rPr>
        <w:t xml:space="preserve"> 万元。若年利</w:t>
      </w:r>
      <w:r>
        <w:rPr>
          <w:spacing w:val="9"/>
          <w:sz w:val="31"/>
        </w:rPr>
        <w:t xml:space="preserve">率为 </w:t>
      </w:r>
      <w:r>
        <w:rPr>
          <w:sz w:val="31"/>
        </w:rPr>
        <w:t>5％，在复利计息条件下，从现在起每年年末应等额存入银行（</w:t>
      </w:r>
      <w:r>
        <w:rPr>
          <w:spacing w:val="14"/>
          <w:sz w:val="31"/>
        </w:rPr>
        <w:t xml:space="preserve">   </w:t>
      </w:r>
      <w:r>
        <w:rPr>
          <w:sz w:val="31"/>
        </w:rPr>
        <w:t>）万元</w:t>
      </w:r>
      <w:r>
        <w:rPr>
          <w:spacing w:val="-5"/>
          <w:sz w:val="31"/>
        </w:rPr>
        <w:t>（F/A，</w:t>
      </w:r>
      <w:r>
        <w:rPr>
          <w:spacing w:val="4"/>
          <w:sz w:val="31"/>
        </w:rPr>
        <w:t xml:space="preserve"> </w:t>
      </w:r>
      <w:r>
        <w:rPr>
          <w:sz w:val="31"/>
        </w:rPr>
        <w:t>5%，5）＝</w:t>
      </w:r>
    </w:p>
    <w:p>
      <w:pPr>
        <w:pStyle w:val="BodyText"/>
        <w:ind w:left="3352"/>
        <w:jc w:val="both"/>
      </w:pPr>
      <w:r>
        <w:t>A 362 B 355 C 380 D</w:t>
      </w:r>
      <w:r>
        <w:rPr>
          <w:spacing w:val="125"/>
        </w:rPr>
        <w:t xml:space="preserve"> </w:t>
      </w:r>
      <w:r>
        <w:t>369</w:t>
      </w:r>
    </w:p>
    <w:p>
      <w:pPr>
        <w:pStyle w:val="BodyText"/>
        <w:spacing w:before="42" w:line="283" w:lineRule="auto"/>
        <w:ind w:left="3176" w:right="4198" w:hanging="476"/>
        <w:jc w:val="both"/>
      </w:pPr>
      <w:r>
        <w:t>7</w:t>
      </w:r>
      <w:r>
        <w:rPr>
          <w:spacing w:val="-17"/>
        </w:rPr>
        <w:t xml:space="preserve">、将 </w:t>
      </w:r>
      <w:r>
        <w:t>100</w:t>
      </w:r>
      <w:r>
        <w:rPr>
          <w:spacing w:val="-13"/>
        </w:rPr>
        <w:t xml:space="preserve"> 元钱存入银行，利息率为 </w:t>
      </w:r>
      <w:r>
        <w:t>10</w:t>
      </w:r>
      <w:r>
        <w:rPr>
          <w:spacing w:val="-11"/>
        </w:rPr>
        <w:t xml:space="preserve">%，计算 </w:t>
      </w:r>
      <w:r>
        <w:t>5</w:t>
      </w:r>
      <w:r>
        <w:rPr>
          <w:spacing w:val="-7"/>
        </w:rPr>
        <w:t xml:space="preserve"> 年后的终值应用</w:t>
      </w:r>
      <w:r>
        <w:t>（</w:t>
      </w:r>
      <w:r>
        <w:rPr>
          <w:spacing w:val="50"/>
        </w:rPr>
        <w:t xml:space="preserve"> </w:t>
      </w:r>
      <w:r>
        <w:t>）</w:t>
      </w:r>
      <w:r>
        <w:rPr>
          <w:spacing w:val="-4"/>
        </w:rPr>
        <w:t>来计算。</w:t>
      </w:r>
      <w:r>
        <w:t>A</w:t>
      </w:r>
      <w:r>
        <w:rPr>
          <w:spacing w:val="-1"/>
        </w:rPr>
        <w:t xml:space="preserve"> .复利终值系数</w:t>
      </w:r>
    </w:p>
    <w:p>
      <w:pPr>
        <w:pStyle w:val="BodyText"/>
        <w:spacing w:line="283" w:lineRule="auto"/>
        <w:ind w:left="3176" w:right="12309"/>
        <w:jc w:val="both"/>
      </w:pPr>
      <w:r>
        <w:t>B</w:t>
      </w:r>
      <w:r>
        <w:rPr>
          <w:spacing w:val="1"/>
        </w:rPr>
        <w:t xml:space="preserve"> .复利现值系数</w:t>
      </w:r>
      <w:r>
        <w:t>C</w:t>
      </w:r>
      <w:r>
        <w:rPr>
          <w:spacing w:val="2"/>
        </w:rPr>
        <w:t xml:space="preserve"> .年金终值系数</w:t>
      </w:r>
    </w:p>
    <w:p>
      <w:pPr>
        <w:pStyle w:val="BodyText"/>
        <w:spacing w:before="4"/>
        <w:ind w:left="0"/>
        <w:rPr>
          <w:sz w:val="9"/>
        </w:rPr>
      </w:pPr>
    </w:p>
    <w:p>
      <w:pPr>
        <w:spacing w:before="75"/>
        <w:ind w:left="2700" w:right="0" w:firstLine="0"/>
        <w:jc w:val="left"/>
        <w:rPr>
          <w:sz w:val="18"/>
        </w:rPr>
      </w:pPr>
      <w:r>
        <w:rPr>
          <w:sz w:val="18"/>
        </w:rPr>
        <w:t>}</w:t>
      </w:r>
    </w:p>
    <w:p>
      <w:pPr>
        <w:pStyle w:val="BodyText"/>
        <w:spacing w:before="41"/>
        <w:ind w:left="3176"/>
      </w:pPr>
      <w:r>
        <w:t>D</w:t>
      </w:r>
      <w:r>
        <w:rPr>
          <w:spacing w:val="4"/>
        </w:rPr>
        <w:t xml:space="preserve"> .年金现值系数</w:t>
      </w:r>
    </w:p>
    <w:p>
      <w:pPr>
        <w:pStyle w:val="BodyText"/>
        <w:spacing w:before="70"/>
      </w:pPr>
      <w:r>
        <w:rPr>
          <w:color w:val="FF0000"/>
        </w:rPr>
        <w:t>8、A 方案在三年中每年年初付款 100 元，B 方案在三年中每年年末付款 100 元，若利率为</w:t>
      </w:r>
    </w:p>
    <w:p>
      <w:pPr>
        <w:pStyle w:val="BodyText"/>
        <w:spacing w:before="71" w:line="283" w:lineRule="auto"/>
        <w:ind w:left="3176" w:right="8852" w:hanging="476"/>
      </w:pPr>
      <w:r>
        <w:rPr>
          <w:color w:val="FF0000"/>
          <w:w w:val="102"/>
        </w:rPr>
        <w:t>10</w:t>
      </w:r>
      <w:r>
        <w:rPr>
          <w:color w:val="FF0000"/>
          <w:spacing w:val="-1"/>
          <w:w w:val="102"/>
        </w:rPr>
        <w:t>%，则二者在第三年年末时的终值相差</w:t>
      </w:r>
      <w:r>
        <w:rPr>
          <w:color w:val="FF0000"/>
          <w:w w:val="102"/>
        </w:rPr>
        <w:t>（</w:t>
      </w:r>
      <w:r>
        <w:rPr>
          <w:color w:val="FF0000"/>
          <w:spacing w:val="-190"/>
          <w:w w:val="102"/>
        </w:rPr>
        <w:t>）</w:t>
      </w:r>
      <w:r>
        <w:rPr>
          <w:color w:val="FF0000"/>
          <w:spacing w:val="-16"/>
          <w:w w:val="102"/>
        </w:rPr>
        <w:t>。</w:t>
      </w:r>
      <w:r>
        <w:rPr>
          <w:color w:val="FF0000"/>
          <w:w w:val="102"/>
        </w:rPr>
        <w:t xml:space="preserve"> </w:t>
      </w:r>
      <w:r>
        <w:rPr>
          <w:color w:val="FF0000"/>
        </w:rPr>
        <w:t>A</w:t>
      </w:r>
      <w:r>
        <w:rPr>
          <w:color w:val="FF0000"/>
          <w:spacing w:val="1"/>
        </w:rPr>
        <w:t xml:space="preserve"> .</w:t>
      </w:r>
    </w:p>
    <w:p>
      <w:pPr>
        <w:pStyle w:val="ListParagraph"/>
        <w:numPr>
          <w:ilvl w:val="0"/>
          <w:numId w:val="112"/>
        </w:numPr>
        <w:tabs>
          <w:tab w:val="left" w:pos="3493"/>
        </w:tabs>
        <w:spacing w:before="0" w:after="0" w:line="396" w:lineRule="exact"/>
        <w:ind w:left="3492" w:right="0" w:hanging="317"/>
        <w:jc w:val="left"/>
        <w:rPr>
          <w:sz w:val="31"/>
        </w:rPr>
      </w:pPr>
      <w:r>
        <w:rPr>
          <w:color w:val="FF0000"/>
          <w:w w:val="102"/>
          <w:sz w:val="31"/>
        </w:rPr>
        <w:t>.</w:t>
      </w:r>
    </w:p>
    <w:p>
      <w:pPr>
        <w:pStyle w:val="ListParagraph"/>
        <w:numPr>
          <w:ilvl w:val="0"/>
          <w:numId w:val="112"/>
        </w:numPr>
        <w:tabs>
          <w:tab w:val="left" w:pos="3493"/>
        </w:tabs>
        <w:spacing w:before="71" w:after="0" w:line="240" w:lineRule="auto"/>
        <w:ind w:left="3492" w:right="0" w:hanging="317"/>
        <w:jc w:val="left"/>
        <w:rPr>
          <w:sz w:val="31"/>
        </w:rPr>
      </w:pPr>
      <w:r>
        <w:rPr>
          <w:color w:val="FF0000"/>
          <w:w w:val="102"/>
          <w:sz w:val="31"/>
        </w:rPr>
        <w:t>.</w:t>
      </w:r>
    </w:p>
    <w:p>
      <w:pPr>
        <w:pStyle w:val="ListParagraph"/>
        <w:numPr>
          <w:ilvl w:val="0"/>
          <w:numId w:val="112"/>
        </w:numPr>
        <w:tabs>
          <w:tab w:val="left" w:pos="3493"/>
        </w:tabs>
        <w:spacing w:before="71" w:after="0" w:line="240" w:lineRule="auto"/>
        <w:ind w:left="3492" w:right="0" w:hanging="317"/>
        <w:jc w:val="left"/>
        <w:rPr>
          <w:sz w:val="31"/>
        </w:rPr>
      </w:pPr>
      <w:r>
        <w:rPr>
          <w:color w:val="FF0000"/>
          <w:w w:val="102"/>
          <w:sz w:val="31"/>
        </w:rPr>
        <w:t>.</w:t>
      </w:r>
    </w:p>
    <w:p>
      <w:pPr>
        <w:pStyle w:val="BodyText"/>
        <w:tabs>
          <w:tab w:val="left" w:pos="6481"/>
        </w:tabs>
        <w:spacing w:before="71" w:line="283" w:lineRule="auto"/>
        <w:ind w:right="2687"/>
      </w:pPr>
      <w:r>
        <w:t>9、假设最初有</w:t>
      </w:r>
      <w:r>
        <w:rPr>
          <w:spacing w:val="-6"/>
        </w:rPr>
        <w:t xml:space="preserve"> </w:t>
      </w:r>
      <w:r>
        <w:t>m</w:t>
      </w:r>
      <w:r>
        <w:rPr>
          <w:spacing w:val="1"/>
        </w:rPr>
        <w:t xml:space="preserve"> </w:t>
      </w:r>
      <w:r>
        <w:t>期没有收付款项，后面</w:t>
      </w:r>
      <w:r>
        <w:rPr>
          <w:spacing w:val="-16"/>
        </w:rPr>
        <w:t xml:space="preserve"> </w:t>
      </w:r>
      <w:r>
        <w:t>n</w:t>
      </w:r>
      <w:r>
        <w:rPr>
          <w:spacing w:val="7"/>
        </w:rPr>
        <w:t xml:space="preserve"> </w:t>
      </w:r>
      <w:r>
        <w:t>期每期期末有等额的收付款项，贴现率</w:t>
      </w:r>
      <w:r>
        <w:rPr>
          <w:spacing w:val="66"/>
        </w:rPr>
        <w:t>为</w:t>
      </w:r>
      <w:r>
        <w:t>i，</w:t>
      </w:r>
      <w:r>
        <w:rPr>
          <w:spacing w:val="-14"/>
        </w:rPr>
        <w:t>则</w:t>
      </w:r>
      <w:r>
        <w:t>此笔延期年金的现值为（</w:t>
        <w:tab/>
      </w:r>
      <w:r>
        <w:rPr>
          <w:spacing w:val="-159"/>
        </w:rPr>
        <w:t>）</w:t>
      </w:r>
      <w:r>
        <w:t>。</w:t>
      </w:r>
    </w:p>
    <w:p>
      <w:pPr>
        <w:pStyle w:val="ListParagraph"/>
        <w:numPr>
          <w:ilvl w:val="0"/>
          <w:numId w:val="111"/>
        </w:numPr>
        <w:tabs>
          <w:tab w:val="left" w:pos="3493"/>
        </w:tabs>
        <w:spacing w:before="0" w:after="0" w:line="396" w:lineRule="exact"/>
        <w:ind w:left="3492" w:right="0" w:hanging="317"/>
        <w:jc w:val="left"/>
        <w:rPr>
          <w:sz w:val="31"/>
        </w:rPr>
      </w:pPr>
      <w:r>
        <w:rPr>
          <w:sz w:val="31"/>
        </w:rPr>
        <w:t>.V0=A×P/Ai，n</w:t>
      </w:r>
    </w:p>
    <w:p>
      <w:pPr>
        <w:pStyle w:val="BodyText"/>
        <w:ind w:left="0"/>
        <w:rPr>
          <w:sz w:val="42"/>
        </w:rPr>
      </w:pPr>
    </w:p>
    <w:p>
      <w:pPr>
        <w:pStyle w:val="ListParagraph"/>
        <w:numPr>
          <w:ilvl w:val="0"/>
          <w:numId w:val="111"/>
        </w:numPr>
        <w:tabs>
          <w:tab w:val="left" w:pos="3493"/>
        </w:tabs>
        <w:spacing w:before="0" w:after="0" w:line="240" w:lineRule="auto"/>
        <w:ind w:left="3492" w:right="0" w:hanging="317"/>
        <w:jc w:val="left"/>
        <w:rPr>
          <w:sz w:val="31"/>
        </w:rPr>
      </w:pPr>
      <w:r>
        <w:rPr>
          <w:sz w:val="31"/>
        </w:rPr>
        <w:t>.V0=A×P/Ai，m</w:t>
      </w:r>
    </w:p>
    <w:p>
      <w:pPr>
        <w:pStyle w:val="ListParagraph"/>
        <w:numPr>
          <w:ilvl w:val="0"/>
          <w:numId w:val="111"/>
        </w:numPr>
        <w:tabs>
          <w:tab w:val="left" w:pos="3493"/>
        </w:tabs>
        <w:spacing w:before="71" w:after="0" w:line="240" w:lineRule="auto"/>
        <w:ind w:left="3492" w:right="0" w:hanging="317"/>
        <w:jc w:val="left"/>
        <w:rPr>
          <w:sz w:val="31"/>
        </w:rPr>
      </w:pPr>
      <w:r>
        <w:rPr>
          <w:sz w:val="31"/>
        </w:rPr>
        <w:t>.V0=A×P/Ai，m+n</w:t>
      </w:r>
    </w:p>
    <w:p>
      <w:pPr>
        <w:pStyle w:val="ListParagraph"/>
        <w:numPr>
          <w:ilvl w:val="0"/>
          <w:numId w:val="111"/>
        </w:numPr>
        <w:tabs>
          <w:tab w:val="left" w:pos="3493"/>
        </w:tabs>
        <w:spacing w:before="71" w:after="0" w:line="240" w:lineRule="auto"/>
        <w:ind w:left="3492" w:right="0" w:hanging="318"/>
        <w:jc w:val="left"/>
        <w:rPr>
          <w:color w:val="FF0000"/>
          <w:sz w:val="31"/>
        </w:rPr>
      </w:pPr>
      <w:r>
        <w:rPr>
          <w:color w:val="FF0000"/>
          <w:sz w:val="31"/>
        </w:rPr>
        <w:t>.V0=A×P/Ai，n×P/Fi，m</w:t>
      </w:r>
    </w:p>
    <w:p>
      <w:pPr>
        <w:pStyle w:val="BodyText"/>
        <w:spacing w:before="71"/>
      </w:pPr>
      <w:r>
        <w:t xml:space="preserve">10、两种完全相关的股票的相关系数为（ </w:t>
      </w:r>
      <w:r>
        <w:rPr>
          <w:spacing w:val="-159"/>
        </w:rPr>
        <w:t>）</w:t>
      </w:r>
      <w:r>
        <w:t>。</w:t>
      </w:r>
    </w:p>
    <w:p>
      <w:pPr>
        <w:tabs>
          <w:tab w:val="left" w:pos="4813"/>
          <w:tab w:val="left" w:pos="6629"/>
          <w:tab w:val="left" w:pos="8626"/>
        </w:tabs>
        <w:spacing w:before="261"/>
        <w:ind w:left="3176" w:right="0" w:firstLine="0"/>
        <w:jc w:val="left"/>
        <w:rPr>
          <w:rFonts w:ascii="Symbol" w:hAnsi="Symbol"/>
          <w:sz w:val="26"/>
        </w:rPr>
      </w:pPr>
      <w:r>
        <w:rPr>
          <w:position w:val="-7"/>
          <w:sz w:val="31"/>
        </w:rPr>
        <w:t>A .</w:t>
      </w:r>
      <w:r>
        <w:rPr>
          <w:spacing w:val="-145"/>
          <w:position w:val="-7"/>
          <w:sz w:val="31"/>
        </w:rPr>
        <w:t xml:space="preserve"> </w:t>
      </w:r>
      <w:r>
        <w:rPr>
          <w:rFonts w:ascii="Symbol" w:hAnsi="Symbol"/>
          <w:position w:val="1"/>
          <w:sz w:val="29"/>
        </w:rPr>
        <w:sym w:font="Symbol" w:char="F067"/>
      </w:r>
      <w:r>
        <w:rPr>
          <w:rFonts w:ascii="Times New Roman" w:hAnsi="Times New Roman"/>
          <w:position w:val="1"/>
          <w:sz w:val="29"/>
        </w:rPr>
        <w:t xml:space="preserve">  </w:t>
      </w:r>
      <w:r>
        <w:rPr>
          <w:rFonts w:ascii="Symbol" w:hAnsi="Symbol"/>
          <w:sz w:val="27"/>
        </w:rPr>
        <w:sym w:font="Symbol" w:char="F03D"/>
      </w:r>
      <w:r>
        <w:rPr>
          <w:rFonts w:ascii="Times New Roman" w:hAnsi="Times New Roman"/>
          <w:spacing w:val="2"/>
          <w:sz w:val="27"/>
        </w:rPr>
        <w:t xml:space="preserve"> </w:t>
      </w:r>
      <w:r>
        <w:rPr>
          <w:rFonts w:ascii="Arial" w:hAnsi="Arial"/>
          <w:sz w:val="27"/>
        </w:rPr>
        <w:t>0</w:t>
        <w:tab/>
      </w:r>
      <w:r>
        <w:rPr>
          <w:position w:val="-7"/>
          <w:sz w:val="31"/>
        </w:rPr>
        <w:t>B .</w:t>
      </w:r>
      <w:r>
        <w:rPr>
          <w:spacing w:val="-86"/>
          <w:position w:val="-7"/>
          <w:sz w:val="31"/>
        </w:rPr>
        <w:t xml:space="preserve"> </w:t>
      </w:r>
      <w:r>
        <w:rPr>
          <w:rFonts w:ascii="Symbol" w:hAnsi="Symbol"/>
          <w:position w:val="1"/>
          <w:sz w:val="29"/>
        </w:rPr>
        <w:sym w:font="Symbol" w:char="F067"/>
      </w:r>
      <w:r>
        <w:rPr>
          <w:rFonts w:ascii="Times New Roman" w:hAnsi="Times New Roman"/>
          <w:position w:val="1"/>
          <w:sz w:val="29"/>
        </w:rPr>
        <w:t xml:space="preserve"> </w:t>
      </w:r>
      <w:r>
        <w:rPr>
          <w:rFonts w:ascii="Symbol" w:hAnsi="Symbol"/>
          <w:sz w:val="27"/>
        </w:rPr>
        <w:sym w:font="Symbol" w:char="F03D"/>
      </w:r>
      <w:r>
        <w:rPr>
          <w:rFonts w:ascii="Times New Roman" w:hAnsi="Times New Roman"/>
          <w:spacing w:val="-24"/>
          <w:sz w:val="27"/>
        </w:rPr>
        <w:t xml:space="preserve"> </w:t>
      </w:r>
      <w:r>
        <w:rPr>
          <w:rFonts w:ascii="Arial" w:hAnsi="Arial"/>
          <w:sz w:val="27"/>
        </w:rPr>
        <w:t>1.0</w:t>
        <w:tab/>
      </w:r>
      <w:r>
        <w:rPr>
          <w:position w:val="-7"/>
          <w:sz w:val="31"/>
        </w:rPr>
        <w:t>C .</w:t>
      </w:r>
      <w:r>
        <w:rPr>
          <w:spacing w:val="-81"/>
          <w:position w:val="-7"/>
          <w:sz w:val="31"/>
        </w:rPr>
        <w:t xml:space="preserve"> </w:t>
      </w:r>
      <w:r>
        <w:rPr>
          <w:rFonts w:ascii="Symbol" w:hAnsi="Symbol"/>
          <w:position w:val="1"/>
          <w:sz w:val="29"/>
        </w:rPr>
        <w:sym w:font="Symbol" w:char="F067"/>
      </w:r>
      <w:r>
        <w:rPr>
          <w:rFonts w:ascii="Times New Roman" w:hAnsi="Times New Roman"/>
          <w:position w:val="1"/>
          <w:sz w:val="29"/>
        </w:rPr>
        <w:t xml:space="preserve"> </w:t>
      </w:r>
      <w:r>
        <w:rPr>
          <w:rFonts w:ascii="Symbol" w:hAnsi="Symbol"/>
          <w:sz w:val="27"/>
        </w:rPr>
        <w:sym w:font="Symbol" w:char="F03D"/>
      </w:r>
      <w:r>
        <w:rPr>
          <w:rFonts w:ascii="Times New Roman" w:hAnsi="Times New Roman"/>
          <w:spacing w:val="5"/>
          <w:sz w:val="27"/>
        </w:rPr>
        <w:t xml:space="preserve"> </w:t>
      </w:r>
      <w:r>
        <w:rPr>
          <w:rFonts w:ascii="Symbol" w:hAnsi="Symbol"/>
          <w:sz w:val="27"/>
        </w:rPr>
        <w:sym w:font="Symbol" w:char="F02D"/>
      </w:r>
      <w:r>
        <w:rPr>
          <w:rFonts w:ascii="Arial" w:hAnsi="Arial"/>
          <w:sz w:val="27"/>
        </w:rPr>
        <w:t>1.0</w:t>
        <w:tab/>
      </w:r>
      <w:r>
        <w:rPr>
          <w:position w:val="-7"/>
          <w:sz w:val="31"/>
        </w:rPr>
        <w:t>D .</w:t>
      </w:r>
      <w:r>
        <w:rPr>
          <w:spacing w:val="-139"/>
          <w:position w:val="-7"/>
          <w:sz w:val="31"/>
        </w:rPr>
        <w:t xml:space="preserve"> </w:t>
      </w:r>
      <w:r>
        <w:rPr>
          <w:rFonts w:ascii="Symbol" w:hAnsi="Symbol"/>
          <w:position w:val="2"/>
          <w:sz w:val="29"/>
        </w:rPr>
        <w:sym w:font="Symbol" w:char="F067"/>
      </w:r>
      <w:r>
        <w:rPr>
          <w:rFonts w:ascii="Times New Roman" w:hAnsi="Times New Roman"/>
          <w:position w:val="2"/>
          <w:sz w:val="29"/>
        </w:rPr>
        <w:t xml:space="preserve"> </w:t>
      </w:r>
      <w:r>
        <w:rPr>
          <w:rFonts w:ascii="Symbol" w:hAnsi="Symbol"/>
          <w:sz w:val="26"/>
        </w:rPr>
        <w:sym w:font="Symbol" w:char="F03D"/>
      </w:r>
      <w:r>
        <w:rPr>
          <w:rFonts w:ascii="Times New Roman" w:hAnsi="Times New Roman"/>
          <w:sz w:val="26"/>
        </w:rPr>
        <w:t xml:space="preserve"> </w:t>
      </w:r>
      <w:r>
        <w:rPr>
          <w:rFonts w:ascii="Symbol" w:hAnsi="Symbol"/>
          <w:sz w:val="26"/>
        </w:rPr>
        <w:sym w:font="Symbol" w:char="F0A5"/>
      </w:r>
    </w:p>
    <w:p>
      <w:pPr>
        <w:pStyle w:val="BodyText"/>
        <w:tabs>
          <w:tab w:val="left" w:pos="12789"/>
        </w:tabs>
        <w:spacing w:before="268" w:line="283" w:lineRule="auto"/>
        <w:ind w:left="3176" w:right="4596" w:hanging="476"/>
      </w:pPr>
      <w:r>
        <w:rPr>
          <w:w w:val="102"/>
        </w:rPr>
        <w:t>1</w:t>
      </w:r>
      <w:r>
        <w:rPr>
          <w:spacing w:val="-1"/>
          <w:w w:val="102"/>
        </w:rPr>
        <w:t>1</w:t>
      </w:r>
      <w:r>
        <w:rPr>
          <w:w w:val="102"/>
        </w:rPr>
        <w:t>、两种股票完全负相关时，则把这两种股票合理地组合在一起时</w:t>
      </w:r>
      <w:r>
        <w:rPr>
          <w:spacing w:val="-204"/>
          <w:w w:val="102"/>
        </w:rPr>
        <w:t>，</w:t>
      </w:r>
      <w:r>
        <w:rPr>
          <w:w w:val="102"/>
        </w:rPr>
        <w:t>（</w:t>
      </w:r>
      <w:r>
        <w:tab/>
      </w:r>
      <w:r>
        <w:rPr>
          <w:spacing w:val="-162"/>
          <w:w w:val="102"/>
        </w:rPr>
        <w:t>）</w:t>
      </w:r>
      <w:r>
        <w:rPr>
          <w:spacing w:val="-17"/>
          <w:w w:val="102"/>
        </w:rPr>
        <w:t>。</w:t>
      </w:r>
      <w:r>
        <w:rPr>
          <w:w w:val="102"/>
        </w:rPr>
        <w:t xml:space="preserve"> </w:t>
      </w:r>
      <w:r>
        <w:t>A</w:t>
      </w:r>
      <w:r>
        <w:rPr>
          <w:spacing w:val="4"/>
        </w:rPr>
        <w:t xml:space="preserve"> </w:t>
      </w:r>
      <w:r>
        <w:rPr>
          <w:spacing w:val="-4"/>
        </w:rPr>
        <w:t>.</w:t>
      </w:r>
      <w:r>
        <w:t>能适当分散风险</w:t>
      </w:r>
    </w:p>
    <w:p>
      <w:pPr>
        <w:pStyle w:val="ListParagraph"/>
        <w:numPr>
          <w:ilvl w:val="0"/>
          <w:numId w:val="110"/>
        </w:numPr>
        <w:tabs>
          <w:tab w:val="left" w:pos="3493"/>
        </w:tabs>
        <w:spacing w:before="0" w:after="0" w:line="396" w:lineRule="exact"/>
        <w:ind w:left="3492" w:right="0" w:hanging="317"/>
        <w:jc w:val="left"/>
        <w:rPr>
          <w:sz w:val="31"/>
        </w:rPr>
      </w:pPr>
      <w:r>
        <w:rPr>
          <w:spacing w:val="-2"/>
          <w:sz w:val="31"/>
        </w:rPr>
        <w:t>.不能分散风险</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110"/>
        </w:numPr>
        <w:tabs>
          <w:tab w:val="left" w:pos="3493"/>
        </w:tabs>
        <w:spacing w:before="40" w:after="0" w:line="283" w:lineRule="auto"/>
        <w:ind w:left="3175" w:right="11360" w:firstLine="0"/>
        <w:jc w:val="left"/>
        <w:rPr>
          <w:sz w:val="31"/>
        </w:rPr>
      </w:pPr>
      <w:r>
        <w:rPr>
          <w:spacing w:val="-4"/>
          <w:sz w:val="31"/>
        </w:rPr>
        <w:t>.能分散掉一部分风险</w:t>
      </w:r>
      <w:r>
        <w:rPr>
          <w:color w:val="FF0000"/>
          <w:sz w:val="31"/>
        </w:rPr>
        <w:t>D .能分散掉全部风险</w:t>
      </w:r>
    </w:p>
    <w:p>
      <w:pPr>
        <w:pStyle w:val="BodyText"/>
        <w:tabs>
          <w:tab w:val="left" w:pos="14852"/>
        </w:tabs>
        <w:spacing w:line="396" w:lineRule="exact"/>
        <w:ind w:left="2859"/>
      </w:pPr>
      <w:r>
        <w:t>12</w:t>
      </w:r>
      <w:r>
        <w:rPr>
          <w:spacing w:val="-62"/>
        </w:rPr>
        <w:t>、</w:t>
      </w:r>
      <w:r>
        <w:t>甲</w:t>
      </w:r>
      <w:r>
        <w:rPr>
          <w:spacing w:val="-65"/>
        </w:rPr>
        <w:t>、</w:t>
      </w:r>
      <w:r>
        <w:t>乙两个投资项目的期望报酬率不同</w:t>
      </w:r>
      <w:r>
        <w:rPr>
          <w:spacing w:val="-90"/>
        </w:rPr>
        <w:t>，</w:t>
      </w:r>
      <w:r>
        <w:t>但甲项目的标准离差率大于乙项目</w:t>
      </w:r>
      <w:r>
        <w:rPr>
          <w:spacing w:val="-86"/>
        </w:rPr>
        <w:t>，</w:t>
      </w:r>
      <w:r>
        <w:rPr>
          <w:spacing w:val="-62"/>
        </w:rPr>
        <w:t>则</w:t>
      </w:r>
      <w:r>
        <w:t>（</w:t>
        <w:tab/>
      </w:r>
      <w:r>
        <w:rPr>
          <w:spacing w:val="-162"/>
        </w:rPr>
        <w:t>）</w:t>
      </w:r>
      <w:r>
        <w:t>。</w:t>
      </w:r>
    </w:p>
    <w:p>
      <w:pPr>
        <w:spacing w:after="0" w:line="396" w:lineRule="exact"/>
        <w:sectPr>
          <w:headerReference w:type="default" r:id="rId20"/>
          <w:pgSz w:w="17860" w:h="25260"/>
          <w:pgMar w:top="1360" w:right="0" w:bottom="280" w:left="0" w:header="1160" w:footer="0"/>
          <w:pgNumType w:start="4"/>
          <w:cols w:space="708"/>
        </w:sectPr>
      </w:pPr>
    </w:p>
    <w:p>
      <w:pPr>
        <w:pStyle w:val="BodyText"/>
        <w:ind w:left="0"/>
        <w:rPr>
          <w:sz w:val="20"/>
        </w:rPr>
      </w:pPr>
    </w:p>
    <w:p>
      <w:pPr>
        <w:pStyle w:val="BodyText"/>
        <w:spacing w:before="5"/>
        <w:ind w:left="0"/>
        <w:rPr>
          <w:sz w:val="19"/>
        </w:rPr>
      </w:pPr>
    </w:p>
    <w:p>
      <w:pPr>
        <w:pStyle w:val="ListParagraph"/>
        <w:numPr>
          <w:ilvl w:val="0"/>
          <w:numId w:val="109"/>
        </w:numPr>
        <w:tabs>
          <w:tab w:val="left" w:pos="3493"/>
        </w:tabs>
        <w:spacing w:before="62" w:after="0" w:line="240" w:lineRule="auto"/>
        <w:ind w:left="3492" w:right="0" w:hanging="317"/>
        <w:jc w:val="left"/>
        <w:rPr>
          <w:sz w:val="31"/>
        </w:rPr>
      </w:pPr>
      <w:r>
        <w:rPr>
          <w:spacing w:val="-2"/>
          <w:sz w:val="31"/>
        </w:rPr>
        <w:t>.甲项目的风险小于乙项目</w:t>
      </w:r>
    </w:p>
    <w:p>
      <w:pPr>
        <w:pStyle w:val="ListParagraph"/>
        <w:numPr>
          <w:ilvl w:val="0"/>
          <w:numId w:val="109"/>
        </w:numPr>
        <w:tabs>
          <w:tab w:val="left" w:pos="3493"/>
        </w:tabs>
        <w:spacing w:before="71" w:after="0" w:line="283" w:lineRule="auto"/>
        <w:ind w:left="3176" w:right="10408" w:firstLine="0"/>
        <w:jc w:val="left"/>
        <w:rPr>
          <w:sz w:val="31"/>
        </w:rPr>
      </w:pPr>
      <w:r>
        <w:rPr>
          <w:spacing w:val="-4"/>
          <w:sz w:val="31"/>
        </w:rPr>
        <w:t>.甲项目的风险不大于乙项目</w:t>
      </w:r>
      <w:r>
        <w:rPr>
          <w:sz w:val="31"/>
        </w:rPr>
        <w:t>C .甲项目的风险大于乙项目</w:t>
      </w:r>
    </w:p>
    <w:p>
      <w:pPr>
        <w:pStyle w:val="BodyText"/>
        <w:spacing w:line="396" w:lineRule="exact"/>
        <w:ind w:left="3176"/>
      </w:pPr>
      <w:r>
        <w:t>D .难以判断风险大小</w:t>
      </w:r>
    </w:p>
    <w:p>
      <w:pPr>
        <w:pStyle w:val="BodyText"/>
        <w:tabs>
          <w:tab w:val="left" w:pos="9790"/>
        </w:tabs>
        <w:spacing w:before="71" w:line="283" w:lineRule="auto"/>
        <w:ind w:right="2645" w:firstLine="158"/>
      </w:pPr>
      <w:r>
        <w:t>13、某企业年初借</w:t>
      </w:r>
      <w:r>
        <w:rPr>
          <w:spacing w:val="55"/>
        </w:rPr>
        <w:t>得</w:t>
      </w:r>
      <w:r>
        <w:t>50</w:t>
      </w:r>
      <w:r>
        <w:rPr>
          <w:spacing w:val="3"/>
        </w:rPr>
        <w:t xml:space="preserve"> </w:t>
      </w:r>
      <w:r>
        <w:t>000</w:t>
      </w:r>
      <w:r>
        <w:rPr>
          <w:spacing w:val="-5"/>
        </w:rPr>
        <w:t xml:space="preserve"> </w:t>
      </w:r>
      <w:r>
        <w:t>元贷款</w:t>
      </w:r>
      <w:r>
        <w:rPr>
          <w:spacing w:val="-6"/>
        </w:rPr>
        <w:t>，10</w:t>
      </w:r>
      <w:r>
        <w:rPr>
          <w:spacing w:val="-4"/>
        </w:rPr>
        <w:t xml:space="preserve"> </w:t>
      </w:r>
      <w:r>
        <w:t>年期，年利</w:t>
      </w:r>
      <w:r>
        <w:rPr>
          <w:spacing w:val="54"/>
        </w:rPr>
        <w:t>率</w:t>
      </w:r>
      <w:r>
        <w:t>12%，每年末等额偿还。已知年金</w:t>
      </w:r>
      <w:r>
        <w:rPr>
          <w:spacing w:val="-14"/>
        </w:rPr>
        <w:t>现</w:t>
      </w:r>
      <w:r>
        <w:t>值系数（P／A,12%,10）＝，则每年应付金额为（</w:t>
        <w:tab/>
        <w:t>）元。</w:t>
      </w:r>
    </w:p>
    <w:p>
      <w:pPr>
        <w:pStyle w:val="BodyText"/>
        <w:spacing w:before="3" w:after="1"/>
        <w:ind w:left="0"/>
        <w:rPr>
          <w:sz w:val="17"/>
        </w:rPr>
      </w:pPr>
    </w:p>
    <w:tbl>
      <w:tblPr>
        <w:tblStyle w:val="TableNormal1"/>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3"/>
        <w:gridCol w:w="431"/>
        <w:gridCol w:w="476"/>
        <w:gridCol w:w="605"/>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1"/>
          <w:jc w:val="left"/>
        </w:trPr>
        <w:tc>
          <w:tcPr>
            <w:tcW w:w="333" w:type="dxa"/>
          </w:tcPr>
          <w:p>
            <w:pPr>
              <w:pStyle w:val="TableParagraph"/>
              <w:spacing w:line="205" w:lineRule="exact"/>
              <w:ind w:left="50"/>
              <w:rPr>
                <w:sz w:val="18"/>
              </w:rPr>
            </w:pPr>
            <w:r>
              <w:rPr>
                <w:sz w:val="18"/>
              </w:rPr>
              <w:t>,</w:t>
            </w:r>
          </w:p>
        </w:tc>
        <w:tc>
          <w:tcPr>
            <w:tcW w:w="1512" w:type="dxa"/>
            <w:gridSpan w:val="3"/>
          </w:tcPr>
          <w:p>
            <w:pPr>
              <w:pStyle w:val="TableParagraph"/>
              <w:rPr>
                <w:rFonts w:ascii="Times New Roman"/>
                <w:sz w:val="16"/>
              </w:rPr>
            </w:pPr>
          </w:p>
        </w:tc>
      </w:tr>
      <w:tr>
        <w:tblPrEx>
          <w:tblW w:w="0" w:type="auto"/>
          <w:jc w:val="left"/>
          <w:tblInd w:w="2658" w:type="dxa"/>
          <w:tblLayout w:type="fixed"/>
          <w:tblCellMar>
            <w:top w:w="0" w:type="dxa"/>
            <w:left w:w="0" w:type="dxa"/>
            <w:bottom w:w="0" w:type="dxa"/>
            <w:right w:w="0" w:type="dxa"/>
          </w:tblCellMar>
          <w:tblLook w:val="01E0"/>
        </w:tblPrEx>
        <w:trPr>
          <w:trHeight w:val="444"/>
          <w:jc w:val="left"/>
        </w:trPr>
        <w:tc>
          <w:tcPr>
            <w:tcW w:w="333" w:type="dxa"/>
          </w:tcPr>
          <w:p>
            <w:pPr>
              <w:pStyle w:val="TableParagraph"/>
              <w:rPr>
                <w:rFonts w:ascii="Times New Roman"/>
                <w:sz w:val="30"/>
              </w:rPr>
            </w:pPr>
          </w:p>
        </w:tc>
        <w:tc>
          <w:tcPr>
            <w:tcW w:w="431" w:type="dxa"/>
          </w:tcPr>
          <w:p>
            <w:pPr>
              <w:pStyle w:val="TableParagraph"/>
              <w:spacing w:before="14"/>
              <w:ind w:right="78"/>
              <w:jc w:val="right"/>
              <w:rPr>
                <w:sz w:val="31"/>
              </w:rPr>
            </w:pPr>
            <w:r>
              <w:rPr>
                <w:w w:val="102"/>
                <w:sz w:val="31"/>
              </w:rPr>
              <w:t>A</w:t>
            </w:r>
          </w:p>
        </w:tc>
        <w:tc>
          <w:tcPr>
            <w:tcW w:w="476" w:type="dxa"/>
          </w:tcPr>
          <w:p>
            <w:pPr>
              <w:pStyle w:val="TableParagraph"/>
              <w:spacing w:before="14"/>
              <w:ind w:left="62" w:right="63"/>
              <w:jc w:val="center"/>
              <w:rPr>
                <w:sz w:val="31"/>
              </w:rPr>
            </w:pPr>
            <w:r>
              <w:rPr>
                <w:sz w:val="31"/>
              </w:rPr>
              <w:t>.8</w:t>
            </w:r>
          </w:p>
        </w:tc>
        <w:tc>
          <w:tcPr>
            <w:tcW w:w="605" w:type="dxa"/>
          </w:tcPr>
          <w:p>
            <w:pPr>
              <w:pStyle w:val="TableParagraph"/>
              <w:spacing w:before="14"/>
              <w:ind w:right="50"/>
              <w:jc w:val="right"/>
              <w:rPr>
                <w:sz w:val="31"/>
              </w:rPr>
            </w:pPr>
            <w:r>
              <w:rPr>
                <w:sz w:val="31"/>
              </w:rPr>
              <w:t>849</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333" w:type="dxa"/>
          </w:tcPr>
          <w:p>
            <w:pPr>
              <w:pStyle w:val="TableParagraph"/>
              <w:rPr>
                <w:rFonts w:ascii="Times New Roman"/>
                <w:sz w:val="30"/>
              </w:rPr>
            </w:pPr>
          </w:p>
        </w:tc>
        <w:tc>
          <w:tcPr>
            <w:tcW w:w="431" w:type="dxa"/>
          </w:tcPr>
          <w:p>
            <w:pPr>
              <w:pStyle w:val="TableParagraph"/>
              <w:spacing w:before="38"/>
              <w:ind w:right="78"/>
              <w:jc w:val="right"/>
              <w:rPr>
                <w:sz w:val="31"/>
              </w:rPr>
            </w:pPr>
            <w:r>
              <w:rPr>
                <w:w w:val="102"/>
                <w:sz w:val="31"/>
              </w:rPr>
              <w:t>B</w:t>
            </w:r>
          </w:p>
        </w:tc>
        <w:tc>
          <w:tcPr>
            <w:tcW w:w="476" w:type="dxa"/>
          </w:tcPr>
          <w:p>
            <w:pPr>
              <w:pStyle w:val="TableParagraph"/>
              <w:spacing w:before="38"/>
              <w:ind w:left="62" w:right="63"/>
              <w:jc w:val="center"/>
              <w:rPr>
                <w:sz w:val="31"/>
              </w:rPr>
            </w:pPr>
            <w:r>
              <w:rPr>
                <w:sz w:val="31"/>
              </w:rPr>
              <w:t>.5</w:t>
            </w:r>
          </w:p>
        </w:tc>
        <w:tc>
          <w:tcPr>
            <w:tcW w:w="605" w:type="dxa"/>
          </w:tcPr>
          <w:p>
            <w:pPr>
              <w:pStyle w:val="TableParagraph"/>
              <w:spacing w:before="38"/>
              <w:ind w:right="50"/>
              <w:jc w:val="right"/>
              <w:rPr>
                <w:sz w:val="31"/>
              </w:rPr>
            </w:pPr>
            <w:r>
              <w:rPr>
                <w:sz w:val="31"/>
              </w:rPr>
              <w:t>000</w:t>
            </w:r>
          </w:p>
        </w:tc>
      </w:tr>
      <w:tr>
        <w:tblPrEx>
          <w:tblW w:w="0" w:type="auto"/>
          <w:jc w:val="left"/>
          <w:tblInd w:w="2658" w:type="dxa"/>
          <w:tblLayout w:type="fixed"/>
          <w:tblCellMar>
            <w:top w:w="0" w:type="dxa"/>
            <w:left w:w="0" w:type="dxa"/>
            <w:bottom w:w="0" w:type="dxa"/>
            <w:right w:w="0" w:type="dxa"/>
          </w:tblCellMar>
          <w:tblLook w:val="01E0"/>
        </w:tblPrEx>
        <w:trPr>
          <w:trHeight w:val="392"/>
          <w:jc w:val="left"/>
        </w:trPr>
        <w:tc>
          <w:tcPr>
            <w:tcW w:w="333" w:type="dxa"/>
          </w:tcPr>
          <w:p>
            <w:pPr>
              <w:pStyle w:val="TableParagraph"/>
              <w:rPr>
                <w:rFonts w:ascii="Times New Roman"/>
                <w:sz w:val="30"/>
              </w:rPr>
            </w:pPr>
          </w:p>
        </w:tc>
        <w:tc>
          <w:tcPr>
            <w:tcW w:w="431" w:type="dxa"/>
          </w:tcPr>
          <w:p>
            <w:pPr>
              <w:pStyle w:val="TableParagraph"/>
              <w:spacing w:before="38" w:line="335" w:lineRule="exact"/>
              <w:ind w:right="78"/>
              <w:jc w:val="right"/>
              <w:rPr>
                <w:sz w:val="31"/>
              </w:rPr>
            </w:pPr>
            <w:r>
              <w:rPr>
                <w:w w:val="102"/>
                <w:sz w:val="31"/>
              </w:rPr>
              <w:t>C</w:t>
            </w:r>
          </w:p>
        </w:tc>
        <w:tc>
          <w:tcPr>
            <w:tcW w:w="476" w:type="dxa"/>
          </w:tcPr>
          <w:p>
            <w:pPr>
              <w:pStyle w:val="TableParagraph"/>
              <w:spacing w:before="38" w:line="335" w:lineRule="exact"/>
              <w:ind w:left="62" w:right="63"/>
              <w:jc w:val="center"/>
              <w:rPr>
                <w:sz w:val="31"/>
              </w:rPr>
            </w:pPr>
            <w:r>
              <w:rPr>
                <w:sz w:val="31"/>
              </w:rPr>
              <w:t>.6</w:t>
            </w:r>
          </w:p>
        </w:tc>
        <w:tc>
          <w:tcPr>
            <w:tcW w:w="605" w:type="dxa"/>
          </w:tcPr>
          <w:p>
            <w:pPr>
              <w:pStyle w:val="TableParagraph"/>
              <w:spacing w:before="38" w:line="335" w:lineRule="exact"/>
              <w:ind w:right="50"/>
              <w:jc w:val="right"/>
              <w:rPr>
                <w:sz w:val="31"/>
              </w:rPr>
            </w:pPr>
            <w:r>
              <w:rPr>
                <w:sz w:val="31"/>
              </w:rPr>
              <w:t>000</w:t>
            </w:r>
          </w:p>
        </w:tc>
      </w:tr>
    </w:tbl>
    <w:p>
      <w:pPr>
        <w:pStyle w:val="BodyText"/>
        <w:spacing w:before="113"/>
        <w:ind w:left="3176"/>
      </w:pPr>
      <w:r>
        <w:t>D .28 251</w:t>
      </w:r>
    </w:p>
    <w:p>
      <w:pPr>
        <w:pStyle w:val="BodyText"/>
        <w:spacing w:before="71" w:line="283" w:lineRule="auto"/>
        <w:ind w:left="3176" w:right="7905" w:hanging="476"/>
      </w:pPr>
      <w:r>
        <w:t>14、下列各项年金中，只有现值没有终值的是（</w:t>
      </w:r>
      <w:r>
        <w:rPr>
          <w:spacing w:val="106"/>
        </w:rPr>
        <w:t xml:space="preserve"> </w:t>
      </w:r>
      <w:r>
        <w:rPr>
          <w:spacing w:val="-162"/>
        </w:rPr>
        <w:t>）</w:t>
      </w:r>
      <w:r>
        <w:rPr>
          <w:spacing w:val="-16"/>
        </w:rPr>
        <w:t>。</w:t>
      </w:r>
      <w:r>
        <w:t>A .普通年金</w:t>
      </w:r>
    </w:p>
    <w:p>
      <w:pPr>
        <w:pStyle w:val="BodyText"/>
        <w:spacing w:line="283" w:lineRule="auto"/>
        <w:ind w:left="3176" w:right="12944"/>
      </w:pPr>
      <w:r>
        <w:t>B .即付年金C</w:t>
      </w:r>
      <w:r>
        <w:rPr>
          <w:spacing w:val="1"/>
        </w:rPr>
        <w:t xml:space="preserve"> .永续年金</w:t>
      </w:r>
    </w:p>
    <w:p>
      <w:pPr>
        <w:pStyle w:val="BodyText"/>
        <w:spacing w:before="5"/>
        <w:ind w:left="0"/>
        <w:rPr>
          <w:sz w:val="9"/>
        </w:rPr>
      </w:pPr>
    </w:p>
    <w:p>
      <w:pPr>
        <w:spacing w:before="75"/>
        <w:ind w:left="2700" w:right="0" w:firstLine="0"/>
        <w:jc w:val="left"/>
        <w:rPr>
          <w:sz w:val="18"/>
        </w:rPr>
      </w:pPr>
      <w:r>
        <w:rPr>
          <w:sz w:val="18"/>
        </w:rPr>
        <w:t>、</w:t>
      </w:r>
    </w:p>
    <w:p>
      <w:pPr>
        <w:pStyle w:val="BodyText"/>
        <w:spacing w:before="40"/>
        <w:ind w:left="3176"/>
      </w:pPr>
      <w:r>
        <w:t>D</w:t>
      </w:r>
      <w:r>
        <w:rPr>
          <w:spacing w:val="4"/>
        </w:rPr>
        <w:t xml:space="preserve"> .先付年金</w:t>
      </w:r>
    </w:p>
    <w:p>
      <w:pPr>
        <w:pStyle w:val="BodyText"/>
        <w:tabs>
          <w:tab w:val="left" w:pos="10899"/>
        </w:tabs>
        <w:spacing w:before="71"/>
      </w:pPr>
      <w:r>
        <w:t>15、关于标准离差与标准离差率，下列表述不正确的是（</w:t>
        <w:tab/>
      </w:r>
      <w:r>
        <w:rPr>
          <w:spacing w:val="-162"/>
        </w:rPr>
        <w:t>）</w:t>
      </w:r>
      <w:r>
        <w:t>。</w:t>
      </w:r>
    </w:p>
    <w:p>
      <w:pPr>
        <w:pStyle w:val="BodyText"/>
        <w:spacing w:before="71" w:line="283" w:lineRule="auto"/>
        <w:ind w:left="3176" w:right="5656"/>
      </w:pPr>
      <w:r>
        <w:t>A  .标准离差是反映概率分布中各种可能结果对期望值的偏离程度B .如果方案的期望值相同，标准离差越大，风险越大</w:t>
      </w:r>
    </w:p>
    <w:p>
      <w:pPr>
        <w:pStyle w:val="BodyText"/>
        <w:spacing w:line="283" w:lineRule="auto"/>
        <w:ind w:right="2567" w:firstLine="475"/>
      </w:pPr>
      <w:r>
        <w:t>C .在各方案期望值不同的情况下，应借助于标准离差率衡量方案的风险程度，标准离差率越大，方案的风险越大</w:t>
      </w:r>
    </w:p>
    <w:p>
      <w:pPr>
        <w:pStyle w:val="BodyText"/>
        <w:spacing w:line="352" w:lineRule="auto"/>
        <w:ind w:right="2669" w:firstLine="475"/>
      </w:pPr>
      <w:r>
        <w:t>D                          . 标 准 离 差 率 就 是 方 案 的 风 险 报 酬 率</w:t>
      </w:r>
      <w:r>
        <w:rPr>
          <w:color w:val="FF0000"/>
        </w:rPr>
        <w:t>16．某公司采用分期付款的方式购入房产一套，每年年初付款20</w:t>
      </w:r>
      <w:r>
        <w:rPr>
          <w:color w:val="FF0000"/>
          <w:spacing w:val="-4"/>
        </w:rPr>
        <w:t xml:space="preserve"> </w:t>
      </w:r>
      <w:r>
        <w:rPr>
          <w:color w:val="FF0000"/>
        </w:rPr>
        <w:t>000</w:t>
      </w:r>
      <w:r>
        <w:rPr>
          <w:color w:val="FF0000"/>
          <w:spacing w:val="-14"/>
        </w:rPr>
        <w:t xml:space="preserve"> 元，分 </w:t>
      </w:r>
      <w:r>
        <w:rPr>
          <w:color w:val="FF0000"/>
        </w:rPr>
        <w:t>10</w:t>
      </w:r>
      <w:r>
        <w:rPr>
          <w:color w:val="FF0000"/>
          <w:spacing w:val="-4"/>
        </w:rPr>
        <w:t xml:space="preserve"> 年付清，在</w:t>
      </w:r>
    </w:p>
    <w:p>
      <w:pPr>
        <w:pStyle w:val="BodyText"/>
        <w:tabs>
          <w:tab w:val="left" w:pos="13618"/>
        </w:tabs>
        <w:spacing w:before="115"/>
        <w:ind w:left="3172"/>
      </w:pPr>
      <w:r>
        <w:rPr>
          <w:color w:val="FF0000"/>
        </w:rPr>
        <w:t>银行利率为</w:t>
      </w:r>
      <w:r>
        <w:rPr>
          <w:color w:val="FF0000"/>
          <w:spacing w:val="-28"/>
        </w:rPr>
        <w:t xml:space="preserve"> </w:t>
      </w:r>
      <w:r>
        <w:rPr>
          <w:color w:val="FF0000"/>
        </w:rPr>
        <w:t>6%的情况下，则该项分期付款相当于企业现在一次性付款（</w:t>
        <w:tab/>
        <w:t>）元。已知</w:t>
      </w:r>
    </w:p>
    <w:p>
      <w:pPr>
        <w:pStyle w:val="BodyText"/>
        <w:spacing w:before="10"/>
        <w:ind w:left="0"/>
        <w:rPr>
          <w:sz w:val="23"/>
        </w:rPr>
      </w:pPr>
    </w:p>
    <w:p>
      <w:pPr>
        <w:pStyle w:val="BodyText"/>
        <w:tabs>
          <w:tab w:val="left" w:pos="5389"/>
          <w:tab w:val="left" w:pos="7765"/>
          <w:tab w:val="left" w:pos="9824"/>
        </w:tabs>
        <w:spacing w:line="424" w:lineRule="auto"/>
        <w:ind w:left="3172" w:right="6608"/>
      </w:pPr>
      <w:r>
        <w:rPr>
          <w:color w:val="FF0000"/>
          <w:w w:val="102"/>
        </w:rPr>
        <w:t>（P/</w:t>
      </w:r>
      <w:r>
        <w:rPr>
          <w:color w:val="FF0000"/>
          <w:spacing w:val="-4"/>
          <w:w w:val="102"/>
        </w:rPr>
        <w:t>A</w:t>
      </w:r>
      <w:r>
        <w:rPr>
          <w:color w:val="FF0000"/>
          <w:w w:val="102"/>
        </w:rPr>
        <w:t>，6</w:t>
      </w:r>
      <w:r>
        <w:rPr>
          <w:color w:val="FF0000"/>
          <w:spacing w:val="-4"/>
          <w:w w:val="102"/>
        </w:rPr>
        <w:t>%</w:t>
      </w:r>
      <w:r>
        <w:rPr>
          <w:color w:val="FF0000"/>
          <w:w w:val="102"/>
        </w:rPr>
        <w:t>，9</w:t>
      </w:r>
      <w:r>
        <w:rPr>
          <w:color w:val="FF0000"/>
          <w:spacing w:val="-4"/>
          <w:w w:val="102"/>
        </w:rPr>
        <w:t>）</w:t>
      </w:r>
      <w:r>
        <w:rPr>
          <w:color w:val="FF0000"/>
          <w:w w:val="102"/>
        </w:rPr>
        <w:t>=</w:t>
      </w:r>
      <w:r>
        <w:rPr>
          <w:color w:val="FF0000"/>
          <w:spacing w:val="-159"/>
          <w:w w:val="102"/>
        </w:rPr>
        <w:t>；</w:t>
      </w:r>
      <w:r>
        <w:rPr>
          <w:color w:val="FF0000"/>
          <w:spacing w:val="-3"/>
          <w:w w:val="102"/>
        </w:rPr>
        <w:t>（</w:t>
      </w:r>
      <w:r>
        <w:rPr>
          <w:color w:val="FF0000"/>
          <w:w w:val="102"/>
        </w:rPr>
        <w:t>P/</w:t>
      </w:r>
      <w:r>
        <w:rPr>
          <w:color w:val="FF0000"/>
          <w:spacing w:val="-4"/>
          <w:w w:val="102"/>
        </w:rPr>
        <w:t>A，</w:t>
      </w:r>
      <w:r>
        <w:rPr>
          <w:color w:val="FF0000"/>
          <w:w w:val="102"/>
        </w:rPr>
        <w:t>6%</w:t>
      </w:r>
      <w:r>
        <w:rPr>
          <w:color w:val="FF0000"/>
          <w:spacing w:val="-1"/>
          <w:w w:val="102"/>
        </w:rPr>
        <w:t>，</w:t>
      </w:r>
      <w:r>
        <w:rPr>
          <w:color w:val="FF0000"/>
          <w:w w:val="102"/>
        </w:rPr>
        <w:t>1</w:t>
      </w:r>
      <w:r>
        <w:rPr>
          <w:color w:val="FF0000"/>
          <w:spacing w:val="-4"/>
          <w:w w:val="102"/>
        </w:rPr>
        <w:t>0</w:t>
      </w:r>
      <w:r>
        <w:rPr>
          <w:color w:val="FF0000"/>
          <w:w w:val="102"/>
        </w:rPr>
        <w:t>）</w:t>
      </w:r>
      <w:r>
        <w:rPr>
          <w:color w:val="FF0000"/>
          <w:spacing w:val="-1"/>
          <w:w w:val="102"/>
        </w:rPr>
        <w:t>=</w:t>
      </w:r>
      <w:r>
        <w:rPr>
          <w:color w:val="FF0000"/>
          <w:spacing w:val="-162"/>
          <w:w w:val="102"/>
        </w:rPr>
        <w:t>；</w:t>
      </w:r>
      <w:r>
        <w:rPr>
          <w:color w:val="FF0000"/>
          <w:w w:val="102"/>
        </w:rPr>
        <w:t>（P/</w:t>
      </w:r>
      <w:r>
        <w:rPr>
          <w:color w:val="FF0000"/>
          <w:spacing w:val="-4"/>
          <w:w w:val="102"/>
        </w:rPr>
        <w:t>A</w:t>
      </w:r>
      <w:r>
        <w:rPr>
          <w:color w:val="FF0000"/>
          <w:w w:val="102"/>
        </w:rPr>
        <w:t>，6</w:t>
      </w:r>
      <w:r>
        <w:rPr>
          <w:color w:val="FF0000"/>
          <w:spacing w:val="-4"/>
          <w:w w:val="102"/>
        </w:rPr>
        <w:t>%</w:t>
      </w:r>
      <w:r>
        <w:rPr>
          <w:color w:val="FF0000"/>
          <w:w w:val="102"/>
        </w:rPr>
        <w:t>，1</w:t>
      </w:r>
      <w:r>
        <w:rPr>
          <w:color w:val="FF0000"/>
          <w:spacing w:val="-8"/>
          <w:w w:val="102"/>
        </w:rPr>
        <w:t>1</w:t>
      </w:r>
      <w:r>
        <w:rPr>
          <w:color w:val="FF0000"/>
          <w:w w:val="102"/>
        </w:rPr>
        <w:t xml:space="preserve">）=. </w:t>
      </w:r>
      <w:r>
        <w:rPr>
          <w:color w:val="FF0000"/>
        </w:rPr>
        <w:t>A</w:t>
      </w:r>
      <w:r>
        <w:rPr>
          <w:color w:val="FF0000"/>
          <w:spacing w:val="9"/>
        </w:rPr>
        <w:t xml:space="preserve"> </w:t>
      </w:r>
      <w:r>
        <w:rPr>
          <w:color w:val="FF0000"/>
        </w:rPr>
        <w:t>96</w:t>
      </w:r>
      <w:r>
        <w:rPr>
          <w:color w:val="FF0000"/>
          <w:spacing w:val="9"/>
        </w:rPr>
        <w:t xml:space="preserve"> </w:t>
      </w:r>
      <w:r>
        <w:rPr>
          <w:color w:val="FF0000"/>
        </w:rPr>
        <w:t>034</w:t>
        <w:tab/>
        <w:t>B</w:t>
      </w:r>
      <w:r>
        <w:rPr>
          <w:color w:val="FF0000"/>
          <w:spacing w:val="10"/>
        </w:rPr>
        <w:t xml:space="preserve"> </w:t>
      </w:r>
      <w:r>
        <w:rPr>
          <w:color w:val="FF0000"/>
        </w:rPr>
        <w:t>116</w:t>
      </w:r>
      <w:r>
        <w:rPr>
          <w:color w:val="FF0000"/>
          <w:spacing w:val="11"/>
        </w:rPr>
        <w:t xml:space="preserve"> </w:t>
      </w:r>
      <w:r>
        <w:rPr>
          <w:color w:val="FF0000"/>
        </w:rPr>
        <w:t>034</w:t>
        <w:tab/>
        <w:t>C</w:t>
      </w:r>
      <w:r>
        <w:rPr>
          <w:color w:val="FF0000"/>
          <w:spacing w:val="10"/>
        </w:rPr>
        <w:t xml:space="preserve"> </w:t>
      </w:r>
      <w:r>
        <w:rPr>
          <w:color w:val="FF0000"/>
        </w:rPr>
        <w:t>136</w:t>
      </w:r>
      <w:r>
        <w:rPr>
          <w:color w:val="FF0000"/>
          <w:spacing w:val="10"/>
        </w:rPr>
        <w:t xml:space="preserve"> </w:t>
      </w:r>
      <w:r>
        <w:rPr>
          <w:color w:val="FF0000"/>
        </w:rPr>
        <w:t>034</w:t>
        <w:tab/>
        <w:t>D 156</w:t>
      </w:r>
      <w:r>
        <w:rPr>
          <w:color w:val="FF0000"/>
          <w:spacing w:val="29"/>
        </w:rPr>
        <w:t xml:space="preserve"> </w:t>
      </w:r>
      <w:r>
        <w:rPr>
          <w:color w:val="FF0000"/>
          <w:spacing w:val="-6"/>
        </w:rPr>
        <w:t>034</w:t>
      </w:r>
    </w:p>
    <w:p>
      <w:pPr>
        <w:spacing w:before="80"/>
        <w:ind w:left="2700" w:right="0" w:firstLine="0"/>
        <w:jc w:val="left"/>
        <w:rPr>
          <w:sz w:val="18"/>
        </w:rPr>
      </w:pPr>
      <w:r>
        <w:rPr>
          <w:sz w:val="18"/>
        </w:rPr>
        <w:t>…</w:t>
      </w:r>
    </w:p>
    <w:p>
      <w:pPr>
        <w:pStyle w:val="Heading2"/>
        <w:spacing w:before="41"/>
        <w:ind w:left="3330"/>
      </w:pPr>
      <w:r>
        <w:t>二、多选题</w:t>
      </w:r>
    </w:p>
    <w:p>
      <w:pPr>
        <w:pStyle w:val="BodyText"/>
        <w:spacing w:before="70"/>
      </w:pPr>
      <w:r>
        <w:t>1.可以用来衡量风险大小的指标有（）</w:t>
      </w:r>
    </w:p>
    <w:p>
      <w:pPr>
        <w:pStyle w:val="BodyText"/>
        <w:tabs>
          <w:tab w:val="left" w:pos="5696"/>
          <w:tab w:val="left" w:pos="7748"/>
          <w:tab w:val="left" w:pos="10110"/>
        </w:tabs>
        <w:spacing w:before="71" w:line="283" w:lineRule="auto"/>
        <w:ind w:right="2656" w:firstLine="471"/>
      </w:pPr>
      <w:r>
        <w:t>A</w:t>
      </w:r>
      <w:r>
        <w:rPr>
          <w:spacing w:val="22"/>
        </w:rPr>
        <w:t xml:space="preserve"> </w:t>
      </w:r>
      <w:r>
        <w:t>无风险报酬率</w:t>
        <w:tab/>
        <w:t>B</w:t>
      </w:r>
      <w:r>
        <w:rPr>
          <w:spacing w:val="9"/>
        </w:rPr>
        <w:t xml:space="preserve"> </w:t>
      </w:r>
      <w:r>
        <w:t>期望值</w:t>
        <w:tab/>
        <w:t>C</w:t>
      </w:r>
      <w:r>
        <w:rPr>
          <w:spacing w:val="10"/>
        </w:rPr>
        <w:t xml:space="preserve"> </w:t>
      </w:r>
      <w:r>
        <w:t>标准离差</w:t>
        <w:tab/>
        <w:t xml:space="preserve">D             </w:t>
      </w:r>
      <w:r>
        <w:rPr>
          <w:spacing w:val="134"/>
        </w:rPr>
        <w:t xml:space="preserve"> </w:t>
      </w:r>
      <w:r>
        <w:t>标 准 离 差 率2．某公司拟购置一处房产，付款条件是；从</w:t>
      </w:r>
      <w:r>
        <w:rPr>
          <w:spacing w:val="-43"/>
        </w:rPr>
        <w:t>第</w:t>
      </w:r>
      <w:r>
        <w:t>7</w:t>
      </w:r>
      <w:r>
        <w:rPr>
          <w:spacing w:val="44"/>
        </w:rPr>
        <w:t xml:space="preserve"> </w:t>
      </w:r>
      <w:r>
        <w:t>年开始，每年年初支</w:t>
      </w:r>
      <w:r>
        <w:rPr>
          <w:spacing w:val="32"/>
        </w:rPr>
        <w:t>付</w:t>
      </w:r>
      <w:r>
        <w:t>10</w:t>
      </w:r>
      <w:r>
        <w:rPr>
          <w:spacing w:val="34"/>
        </w:rPr>
        <w:t xml:space="preserve"> </w:t>
      </w:r>
      <w:r>
        <w:t>万元，连续支</w:t>
      </w:r>
      <w:r>
        <w:rPr>
          <w:spacing w:val="-15"/>
        </w:rPr>
        <w:t>付</w:t>
      </w:r>
    </w:p>
    <w:p>
      <w:pPr>
        <w:pStyle w:val="BodyText"/>
        <w:tabs>
          <w:tab w:val="left" w:pos="3805"/>
        </w:tabs>
        <w:spacing w:line="283" w:lineRule="auto"/>
        <w:ind w:right="2667"/>
      </w:pPr>
      <w:r>
        <w:t>10</w:t>
      </w:r>
      <w:r>
        <w:rPr>
          <w:spacing w:val="-8"/>
        </w:rPr>
        <w:t xml:space="preserve"> </w:t>
      </w:r>
      <w:r>
        <w:t>次</w:t>
      </w:r>
      <w:r>
        <w:rPr>
          <w:spacing w:val="-51"/>
        </w:rPr>
        <w:t>，</w:t>
      </w:r>
      <w:r>
        <w:t>共</w:t>
      </w:r>
      <w:r>
        <w:rPr>
          <w:spacing w:val="-14"/>
        </w:rPr>
        <w:t xml:space="preserve"> </w:t>
      </w:r>
      <w:r>
        <w:t>100</w:t>
      </w:r>
      <w:r>
        <w:rPr>
          <w:spacing w:val="-15"/>
        </w:rPr>
        <w:t xml:space="preserve"> </w:t>
      </w:r>
      <w:r>
        <w:t>万元</w:t>
      </w:r>
      <w:r>
        <w:rPr>
          <w:spacing w:val="-51"/>
        </w:rPr>
        <w:t>，</w:t>
      </w:r>
      <w:r>
        <w:t>假设该公司的资本成本率为</w:t>
      </w:r>
      <w:r>
        <w:rPr>
          <w:spacing w:val="-47"/>
        </w:rPr>
        <w:t xml:space="preserve"> </w:t>
      </w:r>
      <w:r>
        <w:rPr>
          <w:spacing w:val="-14"/>
        </w:rPr>
        <w:t>10%，</w:t>
      </w:r>
      <w:r>
        <w:t>则相当于该公司现在一次付款的金</w:t>
      </w:r>
      <w:r>
        <w:rPr>
          <w:spacing w:val="-14"/>
        </w:rPr>
        <w:t>额</w:t>
      </w:r>
      <w:r>
        <w:t>为（</w:t>
        <w:tab/>
        <w:t>）万元。</w:t>
      </w:r>
    </w:p>
    <w:p>
      <w:pPr>
        <w:pStyle w:val="BodyText"/>
        <w:spacing w:line="283" w:lineRule="auto"/>
        <w:ind w:left="3017" w:right="8535"/>
      </w:pPr>
      <w:r>
        <w:t xml:space="preserve">A 10×（P/A，10%，15）×（P/F，10%，5） B 10×（P/A，10%，10）×（P/F，10%，5） C </w:t>
      </w:r>
      <w:r>
        <w:rPr>
          <w:spacing w:val="-3"/>
        </w:rPr>
        <w:t xml:space="preserve">10×[（P/A，10%，16）-（P/A，10%，5）] </w:t>
      </w:r>
      <w:r>
        <w:t>D</w:t>
      </w:r>
      <w:r>
        <w:rPr>
          <w:spacing w:val="154"/>
        </w:rPr>
        <w:t xml:space="preserve"> </w:t>
      </w:r>
      <w:r>
        <w:rPr>
          <w:spacing w:val="-3"/>
        </w:rPr>
        <w:t>10×[（P/A，10%，15）-（P/A，10%，5）]</w:t>
      </w:r>
    </w:p>
    <w:p>
      <w:pPr>
        <w:spacing w:before="193"/>
        <w:ind w:left="2700" w:right="0" w:firstLine="0"/>
        <w:jc w:val="left"/>
        <w:rPr>
          <w:sz w:val="18"/>
        </w:rPr>
      </w:pPr>
      <w:r>
        <w:rPr>
          <w:sz w:val="18"/>
        </w:rPr>
        <w:t>；</w:t>
      </w:r>
    </w:p>
    <w:p>
      <w:pPr>
        <w:pStyle w:val="BodyText"/>
        <w:tabs>
          <w:tab w:val="left" w:pos="13333"/>
        </w:tabs>
        <w:spacing w:before="40" w:line="283" w:lineRule="auto"/>
        <w:ind w:left="3176" w:right="4052" w:hanging="476"/>
      </w:pPr>
      <w:r>
        <w:t>3、设年金</w:t>
      </w:r>
      <w:r>
        <w:rPr>
          <w:spacing w:val="71"/>
        </w:rPr>
        <w:t>为</w:t>
      </w:r>
      <w:r>
        <w:t>A，计息期</w:t>
      </w:r>
      <w:r>
        <w:rPr>
          <w:spacing w:val="69"/>
        </w:rPr>
        <w:t>为</w:t>
      </w:r>
      <w:r>
        <w:t>n，利息率</w:t>
      </w:r>
      <w:r>
        <w:rPr>
          <w:spacing w:val="72"/>
        </w:rPr>
        <w:t>为</w:t>
      </w:r>
      <w:r>
        <w:t>i，则先付年金现值的计算公式为（</w:t>
        <w:tab/>
      </w:r>
      <w:r>
        <w:rPr>
          <w:spacing w:val="-162"/>
        </w:rPr>
        <w:t>）</w:t>
      </w:r>
      <w:r>
        <w:rPr>
          <w:spacing w:val="-17"/>
        </w:rPr>
        <w:t>。</w:t>
      </w:r>
      <w:r>
        <w:t>A</w:t>
      </w:r>
      <w:r>
        <w:rPr>
          <w:spacing w:val="4"/>
        </w:rPr>
        <w:t xml:space="preserve"> </w:t>
      </w:r>
      <w:r>
        <w:t>.V0=A×P/Ai，n×（1+i）</w:t>
      </w:r>
    </w:p>
    <w:p>
      <w:pPr>
        <w:pStyle w:val="BodyText"/>
        <w:spacing w:line="396" w:lineRule="exact"/>
        <w:ind w:left="3176"/>
      </w:pPr>
      <w:r>
        <w:t>B .V0=A×P/Ai，n</w:t>
      </w:r>
    </w:p>
    <w:p>
      <w:pPr>
        <w:spacing w:after="0" w:line="396" w:lineRule="exact"/>
        <w:sectPr>
          <w:headerReference w:type="default" r:id="rId21"/>
          <w:pgSz w:w="17860" w:h="25260"/>
          <w:pgMar w:top="1360" w:right="0" w:bottom="280" w:left="0" w:header="1160" w:footer="0"/>
          <w:pgNumType w:start="5"/>
          <w:cols w:space="708"/>
        </w:sectPr>
      </w:pPr>
    </w:p>
    <w:p>
      <w:pPr>
        <w:pStyle w:val="BodyText"/>
        <w:ind w:left="0"/>
        <w:rPr>
          <w:sz w:val="20"/>
        </w:rPr>
      </w:pPr>
    </w:p>
    <w:p>
      <w:pPr>
        <w:pStyle w:val="BodyText"/>
        <w:spacing w:before="5"/>
        <w:ind w:left="0"/>
        <w:rPr>
          <w:sz w:val="19"/>
        </w:rPr>
      </w:pPr>
    </w:p>
    <w:p>
      <w:pPr>
        <w:pStyle w:val="BodyText"/>
        <w:spacing w:before="62" w:line="283" w:lineRule="auto"/>
        <w:ind w:left="3176" w:right="10809"/>
      </w:pPr>
      <w:r>
        <w:t xml:space="preserve">C .V0=A×（P/Ai，n-l+1） D </w:t>
      </w:r>
      <w:r>
        <w:rPr>
          <w:spacing w:val="-3"/>
        </w:rPr>
        <w:t xml:space="preserve">.V0=A×F/Ai，n×（1+i） </w:t>
      </w:r>
      <w:r>
        <w:t>E</w:t>
      </w:r>
      <w:r>
        <w:rPr>
          <w:spacing w:val="30"/>
        </w:rPr>
        <w:t xml:space="preserve"> </w:t>
      </w:r>
      <w:r>
        <w:t>.V0=A×（P/Fi，n-l+1）</w:t>
      </w:r>
    </w:p>
    <w:p>
      <w:pPr>
        <w:pStyle w:val="BodyText"/>
        <w:tabs>
          <w:tab w:val="left" w:pos="9159"/>
        </w:tabs>
        <w:spacing w:line="396" w:lineRule="exact"/>
      </w:pPr>
      <w:r>
        <w:t>4、关于风险报酬，下列表述中正确的有（</w:t>
        <w:tab/>
      </w:r>
      <w:r>
        <w:rPr>
          <w:spacing w:val="-159"/>
        </w:rPr>
        <w:t>）</w:t>
      </w:r>
      <w:r>
        <w:t>。</w:t>
      </w:r>
    </w:p>
    <w:p>
      <w:pPr>
        <w:pStyle w:val="ListParagraph"/>
        <w:numPr>
          <w:ilvl w:val="0"/>
          <w:numId w:val="118"/>
        </w:numPr>
        <w:tabs>
          <w:tab w:val="left" w:pos="3493"/>
        </w:tabs>
        <w:spacing w:before="71" w:after="0" w:line="240" w:lineRule="auto"/>
        <w:ind w:left="3492" w:right="0" w:hanging="317"/>
        <w:jc w:val="left"/>
        <w:rPr>
          <w:sz w:val="31"/>
        </w:rPr>
      </w:pPr>
      <w:r>
        <w:rPr>
          <w:spacing w:val="-2"/>
          <w:sz w:val="31"/>
        </w:rPr>
        <w:t>.风险报酬有风险报酬额和风险报酬率两种表示方法</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118"/>
        </w:numPr>
        <w:tabs>
          <w:tab w:val="left" w:pos="3493"/>
        </w:tabs>
        <w:spacing w:before="40" w:after="0" w:line="240" w:lineRule="auto"/>
        <w:ind w:left="3492" w:right="0" w:hanging="317"/>
        <w:jc w:val="left"/>
        <w:rPr>
          <w:sz w:val="31"/>
        </w:rPr>
      </w:pPr>
      <w:r>
        <w:rPr>
          <w:spacing w:val="-2"/>
          <w:sz w:val="31"/>
        </w:rPr>
        <w:t>.风险越大，获得的风险报酬应该越高</w:t>
      </w:r>
    </w:p>
    <w:p>
      <w:pPr>
        <w:pStyle w:val="ListParagraph"/>
        <w:numPr>
          <w:ilvl w:val="0"/>
          <w:numId w:val="118"/>
        </w:numPr>
        <w:tabs>
          <w:tab w:val="left" w:pos="3493"/>
        </w:tabs>
        <w:spacing w:before="71" w:after="0" w:line="283" w:lineRule="auto"/>
        <w:ind w:left="3176" w:right="2805" w:firstLine="0"/>
        <w:jc w:val="left"/>
        <w:rPr>
          <w:sz w:val="31"/>
        </w:rPr>
      </w:pPr>
      <w:r>
        <w:rPr>
          <w:spacing w:val="-3"/>
          <w:sz w:val="31"/>
        </w:rPr>
        <w:t xml:space="preserve">.风险报酬额是指投资者因冒风险进行投资所获得的超过时间价值的那部分额外报酬 </w:t>
      </w:r>
      <w:r>
        <w:rPr>
          <w:sz w:val="31"/>
        </w:rPr>
        <w:t>D .风险报酬率是风险报酬与原投资额的比率</w:t>
      </w:r>
    </w:p>
    <w:p>
      <w:pPr>
        <w:pStyle w:val="BodyText"/>
        <w:spacing w:line="396" w:lineRule="exact"/>
        <w:ind w:left="3176"/>
      </w:pPr>
      <w:r>
        <w:t>E .在财务管理中，风险报酬通常用相对数即风险报酬率来加以计量</w:t>
      </w:r>
    </w:p>
    <w:p>
      <w:pPr>
        <w:pStyle w:val="BodyText"/>
        <w:spacing w:before="70" w:line="283" w:lineRule="auto"/>
        <w:ind w:left="3176" w:right="3969" w:hanging="476"/>
      </w:pPr>
      <w:r>
        <w:t>5、β系数是衡量风险大小的重要指标，下列有关β系数的表述中正确的有（</w:t>
      </w:r>
      <w:r>
        <w:rPr>
          <w:spacing w:val="144"/>
        </w:rPr>
        <w:t xml:space="preserve"> </w:t>
      </w:r>
      <w:r>
        <w:rPr>
          <w:spacing w:val="-159"/>
        </w:rPr>
        <w:t>）</w:t>
      </w:r>
      <w:r>
        <w:rPr>
          <w:spacing w:val="-16"/>
        </w:rPr>
        <w:t>。</w:t>
      </w:r>
      <w:r>
        <w:t>A</w:t>
      </w:r>
      <w:r>
        <w:rPr>
          <w:spacing w:val="1"/>
        </w:rPr>
        <w:t xml:space="preserve"> . </w:t>
      </w:r>
      <w:r>
        <w:t>β越大，说明风险越小</w:t>
      </w:r>
    </w:p>
    <w:p>
      <w:pPr>
        <w:pStyle w:val="ListParagraph"/>
        <w:numPr>
          <w:ilvl w:val="0"/>
          <w:numId w:val="107"/>
        </w:numPr>
        <w:tabs>
          <w:tab w:val="left" w:pos="3493"/>
        </w:tabs>
        <w:spacing w:before="0" w:after="0" w:line="397" w:lineRule="exact"/>
        <w:ind w:left="3492" w:right="0" w:hanging="317"/>
        <w:jc w:val="left"/>
        <w:rPr>
          <w:sz w:val="31"/>
        </w:rPr>
      </w:pPr>
      <w:r>
        <w:rPr>
          <w:spacing w:val="-2"/>
          <w:sz w:val="31"/>
        </w:rPr>
        <w:t>.某股票的</w:t>
      </w:r>
      <w:r>
        <w:rPr>
          <w:sz w:val="31"/>
        </w:rPr>
        <w:t>β值等于零，说明此证券无风险</w:t>
      </w:r>
    </w:p>
    <w:p>
      <w:pPr>
        <w:pStyle w:val="ListParagraph"/>
        <w:numPr>
          <w:ilvl w:val="0"/>
          <w:numId w:val="107"/>
        </w:numPr>
        <w:tabs>
          <w:tab w:val="left" w:pos="3493"/>
        </w:tabs>
        <w:spacing w:before="71" w:after="0" w:line="240" w:lineRule="auto"/>
        <w:ind w:left="3492" w:right="0" w:hanging="317"/>
        <w:jc w:val="left"/>
        <w:rPr>
          <w:sz w:val="31"/>
        </w:rPr>
      </w:pPr>
      <w:r>
        <w:rPr>
          <w:spacing w:val="-2"/>
          <w:sz w:val="31"/>
        </w:rPr>
        <w:t>.某股票的</w:t>
      </w:r>
      <w:r>
        <w:rPr>
          <w:sz w:val="31"/>
        </w:rPr>
        <w:t>β</w:t>
      </w:r>
      <w:r>
        <w:rPr>
          <w:spacing w:val="17"/>
          <w:sz w:val="31"/>
        </w:rPr>
        <w:t xml:space="preserve">值小于 </w:t>
      </w:r>
      <w:r>
        <w:rPr>
          <w:sz w:val="31"/>
        </w:rPr>
        <w:t>1，说明其风险小于市场的平均风险</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107"/>
        </w:numPr>
        <w:tabs>
          <w:tab w:val="left" w:pos="3493"/>
        </w:tabs>
        <w:spacing w:before="40" w:after="0" w:line="240" w:lineRule="auto"/>
        <w:ind w:left="3492" w:right="0" w:hanging="317"/>
        <w:jc w:val="left"/>
        <w:rPr>
          <w:sz w:val="31"/>
        </w:rPr>
      </w:pPr>
      <w:r>
        <w:rPr>
          <w:spacing w:val="-2"/>
          <w:sz w:val="31"/>
        </w:rPr>
        <w:t>.某股票的</w:t>
      </w:r>
      <w:r>
        <w:rPr>
          <w:sz w:val="31"/>
        </w:rPr>
        <w:t>β</w:t>
      </w:r>
      <w:r>
        <w:rPr>
          <w:spacing w:val="17"/>
          <w:sz w:val="31"/>
        </w:rPr>
        <w:t xml:space="preserve">值等于 </w:t>
      </w:r>
      <w:r>
        <w:rPr>
          <w:sz w:val="31"/>
        </w:rPr>
        <w:t>1，说明其风险等于市场的平均风险</w:t>
      </w:r>
    </w:p>
    <w:p>
      <w:pPr>
        <w:pStyle w:val="ListParagraph"/>
        <w:numPr>
          <w:ilvl w:val="0"/>
          <w:numId w:val="107"/>
        </w:numPr>
        <w:tabs>
          <w:tab w:val="left" w:pos="3493"/>
        </w:tabs>
        <w:spacing w:before="71" w:after="0" w:line="240" w:lineRule="auto"/>
        <w:ind w:left="3492" w:right="0" w:hanging="317"/>
        <w:jc w:val="left"/>
        <w:rPr>
          <w:sz w:val="31"/>
        </w:rPr>
      </w:pPr>
      <w:r>
        <w:rPr>
          <w:spacing w:val="-2"/>
          <w:sz w:val="31"/>
        </w:rPr>
        <w:t>.某股票的</w:t>
      </w:r>
      <w:r>
        <w:rPr>
          <w:sz w:val="31"/>
        </w:rPr>
        <w:t>β</w:t>
      </w:r>
      <w:r>
        <w:rPr>
          <w:spacing w:val="-23"/>
          <w:sz w:val="31"/>
        </w:rPr>
        <w:t xml:space="preserve">值等于 </w:t>
      </w:r>
      <w:r>
        <w:rPr>
          <w:sz w:val="31"/>
        </w:rPr>
        <w:t>2</w:t>
      </w:r>
      <w:r>
        <w:rPr>
          <w:spacing w:val="3"/>
          <w:sz w:val="31"/>
        </w:rPr>
        <w:t>，说明其风险高于市场的平均风险</w:t>
      </w:r>
      <w:r>
        <w:rPr>
          <w:sz w:val="31"/>
        </w:rPr>
        <w:t>2</w:t>
      </w:r>
      <w:r>
        <w:rPr>
          <w:spacing w:val="-39"/>
          <w:sz w:val="31"/>
        </w:rPr>
        <w:t xml:space="preserve"> 倍</w:t>
      </w:r>
    </w:p>
    <w:p>
      <w:pPr>
        <w:pStyle w:val="BodyText"/>
        <w:spacing w:before="71"/>
      </w:pPr>
      <w:r>
        <w:t xml:space="preserve">6、下列表述中，正确的有（ </w:t>
      </w:r>
      <w:r>
        <w:rPr>
          <w:spacing w:val="-159"/>
        </w:rPr>
        <w:t>）</w:t>
      </w:r>
      <w:r>
        <w:t>。</w:t>
      </w:r>
    </w:p>
    <w:p>
      <w:pPr>
        <w:pStyle w:val="ListParagraph"/>
        <w:numPr>
          <w:ilvl w:val="0"/>
          <w:numId w:val="106"/>
        </w:numPr>
        <w:tabs>
          <w:tab w:val="left" w:pos="3493"/>
        </w:tabs>
        <w:spacing w:before="71" w:after="0" w:line="240" w:lineRule="auto"/>
        <w:ind w:left="3492" w:right="0" w:hanging="317"/>
        <w:jc w:val="left"/>
        <w:rPr>
          <w:sz w:val="31"/>
        </w:rPr>
      </w:pPr>
      <w:r>
        <w:rPr>
          <w:spacing w:val="-2"/>
          <w:sz w:val="31"/>
        </w:rPr>
        <w:t>.复利终值系数和复利现值系数互为倒数</w:t>
      </w:r>
    </w:p>
    <w:p>
      <w:pPr>
        <w:pStyle w:val="ListParagraph"/>
        <w:numPr>
          <w:ilvl w:val="0"/>
          <w:numId w:val="106"/>
        </w:numPr>
        <w:tabs>
          <w:tab w:val="left" w:pos="3493"/>
        </w:tabs>
        <w:spacing w:before="71" w:after="0" w:line="283" w:lineRule="auto"/>
        <w:ind w:left="3176" w:right="7557" w:firstLine="0"/>
        <w:jc w:val="left"/>
        <w:rPr>
          <w:sz w:val="31"/>
        </w:rPr>
      </w:pPr>
      <w:r>
        <w:rPr>
          <w:spacing w:val="-3"/>
          <w:sz w:val="31"/>
        </w:rPr>
        <w:t xml:space="preserve">.普通年金终值系数和普通年金现值系数互为倒数 </w:t>
      </w:r>
      <w:r>
        <w:rPr>
          <w:sz w:val="31"/>
        </w:rPr>
        <w:t>C .普通年金终值系数和偿债基金系数互为倒数</w:t>
      </w:r>
    </w:p>
    <w:p>
      <w:pPr>
        <w:pStyle w:val="ListParagraph"/>
        <w:numPr>
          <w:ilvl w:val="0"/>
          <w:numId w:val="105"/>
        </w:numPr>
        <w:tabs>
          <w:tab w:val="left" w:pos="3493"/>
        </w:tabs>
        <w:spacing w:before="0" w:after="0" w:line="396" w:lineRule="exact"/>
        <w:ind w:left="3492" w:right="0" w:hanging="317"/>
        <w:jc w:val="left"/>
        <w:rPr>
          <w:sz w:val="31"/>
        </w:rPr>
      </w:pPr>
      <w:r>
        <w:rPr>
          <w:spacing w:val="-2"/>
          <w:sz w:val="31"/>
        </w:rPr>
        <w:t>.普通年金现值系数和资本回收系数互为倒数</w:t>
      </w:r>
    </w:p>
    <w:p>
      <w:pPr>
        <w:pStyle w:val="ListParagraph"/>
        <w:numPr>
          <w:ilvl w:val="0"/>
          <w:numId w:val="105"/>
        </w:numPr>
        <w:tabs>
          <w:tab w:val="left" w:pos="3493"/>
        </w:tabs>
        <w:spacing w:before="70" w:after="0" w:line="240" w:lineRule="auto"/>
        <w:ind w:left="3492" w:right="0" w:hanging="317"/>
        <w:jc w:val="left"/>
        <w:rPr>
          <w:sz w:val="31"/>
        </w:rPr>
      </w:pPr>
      <w:r>
        <w:rPr>
          <w:spacing w:val="-2"/>
          <w:sz w:val="31"/>
        </w:rPr>
        <w:t>.先付年金现值系数和先付年金终值系数互为倒数</w:t>
      </w:r>
    </w:p>
    <w:p>
      <w:pPr>
        <w:spacing w:before="268"/>
        <w:ind w:left="2700" w:right="0" w:firstLine="0"/>
        <w:jc w:val="left"/>
        <w:rPr>
          <w:sz w:val="18"/>
        </w:rPr>
      </w:pPr>
      <w:r>
        <w:rPr>
          <w:sz w:val="18"/>
        </w:rPr>
        <w:t>《</w:t>
      </w:r>
    </w:p>
    <w:p>
      <w:pPr>
        <w:pStyle w:val="BodyText"/>
        <w:spacing w:before="41" w:line="283" w:lineRule="auto"/>
        <w:ind w:left="3176" w:right="10730" w:hanging="476"/>
        <w:jc w:val="both"/>
      </w:pPr>
      <w:r>
        <w:t>7、下列（</w:t>
      </w:r>
      <w:r>
        <w:rPr>
          <w:spacing w:val="77"/>
        </w:rPr>
        <w:t xml:space="preserve"> </w:t>
      </w:r>
      <w:r>
        <w:t>）</w:t>
      </w:r>
      <w:r>
        <w:rPr>
          <w:spacing w:val="-3"/>
        </w:rPr>
        <w:t>属于系统性风险。</w:t>
      </w:r>
      <w:r>
        <w:t>A .宏观经济状况的变化</w:t>
      </w:r>
    </w:p>
    <w:p>
      <w:pPr>
        <w:pStyle w:val="BodyText"/>
        <w:spacing w:line="283" w:lineRule="auto"/>
        <w:ind w:left="3176" w:right="11675"/>
        <w:jc w:val="both"/>
      </w:pPr>
      <w:r>
        <w:t>B .国家货币政策变化C .公司经营决策失误D .税收法律变化</w:t>
      </w:r>
    </w:p>
    <w:p>
      <w:pPr>
        <w:pStyle w:val="BodyText"/>
        <w:spacing w:line="395" w:lineRule="exact"/>
        <w:ind w:left="3176"/>
        <w:jc w:val="both"/>
      </w:pPr>
      <w:r>
        <w:t>E .在市场竞争中失败</w:t>
      </w:r>
    </w:p>
    <w:p>
      <w:pPr>
        <w:pStyle w:val="BodyText"/>
        <w:spacing w:before="70"/>
        <w:jc w:val="both"/>
      </w:pPr>
      <w:r>
        <w:t>8、对于资金的时间价值来说，下列中（</w:t>
      </w:r>
      <w:r>
        <w:rPr>
          <w:spacing w:val="143"/>
        </w:rPr>
        <w:t xml:space="preserve"> </w:t>
      </w:r>
      <w:r>
        <w:t>）表述是正确的。</w:t>
      </w:r>
    </w:p>
    <w:p>
      <w:pPr>
        <w:pStyle w:val="BodyText"/>
        <w:spacing w:before="70"/>
        <w:ind w:left="3176"/>
        <w:jc w:val="both"/>
      </w:pPr>
      <w:r>
        <w:t>A .资金的时间价值不可能由"时间"创造，而只能由劳动创造</w:t>
      </w:r>
    </w:p>
    <w:p>
      <w:pPr>
        <w:pStyle w:val="BodyText"/>
        <w:spacing w:before="1"/>
        <w:ind w:left="0"/>
        <w:rPr>
          <w:sz w:val="15"/>
        </w:rPr>
      </w:pPr>
    </w:p>
    <w:p>
      <w:pPr>
        <w:spacing w:before="75"/>
        <w:ind w:left="2700" w:right="0" w:firstLine="0"/>
        <w:jc w:val="left"/>
        <w:rPr>
          <w:sz w:val="18"/>
        </w:rPr>
      </w:pPr>
      <w:r>
        <w:rPr>
          <w:sz w:val="18"/>
        </w:rPr>
        <w:t>—</w:t>
      </w:r>
    </w:p>
    <w:p>
      <w:pPr>
        <w:pStyle w:val="BodyText"/>
        <w:spacing w:before="40"/>
        <w:ind w:left="506"/>
        <w:jc w:val="center"/>
      </w:pPr>
      <w:r>
        <w:t>B .只有把货币作为资金投入生产经营才能产生时间价值，即时间价值是在生产经营中产</w:t>
      </w:r>
    </w:p>
    <w:p>
      <w:pPr>
        <w:pStyle w:val="BodyText"/>
        <w:spacing w:before="71"/>
      </w:pPr>
      <w:r>
        <w:t>生的</w:t>
      </w:r>
    </w:p>
    <w:p>
      <w:pPr>
        <w:pStyle w:val="ListParagraph"/>
        <w:numPr>
          <w:ilvl w:val="0"/>
          <w:numId w:val="104"/>
        </w:numPr>
        <w:tabs>
          <w:tab w:val="left" w:pos="3493"/>
        </w:tabs>
        <w:spacing w:before="72" w:after="0" w:line="283" w:lineRule="auto"/>
        <w:ind w:left="2700" w:right="2794" w:firstLine="475"/>
        <w:jc w:val="left"/>
        <w:rPr>
          <w:sz w:val="31"/>
        </w:rPr>
      </w:pPr>
      <w:r>
        <w:rPr>
          <w:spacing w:val="-1"/>
          <w:sz w:val="31"/>
        </w:rPr>
        <w:t>.时间价值的相对数是指扣除风险报酬和通货膨胀贴水后的平均资金利润率或平均报</w:t>
      </w:r>
      <w:r>
        <w:rPr>
          <w:sz w:val="31"/>
        </w:rPr>
        <w:t>酬率</w:t>
      </w:r>
    </w:p>
    <w:p>
      <w:pPr>
        <w:pStyle w:val="ListParagraph"/>
        <w:numPr>
          <w:ilvl w:val="0"/>
          <w:numId w:val="104"/>
        </w:numPr>
        <w:tabs>
          <w:tab w:val="left" w:pos="3493"/>
        </w:tabs>
        <w:spacing w:before="0" w:after="0" w:line="396" w:lineRule="exact"/>
        <w:ind w:left="3492" w:right="0" w:hanging="317"/>
        <w:jc w:val="left"/>
        <w:rPr>
          <w:sz w:val="31"/>
        </w:rPr>
      </w:pPr>
      <w:r>
        <w:rPr>
          <w:spacing w:val="-2"/>
          <w:sz w:val="31"/>
        </w:rPr>
        <w:t>.一般而言，时间价值应按复利方式来计算</w:t>
      </w:r>
    </w:p>
    <w:p>
      <w:pPr>
        <w:pStyle w:val="BodyText"/>
        <w:spacing w:before="71" w:line="283" w:lineRule="auto"/>
        <w:ind w:right="2667" w:firstLine="475"/>
      </w:pPr>
      <w:r>
        <w:t>E .资金时间价值揭示了不同时点上资金之间的换算关系，因而它是进行筹资投资决策必不可少的计量手段</w:t>
      </w:r>
    </w:p>
    <w:p>
      <w:pPr>
        <w:pStyle w:val="BodyText"/>
        <w:spacing w:line="283" w:lineRule="auto"/>
        <w:ind w:right="2491" w:firstLine="158"/>
      </w:pPr>
      <w:r>
        <w:t>9</w:t>
      </w:r>
      <w:r>
        <w:rPr>
          <w:spacing w:val="-43"/>
        </w:rPr>
        <w:t xml:space="preserve">、对前 </w:t>
      </w:r>
      <w:r>
        <w:t>M</w:t>
      </w:r>
      <w:r>
        <w:rPr>
          <w:spacing w:val="-18"/>
        </w:rPr>
        <w:t xml:space="preserve"> 期没有收付款项，而后 </w:t>
      </w:r>
      <w:r>
        <w:t>N</w:t>
      </w:r>
      <w:r>
        <w:rPr>
          <w:spacing w:val="-5"/>
        </w:rPr>
        <w:t xml:space="preserve"> 期每期期末有相等金额的系列收付款项的延期年金而言， </w:t>
      </w:r>
      <w:r>
        <w:rPr>
          <w:w w:val="102"/>
        </w:rPr>
        <w:t>其现值的计算公式是（</w:t>
      </w:r>
      <w:r>
        <w:rPr>
          <w:spacing w:val="-176"/>
          <w:w w:val="102"/>
        </w:rPr>
        <w:t>）</w:t>
      </w:r>
      <w:r>
        <w:rPr>
          <w:w w:val="102"/>
        </w:rPr>
        <w:t>。</w:t>
      </w:r>
    </w:p>
    <w:p>
      <w:pPr>
        <w:pStyle w:val="BodyText"/>
        <w:spacing w:line="283" w:lineRule="auto"/>
        <w:ind w:left="3175" w:right="9637"/>
      </w:pPr>
      <w:r>
        <w:t xml:space="preserve">A </w:t>
      </w:r>
      <w:r>
        <w:rPr>
          <w:spacing w:val="-3"/>
        </w:rPr>
        <w:t xml:space="preserve">.P=A×（P/A,i,n）×（P/F,i,m） </w:t>
      </w:r>
      <w:r>
        <w:t>B</w:t>
      </w:r>
      <w:r>
        <w:rPr>
          <w:spacing w:val="123"/>
        </w:rPr>
        <w:t xml:space="preserve"> </w:t>
      </w:r>
      <w:r>
        <w:rPr>
          <w:spacing w:val="-3"/>
        </w:rPr>
        <w:t>.P=A×（P/A,i,m）×（P/F,i,n）</w:t>
      </w:r>
    </w:p>
    <w:p>
      <w:pPr>
        <w:spacing w:after="0" w:line="283" w:lineRule="auto"/>
        <w:sectPr>
          <w:headerReference w:type="default" r:id="rId22"/>
          <w:pgSz w:w="17860" w:h="25260"/>
          <w:pgMar w:top="1360" w:right="0" w:bottom="280" w:left="0" w:header="1160" w:footer="0"/>
          <w:pgNumType w:start="6"/>
          <w:cols w:space="708"/>
        </w:sectPr>
      </w:pPr>
    </w:p>
    <w:p>
      <w:pPr>
        <w:pStyle w:val="BodyText"/>
        <w:ind w:left="0"/>
        <w:rPr>
          <w:sz w:val="20"/>
        </w:rPr>
      </w:pPr>
    </w:p>
    <w:p>
      <w:pPr>
        <w:pStyle w:val="BodyText"/>
        <w:spacing w:before="5"/>
        <w:ind w:left="0"/>
        <w:rPr>
          <w:sz w:val="19"/>
        </w:rPr>
      </w:pPr>
    </w:p>
    <w:p>
      <w:pPr>
        <w:pStyle w:val="BodyText"/>
        <w:spacing w:before="62"/>
        <w:ind w:left="3175"/>
      </w:pPr>
      <w:r>
        <w:t>C .P=A×（P/A,i,m）－A×（P/A,i,n）</w:t>
      </w:r>
    </w:p>
    <w:p>
      <w:pPr>
        <w:pStyle w:val="BodyText"/>
        <w:spacing w:before="2"/>
        <w:ind w:left="0"/>
        <w:rPr>
          <w:sz w:val="15"/>
        </w:rPr>
      </w:pPr>
    </w:p>
    <w:p>
      <w:pPr>
        <w:spacing w:before="74"/>
        <w:ind w:left="2700" w:right="0" w:firstLine="0"/>
        <w:jc w:val="left"/>
        <w:rPr>
          <w:sz w:val="18"/>
        </w:rPr>
      </w:pPr>
      <w:r>
        <w:rPr>
          <w:sz w:val="18"/>
        </w:rPr>
        <w:t>[</w:t>
      </w:r>
    </w:p>
    <w:p>
      <w:pPr>
        <w:pStyle w:val="BodyText"/>
        <w:spacing w:before="41" w:line="283" w:lineRule="auto"/>
        <w:ind w:left="3175" w:right="8850"/>
        <w:jc w:val="both"/>
        <w:rPr>
          <w:b/>
        </w:rPr>
      </w:pPr>
      <w:r>
        <w:t xml:space="preserve">D </w:t>
      </w:r>
      <w:r>
        <w:rPr>
          <w:spacing w:val="-3"/>
        </w:rPr>
        <w:t xml:space="preserve">.P=A×（P/A,i,m+n）－A×（P/A,i,m） </w:t>
      </w:r>
      <w:r>
        <w:t xml:space="preserve">E </w:t>
      </w:r>
      <w:r>
        <w:rPr>
          <w:spacing w:val="-3"/>
        </w:rPr>
        <w:t xml:space="preserve">.P=A×（P/A,i,m+n）－A×（P/A,i,n） </w:t>
      </w:r>
      <w:r>
        <w:rPr>
          <w:b/>
        </w:rPr>
        <w:t>三、判断题</w:t>
      </w:r>
    </w:p>
    <w:p>
      <w:pPr>
        <w:pStyle w:val="ListParagraph"/>
        <w:numPr>
          <w:ilvl w:val="0"/>
          <w:numId w:val="103"/>
        </w:numPr>
        <w:tabs>
          <w:tab w:val="left" w:pos="3177"/>
        </w:tabs>
        <w:spacing w:before="0" w:after="0" w:line="395" w:lineRule="exact"/>
        <w:ind w:left="3177" w:right="0" w:hanging="477"/>
        <w:jc w:val="left"/>
        <w:rPr>
          <w:sz w:val="31"/>
        </w:rPr>
      </w:pPr>
      <w:r>
        <w:rPr>
          <w:sz w:val="31"/>
        </w:rPr>
        <w:t>一般说来，资本时间价值是指没有通货膨胀条件下的投资报酬率。</w:t>
      </w:r>
    </w:p>
    <w:p>
      <w:pPr>
        <w:pStyle w:val="ListParagraph"/>
        <w:numPr>
          <w:ilvl w:val="0"/>
          <w:numId w:val="103"/>
        </w:numPr>
        <w:tabs>
          <w:tab w:val="left" w:pos="3177"/>
        </w:tabs>
        <w:spacing w:before="71" w:after="0" w:line="240" w:lineRule="auto"/>
        <w:ind w:left="3177" w:right="0" w:hanging="477"/>
        <w:jc w:val="left"/>
        <w:rPr>
          <w:sz w:val="31"/>
        </w:rPr>
      </w:pPr>
      <w:r>
        <w:rPr>
          <w:sz w:val="31"/>
        </w:rPr>
        <w:t>在复利现值和计息期数确定的情况下，贴现率越高，则复利终值越大。</w:t>
      </w:r>
    </w:p>
    <w:p>
      <w:pPr>
        <w:pStyle w:val="ListParagraph"/>
        <w:numPr>
          <w:ilvl w:val="0"/>
          <w:numId w:val="103"/>
        </w:numPr>
        <w:tabs>
          <w:tab w:val="left" w:pos="3019"/>
        </w:tabs>
        <w:spacing w:before="70" w:after="0" w:line="240" w:lineRule="auto"/>
        <w:ind w:left="3018" w:right="0" w:hanging="319"/>
        <w:jc w:val="left"/>
        <w:rPr>
          <w:sz w:val="31"/>
        </w:rPr>
      </w:pPr>
      <w:r>
        <w:rPr>
          <w:sz w:val="31"/>
        </w:rPr>
        <w:t>风险不能带来收益。所以，在财务管理中一定要选风险较小的项目。</w:t>
      </w:r>
    </w:p>
    <w:p>
      <w:pPr>
        <w:pStyle w:val="ListParagraph"/>
        <w:numPr>
          <w:ilvl w:val="0"/>
          <w:numId w:val="103"/>
        </w:numPr>
        <w:tabs>
          <w:tab w:val="left" w:pos="3019"/>
          <w:tab w:val="left" w:pos="12000"/>
        </w:tabs>
        <w:spacing w:before="39" w:after="0" w:line="240" w:lineRule="auto"/>
        <w:ind w:left="3018" w:right="0" w:hanging="319"/>
        <w:jc w:val="left"/>
        <w:rPr>
          <w:sz w:val="31"/>
        </w:rPr>
      </w:pPr>
      <w:r>
        <w:rPr>
          <w:sz w:val="31"/>
        </w:rPr>
        <w:t>先付年金现值系数与普通年金现值系数相比期数</w:t>
      </w:r>
      <w:r>
        <w:rPr>
          <w:spacing w:val="44"/>
          <w:sz w:val="31"/>
        </w:rPr>
        <w:t>加</w:t>
      </w:r>
      <w:r>
        <w:rPr>
          <w:sz w:val="31"/>
        </w:rPr>
        <w:t>1，系数减</w:t>
      </w:r>
      <w:r>
        <w:rPr>
          <w:spacing w:val="100"/>
          <w:sz w:val="31"/>
        </w:rPr>
        <w:t xml:space="preserve"> </w:t>
      </w:r>
      <w:r>
        <w:rPr>
          <w:sz w:val="31"/>
        </w:rPr>
        <w:t>1</w:t>
        <w:tab/>
        <w:t>。</w:t>
      </w:r>
    </w:p>
    <w:p>
      <w:pPr>
        <w:pStyle w:val="ListParagraph"/>
        <w:numPr>
          <w:ilvl w:val="0"/>
          <w:numId w:val="103"/>
        </w:numPr>
        <w:tabs>
          <w:tab w:val="left" w:pos="3177"/>
        </w:tabs>
        <w:spacing w:before="9" w:after="0" w:line="240" w:lineRule="auto"/>
        <w:ind w:left="3177" w:right="0" w:hanging="477"/>
        <w:jc w:val="left"/>
        <w:rPr>
          <w:sz w:val="31"/>
        </w:rPr>
      </w:pPr>
      <w:r>
        <w:rPr>
          <w:sz w:val="31"/>
        </w:rPr>
        <w:t>根据风险与收益均衡原理，投资者投资于高风险的项目必然会获取高收益。</w:t>
      </w:r>
    </w:p>
    <w:p>
      <w:pPr>
        <w:spacing w:before="243"/>
        <w:ind w:left="2700" w:right="0" w:firstLine="0"/>
        <w:jc w:val="left"/>
        <w:rPr>
          <w:sz w:val="18"/>
        </w:rPr>
      </w:pPr>
      <w:r>
        <w:rPr>
          <w:sz w:val="18"/>
        </w:rPr>
        <w:t>）</w:t>
      </w:r>
    </w:p>
    <w:p>
      <w:pPr>
        <w:pStyle w:val="BodyText"/>
        <w:spacing w:before="40"/>
      </w:pPr>
      <w:r>
        <w:t>6、资金时间价值是指一定量的资金在不同时点上的价值量。</w:t>
      </w:r>
    </w:p>
    <w:p>
      <w:pPr>
        <w:pStyle w:val="BodyText"/>
        <w:spacing w:before="71"/>
      </w:pPr>
      <w:r>
        <w:t>7、风险与收益是对等的。风险越大，收益的机会越多，期望的收益率也就越高。</w:t>
      </w:r>
    </w:p>
    <w:p>
      <w:pPr>
        <w:pStyle w:val="BodyText"/>
        <w:spacing w:before="72" w:line="283" w:lineRule="auto"/>
        <w:ind w:right="2584"/>
      </w:pPr>
      <w:r>
        <w:t>8、标准离差率是标准离差同期望报酬率的比值，它可以用来比较期望报酬率不同的各项投资的风险程度。</w:t>
      </w:r>
    </w:p>
    <w:p>
      <w:pPr>
        <w:pStyle w:val="BodyText"/>
        <w:spacing w:line="396" w:lineRule="exact"/>
      </w:pPr>
      <w:r>
        <w:t>9、风险本身可能带来超出预期的损失，也可能带来超出预期的收益。</w:t>
      </w:r>
    </w:p>
    <w:p>
      <w:pPr>
        <w:pStyle w:val="BodyText"/>
        <w:spacing w:before="71"/>
      </w:pPr>
      <w:r>
        <w:t>10、保守的投资组合风险低，收益也低。</w:t>
      </w:r>
    </w:p>
    <w:p>
      <w:pPr>
        <w:pStyle w:val="BodyText"/>
        <w:spacing w:before="71"/>
      </w:pPr>
      <w:r>
        <w:t>11、在投资项目期望值相同的情况下，标准离差越大，风险越小。</w:t>
      </w:r>
    </w:p>
    <w:p>
      <w:pPr>
        <w:pStyle w:val="BodyText"/>
        <w:spacing w:before="70"/>
      </w:pPr>
      <w:r>
        <w:t>12、在终值及计息期已定的情况下，现值的大小与利息率同方向变化。</w:t>
      </w:r>
    </w:p>
    <w:p>
      <w:pPr>
        <w:pStyle w:val="BodyText"/>
        <w:spacing w:before="71"/>
      </w:pPr>
      <w:r>
        <w:t>13、在利率和计息期相同的条件下，复利现值系数与复利终值系数互为倒数。</w:t>
      </w:r>
    </w:p>
    <w:p>
      <w:pPr>
        <w:spacing w:before="268"/>
        <w:ind w:left="2700" w:right="0" w:firstLine="0"/>
        <w:jc w:val="left"/>
        <w:rPr>
          <w:sz w:val="18"/>
        </w:rPr>
      </w:pPr>
      <w:r>
        <w:rPr>
          <w:sz w:val="18"/>
        </w:rPr>
        <w:t>、</w:t>
      </w:r>
    </w:p>
    <w:p>
      <w:pPr>
        <w:pStyle w:val="BodyText"/>
        <w:spacing w:before="40"/>
      </w:pPr>
      <w:r>
        <w:t>14、用来代表资金时间价值的利息率中包含着风险因素。</w:t>
      </w:r>
    </w:p>
    <w:p>
      <w:pPr>
        <w:pStyle w:val="BodyText"/>
        <w:spacing w:before="226"/>
      </w:pPr>
      <w:r>
        <w:t>15．根据风险与收益均衡原理，投资者投资于高风险的项目必然会获取高收益。</w:t>
      </w:r>
    </w:p>
    <w:p>
      <w:pPr>
        <w:pStyle w:val="BodyText"/>
        <w:spacing w:before="78" w:line="283" w:lineRule="auto"/>
        <w:ind w:right="2667"/>
      </w:pPr>
      <w:r>
        <w:t>16</w:t>
      </w:r>
      <w:r>
        <w:rPr>
          <w:spacing w:val="-15"/>
        </w:rPr>
        <w:t>、对于多个投资方案而言，无论各方案的期望值是否相同，标准离差率最大的方案一定是</w:t>
      </w:r>
      <w:r>
        <w:t>风险最大的方案。</w:t>
      </w:r>
    </w:p>
    <w:p>
      <w:pPr>
        <w:pStyle w:val="BodyText"/>
        <w:ind w:left="0"/>
        <w:rPr>
          <w:sz w:val="32"/>
        </w:rPr>
      </w:pPr>
    </w:p>
    <w:p>
      <w:pPr>
        <w:pStyle w:val="BodyText"/>
        <w:ind w:left="0"/>
        <w:rPr>
          <w:sz w:val="41"/>
        </w:rPr>
      </w:pPr>
    </w:p>
    <w:p>
      <w:pPr>
        <w:pStyle w:val="Heading2"/>
      </w:pPr>
      <w:r>
        <w:t>四、计算题</w:t>
      </w:r>
    </w:p>
    <w:p>
      <w:pPr>
        <w:pStyle w:val="ListParagraph"/>
        <w:numPr>
          <w:ilvl w:val="0"/>
          <w:numId w:val="102"/>
        </w:numPr>
        <w:tabs>
          <w:tab w:val="left" w:pos="3019"/>
        </w:tabs>
        <w:spacing w:before="71" w:after="0" w:line="283" w:lineRule="auto"/>
        <w:ind w:left="2700" w:right="2681" w:firstLine="0"/>
        <w:jc w:val="left"/>
        <w:rPr>
          <w:sz w:val="31"/>
        </w:rPr>
      </w:pPr>
      <w:r>
        <w:drawing>
          <wp:anchor distT="0" distB="0" distL="0" distR="0" simplePos="0" relativeHeight="251674624" behindDoc="1" locked="0" layoutInCell="1" allowOverlap="1">
            <wp:simplePos x="0" y="0"/>
            <wp:positionH relativeFrom="page">
              <wp:posOffset>2324100</wp:posOffset>
            </wp:positionH>
            <wp:positionV relativeFrom="paragraph">
              <wp:posOffset>695070</wp:posOffset>
            </wp:positionV>
            <wp:extent cx="6866191" cy="1887569"/>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3" cstate="print"/>
                    <a:stretch>
                      <a:fillRect/>
                    </a:stretch>
                  </pic:blipFill>
                  <pic:spPr>
                    <a:xfrm>
                      <a:off x="0" y="0"/>
                      <a:ext cx="6866191" cy="1887569"/>
                    </a:xfrm>
                    <a:prstGeom prst="rect">
                      <a:avLst/>
                    </a:prstGeom>
                  </pic:spPr>
                </pic:pic>
              </a:graphicData>
            </a:graphic>
          </wp:anchor>
        </w:drawing>
      </w:r>
      <w:r>
        <w:rPr>
          <w:spacing w:val="-12"/>
          <w:sz w:val="31"/>
        </w:rPr>
        <w:t>假设你是一家公司的财务经理，准备进行对外投资，现有三家公司可供选择，分别是凯茜</w:t>
      </w:r>
      <w:r>
        <w:rPr>
          <w:sz w:val="31"/>
        </w:rPr>
        <w:t>公司、大卫公司和爱德华公司。三家公司的年报酬率以及其概率的资料如下表所示。</w:t>
      </w:r>
    </w:p>
    <w:p>
      <w:pPr>
        <w:pStyle w:val="BodyText"/>
        <w:spacing w:before="5"/>
        <w:ind w:left="0"/>
        <w:rPr>
          <w:sz w:val="25"/>
        </w:rPr>
      </w:pPr>
    </w:p>
    <w:tbl>
      <w:tblPr>
        <w:tblStyle w:val="TableNormal2"/>
        <w:tblW w:w="0" w:type="auto"/>
        <w:jc w:val="left"/>
        <w:tblInd w:w="4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65"/>
        <w:gridCol w:w="2255"/>
        <w:gridCol w:w="2019"/>
        <w:gridCol w:w="2079"/>
        <w:gridCol w:w="1727"/>
      </w:tblGrid>
      <w:tr>
        <w:tblPrEx>
          <w:tblW w:w="0" w:type="auto"/>
          <w:jc w:val="left"/>
          <w:tblInd w:w="4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62"/>
          <w:jc w:val="left"/>
        </w:trPr>
        <w:tc>
          <w:tcPr>
            <w:tcW w:w="1765" w:type="dxa"/>
          </w:tcPr>
          <w:p>
            <w:pPr>
              <w:pStyle w:val="TableParagraph"/>
              <w:spacing w:before="8"/>
              <w:rPr>
                <w:sz w:val="19"/>
              </w:rPr>
            </w:pPr>
          </w:p>
          <w:p>
            <w:pPr>
              <w:pStyle w:val="TableParagraph"/>
              <w:ind w:left="29" w:right="615"/>
              <w:jc w:val="center"/>
              <w:rPr>
                <w:sz w:val="27"/>
              </w:rPr>
            </w:pPr>
            <w:r>
              <w:rPr>
                <w:sz w:val="27"/>
              </w:rPr>
              <w:t>市场状况</w:t>
            </w:r>
          </w:p>
        </w:tc>
        <w:tc>
          <w:tcPr>
            <w:tcW w:w="2255" w:type="dxa"/>
          </w:tcPr>
          <w:p>
            <w:pPr>
              <w:pStyle w:val="TableParagraph"/>
              <w:spacing w:before="8"/>
              <w:rPr>
                <w:sz w:val="19"/>
              </w:rPr>
            </w:pPr>
          </w:p>
          <w:p>
            <w:pPr>
              <w:pStyle w:val="TableParagraph"/>
              <w:ind w:left="617" w:right="518"/>
              <w:jc w:val="center"/>
              <w:rPr>
                <w:sz w:val="27"/>
              </w:rPr>
            </w:pPr>
            <w:r>
              <w:rPr>
                <w:sz w:val="27"/>
              </w:rPr>
              <w:t>发生概率</w:t>
            </w:r>
          </w:p>
        </w:tc>
        <w:tc>
          <w:tcPr>
            <w:tcW w:w="2019" w:type="dxa"/>
          </w:tcPr>
          <w:p>
            <w:pPr>
              <w:pStyle w:val="TableParagraph"/>
              <w:rPr>
                <w:sz w:val="26"/>
              </w:rPr>
            </w:pPr>
          </w:p>
          <w:p>
            <w:pPr>
              <w:pStyle w:val="TableParagraph"/>
              <w:spacing w:before="219"/>
              <w:ind w:left="519" w:right="380"/>
              <w:jc w:val="center"/>
              <w:rPr>
                <w:sz w:val="27"/>
              </w:rPr>
            </w:pPr>
            <w:r>
              <w:rPr>
                <w:sz w:val="27"/>
              </w:rPr>
              <w:t>凯茜公司</w:t>
            </w:r>
          </w:p>
        </w:tc>
        <w:tc>
          <w:tcPr>
            <w:tcW w:w="2079" w:type="dxa"/>
          </w:tcPr>
          <w:p>
            <w:pPr>
              <w:pStyle w:val="TableParagraph"/>
              <w:spacing w:line="307" w:lineRule="exact"/>
              <w:ind w:left="402"/>
              <w:rPr>
                <w:sz w:val="27"/>
              </w:rPr>
            </w:pPr>
            <w:r>
              <w:rPr>
                <w:sz w:val="27"/>
              </w:rPr>
              <w:t>投资报酬率</w:t>
            </w:r>
          </w:p>
          <w:p>
            <w:pPr>
              <w:pStyle w:val="TableParagraph"/>
              <w:spacing w:before="2"/>
              <w:rPr>
                <w:sz w:val="19"/>
              </w:rPr>
            </w:pPr>
          </w:p>
          <w:p>
            <w:pPr>
              <w:pStyle w:val="TableParagraph"/>
              <w:ind w:left="524"/>
              <w:rPr>
                <w:sz w:val="27"/>
              </w:rPr>
            </w:pPr>
            <w:r>
              <w:rPr>
                <w:sz w:val="27"/>
              </w:rPr>
              <w:t>大卫公司</w:t>
            </w:r>
          </w:p>
        </w:tc>
        <w:tc>
          <w:tcPr>
            <w:tcW w:w="1727" w:type="dxa"/>
          </w:tcPr>
          <w:p>
            <w:pPr>
              <w:pStyle w:val="TableParagraph"/>
              <w:rPr>
                <w:sz w:val="26"/>
              </w:rPr>
            </w:pPr>
          </w:p>
          <w:p>
            <w:pPr>
              <w:pStyle w:val="TableParagraph"/>
              <w:spacing w:before="219"/>
              <w:ind w:left="308" w:right="29"/>
              <w:jc w:val="center"/>
              <w:rPr>
                <w:sz w:val="27"/>
              </w:rPr>
            </w:pPr>
            <w:r>
              <w:rPr>
                <w:sz w:val="27"/>
              </w:rPr>
              <w:t>爱德华公司</w:t>
            </w:r>
          </w:p>
        </w:tc>
      </w:tr>
      <w:tr>
        <w:tblPrEx>
          <w:tblW w:w="0" w:type="auto"/>
          <w:jc w:val="left"/>
          <w:tblInd w:w="4250" w:type="dxa"/>
          <w:tblLayout w:type="fixed"/>
          <w:tblCellMar>
            <w:top w:w="0" w:type="dxa"/>
            <w:left w:w="0" w:type="dxa"/>
            <w:bottom w:w="0" w:type="dxa"/>
            <w:right w:w="0" w:type="dxa"/>
          </w:tblCellMar>
          <w:tblLook w:val="01E0"/>
        </w:tblPrEx>
        <w:trPr>
          <w:trHeight w:val="586"/>
          <w:jc w:val="left"/>
        </w:trPr>
        <w:tc>
          <w:tcPr>
            <w:tcW w:w="1765" w:type="dxa"/>
          </w:tcPr>
          <w:p>
            <w:pPr>
              <w:pStyle w:val="TableParagraph"/>
              <w:spacing w:before="197"/>
              <w:ind w:left="27" w:right="615"/>
              <w:jc w:val="center"/>
              <w:rPr>
                <w:sz w:val="27"/>
              </w:rPr>
            </w:pPr>
            <w:r>
              <w:rPr>
                <w:sz w:val="27"/>
              </w:rPr>
              <w:t>繁荣</w:t>
            </w:r>
          </w:p>
        </w:tc>
        <w:tc>
          <w:tcPr>
            <w:tcW w:w="2255" w:type="dxa"/>
          </w:tcPr>
          <w:p>
            <w:pPr>
              <w:pStyle w:val="TableParagraph"/>
              <w:spacing w:before="213"/>
              <w:ind w:left="617" w:right="514"/>
              <w:jc w:val="center"/>
              <w:rPr>
                <w:rFonts w:ascii="Arial"/>
                <w:sz w:val="27"/>
              </w:rPr>
            </w:pPr>
            <w:r>
              <w:rPr>
                <w:rFonts w:ascii="Arial"/>
                <w:sz w:val="27"/>
              </w:rPr>
              <w:t>0.3</w:t>
            </w:r>
          </w:p>
        </w:tc>
        <w:tc>
          <w:tcPr>
            <w:tcW w:w="2019" w:type="dxa"/>
          </w:tcPr>
          <w:p>
            <w:pPr>
              <w:pStyle w:val="TableParagraph"/>
              <w:spacing w:before="213"/>
              <w:ind w:left="519" w:right="376"/>
              <w:jc w:val="center"/>
              <w:rPr>
                <w:rFonts w:ascii="Arial"/>
                <w:sz w:val="27"/>
              </w:rPr>
            </w:pPr>
            <w:r>
              <w:rPr>
                <w:rFonts w:ascii="Arial"/>
                <w:sz w:val="27"/>
              </w:rPr>
              <w:t>40%</w:t>
            </w:r>
          </w:p>
        </w:tc>
        <w:tc>
          <w:tcPr>
            <w:tcW w:w="2079" w:type="dxa"/>
          </w:tcPr>
          <w:p>
            <w:pPr>
              <w:pStyle w:val="TableParagraph"/>
              <w:spacing w:before="213"/>
              <w:ind w:left="637" w:right="586"/>
              <w:jc w:val="center"/>
              <w:rPr>
                <w:rFonts w:ascii="Arial"/>
                <w:sz w:val="27"/>
              </w:rPr>
            </w:pPr>
            <w:r>
              <w:rPr>
                <w:rFonts w:ascii="Arial"/>
                <w:sz w:val="27"/>
              </w:rPr>
              <w:t>50%</w:t>
            </w:r>
          </w:p>
        </w:tc>
        <w:tc>
          <w:tcPr>
            <w:tcW w:w="1727" w:type="dxa"/>
          </w:tcPr>
          <w:p>
            <w:pPr>
              <w:pStyle w:val="TableParagraph"/>
              <w:spacing w:before="213"/>
              <w:ind w:left="308" w:right="21"/>
              <w:jc w:val="center"/>
              <w:rPr>
                <w:rFonts w:ascii="Arial"/>
                <w:sz w:val="27"/>
              </w:rPr>
            </w:pPr>
            <w:r>
              <w:rPr>
                <w:rFonts w:ascii="Arial"/>
                <w:sz w:val="27"/>
              </w:rPr>
              <w:t>60%</w:t>
            </w:r>
          </w:p>
        </w:tc>
      </w:tr>
      <w:tr>
        <w:tblPrEx>
          <w:tblW w:w="0" w:type="auto"/>
          <w:jc w:val="left"/>
          <w:tblInd w:w="4250" w:type="dxa"/>
          <w:tblLayout w:type="fixed"/>
          <w:tblCellMar>
            <w:top w:w="0" w:type="dxa"/>
            <w:left w:w="0" w:type="dxa"/>
            <w:bottom w:w="0" w:type="dxa"/>
            <w:right w:w="0" w:type="dxa"/>
          </w:tblCellMar>
          <w:tblLook w:val="01E0"/>
        </w:tblPrEx>
        <w:trPr>
          <w:trHeight w:val="462"/>
          <w:jc w:val="left"/>
        </w:trPr>
        <w:tc>
          <w:tcPr>
            <w:tcW w:w="1765" w:type="dxa"/>
          </w:tcPr>
          <w:p>
            <w:pPr>
              <w:pStyle w:val="TableParagraph"/>
              <w:spacing w:before="77"/>
              <w:ind w:left="27" w:right="615"/>
              <w:jc w:val="center"/>
              <w:rPr>
                <w:sz w:val="27"/>
              </w:rPr>
            </w:pPr>
            <w:r>
              <w:rPr>
                <w:sz w:val="27"/>
              </w:rPr>
              <w:t>一般</w:t>
            </w:r>
          </w:p>
        </w:tc>
        <w:tc>
          <w:tcPr>
            <w:tcW w:w="2255" w:type="dxa"/>
          </w:tcPr>
          <w:p>
            <w:pPr>
              <w:pStyle w:val="TableParagraph"/>
              <w:spacing w:before="93"/>
              <w:ind w:left="617" w:right="514"/>
              <w:jc w:val="center"/>
              <w:rPr>
                <w:rFonts w:ascii="Arial"/>
                <w:sz w:val="27"/>
              </w:rPr>
            </w:pPr>
            <w:r>
              <w:rPr>
                <w:rFonts w:ascii="Arial"/>
                <w:sz w:val="27"/>
              </w:rPr>
              <w:t>0.5</w:t>
            </w:r>
          </w:p>
        </w:tc>
        <w:tc>
          <w:tcPr>
            <w:tcW w:w="2019" w:type="dxa"/>
          </w:tcPr>
          <w:p>
            <w:pPr>
              <w:pStyle w:val="TableParagraph"/>
              <w:spacing w:before="93"/>
              <w:ind w:left="519" w:right="376"/>
              <w:jc w:val="center"/>
              <w:rPr>
                <w:rFonts w:ascii="Arial"/>
                <w:sz w:val="27"/>
              </w:rPr>
            </w:pPr>
            <w:r>
              <w:rPr>
                <w:rFonts w:ascii="Arial"/>
                <w:sz w:val="27"/>
              </w:rPr>
              <w:t>20%</w:t>
            </w:r>
          </w:p>
        </w:tc>
        <w:tc>
          <w:tcPr>
            <w:tcW w:w="2079" w:type="dxa"/>
          </w:tcPr>
          <w:p>
            <w:pPr>
              <w:pStyle w:val="TableParagraph"/>
              <w:spacing w:before="93"/>
              <w:ind w:left="637" w:right="586"/>
              <w:jc w:val="center"/>
              <w:rPr>
                <w:rFonts w:ascii="Arial"/>
                <w:sz w:val="27"/>
              </w:rPr>
            </w:pPr>
            <w:r>
              <w:rPr>
                <w:rFonts w:ascii="Arial"/>
                <w:sz w:val="27"/>
              </w:rPr>
              <w:t>20%</w:t>
            </w:r>
          </w:p>
        </w:tc>
        <w:tc>
          <w:tcPr>
            <w:tcW w:w="1727" w:type="dxa"/>
          </w:tcPr>
          <w:p>
            <w:pPr>
              <w:pStyle w:val="TableParagraph"/>
              <w:spacing w:before="93"/>
              <w:ind w:left="308" w:right="21"/>
              <w:jc w:val="center"/>
              <w:rPr>
                <w:rFonts w:ascii="Arial"/>
                <w:sz w:val="27"/>
              </w:rPr>
            </w:pPr>
            <w:r>
              <w:rPr>
                <w:rFonts w:ascii="Arial"/>
                <w:sz w:val="27"/>
              </w:rPr>
              <w:t>20%</w:t>
            </w:r>
          </w:p>
        </w:tc>
      </w:tr>
      <w:tr>
        <w:tblPrEx>
          <w:tblW w:w="0" w:type="auto"/>
          <w:jc w:val="left"/>
          <w:tblInd w:w="4250" w:type="dxa"/>
          <w:tblLayout w:type="fixed"/>
          <w:tblCellMar>
            <w:top w:w="0" w:type="dxa"/>
            <w:left w:w="0" w:type="dxa"/>
            <w:bottom w:w="0" w:type="dxa"/>
            <w:right w:w="0" w:type="dxa"/>
          </w:tblCellMar>
          <w:tblLook w:val="01E0"/>
        </w:tblPrEx>
        <w:trPr>
          <w:trHeight w:val="400"/>
          <w:jc w:val="left"/>
        </w:trPr>
        <w:tc>
          <w:tcPr>
            <w:tcW w:w="1765" w:type="dxa"/>
          </w:tcPr>
          <w:p>
            <w:pPr>
              <w:pStyle w:val="TableParagraph"/>
              <w:spacing w:before="81" w:line="300" w:lineRule="exact"/>
              <w:ind w:left="27" w:right="615"/>
              <w:jc w:val="center"/>
              <w:rPr>
                <w:sz w:val="27"/>
              </w:rPr>
            </w:pPr>
            <w:r>
              <w:rPr>
                <w:sz w:val="27"/>
              </w:rPr>
              <w:t>衰退</w:t>
            </w:r>
          </w:p>
        </w:tc>
        <w:tc>
          <w:tcPr>
            <w:tcW w:w="2255" w:type="dxa"/>
          </w:tcPr>
          <w:p>
            <w:pPr>
              <w:pStyle w:val="TableParagraph"/>
              <w:spacing w:before="97" w:line="283" w:lineRule="exact"/>
              <w:ind w:left="617" w:right="514"/>
              <w:jc w:val="center"/>
              <w:rPr>
                <w:rFonts w:ascii="Arial"/>
                <w:sz w:val="27"/>
              </w:rPr>
            </w:pPr>
            <w:r>
              <w:rPr>
                <w:rFonts w:ascii="Arial"/>
                <w:sz w:val="27"/>
              </w:rPr>
              <w:t>0.2</w:t>
            </w:r>
          </w:p>
        </w:tc>
        <w:tc>
          <w:tcPr>
            <w:tcW w:w="2019" w:type="dxa"/>
          </w:tcPr>
          <w:p>
            <w:pPr>
              <w:pStyle w:val="TableParagraph"/>
              <w:spacing w:before="97" w:line="283" w:lineRule="exact"/>
              <w:ind w:left="142"/>
              <w:jc w:val="center"/>
              <w:rPr>
                <w:rFonts w:ascii="Arial"/>
                <w:sz w:val="27"/>
              </w:rPr>
            </w:pPr>
            <w:r>
              <w:rPr>
                <w:rFonts w:ascii="Arial"/>
                <w:w w:val="89"/>
                <w:sz w:val="27"/>
              </w:rPr>
              <w:t>0</w:t>
            </w:r>
          </w:p>
        </w:tc>
        <w:tc>
          <w:tcPr>
            <w:tcW w:w="2079" w:type="dxa"/>
          </w:tcPr>
          <w:p>
            <w:pPr>
              <w:pStyle w:val="TableParagraph"/>
              <w:spacing w:before="89" w:line="291" w:lineRule="exact"/>
              <w:ind w:left="641" w:right="586"/>
              <w:jc w:val="center"/>
              <w:rPr>
                <w:rFonts w:ascii="Arial" w:hAnsi="Arial"/>
                <w:sz w:val="27"/>
              </w:rPr>
            </w:pPr>
            <w:r>
              <w:rPr>
                <w:rFonts w:ascii="Times New Roman" w:hAnsi="Times New Roman"/>
                <w:sz w:val="27"/>
              </w:rPr>
              <w:t>—</w:t>
            </w:r>
            <w:r>
              <w:rPr>
                <w:rFonts w:ascii="Arial" w:hAnsi="Arial"/>
                <w:sz w:val="27"/>
              </w:rPr>
              <w:t>15%</w:t>
            </w:r>
          </w:p>
        </w:tc>
        <w:tc>
          <w:tcPr>
            <w:tcW w:w="1727" w:type="dxa"/>
          </w:tcPr>
          <w:p>
            <w:pPr>
              <w:pStyle w:val="TableParagraph"/>
              <w:spacing w:before="89" w:line="291" w:lineRule="exact"/>
              <w:ind w:left="308" w:right="24"/>
              <w:jc w:val="center"/>
              <w:rPr>
                <w:rFonts w:ascii="Arial" w:hAnsi="Arial"/>
                <w:sz w:val="27"/>
              </w:rPr>
            </w:pPr>
            <w:r>
              <w:rPr>
                <w:rFonts w:ascii="Times New Roman" w:hAnsi="Times New Roman"/>
                <w:sz w:val="27"/>
              </w:rPr>
              <w:t>—</w:t>
            </w:r>
            <w:r>
              <w:rPr>
                <w:rFonts w:ascii="Arial" w:hAnsi="Arial"/>
                <w:sz w:val="27"/>
              </w:rPr>
              <w:t>30%</w:t>
            </w:r>
          </w:p>
        </w:tc>
      </w:tr>
    </w:tbl>
    <w:p>
      <w:pPr>
        <w:pStyle w:val="BodyText"/>
        <w:ind w:left="0"/>
        <w:rPr>
          <w:sz w:val="32"/>
        </w:rPr>
      </w:pPr>
    </w:p>
    <w:p>
      <w:pPr>
        <w:pStyle w:val="BodyText"/>
        <w:ind w:left="0"/>
        <w:rPr>
          <w:sz w:val="32"/>
        </w:rPr>
      </w:pPr>
    </w:p>
    <w:p>
      <w:pPr>
        <w:spacing w:before="283"/>
        <w:ind w:left="2700" w:right="0" w:firstLine="0"/>
        <w:jc w:val="left"/>
        <w:rPr>
          <w:sz w:val="18"/>
        </w:rPr>
      </w:pPr>
      <w:r>
        <w:rPr>
          <w:sz w:val="18"/>
        </w:rPr>
        <w:t>、</w:t>
      </w:r>
    </w:p>
    <w:p>
      <w:pPr>
        <w:pStyle w:val="BodyText"/>
        <w:spacing w:before="40" w:line="283" w:lineRule="auto"/>
        <w:ind w:right="2670"/>
      </w:pPr>
      <w:r>
        <w:t>假设凯茜公司的风险报酬系数为 8%，大卫公司风险报酬系数为 9%，爱德华公司风险报酬系数为 10%。作为一名稳健的投资者，欲投资于期望报酬率较高而风险报酬率较低的公司。要求：试通过计算作出选择。</w:t>
      </w:r>
    </w:p>
    <w:p>
      <w:pPr>
        <w:pStyle w:val="BodyText"/>
        <w:spacing w:before="5"/>
        <w:ind w:left="0"/>
        <w:rPr>
          <w:sz w:val="36"/>
        </w:rPr>
      </w:pPr>
    </w:p>
    <w:p>
      <w:pPr>
        <w:pStyle w:val="BodyText"/>
      </w:pPr>
      <w:r>
        <w:t>2.（计算题)甲投资项目与经济环境状况有关，有关概率分布与预期报酬率如下表：</w:t>
      </w:r>
    </w:p>
    <w:p>
      <w:pPr>
        <w:spacing w:after="0"/>
        <w:sectPr>
          <w:headerReference w:type="default" r:id="rId24"/>
          <w:pgSz w:w="17860" w:h="25260"/>
          <w:pgMar w:top="1360" w:right="0" w:bottom="280" w:left="0" w:header="1160" w:footer="0"/>
          <w:pgNumType w:start="7"/>
          <w:cols w:space="708"/>
        </w:sectPr>
      </w:pPr>
    </w:p>
    <w:p>
      <w:pPr>
        <w:pStyle w:val="BodyText"/>
        <w:ind w:left="0"/>
        <w:rPr>
          <w:sz w:val="20"/>
        </w:rPr>
      </w:pPr>
    </w:p>
    <w:p>
      <w:pPr>
        <w:pStyle w:val="BodyText"/>
        <w:ind w:left="0"/>
        <w:rPr>
          <w:sz w:val="20"/>
        </w:rPr>
      </w:pPr>
    </w:p>
    <w:p>
      <w:pPr>
        <w:pStyle w:val="BodyText"/>
        <w:spacing w:before="9"/>
        <w:ind w:left="0"/>
        <w:rPr>
          <w:sz w:val="27"/>
        </w:rPr>
      </w:pPr>
    </w:p>
    <w:tbl>
      <w:tblPr>
        <w:tblStyle w:val="TableNormal3"/>
        <w:tblW w:w="0" w:type="auto"/>
        <w:jc w:val="left"/>
        <w:tblInd w:w="4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00"/>
        <w:gridCol w:w="3893"/>
        <w:gridCol w:w="2301"/>
      </w:tblGrid>
      <w:tr>
        <w:tblPrEx>
          <w:tblW w:w="0" w:type="auto"/>
          <w:jc w:val="left"/>
          <w:tblInd w:w="4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8"/>
          <w:jc w:val="left"/>
        </w:trPr>
        <w:tc>
          <w:tcPr>
            <w:tcW w:w="2500" w:type="dxa"/>
          </w:tcPr>
          <w:p>
            <w:pPr>
              <w:pStyle w:val="TableParagraph"/>
              <w:spacing w:line="307" w:lineRule="exact"/>
              <w:ind w:left="29" w:right="1350"/>
              <w:jc w:val="center"/>
              <w:rPr>
                <w:sz w:val="27"/>
              </w:rPr>
            </w:pPr>
            <w:r>
              <w:rPr>
                <w:sz w:val="27"/>
              </w:rPr>
              <w:t>经济状况</w:t>
            </w:r>
          </w:p>
        </w:tc>
        <w:tc>
          <w:tcPr>
            <w:tcW w:w="3893" w:type="dxa"/>
          </w:tcPr>
          <w:p>
            <w:pPr>
              <w:pStyle w:val="TableParagraph"/>
              <w:spacing w:line="307" w:lineRule="exact"/>
              <w:ind w:left="1353" w:right="1420"/>
              <w:jc w:val="center"/>
              <w:rPr>
                <w:sz w:val="27"/>
              </w:rPr>
            </w:pPr>
            <w:r>
              <w:rPr>
                <w:sz w:val="27"/>
              </w:rPr>
              <w:t>发生概率</w:t>
            </w:r>
          </w:p>
        </w:tc>
        <w:tc>
          <w:tcPr>
            <w:tcW w:w="2301" w:type="dxa"/>
          </w:tcPr>
          <w:p>
            <w:pPr>
              <w:pStyle w:val="TableParagraph"/>
              <w:spacing w:line="307" w:lineRule="exact"/>
              <w:ind w:left="1422" w:right="29"/>
              <w:jc w:val="center"/>
              <w:rPr>
                <w:sz w:val="27"/>
              </w:rPr>
            </w:pPr>
            <w:r>
              <w:rPr>
                <w:sz w:val="27"/>
              </w:rPr>
              <w:t>报酬率</w:t>
            </w:r>
          </w:p>
        </w:tc>
      </w:tr>
      <w:tr>
        <w:tblPrEx>
          <w:tblW w:w="0" w:type="auto"/>
          <w:jc w:val="left"/>
          <w:tblInd w:w="4055" w:type="dxa"/>
          <w:tblLayout w:type="fixed"/>
          <w:tblCellMar>
            <w:top w:w="0" w:type="dxa"/>
            <w:left w:w="0" w:type="dxa"/>
            <w:bottom w:w="0" w:type="dxa"/>
            <w:right w:w="0" w:type="dxa"/>
          </w:tblCellMar>
          <w:tblLook w:val="01E0"/>
        </w:tblPrEx>
        <w:trPr>
          <w:trHeight w:val="481"/>
          <w:jc w:val="left"/>
        </w:trPr>
        <w:tc>
          <w:tcPr>
            <w:tcW w:w="2500" w:type="dxa"/>
          </w:tcPr>
          <w:p>
            <w:pPr>
              <w:pStyle w:val="TableParagraph"/>
              <w:spacing w:before="84"/>
              <w:ind w:left="28" w:right="1350"/>
              <w:jc w:val="center"/>
              <w:rPr>
                <w:sz w:val="27"/>
              </w:rPr>
            </w:pPr>
            <w:r>
              <w:rPr>
                <w:sz w:val="27"/>
              </w:rPr>
              <w:t>很差</w:t>
            </w:r>
          </w:p>
        </w:tc>
        <w:tc>
          <w:tcPr>
            <w:tcW w:w="3893" w:type="dxa"/>
          </w:tcPr>
          <w:p>
            <w:pPr>
              <w:pStyle w:val="TableParagraph"/>
              <w:spacing w:before="101"/>
              <w:ind w:left="1349" w:right="1420"/>
              <w:jc w:val="center"/>
              <w:rPr>
                <w:rFonts w:ascii="Arial"/>
                <w:sz w:val="27"/>
              </w:rPr>
            </w:pPr>
            <w:r>
              <w:rPr>
                <w:rFonts w:ascii="Arial"/>
                <w:sz w:val="27"/>
              </w:rPr>
              <w:t>0.15</w:t>
            </w:r>
          </w:p>
        </w:tc>
        <w:tc>
          <w:tcPr>
            <w:tcW w:w="2301" w:type="dxa"/>
          </w:tcPr>
          <w:p>
            <w:pPr>
              <w:pStyle w:val="TableParagraph"/>
              <w:spacing w:before="84"/>
              <w:ind w:left="1414" w:right="29"/>
              <w:jc w:val="center"/>
              <w:rPr>
                <w:rFonts w:ascii="Arial" w:eastAsia="Arial"/>
                <w:sz w:val="27"/>
              </w:rPr>
            </w:pPr>
            <w:r>
              <w:rPr>
                <w:sz w:val="27"/>
              </w:rPr>
              <w:t>－</w:t>
            </w:r>
            <w:r>
              <w:rPr>
                <w:rFonts w:ascii="Arial" w:eastAsia="Arial"/>
                <w:sz w:val="27"/>
              </w:rPr>
              <w:t>0.1</w:t>
            </w:r>
          </w:p>
        </w:tc>
      </w:tr>
      <w:tr>
        <w:tblPrEx>
          <w:tblW w:w="0" w:type="auto"/>
          <w:jc w:val="left"/>
          <w:tblInd w:w="4055" w:type="dxa"/>
          <w:tblLayout w:type="fixed"/>
          <w:tblCellMar>
            <w:top w:w="0" w:type="dxa"/>
            <w:left w:w="0" w:type="dxa"/>
            <w:bottom w:w="0" w:type="dxa"/>
            <w:right w:w="0" w:type="dxa"/>
          </w:tblCellMar>
          <w:tblLook w:val="01E0"/>
        </w:tblPrEx>
        <w:trPr>
          <w:trHeight w:val="481"/>
          <w:jc w:val="left"/>
        </w:trPr>
        <w:tc>
          <w:tcPr>
            <w:tcW w:w="2500" w:type="dxa"/>
          </w:tcPr>
          <w:p>
            <w:pPr>
              <w:pStyle w:val="TableParagraph"/>
              <w:spacing w:before="84"/>
              <w:ind w:left="28" w:right="1350"/>
              <w:jc w:val="center"/>
              <w:rPr>
                <w:sz w:val="27"/>
              </w:rPr>
            </w:pPr>
            <w:r>
              <w:rPr>
                <w:sz w:val="27"/>
              </w:rPr>
              <w:t>一般</w:t>
            </w:r>
          </w:p>
        </w:tc>
        <w:tc>
          <w:tcPr>
            <w:tcW w:w="3893" w:type="dxa"/>
          </w:tcPr>
          <w:p>
            <w:pPr>
              <w:pStyle w:val="TableParagraph"/>
              <w:spacing w:before="101"/>
              <w:ind w:left="1349" w:right="1420"/>
              <w:jc w:val="center"/>
              <w:rPr>
                <w:rFonts w:ascii="Arial"/>
                <w:sz w:val="27"/>
              </w:rPr>
            </w:pPr>
            <w:r>
              <w:rPr>
                <w:rFonts w:ascii="Arial"/>
                <w:sz w:val="27"/>
              </w:rPr>
              <w:t>0.25</w:t>
            </w:r>
          </w:p>
        </w:tc>
        <w:tc>
          <w:tcPr>
            <w:tcW w:w="2301" w:type="dxa"/>
          </w:tcPr>
          <w:p>
            <w:pPr>
              <w:pStyle w:val="TableParagraph"/>
              <w:spacing w:before="101"/>
              <w:ind w:left="1415" w:right="29"/>
              <w:jc w:val="center"/>
              <w:rPr>
                <w:rFonts w:ascii="Arial"/>
                <w:sz w:val="27"/>
              </w:rPr>
            </w:pPr>
            <w:r>
              <w:rPr>
                <w:rFonts w:ascii="Arial"/>
                <w:sz w:val="27"/>
              </w:rPr>
              <w:t>0.14</w:t>
            </w:r>
          </w:p>
        </w:tc>
      </w:tr>
      <w:tr>
        <w:tblPrEx>
          <w:tblW w:w="0" w:type="auto"/>
          <w:jc w:val="left"/>
          <w:tblInd w:w="4055" w:type="dxa"/>
          <w:tblLayout w:type="fixed"/>
          <w:tblCellMar>
            <w:top w:w="0" w:type="dxa"/>
            <w:left w:w="0" w:type="dxa"/>
            <w:bottom w:w="0" w:type="dxa"/>
            <w:right w:w="0" w:type="dxa"/>
          </w:tblCellMar>
          <w:tblLook w:val="01E0"/>
        </w:tblPrEx>
        <w:trPr>
          <w:trHeight w:val="483"/>
          <w:jc w:val="left"/>
        </w:trPr>
        <w:tc>
          <w:tcPr>
            <w:tcW w:w="2500" w:type="dxa"/>
          </w:tcPr>
          <w:p>
            <w:pPr>
              <w:pStyle w:val="TableParagraph"/>
              <w:spacing w:before="84"/>
              <w:ind w:left="28" w:right="1350"/>
              <w:jc w:val="center"/>
              <w:rPr>
                <w:sz w:val="27"/>
              </w:rPr>
            </w:pPr>
            <w:r>
              <w:rPr>
                <w:sz w:val="27"/>
              </w:rPr>
              <w:t>较好</w:t>
            </w:r>
          </w:p>
        </w:tc>
        <w:tc>
          <w:tcPr>
            <w:tcW w:w="3893" w:type="dxa"/>
          </w:tcPr>
          <w:p>
            <w:pPr>
              <w:pStyle w:val="TableParagraph"/>
              <w:spacing w:before="101"/>
              <w:ind w:left="1349" w:right="1420"/>
              <w:jc w:val="center"/>
              <w:rPr>
                <w:rFonts w:ascii="Arial"/>
                <w:sz w:val="27"/>
              </w:rPr>
            </w:pPr>
            <w:r>
              <w:rPr>
                <w:rFonts w:ascii="Arial"/>
                <w:sz w:val="27"/>
              </w:rPr>
              <w:t>0.40</w:t>
            </w:r>
          </w:p>
        </w:tc>
        <w:tc>
          <w:tcPr>
            <w:tcW w:w="2301" w:type="dxa"/>
          </w:tcPr>
          <w:p>
            <w:pPr>
              <w:pStyle w:val="TableParagraph"/>
              <w:spacing w:before="101"/>
              <w:ind w:left="1418" w:right="29"/>
              <w:jc w:val="center"/>
              <w:rPr>
                <w:rFonts w:ascii="Arial"/>
                <w:sz w:val="27"/>
              </w:rPr>
            </w:pPr>
            <w:r>
              <w:rPr>
                <w:rFonts w:ascii="Arial"/>
                <w:sz w:val="27"/>
              </w:rPr>
              <w:t>0.2</w:t>
            </w:r>
          </w:p>
        </w:tc>
      </w:tr>
      <w:tr>
        <w:tblPrEx>
          <w:tblW w:w="0" w:type="auto"/>
          <w:jc w:val="left"/>
          <w:tblInd w:w="4055" w:type="dxa"/>
          <w:tblLayout w:type="fixed"/>
          <w:tblCellMar>
            <w:top w:w="0" w:type="dxa"/>
            <w:left w:w="0" w:type="dxa"/>
            <w:bottom w:w="0" w:type="dxa"/>
            <w:right w:w="0" w:type="dxa"/>
          </w:tblCellMar>
          <w:tblLook w:val="01E0"/>
        </w:tblPrEx>
        <w:trPr>
          <w:trHeight w:val="393"/>
          <w:jc w:val="left"/>
        </w:trPr>
        <w:tc>
          <w:tcPr>
            <w:tcW w:w="2500" w:type="dxa"/>
          </w:tcPr>
          <w:p>
            <w:pPr>
              <w:pStyle w:val="TableParagraph"/>
              <w:spacing w:before="86" w:line="288" w:lineRule="exact"/>
              <w:ind w:left="28" w:right="1350"/>
              <w:jc w:val="center"/>
              <w:rPr>
                <w:sz w:val="27"/>
              </w:rPr>
            </w:pPr>
            <w:r>
              <w:rPr>
                <w:sz w:val="27"/>
              </w:rPr>
              <w:t>很好</w:t>
            </w:r>
          </w:p>
        </w:tc>
        <w:tc>
          <w:tcPr>
            <w:tcW w:w="3893" w:type="dxa"/>
          </w:tcPr>
          <w:p>
            <w:pPr>
              <w:pStyle w:val="TableParagraph"/>
              <w:spacing w:before="103" w:line="271" w:lineRule="exact"/>
              <w:ind w:left="1350" w:right="1420"/>
              <w:jc w:val="center"/>
              <w:rPr>
                <w:rFonts w:ascii="Arial"/>
                <w:sz w:val="27"/>
              </w:rPr>
            </w:pPr>
            <w:r>
              <w:rPr>
                <w:rFonts w:ascii="Arial"/>
                <w:sz w:val="27"/>
              </w:rPr>
              <w:t>0.2</w:t>
            </w:r>
          </w:p>
        </w:tc>
        <w:tc>
          <w:tcPr>
            <w:tcW w:w="2301" w:type="dxa"/>
          </w:tcPr>
          <w:p>
            <w:pPr>
              <w:pStyle w:val="TableParagraph"/>
              <w:spacing w:before="103" w:line="271" w:lineRule="exact"/>
              <w:ind w:left="1415" w:right="29"/>
              <w:jc w:val="center"/>
              <w:rPr>
                <w:rFonts w:ascii="Arial"/>
                <w:sz w:val="27"/>
              </w:rPr>
            </w:pPr>
            <w:r>
              <w:rPr>
                <w:rFonts w:ascii="Arial"/>
                <w:sz w:val="27"/>
              </w:rPr>
              <w:t>0.25</w:t>
            </w:r>
          </w:p>
        </w:tc>
      </w:tr>
    </w:tbl>
    <w:p>
      <w:pPr>
        <w:pStyle w:val="BodyText"/>
        <w:ind w:left="0"/>
        <w:rPr>
          <w:sz w:val="20"/>
        </w:rPr>
      </w:pPr>
    </w:p>
    <w:p>
      <w:pPr>
        <w:pStyle w:val="BodyText"/>
        <w:ind w:left="0"/>
        <w:rPr>
          <w:sz w:val="20"/>
        </w:rPr>
      </w:pPr>
    </w:p>
    <w:p>
      <w:pPr>
        <w:pStyle w:val="BodyText"/>
        <w:spacing w:before="10"/>
        <w:ind w:left="0"/>
        <w:rPr>
          <w:sz w:val="15"/>
        </w:rPr>
      </w:pPr>
    </w:p>
    <w:p>
      <w:pPr>
        <w:pStyle w:val="BodyText"/>
        <w:spacing w:before="62"/>
      </w:pPr>
      <w:r>
        <w:drawing>
          <wp:anchor distT="0" distB="0" distL="0" distR="0" simplePos="0" relativeHeight="251676672" behindDoc="1" locked="0" layoutInCell="1" allowOverlap="1">
            <wp:simplePos x="0" y="0"/>
            <wp:positionH relativeFrom="page">
              <wp:posOffset>1714500</wp:posOffset>
            </wp:positionH>
            <wp:positionV relativeFrom="paragraph">
              <wp:posOffset>-1969515</wp:posOffset>
            </wp:positionV>
            <wp:extent cx="7309580" cy="1558194"/>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5" cstate="print"/>
                    <a:stretch>
                      <a:fillRect/>
                    </a:stretch>
                  </pic:blipFill>
                  <pic:spPr>
                    <a:xfrm>
                      <a:off x="0" y="0"/>
                      <a:ext cx="7309580" cy="1558194"/>
                    </a:xfrm>
                    <a:prstGeom prst="rect">
                      <a:avLst/>
                    </a:prstGeom>
                  </pic:spPr>
                </pic:pic>
              </a:graphicData>
            </a:graphic>
          </wp:anchor>
        </w:drawing>
      </w:r>
      <w:r>
        <w:rPr>
          <w:spacing w:val="-54"/>
          <w:w w:val="102"/>
        </w:rPr>
        <w:t>要求：</w:t>
      </w:r>
      <w:r>
        <w:rPr>
          <w:spacing w:val="-1"/>
          <w:w w:val="102"/>
        </w:rPr>
        <w:t>（</w:t>
      </w:r>
      <w:r>
        <w:rPr>
          <w:w w:val="102"/>
        </w:rPr>
        <w:t>1）计算甲投资项目的期望值。</w:t>
      </w:r>
    </w:p>
    <w:p>
      <w:pPr>
        <w:pStyle w:val="ListParagraph"/>
        <w:numPr>
          <w:ilvl w:val="0"/>
          <w:numId w:val="101"/>
        </w:numPr>
        <w:tabs>
          <w:tab w:val="left" w:pos="3494"/>
        </w:tabs>
        <w:spacing w:before="71" w:after="0" w:line="240" w:lineRule="auto"/>
        <w:ind w:left="3493" w:right="0" w:hanging="794"/>
        <w:jc w:val="left"/>
        <w:rPr>
          <w:sz w:val="31"/>
        </w:rPr>
      </w:pPr>
      <w:r>
        <w:rPr>
          <w:sz w:val="31"/>
        </w:rPr>
        <w:t>计算甲投资项目的标准离差。</w:t>
      </w:r>
    </w:p>
    <w:p>
      <w:pPr>
        <w:pStyle w:val="ListParagraph"/>
        <w:numPr>
          <w:ilvl w:val="0"/>
          <w:numId w:val="101"/>
        </w:numPr>
        <w:tabs>
          <w:tab w:val="left" w:pos="3494"/>
        </w:tabs>
        <w:spacing w:before="71" w:after="0" w:line="240" w:lineRule="auto"/>
        <w:ind w:left="3493" w:right="0" w:hanging="794"/>
        <w:jc w:val="left"/>
        <w:rPr>
          <w:sz w:val="31"/>
        </w:rPr>
      </w:pPr>
      <w:r>
        <w:rPr>
          <w:sz w:val="31"/>
        </w:rPr>
        <w:t>计算甲投资项目的标准离差率。</w:t>
      </w:r>
    </w:p>
    <w:p>
      <w:pPr>
        <w:spacing w:before="279"/>
        <w:ind w:left="2700" w:right="0" w:firstLine="0"/>
        <w:jc w:val="left"/>
        <w:rPr>
          <w:rFonts w:ascii="Arial"/>
          <w:sz w:val="18"/>
        </w:rPr>
      </w:pPr>
      <w:r>
        <w:rPr>
          <w:rFonts w:ascii="Arial"/>
          <w:w w:val="99"/>
          <w:sz w:val="18"/>
        </w:rPr>
        <w:t>`</w:t>
      </w:r>
    </w:p>
    <w:p>
      <w:pPr>
        <w:pStyle w:val="BodyText"/>
        <w:ind w:left="0"/>
        <w:rPr>
          <w:rFonts w:ascii="Arial"/>
          <w:sz w:val="18"/>
        </w:rPr>
      </w:pPr>
    </w:p>
    <w:p>
      <w:pPr>
        <w:pStyle w:val="BodyText"/>
        <w:ind w:left="0"/>
        <w:rPr>
          <w:rFonts w:ascii="Arial"/>
          <w:sz w:val="18"/>
        </w:rPr>
      </w:pPr>
    </w:p>
    <w:p>
      <w:pPr>
        <w:pStyle w:val="BodyText"/>
        <w:spacing w:before="107" w:line="283" w:lineRule="auto"/>
        <w:ind w:right="2586"/>
      </w:pPr>
      <w:r>
        <w:drawing>
          <wp:anchor distT="0" distB="0" distL="0" distR="0" simplePos="0" relativeHeight="251675648" behindDoc="1" locked="0" layoutInCell="1" allowOverlap="1">
            <wp:simplePos x="0" y="0"/>
            <wp:positionH relativeFrom="page">
              <wp:posOffset>1713229</wp:posOffset>
            </wp:positionH>
            <wp:positionV relativeFrom="paragraph">
              <wp:posOffset>622554</wp:posOffset>
            </wp:positionV>
            <wp:extent cx="7341870" cy="1486153"/>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6" cstate="print"/>
                    <a:stretch>
                      <a:fillRect/>
                    </a:stretch>
                  </pic:blipFill>
                  <pic:spPr>
                    <a:xfrm>
                      <a:off x="0" y="0"/>
                      <a:ext cx="7341870" cy="1486153"/>
                    </a:xfrm>
                    <a:prstGeom prst="rect">
                      <a:avLst/>
                    </a:prstGeom>
                  </pic:spPr>
                </pic:pic>
              </a:graphicData>
            </a:graphic>
          </wp:anchor>
        </w:drawing>
      </w:r>
      <w:r>
        <w:t>3.（计算题)假设红星电器厂准备投资开发集成电路生产线，根据市场预测，预计可能获得的年报酬及概率资料见下表。</w:t>
      </w:r>
    </w:p>
    <w:p>
      <w:pPr>
        <w:pStyle w:val="BodyText"/>
        <w:spacing w:before="6"/>
        <w:ind w:left="0"/>
        <w:rPr>
          <w:sz w:val="22"/>
        </w:rPr>
      </w:pPr>
    </w:p>
    <w:tbl>
      <w:tblPr>
        <w:tblStyle w:val="TableNormal3"/>
        <w:tblW w:w="0" w:type="auto"/>
        <w:jc w:val="left"/>
        <w:tblInd w:w="3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90"/>
        <w:gridCol w:w="5109"/>
        <w:gridCol w:w="2359"/>
      </w:tblGrid>
      <w:tr>
        <w:tblPrEx>
          <w:tblW w:w="0" w:type="auto"/>
          <w:jc w:val="left"/>
          <w:tblInd w:w="3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6"/>
          <w:jc w:val="left"/>
        </w:trPr>
        <w:tc>
          <w:tcPr>
            <w:tcW w:w="1990" w:type="dxa"/>
          </w:tcPr>
          <w:p>
            <w:pPr>
              <w:pStyle w:val="TableParagraph"/>
              <w:spacing w:before="3"/>
              <w:ind w:left="20" w:right="837"/>
              <w:jc w:val="center"/>
              <w:rPr>
                <w:sz w:val="26"/>
              </w:rPr>
            </w:pPr>
            <w:r>
              <w:rPr>
                <w:w w:val="105"/>
                <w:sz w:val="26"/>
              </w:rPr>
              <w:t>市场状况</w:t>
            </w:r>
          </w:p>
        </w:tc>
        <w:tc>
          <w:tcPr>
            <w:tcW w:w="5109" w:type="dxa"/>
          </w:tcPr>
          <w:p>
            <w:pPr>
              <w:pStyle w:val="TableParagraph"/>
              <w:spacing w:before="3"/>
              <w:ind w:left="846" w:right="976"/>
              <w:jc w:val="center"/>
              <w:rPr>
                <w:sz w:val="26"/>
              </w:rPr>
            </w:pPr>
            <w:r>
              <w:rPr>
                <w:w w:val="105"/>
                <w:sz w:val="26"/>
              </w:rPr>
              <w:t>预计年报酬（</w:t>
            </w:r>
            <w:r>
              <w:rPr>
                <w:rFonts w:ascii="Arial" w:eastAsia="Arial"/>
                <w:w w:val="105"/>
                <w:sz w:val="26"/>
              </w:rPr>
              <w:t>Xi</w:t>
            </w:r>
            <w:r>
              <w:rPr>
                <w:w w:val="105"/>
                <w:sz w:val="26"/>
              </w:rPr>
              <w:t>）（万元）</w:t>
            </w:r>
          </w:p>
        </w:tc>
        <w:tc>
          <w:tcPr>
            <w:tcW w:w="2359" w:type="dxa"/>
          </w:tcPr>
          <w:p>
            <w:pPr>
              <w:pStyle w:val="TableParagraph"/>
              <w:spacing w:before="3"/>
              <w:ind w:left="997" w:right="49"/>
              <w:jc w:val="center"/>
              <w:rPr>
                <w:sz w:val="26"/>
              </w:rPr>
            </w:pPr>
            <w:r>
              <w:rPr>
                <w:sz w:val="26"/>
              </w:rPr>
              <w:t>概率（</w:t>
            </w:r>
            <w:r>
              <w:rPr>
                <w:rFonts w:ascii="Arial" w:eastAsia="Arial"/>
                <w:sz w:val="26"/>
              </w:rPr>
              <w:t>Pi</w:t>
            </w:r>
            <w:r>
              <w:rPr>
                <w:sz w:val="26"/>
              </w:rPr>
              <w:t>）</w:t>
            </w:r>
          </w:p>
        </w:tc>
      </w:tr>
      <w:tr>
        <w:tblPrEx>
          <w:tblW w:w="0" w:type="auto"/>
          <w:jc w:val="left"/>
          <w:tblInd w:w="3605" w:type="dxa"/>
          <w:tblLayout w:type="fixed"/>
          <w:tblCellMar>
            <w:top w:w="0" w:type="dxa"/>
            <w:left w:w="0" w:type="dxa"/>
            <w:bottom w:w="0" w:type="dxa"/>
            <w:right w:w="0" w:type="dxa"/>
          </w:tblCellMar>
          <w:tblLook w:val="01E0"/>
        </w:tblPrEx>
        <w:trPr>
          <w:trHeight w:val="571"/>
          <w:jc w:val="left"/>
        </w:trPr>
        <w:tc>
          <w:tcPr>
            <w:tcW w:w="1990" w:type="dxa"/>
          </w:tcPr>
          <w:p>
            <w:pPr>
              <w:pStyle w:val="TableParagraph"/>
              <w:spacing w:before="175"/>
              <w:ind w:left="20" w:right="829"/>
              <w:jc w:val="center"/>
              <w:rPr>
                <w:sz w:val="26"/>
              </w:rPr>
            </w:pPr>
            <w:r>
              <w:rPr>
                <w:w w:val="105"/>
                <w:sz w:val="26"/>
              </w:rPr>
              <w:t>繁荣</w:t>
            </w:r>
          </w:p>
        </w:tc>
        <w:tc>
          <w:tcPr>
            <w:tcW w:w="5109" w:type="dxa"/>
          </w:tcPr>
          <w:p>
            <w:pPr>
              <w:pStyle w:val="TableParagraph"/>
              <w:spacing w:before="175"/>
              <w:ind w:left="846" w:right="962"/>
              <w:jc w:val="center"/>
              <w:rPr>
                <w:sz w:val="26"/>
              </w:rPr>
            </w:pPr>
            <w:r>
              <w:rPr>
                <w:w w:val="105"/>
                <w:sz w:val="26"/>
              </w:rPr>
              <w:t>600</w:t>
            </w:r>
          </w:p>
        </w:tc>
        <w:tc>
          <w:tcPr>
            <w:tcW w:w="2359" w:type="dxa"/>
          </w:tcPr>
          <w:p>
            <w:pPr>
              <w:pStyle w:val="TableParagraph"/>
              <w:spacing w:before="175"/>
              <w:ind w:left="990" w:right="49"/>
              <w:jc w:val="center"/>
              <w:rPr>
                <w:sz w:val="26"/>
              </w:rPr>
            </w:pPr>
            <w:r>
              <w:rPr>
                <w:w w:val="105"/>
                <w:sz w:val="26"/>
              </w:rPr>
              <w:t>0.3</w:t>
            </w:r>
          </w:p>
        </w:tc>
      </w:tr>
      <w:tr>
        <w:tblPrEx>
          <w:tblW w:w="0" w:type="auto"/>
          <w:jc w:val="left"/>
          <w:tblInd w:w="3605" w:type="dxa"/>
          <w:tblLayout w:type="fixed"/>
          <w:tblCellMar>
            <w:top w:w="0" w:type="dxa"/>
            <w:left w:w="0" w:type="dxa"/>
            <w:bottom w:w="0" w:type="dxa"/>
            <w:right w:w="0" w:type="dxa"/>
          </w:tblCellMar>
          <w:tblLook w:val="01E0"/>
        </w:tblPrEx>
        <w:trPr>
          <w:trHeight w:val="463"/>
          <w:jc w:val="left"/>
        </w:trPr>
        <w:tc>
          <w:tcPr>
            <w:tcW w:w="1990" w:type="dxa"/>
          </w:tcPr>
          <w:p>
            <w:pPr>
              <w:pStyle w:val="TableParagraph"/>
              <w:spacing w:before="68"/>
              <w:ind w:left="20" w:right="829"/>
              <w:jc w:val="center"/>
              <w:rPr>
                <w:sz w:val="26"/>
              </w:rPr>
            </w:pPr>
            <w:r>
              <w:rPr>
                <w:w w:val="105"/>
                <w:sz w:val="26"/>
              </w:rPr>
              <w:t>一般</w:t>
            </w:r>
          </w:p>
        </w:tc>
        <w:tc>
          <w:tcPr>
            <w:tcW w:w="5109" w:type="dxa"/>
          </w:tcPr>
          <w:p>
            <w:pPr>
              <w:pStyle w:val="TableParagraph"/>
              <w:spacing w:before="68"/>
              <w:ind w:left="846" w:right="962"/>
              <w:jc w:val="center"/>
              <w:rPr>
                <w:sz w:val="26"/>
              </w:rPr>
            </w:pPr>
            <w:r>
              <w:rPr>
                <w:w w:val="105"/>
                <w:sz w:val="26"/>
              </w:rPr>
              <w:t>300</w:t>
            </w:r>
          </w:p>
        </w:tc>
        <w:tc>
          <w:tcPr>
            <w:tcW w:w="2359" w:type="dxa"/>
          </w:tcPr>
          <w:p>
            <w:pPr>
              <w:pStyle w:val="TableParagraph"/>
              <w:spacing w:before="68"/>
              <w:ind w:left="990" w:right="49"/>
              <w:jc w:val="center"/>
              <w:rPr>
                <w:sz w:val="26"/>
              </w:rPr>
            </w:pPr>
            <w:r>
              <w:rPr>
                <w:w w:val="105"/>
                <w:sz w:val="26"/>
              </w:rPr>
              <w:t>0.5</w:t>
            </w:r>
          </w:p>
        </w:tc>
      </w:tr>
      <w:tr>
        <w:tblPrEx>
          <w:tblW w:w="0" w:type="auto"/>
          <w:jc w:val="left"/>
          <w:tblInd w:w="3605" w:type="dxa"/>
          <w:tblLayout w:type="fixed"/>
          <w:tblCellMar>
            <w:top w:w="0" w:type="dxa"/>
            <w:left w:w="0" w:type="dxa"/>
            <w:bottom w:w="0" w:type="dxa"/>
            <w:right w:w="0" w:type="dxa"/>
          </w:tblCellMar>
          <w:tblLook w:val="01E0"/>
        </w:tblPrEx>
        <w:trPr>
          <w:trHeight w:val="365"/>
          <w:jc w:val="left"/>
        </w:trPr>
        <w:tc>
          <w:tcPr>
            <w:tcW w:w="1990" w:type="dxa"/>
          </w:tcPr>
          <w:p>
            <w:pPr>
              <w:pStyle w:val="TableParagraph"/>
              <w:spacing w:before="68" w:line="278" w:lineRule="exact"/>
              <w:ind w:left="20" w:right="829"/>
              <w:jc w:val="center"/>
              <w:rPr>
                <w:sz w:val="26"/>
              </w:rPr>
            </w:pPr>
            <w:r>
              <w:rPr>
                <w:w w:val="105"/>
                <w:sz w:val="26"/>
              </w:rPr>
              <w:t>衰退</w:t>
            </w:r>
          </w:p>
        </w:tc>
        <w:tc>
          <w:tcPr>
            <w:tcW w:w="5109" w:type="dxa"/>
          </w:tcPr>
          <w:p>
            <w:pPr>
              <w:pStyle w:val="TableParagraph"/>
              <w:spacing w:before="68" w:line="278" w:lineRule="exact"/>
              <w:ind w:right="110"/>
              <w:jc w:val="center"/>
              <w:rPr>
                <w:sz w:val="26"/>
              </w:rPr>
            </w:pPr>
            <w:r>
              <w:rPr>
                <w:w w:val="102"/>
                <w:sz w:val="26"/>
              </w:rPr>
              <w:t>0</w:t>
            </w:r>
          </w:p>
        </w:tc>
        <w:tc>
          <w:tcPr>
            <w:tcW w:w="2359" w:type="dxa"/>
          </w:tcPr>
          <w:p>
            <w:pPr>
              <w:pStyle w:val="TableParagraph"/>
              <w:spacing w:before="68" w:line="278" w:lineRule="exact"/>
              <w:ind w:left="990" w:right="49"/>
              <w:jc w:val="center"/>
              <w:rPr>
                <w:sz w:val="26"/>
              </w:rPr>
            </w:pPr>
            <w:r>
              <w:rPr>
                <w:w w:val="105"/>
                <w:sz w:val="26"/>
              </w:rPr>
              <w:t>0.2</w:t>
            </w:r>
          </w:p>
        </w:tc>
      </w:tr>
    </w:tbl>
    <w:p>
      <w:pPr>
        <w:pStyle w:val="BodyText"/>
        <w:spacing w:before="9"/>
        <w:ind w:left="0"/>
        <w:rPr>
          <w:sz w:val="47"/>
        </w:rPr>
      </w:pPr>
    </w:p>
    <w:p>
      <w:pPr>
        <w:pStyle w:val="BodyText"/>
        <w:spacing w:line="283" w:lineRule="auto"/>
        <w:ind w:right="6603"/>
        <w:jc w:val="both"/>
      </w:pPr>
      <w:r>
        <w:t>若已知电器行业的风险报酬系数为 8%，无风险报酬率为 6%。要求：试计算红星电器厂该方案的风险报酬率和风险报酬额。</w:t>
      </w:r>
    </w:p>
    <w:p>
      <w:pPr>
        <w:pStyle w:val="ListParagraph"/>
        <w:numPr>
          <w:ilvl w:val="1"/>
          <w:numId w:val="102"/>
        </w:numPr>
        <w:tabs>
          <w:tab w:val="left" w:pos="3807"/>
        </w:tabs>
        <w:spacing w:before="132" w:after="0" w:line="362" w:lineRule="auto"/>
        <w:ind w:left="2700" w:right="2684" w:firstLine="629"/>
        <w:jc w:val="both"/>
        <w:rPr>
          <w:sz w:val="31"/>
        </w:rPr>
      </w:pPr>
      <w:r>
        <w:rPr>
          <w:spacing w:val="-9"/>
          <w:sz w:val="31"/>
        </w:rPr>
        <w:t xml:space="preserve">某公司拟购置一项设备，目前有 </w:t>
      </w:r>
      <w:r>
        <w:rPr>
          <w:sz w:val="31"/>
        </w:rPr>
        <w:t>A</w:t>
      </w:r>
      <w:r>
        <w:rPr>
          <w:spacing w:val="-98"/>
          <w:sz w:val="31"/>
        </w:rPr>
        <w:t>、</w:t>
      </w:r>
      <w:r>
        <w:rPr>
          <w:sz w:val="31"/>
        </w:rPr>
        <w:t>B</w:t>
      </w:r>
      <w:r>
        <w:rPr>
          <w:spacing w:val="-9"/>
          <w:sz w:val="31"/>
        </w:rPr>
        <w:t xml:space="preserve"> 两种可供选择。Ａ设备的价格比Ｂ设备高</w:t>
      </w:r>
      <w:r>
        <w:rPr>
          <w:sz w:val="31"/>
        </w:rPr>
        <w:t>50000</w:t>
      </w:r>
      <w:r>
        <w:rPr>
          <w:spacing w:val="-5"/>
          <w:sz w:val="31"/>
        </w:rPr>
        <w:t xml:space="preserve">元，但每年可节约维修保养费等费用 </w:t>
      </w:r>
      <w:r>
        <w:rPr>
          <w:sz w:val="31"/>
        </w:rPr>
        <w:t>10000</w:t>
      </w:r>
      <w:r>
        <w:rPr>
          <w:spacing w:val="5"/>
          <w:sz w:val="31"/>
        </w:rPr>
        <w:t xml:space="preserve"> 元。假设</w:t>
      </w:r>
      <w:r>
        <w:rPr>
          <w:spacing w:val="-4"/>
          <w:sz w:val="31"/>
        </w:rPr>
        <w:t>A</w:t>
      </w:r>
      <w:r>
        <w:rPr>
          <w:sz w:val="31"/>
        </w:rPr>
        <w:t>、B</w:t>
      </w:r>
      <w:r>
        <w:rPr>
          <w:spacing w:val="-11"/>
          <w:sz w:val="31"/>
        </w:rPr>
        <w:t xml:space="preserve"> 设备的经济寿命均为 </w:t>
      </w:r>
      <w:r>
        <w:rPr>
          <w:sz w:val="31"/>
        </w:rPr>
        <w:t>6</w:t>
      </w:r>
      <w:r>
        <w:rPr>
          <w:spacing w:val="-11"/>
          <w:sz w:val="31"/>
        </w:rPr>
        <w:t xml:space="preserve"> 年，利率</w:t>
      </w:r>
      <w:r>
        <w:rPr>
          <w:spacing w:val="-33"/>
          <w:sz w:val="31"/>
        </w:rPr>
        <w:t xml:space="preserve">为 </w:t>
      </w:r>
      <w:r>
        <w:rPr>
          <w:sz w:val="31"/>
        </w:rPr>
        <w:t>8</w:t>
      </w:r>
      <w:r>
        <w:rPr>
          <w:spacing w:val="12"/>
          <w:sz w:val="31"/>
        </w:rPr>
        <w:t>%，该公司在</w:t>
      </w:r>
      <w:r>
        <w:rPr>
          <w:sz w:val="31"/>
        </w:rPr>
        <w:t>A</w:t>
      </w:r>
      <w:r>
        <w:rPr>
          <w:spacing w:val="-4"/>
          <w:sz w:val="31"/>
        </w:rPr>
        <w:t>、</w:t>
      </w:r>
      <w:r>
        <w:rPr>
          <w:sz w:val="31"/>
        </w:rPr>
        <w:t>B</w:t>
      </w:r>
      <w:r>
        <w:rPr>
          <w:spacing w:val="-9"/>
          <w:sz w:val="31"/>
        </w:rPr>
        <w:t xml:space="preserve"> 两种设备中必须择一的情况下，应选择哪一种设备</w:t>
      </w:r>
    </w:p>
    <w:p>
      <w:pPr>
        <w:pStyle w:val="ListParagraph"/>
        <w:numPr>
          <w:ilvl w:val="1"/>
          <w:numId w:val="102"/>
        </w:numPr>
        <w:tabs>
          <w:tab w:val="left" w:pos="3807"/>
        </w:tabs>
        <w:spacing w:before="1" w:after="0" w:line="360" w:lineRule="auto"/>
        <w:ind w:left="2700" w:right="2687" w:firstLine="629"/>
        <w:jc w:val="both"/>
        <w:rPr>
          <w:sz w:val="31"/>
        </w:rPr>
      </w:pPr>
      <w:r>
        <w:rPr>
          <w:spacing w:val="-8"/>
          <w:sz w:val="31"/>
        </w:rPr>
        <w:t xml:space="preserve">某人现在存入银行一笔现金，计划 </w:t>
      </w:r>
      <w:r>
        <w:rPr>
          <w:sz w:val="31"/>
        </w:rPr>
        <w:t>8</w:t>
      </w:r>
      <w:r>
        <w:rPr>
          <w:spacing w:val="-8"/>
          <w:sz w:val="31"/>
        </w:rPr>
        <w:t xml:space="preserve"> 年后每年年末从银行提取现金 </w:t>
      </w:r>
      <w:r>
        <w:rPr>
          <w:sz w:val="31"/>
        </w:rPr>
        <w:t>6000</w:t>
      </w:r>
      <w:r>
        <w:rPr>
          <w:spacing w:val="-17"/>
          <w:sz w:val="31"/>
        </w:rPr>
        <w:t xml:space="preserve"> 元，连续</w:t>
      </w:r>
      <w:r>
        <w:rPr>
          <w:spacing w:val="-30"/>
          <w:sz w:val="31"/>
        </w:rPr>
        <w:t xml:space="preserve">提取 </w:t>
      </w:r>
      <w:r>
        <w:rPr>
          <w:sz w:val="31"/>
        </w:rPr>
        <w:t>10</w:t>
      </w:r>
      <w:r>
        <w:rPr>
          <w:spacing w:val="-21"/>
          <w:sz w:val="31"/>
        </w:rPr>
        <w:t xml:space="preserve"> 年，在利率为 </w:t>
      </w:r>
      <w:r>
        <w:rPr>
          <w:sz w:val="31"/>
        </w:rPr>
        <w:t>7%的情况下，现在应存入银行多少元</w:t>
      </w:r>
    </w:p>
    <w:p>
      <w:pPr>
        <w:pStyle w:val="ListParagraph"/>
        <w:numPr>
          <w:ilvl w:val="1"/>
          <w:numId w:val="102"/>
        </w:numPr>
        <w:tabs>
          <w:tab w:val="left" w:pos="3807"/>
        </w:tabs>
        <w:spacing w:before="7" w:after="0" w:line="362" w:lineRule="auto"/>
        <w:ind w:left="2700" w:right="2626" w:firstLine="629"/>
        <w:jc w:val="left"/>
        <w:rPr>
          <w:sz w:val="31"/>
        </w:rPr>
      </w:pPr>
      <w:r>
        <w:rPr>
          <w:spacing w:val="-8"/>
          <w:sz w:val="31"/>
        </w:rPr>
        <w:t xml:space="preserve">某人 </w:t>
      </w:r>
      <w:r>
        <w:rPr>
          <w:sz w:val="31"/>
        </w:rPr>
        <w:t>5</w:t>
      </w:r>
      <w:r>
        <w:rPr>
          <w:spacing w:val="-9"/>
          <w:sz w:val="31"/>
        </w:rPr>
        <w:t xml:space="preserve"> 年后需用现金 </w:t>
      </w:r>
      <w:r>
        <w:rPr>
          <w:sz w:val="31"/>
        </w:rPr>
        <w:t>40000</w:t>
      </w:r>
      <w:r>
        <w:rPr>
          <w:spacing w:val="-4"/>
          <w:sz w:val="31"/>
        </w:rPr>
        <w:t xml:space="preserve"> 元，如果每年年末存款一次，在年利率为</w:t>
      </w:r>
      <w:r>
        <w:rPr>
          <w:sz w:val="31"/>
        </w:rPr>
        <w:t>6</w:t>
      </w:r>
      <w:r>
        <w:rPr>
          <w:spacing w:val="-3"/>
          <w:sz w:val="31"/>
        </w:rPr>
        <w:t xml:space="preserve">%的情况下， </w:t>
      </w:r>
      <w:r>
        <w:rPr>
          <w:sz w:val="31"/>
        </w:rPr>
        <w:t>此人每年年末应存入现金多少元</w:t>
      </w:r>
    </w:p>
    <w:p>
      <w:pPr>
        <w:spacing w:before="78"/>
        <w:ind w:left="2700" w:right="0" w:firstLine="0"/>
        <w:jc w:val="left"/>
        <w:rPr>
          <w:rFonts w:ascii="Arial"/>
          <w:sz w:val="18"/>
        </w:rPr>
      </w:pPr>
      <w:r>
        <w:rPr>
          <w:rFonts w:ascii="Arial"/>
          <w:w w:val="128"/>
          <w:sz w:val="18"/>
        </w:rPr>
        <w:t>*</w:t>
      </w:r>
    </w:p>
    <w:p>
      <w:pPr>
        <w:pStyle w:val="BodyText"/>
        <w:ind w:left="0"/>
        <w:rPr>
          <w:rFonts w:ascii="Arial"/>
          <w:sz w:val="18"/>
        </w:rPr>
      </w:pPr>
    </w:p>
    <w:p>
      <w:pPr>
        <w:pStyle w:val="BodyText"/>
        <w:ind w:left="0"/>
        <w:rPr>
          <w:rFonts w:ascii="Arial"/>
          <w:sz w:val="18"/>
        </w:rPr>
      </w:pPr>
    </w:p>
    <w:p>
      <w:pPr>
        <w:pStyle w:val="Heading2"/>
        <w:spacing w:before="107" w:line="283" w:lineRule="auto"/>
        <w:ind w:right="11990"/>
        <w:jc w:val="both"/>
      </w:pPr>
      <w:r>
        <w:rPr>
          <w:spacing w:val="1"/>
        </w:rPr>
        <w:t>第四章     筹资概述</w:t>
      </w:r>
      <w:r>
        <w:t>一、单项选择题</w:t>
      </w:r>
    </w:p>
    <w:p>
      <w:pPr>
        <w:pStyle w:val="BodyText"/>
        <w:spacing w:line="283" w:lineRule="auto"/>
        <w:ind w:left="3176" w:right="6645" w:hanging="476"/>
        <w:jc w:val="both"/>
      </w:pPr>
      <w:r>
        <w:t>1、企业自有资金的筹资渠道可以采取的筹资方式有（</w:t>
      </w:r>
      <w:r>
        <w:rPr>
          <w:spacing w:val="34"/>
        </w:rPr>
        <w:t xml:space="preserve">    </w:t>
      </w:r>
      <w:r>
        <w:rPr>
          <w:spacing w:val="-159"/>
        </w:rPr>
        <w:t>）</w:t>
      </w:r>
      <w:r>
        <w:rPr>
          <w:spacing w:val="-16"/>
        </w:rPr>
        <w:t>。</w:t>
      </w:r>
      <w:r>
        <w:t>A</w:t>
      </w:r>
      <w:r>
        <w:rPr>
          <w:spacing w:val="-1"/>
        </w:rPr>
        <w:t xml:space="preserve"> .发行股票</w:t>
      </w:r>
    </w:p>
    <w:p>
      <w:pPr>
        <w:pStyle w:val="BodyText"/>
        <w:spacing w:line="283" w:lineRule="auto"/>
        <w:ind w:left="3176" w:right="12944"/>
        <w:jc w:val="both"/>
      </w:pPr>
      <w:r>
        <w:t>B .商业信用C .发行债券D</w:t>
      </w:r>
      <w:r>
        <w:rPr>
          <w:spacing w:val="1"/>
        </w:rPr>
        <w:t xml:space="preserve"> .融资租赁</w:t>
      </w:r>
    </w:p>
    <w:p>
      <w:pPr>
        <w:spacing w:before="193"/>
        <w:ind w:left="2700" w:right="0" w:firstLine="0"/>
        <w:jc w:val="left"/>
        <w:rPr>
          <w:sz w:val="18"/>
        </w:rPr>
      </w:pPr>
      <w:r>
        <w:rPr>
          <w:sz w:val="18"/>
        </w:rPr>
        <w:t>@</w:t>
      </w:r>
    </w:p>
    <w:p>
      <w:pPr>
        <w:pStyle w:val="BodyText"/>
        <w:tabs>
          <w:tab w:val="left" w:pos="7111"/>
        </w:tabs>
        <w:spacing w:before="40" w:line="283" w:lineRule="auto"/>
        <w:ind w:right="10429"/>
      </w:pPr>
      <w:r>
        <w:t>2、以下属于筹资渠道的是（</w:t>
        <w:tab/>
      </w:r>
      <w:r>
        <w:rPr>
          <w:spacing w:val="-18"/>
        </w:rPr>
        <w:t xml:space="preserve">） </w:t>
      </w:r>
      <w:r>
        <w:t>A.融资租赁</w:t>
      </w:r>
    </w:p>
    <w:p>
      <w:pPr>
        <w:pStyle w:val="BodyText"/>
        <w:spacing w:line="396" w:lineRule="exact"/>
      </w:pPr>
      <w:r>
        <w:rPr>
          <w:spacing w:val="-1"/>
        </w:rPr>
        <w:t>B.商业信用</w:t>
      </w:r>
    </w:p>
    <w:p>
      <w:pPr>
        <w:spacing w:after="0" w:line="396" w:lineRule="exact"/>
        <w:sectPr>
          <w:headerReference w:type="default" r:id="rId27"/>
          <w:pgSz w:w="17860" w:h="25260"/>
          <w:pgMar w:top="1360" w:right="0" w:bottom="280" w:left="0" w:header="1160" w:footer="0"/>
          <w:pgNumType w:start="8"/>
          <w:cols w:space="708"/>
        </w:sectPr>
      </w:pPr>
    </w:p>
    <w:p>
      <w:pPr>
        <w:pStyle w:val="BodyText"/>
        <w:ind w:left="0"/>
        <w:rPr>
          <w:sz w:val="20"/>
        </w:rPr>
      </w:pPr>
    </w:p>
    <w:p>
      <w:pPr>
        <w:pStyle w:val="BodyText"/>
        <w:spacing w:before="5"/>
        <w:ind w:left="0"/>
        <w:rPr>
          <w:sz w:val="19"/>
        </w:rPr>
      </w:pPr>
    </w:p>
    <w:p>
      <w:pPr>
        <w:pStyle w:val="BodyText"/>
        <w:spacing w:before="62" w:line="283" w:lineRule="auto"/>
        <w:ind w:right="13574"/>
      </w:pPr>
      <w:r>
        <w:rPr>
          <w:color w:val="FF0000"/>
        </w:rPr>
        <w:t>C.银行资金</w:t>
      </w:r>
      <w:r>
        <w:t>D.发行债券</w:t>
      </w:r>
    </w:p>
    <w:p>
      <w:pPr>
        <w:pStyle w:val="BodyText"/>
        <w:tabs>
          <w:tab w:val="left" w:pos="6639"/>
        </w:tabs>
        <w:spacing w:line="283" w:lineRule="auto"/>
        <w:ind w:left="3176" w:right="10742" w:hanging="476"/>
      </w:pPr>
      <w:r>
        <w:t>3、企业的筹资方式有（</w:t>
        <w:tab/>
      </w:r>
      <w:r>
        <w:rPr>
          <w:spacing w:val="-159"/>
        </w:rPr>
        <w:t>）</w:t>
      </w:r>
      <w:r>
        <w:rPr>
          <w:spacing w:val="-16"/>
        </w:rPr>
        <w:t>。</w:t>
      </w:r>
      <w:r>
        <w:t>A</w:t>
      </w:r>
      <w:r>
        <w:rPr>
          <w:spacing w:val="5"/>
        </w:rPr>
        <w:t xml:space="preserve"> </w:t>
      </w:r>
      <w:r>
        <w:rPr>
          <w:spacing w:val="-4"/>
        </w:rPr>
        <w:t>.</w:t>
      </w:r>
      <w:r>
        <w:t>个人资金</w:t>
      </w:r>
    </w:p>
    <w:p>
      <w:pPr>
        <w:pStyle w:val="ListParagraph"/>
        <w:numPr>
          <w:ilvl w:val="0"/>
          <w:numId w:val="119"/>
        </w:numPr>
        <w:tabs>
          <w:tab w:val="left" w:pos="3493"/>
        </w:tabs>
        <w:spacing w:before="0" w:after="0" w:line="396" w:lineRule="exact"/>
        <w:ind w:left="3492" w:right="0" w:hanging="317"/>
        <w:jc w:val="left"/>
        <w:rPr>
          <w:sz w:val="31"/>
        </w:rPr>
      </w:pPr>
      <w:r>
        <w:rPr>
          <w:spacing w:val="-2"/>
          <w:sz w:val="31"/>
        </w:rPr>
        <w:t>.外商资金</w:t>
      </w:r>
    </w:p>
    <w:p>
      <w:pPr>
        <w:pStyle w:val="BodyText"/>
        <w:ind w:left="0"/>
        <w:rPr>
          <w:sz w:val="15"/>
        </w:rPr>
      </w:pPr>
    </w:p>
    <w:p>
      <w:pPr>
        <w:spacing w:before="75"/>
        <w:ind w:left="2700" w:right="0" w:firstLine="0"/>
        <w:jc w:val="left"/>
        <w:rPr>
          <w:sz w:val="18"/>
        </w:rPr>
      </w:pPr>
      <w:r>
        <w:rPr>
          <w:sz w:val="18"/>
        </w:rPr>
        <w:t>|</w:t>
      </w:r>
    </w:p>
    <w:p>
      <w:pPr>
        <w:pStyle w:val="ListParagraph"/>
        <w:numPr>
          <w:ilvl w:val="0"/>
          <w:numId w:val="119"/>
        </w:numPr>
        <w:tabs>
          <w:tab w:val="left" w:pos="3493"/>
        </w:tabs>
        <w:spacing w:before="40" w:after="0" w:line="283" w:lineRule="auto"/>
        <w:ind w:left="3176" w:right="12944" w:firstLine="0"/>
        <w:jc w:val="left"/>
        <w:rPr>
          <w:sz w:val="31"/>
        </w:rPr>
      </w:pPr>
      <w:r>
        <w:rPr>
          <w:spacing w:val="-6"/>
          <w:sz w:val="31"/>
        </w:rPr>
        <w:t>.国家资金</w:t>
      </w:r>
      <w:r>
        <w:rPr>
          <w:sz w:val="31"/>
        </w:rPr>
        <w:t>D .融资租赁</w:t>
      </w:r>
    </w:p>
    <w:p>
      <w:pPr>
        <w:pStyle w:val="BodyText"/>
        <w:spacing w:line="283" w:lineRule="auto"/>
        <w:ind w:left="3017" w:right="9012" w:hanging="317"/>
      </w:pPr>
      <w:r>
        <w:t xml:space="preserve">4、一个企业生存与发展的必要条件 （ B </w:t>
      </w:r>
      <w:r>
        <w:rPr>
          <w:spacing w:val="-17"/>
        </w:rPr>
        <w:t xml:space="preserve">） </w:t>
      </w:r>
      <w:r>
        <w:t>A.拥有开发新产品的能力</w:t>
      </w:r>
    </w:p>
    <w:p>
      <w:pPr>
        <w:pStyle w:val="BodyText"/>
        <w:spacing w:line="396" w:lineRule="exact"/>
        <w:ind w:left="3017"/>
      </w:pPr>
      <w:r>
        <w:t>B.能够及时足额地筹集资金</w:t>
      </w:r>
    </w:p>
    <w:p>
      <w:pPr>
        <w:pStyle w:val="BodyText"/>
        <w:spacing w:before="70" w:line="283" w:lineRule="auto"/>
        <w:ind w:left="3017" w:right="11517"/>
      </w:pPr>
      <w:r>
        <w:t>C. 具有稳定的供求关系D.具备一定的偿债能力</w:t>
      </w:r>
    </w:p>
    <w:p>
      <w:pPr>
        <w:pStyle w:val="BodyText"/>
        <w:tabs>
          <w:tab w:val="left" w:pos="9005"/>
        </w:tabs>
        <w:spacing w:line="397" w:lineRule="exact"/>
      </w:pPr>
      <w:r>
        <w:t>5、吸收直接投资的筹资方式比较适用于</w:t>
      </w:r>
      <w:r>
        <w:rPr>
          <w:spacing w:val="-16"/>
        </w:rPr>
        <w:t>（C</w:t>
        <w:tab/>
      </w:r>
      <w:r>
        <w:rPr>
          <w:spacing w:val="-163"/>
        </w:rPr>
        <w:t>）</w:t>
      </w:r>
      <w:r>
        <w:t>。</w:t>
      </w:r>
    </w:p>
    <w:p>
      <w:pPr>
        <w:pStyle w:val="BodyText"/>
        <w:ind w:left="0"/>
        <w:rPr>
          <w:sz w:val="15"/>
        </w:rPr>
      </w:pPr>
    </w:p>
    <w:p>
      <w:pPr>
        <w:spacing w:before="75"/>
        <w:ind w:left="2700" w:right="0" w:firstLine="0"/>
        <w:jc w:val="left"/>
        <w:rPr>
          <w:sz w:val="18"/>
        </w:rPr>
      </w:pPr>
      <w:r>
        <w:rPr>
          <w:sz w:val="18"/>
        </w:rPr>
        <w:t>(</w:t>
      </w:r>
    </w:p>
    <w:p>
      <w:pPr>
        <w:pStyle w:val="ListParagraph"/>
        <w:numPr>
          <w:ilvl w:val="0"/>
          <w:numId w:val="99"/>
        </w:numPr>
        <w:tabs>
          <w:tab w:val="left" w:pos="3336"/>
        </w:tabs>
        <w:spacing w:before="41" w:after="0" w:line="283" w:lineRule="auto"/>
        <w:ind w:left="3017" w:right="13256" w:firstLine="0"/>
        <w:jc w:val="left"/>
        <w:rPr>
          <w:sz w:val="31"/>
        </w:rPr>
      </w:pPr>
      <w:r>
        <w:rPr>
          <w:spacing w:val="-5"/>
          <w:sz w:val="31"/>
        </w:rPr>
        <w:t>国营企业</w:t>
      </w:r>
      <w:r>
        <w:rPr>
          <w:sz w:val="31"/>
        </w:rPr>
        <w:t>B</w:t>
      </w:r>
      <w:r>
        <w:rPr>
          <w:spacing w:val="-4"/>
          <w:sz w:val="31"/>
        </w:rPr>
        <w:t>.独资企业</w:t>
      </w:r>
    </w:p>
    <w:p>
      <w:pPr>
        <w:pStyle w:val="BodyText"/>
        <w:spacing w:line="283" w:lineRule="auto"/>
        <w:ind w:left="3017" w:right="12305"/>
      </w:pPr>
      <w:r>
        <w:t>C.非股份制企业 D</w:t>
      </w:r>
      <w:r>
        <w:rPr>
          <w:spacing w:val="-2"/>
        </w:rPr>
        <w:t>.股份有限制企业</w:t>
      </w:r>
    </w:p>
    <w:p>
      <w:pPr>
        <w:pStyle w:val="Heading2"/>
        <w:spacing w:line="394" w:lineRule="exact"/>
      </w:pPr>
      <w:r>
        <w:t>二、多项选择题</w:t>
      </w:r>
    </w:p>
    <w:p>
      <w:pPr>
        <w:pStyle w:val="BodyText"/>
        <w:tabs>
          <w:tab w:val="left" w:pos="7586"/>
        </w:tabs>
        <w:spacing w:before="71" w:line="283" w:lineRule="auto"/>
        <w:ind w:left="3176" w:right="9799" w:hanging="476"/>
      </w:pPr>
      <w:r>
        <w:t>1、企业的筹资动机主要包括（</w:t>
        <w:tab/>
      </w:r>
      <w:r>
        <w:rPr>
          <w:spacing w:val="-162"/>
        </w:rPr>
        <w:t>）</w:t>
      </w:r>
      <w:r>
        <w:rPr>
          <w:spacing w:val="-17"/>
        </w:rPr>
        <w:t>。</w:t>
      </w:r>
      <w:r>
        <w:t>A</w:t>
      </w:r>
      <w:r>
        <w:rPr>
          <w:spacing w:val="5"/>
        </w:rPr>
        <w:t xml:space="preserve"> </w:t>
      </w:r>
      <w:r>
        <w:rPr>
          <w:spacing w:val="-4"/>
        </w:rPr>
        <w:t>.</w:t>
      </w:r>
      <w:r>
        <w:t>扩张筹资动机</w:t>
      </w:r>
    </w:p>
    <w:p>
      <w:pPr>
        <w:pStyle w:val="ListParagraph"/>
        <w:numPr>
          <w:ilvl w:val="0"/>
          <w:numId w:val="98"/>
        </w:numPr>
        <w:tabs>
          <w:tab w:val="left" w:pos="3493"/>
        </w:tabs>
        <w:spacing w:before="0" w:after="0" w:line="396" w:lineRule="exact"/>
        <w:ind w:left="3492" w:right="0" w:hanging="317"/>
        <w:jc w:val="left"/>
        <w:rPr>
          <w:sz w:val="31"/>
        </w:rPr>
      </w:pPr>
      <w:r>
        <w:rPr>
          <w:spacing w:val="-2"/>
          <w:sz w:val="31"/>
        </w:rPr>
        <w:t>.偿债动机</w:t>
      </w:r>
    </w:p>
    <w:p>
      <w:pPr>
        <w:pStyle w:val="BodyText"/>
        <w:ind w:left="0"/>
        <w:rPr>
          <w:sz w:val="15"/>
        </w:rPr>
      </w:pPr>
    </w:p>
    <w:p>
      <w:pPr>
        <w:spacing w:before="75"/>
        <w:ind w:left="2700" w:right="0" w:firstLine="0"/>
        <w:jc w:val="left"/>
        <w:rPr>
          <w:sz w:val="18"/>
        </w:rPr>
      </w:pPr>
      <w:r>
        <w:rPr>
          <w:sz w:val="18"/>
        </w:rPr>
        <w:t>%</w:t>
      </w:r>
    </w:p>
    <w:p>
      <w:pPr>
        <w:pStyle w:val="ListParagraph"/>
        <w:numPr>
          <w:ilvl w:val="0"/>
          <w:numId w:val="98"/>
        </w:numPr>
        <w:tabs>
          <w:tab w:val="left" w:pos="3493"/>
        </w:tabs>
        <w:spacing w:before="41" w:after="0" w:line="283" w:lineRule="auto"/>
        <w:ind w:left="3176" w:right="12309" w:firstLine="0"/>
        <w:jc w:val="left"/>
        <w:rPr>
          <w:sz w:val="31"/>
        </w:rPr>
      </w:pPr>
      <w:r>
        <w:rPr>
          <w:spacing w:val="-5"/>
          <w:sz w:val="31"/>
        </w:rPr>
        <w:t>.新建筹资动机</w:t>
      </w:r>
      <w:r>
        <w:rPr>
          <w:sz w:val="31"/>
        </w:rPr>
        <w:t>D .混合动机</w:t>
      </w:r>
    </w:p>
    <w:p>
      <w:pPr>
        <w:pStyle w:val="BodyText"/>
        <w:spacing w:line="396" w:lineRule="exact"/>
        <w:ind w:left="3176"/>
      </w:pPr>
      <w:r>
        <w:t>E .经营管理动机</w:t>
      </w:r>
    </w:p>
    <w:p>
      <w:pPr>
        <w:pStyle w:val="BodyText"/>
        <w:spacing w:before="71" w:line="283" w:lineRule="auto"/>
        <w:ind w:left="3176" w:right="8683" w:hanging="476"/>
        <w:jc w:val="both"/>
      </w:pPr>
      <w:r>
        <w:t>2、长期资金通常采用（</w:t>
      </w:r>
      <w:r>
        <w:rPr>
          <w:spacing w:val="28"/>
        </w:rPr>
        <w:t xml:space="preserve">    </w:t>
      </w:r>
      <w:r>
        <w:t>）</w:t>
      </w:r>
      <w:r>
        <w:rPr>
          <w:spacing w:val="-3"/>
        </w:rPr>
        <w:t>等方式来筹措。</w:t>
      </w:r>
      <w:r>
        <w:t>A .长期借款</w:t>
      </w:r>
    </w:p>
    <w:p>
      <w:pPr>
        <w:pStyle w:val="BodyText"/>
        <w:spacing w:line="283" w:lineRule="auto"/>
        <w:ind w:left="3176" w:right="12944"/>
        <w:jc w:val="both"/>
      </w:pPr>
      <w:r>
        <w:t>B .商业信用C .融资租赁D</w:t>
      </w:r>
      <w:r>
        <w:rPr>
          <w:spacing w:val="1"/>
        </w:rPr>
        <w:t xml:space="preserve"> .发行债券</w:t>
      </w:r>
    </w:p>
    <w:p>
      <w:pPr>
        <w:pStyle w:val="BodyText"/>
        <w:spacing w:before="3"/>
        <w:ind w:left="0"/>
        <w:rPr>
          <w:sz w:val="9"/>
        </w:rPr>
      </w:pPr>
    </w:p>
    <w:p>
      <w:pPr>
        <w:spacing w:before="75"/>
        <w:ind w:left="2700" w:right="0" w:firstLine="0"/>
        <w:jc w:val="left"/>
        <w:rPr>
          <w:sz w:val="18"/>
        </w:rPr>
      </w:pPr>
      <w:r>
        <w:rPr>
          <w:sz w:val="18"/>
        </w:rPr>
        <w:t>、</w:t>
      </w:r>
    </w:p>
    <w:p>
      <w:pPr>
        <w:pStyle w:val="BodyText"/>
        <w:spacing w:before="41"/>
        <w:ind w:left="3176"/>
      </w:pPr>
      <w:r>
        <w:t>E</w:t>
      </w:r>
      <w:r>
        <w:rPr>
          <w:spacing w:val="4"/>
        </w:rPr>
        <w:t xml:space="preserve"> .发行股票</w:t>
      </w:r>
    </w:p>
    <w:p>
      <w:pPr>
        <w:pStyle w:val="BodyText"/>
        <w:tabs>
          <w:tab w:val="left" w:pos="7899"/>
        </w:tabs>
        <w:spacing w:before="70" w:line="283" w:lineRule="auto"/>
        <w:ind w:right="9642"/>
      </w:pPr>
      <w:r>
        <w:t>3、以下属于调整性筹资动机的有（</w:t>
        <w:tab/>
      </w:r>
      <w:r>
        <w:rPr>
          <w:spacing w:val="-19"/>
        </w:rPr>
        <w:t xml:space="preserve">） </w:t>
      </w:r>
      <w:r>
        <w:t>A.提高权益资本的比例而增资</w:t>
      </w:r>
    </w:p>
    <w:p>
      <w:pPr>
        <w:pStyle w:val="ListParagraph"/>
        <w:numPr>
          <w:ilvl w:val="0"/>
          <w:numId w:val="99"/>
        </w:numPr>
        <w:tabs>
          <w:tab w:val="left" w:pos="3019"/>
        </w:tabs>
        <w:spacing w:before="0" w:after="0" w:line="283" w:lineRule="auto"/>
        <w:ind w:left="2700" w:right="10721" w:firstLine="0"/>
        <w:jc w:val="left"/>
        <w:rPr>
          <w:sz w:val="31"/>
        </w:rPr>
      </w:pPr>
      <w:r>
        <w:rPr>
          <w:sz w:val="31"/>
        </w:rPr>
        <w:t>为开发新产品筹集大量资金 C</w:t>
      </w:r>
      <w:r>
        <w:rPr>
          <w:spacing w:val="-2"/>
          <w:sz w:val="31"/>
        </w:rPr>
        <w:t>.为了降低资本成本而增加债务</w:t>
      </w:r>
    </w:p>
    <w:p>
      <w:pPr>
        <w:pStyle w:val="BodyText"/>
        <w:spacing w:line="283" w:lineRule="auto"/>
        <w:ind w:right="9771"/>
      </w:pPr>
      <w:r>
        <w:t>D.为降低过高的财务风险降低债务比率E.企业筹集资金开拓对外投资领域</w:t>
      </w:r>
    </w:p>
    <w:p>
      <w:pPr>
        <w:pStyle w:val="BodyText"/>
        <w:tabs>
          <w:tab w:val="left" w:pos="7586"/>
        </w:tabs>
        <w:spacing w:line="396" w:lineRule="exact"/>
      </w:pPr>
      <w:r>
        <w:t>4、企业需要长期资金的原因有（</w:t>
        <w:tab/>
        <w:t>）</w:t>
      </w:r>
    </w:p>
    <w:p>
      <w:pPr>
        <w:spacing w:before="266"/>
        <w:ind w:left="2700" w:right="0" w:firstLine="0"/>
        <w:jc w:val="left"/>
        <w:rPr>
          <w:sz w:val="18"/>
        </w:rPr>
      </w:pPr>
      <w:r>
        <w:rPr>
          <w:sz w:val="18"/>
        </w:rPr>
        <w:t>/</w:t>
      </w:r>
    </w:p>
    <w:p>
      <w:pPr>
        <w:pStyle w:val="BodyText"/>
        <w:spacing w:before="41" w:line="283" w:lineRule="auto"/>
        <w:ind w:right="12939"/>
      </w:pPr>
      <w:r>
        <w:t>A.支付工人工资B.购建固定资产</w:t>
      </w:r>
    </w:p>
    <w:p>
      <w:pPr>
        <w:spacing w:after="0" w:line="283" w:lineRule="auto"/>
        <w:sectPr>
          <w:headerReference w:type="default" r:id="rId28"/>
          <w:pgSz w:w="17860" w:h="25260"/>
          <w:pgMar w:top="1360" w:right="0" w:bottom="280" w:left="0" w:header="1160" w:footer="0"/>
          <w:pgNumType w:start="9"/>
          <w:cols w:space="708"/>
        </w:sectPr>
      </w:pPr>
    </w:p>
    <w:p>
      <w:pPr>
        <w:pStyle w:val="BodyText"/>
        <w:ind w:left="0"/>
        <w:rPr>
          <w:sz w:val="20"/>
        </w:rPr>
      </w:pPr>
    </w:p>
    <w:p>
      <w:pPr>
        <w:pStyle w:val="BodyText"/>
        <w:spacing w:before="5"/>
        <w:ind w:left="0"/>
        <w:rPr>
          <w:sz w:val="19"/>
        </w:rPr>
      </w:pPr>
    </w:p>
    <w:p>
      <w:pPr>
        <w:pStyle w:val="BodyText"/>
        <w:spacing w:before="62" w:line="283" w:lineRule="auto"/>
        <w:ind w:right="12939"/>
      </w:pPr>
      <w:r>
        <w:t>C.开发无形资产D.购买原材料</w:t>
      </w:r>
    </w:p>
    <w:p>
      <w:pPr>
        <w:pStyle w:val="BodyText"/>
        <w:spacing w:line="396" w:lineRule="exact"/>
      </w:pPr>
      <w:r>
        <w:t>E.进行长期对外投资</w:t>
      </w:r>
    </w:p>
    <w:p>
      <w:pPr>
        <w:pStyle w:val="BodyText"/>
        <w:tabs>
          <w:tab w:val="left" w:pos="10420"/>
        </w:tabs>
        <w:spacing w:before="71" w:line="283" w:lineRule="auto"/>
        <w:ind w:left="3176" w:right="5536" w:hanging="476"/>
      </w:pPr>
      <w:r>
        <w:t>5、在企业筹资过程中，对于国家财政资金可以用（</w:t>
        <w:tab/>
        <w:t>）方式筹集</w:t>
      </w:r>
      <w:r>
        <w:rPr>
          <w:spacing w:val="-18"/>
        </w:rPr>
        <w:t>。</w:t>
      </w:r>
      <w:r>
        <w:t>A</w:t>
      </w:r>
      <w:r>
        <w:rPr>
          <w:spacing w:val="3"/>
        </w:rPr>
        <w:t xml:space="preserve"> </w:t>
      </w:r>
      <w:r>
        <w:rPr>
          <w:spacing w:val="-4"/>
        </w:rPr>
        <w:t>.</w:t>
      </w:r>
      <w:r>
        <w:t>融资租赁</w:t>
      </w:r>
    </w:p>
    <w:p>
      <w:pPr>
        <w:pStyle w:val="ListParagraph"/>
        <w:numPr>
          <w:ilvl w:val="0"/>
          <w:numId w:val="120"/>
        </w:numPr>
        <w:tabs>
          <w:tab w:val="left" w:pos="3493"/>
        </w:tabs>
        <w:spacing w:before="0" w:after="0" w:line="396" w:lineRule="exact"/>
        <w:ind w:left="3492" w:right="0" w:hanging="317"/>
        <w:jc w:val="left"/>
        <w:rPr>
          <w:sz w:val="31"/>
        </w:rPr>
      </w:pPr>
      <w:r>
        <w:rPr>
          <w:spacing w:val="-2"/>
          <w:sz w:val="31"/>
        </w:rPr>
        <w:t>.发行股票</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120"/>
        </w:numPr>
        <w:tabs>
          <w:tab w:val="left" w:pos="3493"/>
        </w:tabs>
        <w:spacing w:before="40" w:after="0" w:line="240" w:lineRule="auto"/>
        <w:ind w:left="3492" w:right="0" w:hanging="317"/>
        <w:jc w:val="left"/>
        <w:rPr>
          <w:sz w:val="31"/>
        </w:rPr>
      </w:pPr>
      <w:r>
        <w:rPr>
          <w:spacing w:val="-2"/>
          <w:sz w:val="31"/>
        </w:rPr>
        <w:t>.发行债券</w:t>
      </w:r>
    </w:p>
    <w:p>
      <w:pPr>
        <w:pStyle w:val="ListParagraph"/>
        <w:numPr>
          <w:ilvl w:val="0"/>
          <w:numId w:val="120"/>
        </w:numPr>
        <w:tabs>
          <w:tab w:val="left" w:pos="3493"/>
        </w:tabs>
        <w:spacing w:before="71" w:after="0" w:line="283" w:lineRule="auto"/>
        <w:ind w:left="3176" w:right="12309" w:firstLine="0"/>
        <w:jc w:val="left"/>
        <w:rPr>
          <w:sz w:val="31"/>
        </w:rPr>
      </w:pPr>
      <w:r>
        <w:rPr>
          <w:spacing w:val="-5"/>
          <w:sz w:val="31"/>
        </w:rPr>
        <w:t>.吸收直接投资</w:t>
      </w:r>
      <w:r>
        <w:rPr>
          <w:sz w:val="31"/>
        </w:rPr>
        <w:t>E .发行融资券</w:t>
      </w:r>
    </w:p>
    <w:p>
      <w:pPr>
        <w:pStyle w:val="BodyText"/>
        <w:tabs>
          <w:tab w:val="left" w:pos="12943"/>
        </w:tabs>
        <w:spacing w:line="283" w:lineRule="auto"/>
        <w:ind w:left="3176" w:right="4443" w:hanging="476"/>
      </w:pPr>
      <w:r>
        <w:t>6、企业在采用吸收投资方式筹集资金时，投资者的出资方式可以有（</w:t>
        <w:tab/>
      </w:r>
      <w:r>
        <w:rPr>
          <w:spacing w:val="-162"/>
        </w:rPr>
        <w:t>）</w:t>
      </w:r>
      <w:r>
        <w:rPr>
          <w:spacing w:val="-18"/>
        </w:rPr>
        <w:t>。</w:t>
      </w:r>
      <w:r>
        <w:t>A</w:t>
      </w:r>
      <w:r>
        <w:rPr>
          <w:spacing w:val="3"/>
        </w:rPr>
        <w:t xml:space="preserve"> </w:t>
      </w:r>
      <w:r>
        <w:rPr>
          <w:spacing w:val="-4"/>
        </w:rPr>
        <w:t>.</w:t>
      </w:r>
      <w:r>
        <w:t>现金投资</w:t>
      </w:r>
    </w:p>
    <w:p>
      <w:pPr>
        <w:pStyle w:val="ListParagraph"/>
        <w:numPr>
          <w:ilvl w:val="0"/>
          <w:numId w:val="96"/>
        </w:numPr>
        <w:tabs>
          <w:tab w:val="left" w:pos="3493"/>
        </w:tabs>
        <w:spacing w:before="0" w:after="0" w:line="397" w:lineRule="exact"/>
        <w:ind w:left="3492" w:right="0" w:hanging="317"/>
        <w:jc w:val="left"/>
        <w:rPr>
          <w:sz w:val="31"/>
        </w:rPr>
      </w:pPr>
      <w:r>
        <w:rPr>
          <w:spacing w:val="-2"/>
          <w:sz w:val="31"/>
        </w:rPr>
        <w:t>.实物投资</w:t>
      </w:r>
    </w:p>
    <w:p>
      <w:pPr>
        <w:pStyle w:val="ListParagraph"/>
        <w:numPr>
          <w:ilvl w:val="0"/>
          <w:numId w:val="96"/>
        </w:numPr>
        <w:tabs>
          <w:tab w:val="left" w:pos="3493"/>
        </w:tabs>
        <w:spacing w:before="69" w:after="0" w:line="240" w:lineRule="auto"/>
        <w:ind w:left="3492" w:right="0" w:hanging="317"/>
        <w:jc w:val="left"/>
        <w:rPr>
          <w:sz w:val="31"/>
        </w:rPr>
      </w:pPr>
      <w:r>
        <w:rPr>
          <w:spacing w:val="-2"/>
          <w:sz w:val="31"/>
        </w:rPr>
        <w:t>.工业产权投资</w:t>
      </w:r>
    </w:p>
    <w:p>
      <w:pPr>
        <w:pStyle w:val="ListParagraph"/>
        <w:numPr>
          <w:ilvl w:val="0"/>
          <w:numId w:val="96"/>
        </w:numPr>
        <w:tabs>
          <w:tab w:val="left" w:pos="3493"/>
        </w:tabs>
        <w:spacing w:before="71" w:after="0" w:line="240" w:lineRule="auto"/>
        <w:ind w:left="3492" w:right="0" w:hanging="317"/>
        <w:jc w:val="left"/>
        <w:rPr>
          <w:sz w:val="31"/>
        </w:rPr>
      </w:pPr>
      <w:r>
        <w:rPr>
          <w:spacing w:val="-2"/>
          <w:sz w:val="31"/>
        </w:rPr>
        <w:t>.土地使用权投资</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96"/>
        </w:numPr>
        <w:tabs>
          <w:tab w:val="left" w:pos="3493"/>
        </w:tabs>
        <w:spacing w:before="40" w:after="0" w:line="240" w:lineRule="auto"/>
        <w:ind w:left="3492" w:right="0" w:hanging="317"/>
        <w:jc w:val="left"/>
        <w:rPr>
          <w:sz w:val="31"/>
        </w:rPr>
      </w:pPr>
      <w:r>
        <w:rPr>
          <w:spacing w:val="-2"/>
          <w:sz w:val="31"/>
        </w:rPr>
        <w:t>.股票投资</w:t>
      </w:r>
    </w:p>
    <w:p>
      <w:pPr>
        <w:pStyle w:val="BodyText"/>
        <w:spacing w:before="71" w:line="283" w:lineRule="auto"/>
        <w:ind w:left="3176" w:right="6333" w:hanging="476"/>
        <w:jc w:val="both"/>
      </w:pPr>
      <w:r>
        <w:t>7、企业筹资的要求除了筹措及时、来源合理外，还有（</w:t>
      </w:r>
      <w:r>
        <w:rPr>
          <w:spacing w:val="36"/>
        </w:rPr>
        <w:t xml:space="preserve">    </w:t>
      </w:r>
      <w:r>
        <w:rPr>
          <w:spacing w:val="-162"/>
        </w:rPr>
        <w:t>）</w:t>
      </w:r>
      <w:r>
        <w:rPr>
          <w:spacing w:val="-18"/>
        </w:rPr>
        <w:t>。</w:t>
      </w:r>
      <w:r>
        <w:t>A</w:t>
      </w:r>
      <w:r>
        <w:rPr>
          <w:spacing w:val="-1"/>
        </w:rPr>
        <w:t xml:space="preserve"> .成本节约</w:t>
      </w:r>
    </w:p>
    <w:p>
      <w:pPr>
        <w:pStyle w:val="BodyText"/>
        <w:spacing w:line="283" w:lineRule="auto"/>
        <w:ind w:left="3176" w:right="12944"/>
        <w:jc w:val="both"/>
      </w:pPr>
      <w:r>
        <w:t>B .规模适当C .方式经济D .结构合理E</w:t>
      </w:r>
      <w:r>
        <w:rPr>
          <w:spacing w:val="1"/>
        </w:rPr>
        <w:t xml:space="preserve"> .遵守法规</w:t>
      </w:r>
    </w:p>
    <w:p>
      <w:pPr>
        <w:pStyle w:val="BodyText"/>
        <w:spacing w:line="394" w:lineRule="exact"/>
        <w:jc w:val="both"/>
      </w:pPr>
      <w:r>
        <w:t>8、目前企业主要的社会资金筹集方式有（</w:t>
      </w:r>
      <w:r>
        <w:rPr>
          <w:spacing w:val="142"/>
        </w:rPr>
        <w:t xml:space="preserve"> </w:t>
      </w:r>
      <w:r>
        <w:rPr>
          <w:spacing w:val="-159"/>
        </w:rPr>
        <w:t>）</w:t>
      </w:r>
      <w:r>
        <w:t>。</w:t>
      </w:r>
    </w:p>
    <w:p>
      <w:pPr>
        <w:pStyle w:val="BodyText"/>
        <w:ind w:left="0"/>
        <w:rPr>
          <w:sz w:val="15"/>
        </w:rPr>
      </w:pPr>
    </w:p>
    <w:p>
      <w:pPr>
        <w:spacing w:before="75"/>
        <w:ind w:left="2700" w:right="0" w:firstLine="0"/>
        <w:jc w:val="left"/>
        <w:rPr>
          <w:sz w:val="18"/>
        </w:rPr>
      </w:pPr>
      <w:r>
        <w:rPr>
          <w:sz w:val="18"/>
        </w:rPr>
        <w:t>…</w:t>
      </w:r>
    </w:p>
    <w:p>
      <w:pPr>
        <w:pStyle w:val="BodyText"/>
        <w:spacing w:before="40" w:line="283" w:lineRule="auto"/>
        <w:ind w:left="3176" w:right="13576"/>
        <w:jc w:val="both"/>
      </w:pPr>
      <w:r>
        <w:t>A .股票B .债券C .租赁</w:t>
      </w:r>
    </w:p>
    <w:p>
      <w:pPr>
        <w:pStyle w:val="BodyText"/>
        <w:spacing w:line="283" w:lineRule="auto"/>
        <w:ind w:left="3176" w:right="12944"/>
        <w:jc w:val="both"/>
      </w:pPr>
      <w:r>
        <w:t>D .吸收投资E .商业信用</w:t>
      </w:r>
    </w:p>
    <w:p>
      <w:pPr>
        <w:pStyle w:val="Heading2"/>
        <w:spacing w:line="394" w:lineRule="exact"/>
      </w:pPr>
      <w:r>
        <w:t>三、判断题</w:t>
      </w:r>
    </w:p>
    <w:p>
      <w:pPr>
        <w:pStyle w:val="ListParagraph"/>
        <w:numPr>
          <w:ilvl w:val="0"/>
          <w:numId w:val="2"/>
        </w:numPr>
        <w:tabs>
          <w:tab w:val="left" w:pos="3019"/>
          <w:tab w:val="left" w:pos="12943"/>
        </w:tabs>
        <w:spacing w:before="71" w:after="0" w:line="240" w:lineRule="auto"/>
        <w:ind w:left="3018" w:right="0" w:hanging="319"/>
        <w:jc w:val="left"/>
        <w:rPr>
          <w:sz w:val="31"/>
        </w:rPr>
      </w:pPr>
      <w:r>
        <w:rPr>
          <w:sz w:val="31"/>
        </w:rPr>
        <w:t>筹资的核心在于满足经营需要，降低资金成本，形成最佳资本结构</w:t>
      </w:r>
      <w:r>
        <w:rPr>
          <w:spacing w:val="-208"/>
          <w:sz w:val="31"/>
        </w:rPr>
        <w:t>。</w:t>
      </w:r>
      <w:r>
        <w:rPr>
          <w:sz w:val="31"/>
        </w:rPr>
        <w:t>（</w:t>
        <w:tab/>
        <w:t>）</w:t>
      </w:r>
    </w:p>
    <w:p>
      <w:pPr>
        <w:pStyle w:val="ListParagraph"/>
        <w:numPr>
          <w:ilvl w:val="0"/>
          <w:numId w:val="2"/>
        </w:numPr>
        <w:tabs>
          <w:tab w:val="left" w:pos="3177"/>
          <w:tab w:val="left" w:pos="10261"/>
        </w:tabs>
        <w:spacing w:before="70" w:after="0" w:line="240" w:lineRule="auto"/>
        <w:ind w:left="3177" w:right="0" w:hanging="477"/>
        <w:jc w:val="left"/>
        <w:rPr>
          <w:sz w:val="31"/>
        </w:rPr>
      </w:pPr>
      <w:r>
        <w:rPr>
          <w:sz w:val="31"/>
        </w:rPr>
        <w:t>销售百分比法主要用于短期资金需求量的预测</w:t>
      </w:r>
      <w:r>
        <w:rPr>
          <w:spacing w:val="-197"/>
          <w:sz w:val="31"/>
        </w:rPr>
        <w:t>。</w:t>
      </w:r>
      <w:r>
        <w:rPr>
          <w:sz w:val="31"/>
        </w:rPr>
        <w:t>（</w:t>
        <w:tab/>
        <w:t>）</w:t>
      </w:r>
    </w:p>
    <w:p>
      <w:pPr>
        <w:spacing w:before="268"/>
        <w:ind w:left="2700" w:right="0" w:firstLine="0"/>
        <w:jc w:val="left"/>
        <w:rPr>
          <w:sz w:val="18"/>
        </w:rPr>
      </w:pPr>
      <w:r>
        <w:rPr>
          <w:sz w:val="18"/>
        </w:rPr>
        <w:t>/</w:t>
      </w:r>
    </w:p>
    <w:p>
      <w:pPr>
        <w:pStyle w:val="ListParagraph"/>
        <w:numPr>
          <w:ilvl w:val="0"/>
          <w:numId w:val="2"/>
        </w:numPr>
        <w:tabs>
          <w:tab w:val="left" w:pos="3177"/>
        </w:tabs>
        <w:spacing w:before="41" w:after="0" w:line="240" w:lineRule="auto"/>
        <w:ind w:left="3177" w:right="0" w:hanging="477"/>
        <w:jc w:val="left"/>
        <w:rPr>
          <w:sz w:val="31"/>
        </w:rPr>
      </w:pPr>
      <w:r>
        <w:rPr>
          <w:sz w:val="31"/>
        </w:rPr>
        <w:t>以收抵支和到期偿债是企业生存的两个基本条件</w:t>
      </w:r>
      <w:r>
        <w:rPr>
          <w:spacing w:val="-201"/>
          <w:sz w:val="31"/>
        </w:rPr>
        <w:t>。</w:t>
      </w:r>
      <w:r>
        <w:rPr>
          <w:sz w:val="31"/>
        </w:rPr>
        <w:t>（）</w:t>
      </w:r>
    </w:p>
    <w:p>
      <w:pPr>
        <w:pStyle w:val="BodyText"/>
        <w:spacing w:before="71" w:line="283" w:lineRule="auto"/>
        <w:ind w:right="2643"/>
      </w:pPr>
      <w:r>
        <w:t>4</w:t>
      </w:r>
      <w:r>
        <w:rPr>
          <w:spacing w:val="-1"/>
        </w:rPr>
        <w:t>、自有资金又叫权益资金，是指所有者投入且拥有所有权的资金，包括企业资本金、资本</w:t>
      </w:r>
      <w:r>
        <w:t>公积金、盈余公积金与未分配利润</w:t>
      </w:r>
      <w:r>
        <w:rPr>
          <w:spacing w:val="-183"/>
        </w:rPr>
        <w:t>。</w:t>
      </w:r>
      <w:r>
        <w:t>（）</w:t>
      </w:r>
    </w:p>
    <w:p>
      <w:pPr>
        <w:pStyle w:val="BodyText"/>
        <w:spacing w:line="396" w:lineRule="exact"/>
      </w:pPr>
      <w:r>
        <w:t>5、根据我国《证券法》规定，企业累计债券余额不得超过公司净资产的25</w:t>
      </w:r>
      <w:r>
        <w:rPr>
          <w:spacing w:val="-81"/>
        </w:rPr>
        <w:t>%。</w:t>
      </w:r>
      <w:r>
        <w:t>（）</w:t>
      </w:r>
    </w:p>
    <w:p>
      <w:pPr>
        <w:pStyle w:val="BodyText"/>
        <w:tabs>
          <w:tab w:val="left" w:pos="14363"/>
        </w:tabs>
        <w:spacing w:before="71"/>
      </w:pPr>
      <w:r>
        <w:t>6、直接投资是指把资金投放于证券等金融资产，以取得股利或利息收入的投资</w:t>
      </w:r>
      <w:r>
        <w:rPr>
          <w:spacing w:val="-214"/>
        </w:rPr>
        <w:t>。</w:t>
      </w:r>
      <w:r>
        <w:t>（</w:t>
        <w:tab/>
        <w:t>）</w:t>
      </w:r>
    </w:p>
    <w:p>
      <w:pPr>
        <w:pStyle w:val="BodyText"/>
        <w:tabs>
          <w:tab w:val="left" w:pos="12785"/>
        </w:tabs>
        <w:spacing w:before="71" w:line="283" w:lineRule="auto"/>
        <w:ind w:right="4755"/>
        <w:rPr>
          <w:b/>
        </w:rPr>
      </w:pPr>
      <w:r>
        <w:t>7、权益性投资比债权性投资的风险低，其要求的投资收益也较低</w:t>
      </w:r>
      <w:r>
        <w:rPr>
          <w:spacing w:val="-208"/>
        </w:rPr>
        <w:t>。</w:t>
      </w:r>
      <w:r>
        <w:t>（</w:t>
        <w:tab/>
      </w:r>
      <w:r>
        <w:rPr>
          <w:spacing w:val="-18"/>
        </w:rPr>
        <w:t xml:space="preserve">） </w:t>
      </w:r>
      <w:r>
        <w:rPr>
          <w:b/>
        </w:rPr>
        <w:t>四、简答题</w:t>
      </w:r>
    </w:p>
    <w:p>
      <w:pPr>
        <w:pStyle w:val="BodyText"/>
        <w:spacing w:line="363" w:lineRule="exact"/>
        <w:ind w:left="0" w:right="11492"/>
        <w:jc w:val="right"/>
      </w:pPr>
      <w:r>
        <w:rPr>
          <w:spacing w:val="-1"/>
        </w:rPr>
        <w:t>1.简述资金筹集的动机。</w:t>
      </w:r>
    </w:p>
    <w:p>
      <w:pPr>
        <w:pStyle w:val="BodyText"/>
        <w:spacing w:before="9"/>
        <w:ind w:left="0" w:right="11513"/>
        <w:jc w:val="right"/>
      </w:pPr>
      <w:r>
        <w:t>2、简述资金筹集的原则。</w:t>
      </w:r>
    </w:p>
    <w:p>
      <w:pPr>
        <w:spacing w:before="128"/>
        <w:ind w:left="2700" w:right="0" w:firstLine="0"/>
        <w:jc w:val="left"/>
        <w:rPr>
          <w:sz w:val="18"/>
        </w:rPr>
      </w:pPr>
      <w:r>
        <w:rPr>
          <w:sz w:val="18"/>
        </w:rPr>
        <w:t>：</w:t>
      </w:r>
    </w:p>
    <w:p>
      <w:pPr>
        <w:pStyle w:val="Heading2"/>
        <w:spacing w:before="155"/>
      </w:pPr>
      <w:r>
        <w:t>五、计算题</w:t>
      </w:r>
    </w:p>
    <w:p>
      <w:pPr>
        <w:spacing w:after="0"/>
        <w:sectPr>
          <w:headerReference w:type="default" r:id="rId29"/>
          <w:pgSz w:w="17860" w:h="25260"/>
          <w:pgMar w:top="1360" w:right="0" w:bottom="280" w:left="0" w:header="1160" w:footer="0"/>
          <w:pgNumType w:start="10"/>
          <w:cols w:space="708"/>
        </w:sectPr>
      </w:pPr>
    </w:p>
    <w:p>
      <w:pPr>
        <w:pStyle w:val="BodyText"/>
        <w:ind w:left="0"/>
        <w:rPr>
          <w:b/>
          <w:sz w:val="20"/>
        </w:rPr>
      </w:pPr>
    </w:p>
    <w:p>
      <w:pPr>
        <w:pStyle w:val="BodyText"/>
        <w:spacing w:before="11"/>
        <w:ind w:left="0"/>
        <w:rPr>
          <w:b/>
          <w:sz w:val="23"/>
        </w:rPr>
      </w:pPr>
    </w:p>
    <w:p>
      <w:pPr>
        <w:pStyle w:val="BodyText"/>
        <w:spacing w:before="62"/>
        <w:ind w:left="2938"/>
      </w:pPr>
      <w:r>
        <w:pict>
          <v:group id="_x0000_s1025" style="width:643pt;height:171pt;margin-top:25.12pt;margin-left:125pt;mso-position-horizontal-relative:page;mso-wrap-distance-left:0;mso-wrap-distance-right:0;position:absolute;z-index:-251638784" coordorigin="2500,502" coordsize="12860,3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60;height:3420;left:2500;position:absolute;top:502" stroked="f">
              <v:imagedata r:id="rId30" o:title=""/>
            </v:shape>
            <v:shapetype id="_x0000_t202" coordsize="21600,21600" o:spt="202" path="m,l,21600r21600,l21600,xe">
              <v:stroke joinstyle="miter"/>
              <v:path gradientshapeok="t" o:connecttype="rect"/>
            </v:shapetype>
            <v:shape id="_x0000_s1027" type="#_x0000_t202" style="width:1921;height:2430;left:3183;position:absolute;top:611" filled="f" stroked="f">
              <v:textbox inset="0,0,0,0">
                <w:txbxContent>
                  <w:p>
                    <w:pPr>
                      <w:spacing w:before="0" w:line="359" w:lineRule="exact"/>
                      <w:ind w:left="0" w:right="25" w:firstLine="0"/>
                      <w:jc w:val="center"/>
                      <w:rPr>
                        <w:sz w:val="31"/>
                      </w:rPr>
                    </w:pPr>
                    <w:r>
                      <w:rPr>
                        <w:sz w:val="31"/>
                      </w:rPr>
                      <w:t>资产</w:t>
                    </w:r>
                  </w:p>
                  <w:p>
                    <w:pPr>
                      <w:tabs>
                        <w:tab w:val="left" w:pos="946"/>
                      </w:tabs>
                      <w:spacing w:before="24"/>
                      <w:ind w:left="0" w:right="28" w:firstLine="0"/>
                      <w:jc w:val="center"/>
                      <w:rPr>
                        <w:sz w:val="31"/>
                      </w:rPr>
                    </w:pPr>
                    <w:r>
                      <w:rPr>
                        <w:sz w:val="31"/>
                      </w:rPr>
                      <w:t>现</w:t>
                      <w:tab/>
                      <w:t>金</w:t>
                    </w:r>
                  </w:p>
                  <w:p>
                    <w:pPr>
                      <w:tabs>
                        <w:tab w:val="left" w:pos="1259"/>
                      </w:tabs>
                      <w:spacing w:before="247" w:line="244" w:lineRule="auto"/>
                      <w:ind w:left="313" w:right="338" w:firstLine="0"/>
                      <w:jc w:val="center"/>
                      <w:rPr>
                        <w:sz w:val="31"/>
                      </w:rPr>
                    </w:pPr>
                    <w:r>
                      <w:rPr>
                        <w:sz w:val="31"/>
                      </w:rPr>
                      <w:t>应收账</w:t>
                    </w:r>
                    <w:r>
                      <w:rPr>
                        <w:spacing w:val="-18"/>
                        <w:sz w:val="31"/>
                      </w:rPr>
                      <w:t>款</w:t>
                    </w:r>
                    <w:r>
                      <w:rPr>
                        <w:sz w:val="31"/>
                      </w:rPr>
                      <w:t>存</w:t>
                      <w:tab/>
                    </w:r>
                    <w:r>
                      <w:rPr>
                        <w:spacing w:val="-13"/>
                        <w:sz w:val="31"/>
                      </w:rPr>
                      <w:t>货</w:t>
                    </w:r>
                  </w:p>
                  <w:p>
                    <w:pPr>
                      <w:spacing w:before="237" w:line="355" w:lineRule="exact"/>
                      <w:ind w:left="0" w:right="18" w:firstLine="0"/>
                      <w:jc w:val="center"/>
                      <w:rPr>
                        <w:sz w:val="31"/>
                      </w:rPr>
                    </w:pPr>
                    <w:r>
                      <w:rPr>
                        <w:sz w:val="31"/>
                      </w:rPr>
                      <w:t>固定资产净值</w:t>
                    </w:r>
                  </w:p>
                </w:txbxContent>
              </v:textbox>
            </v:shape>
            <v:shape id="_x0000_s1028" type="#_x0000_t202" style="width:654;height:2430;left:7007;position:absolute;top:611" filled="f" stroked="f">
              <v:textbox inset="0,0,0,0">
                <w:txbxContent>
                  <w:p>
                    <w:pPr>
                      <w:spacing w:before="0" w:line="359" w:lineRule="exact"/>
                      <w:ind w:left="0" w:right="0" w:firstLine="0"/>
                      <w:jc w:val="left"/>
                      <w:rPr>
                        <w:sz w:val="31"/>
                      </w:rPr>
                    </w:pPr>
                    <w:r>
                      <w:rPr>
                        <w:sz w:val="31"/>
                      </w:rPr>
                      <w:t>金额</w:t>
                    </w:r>
                  </w:p>
                  <w:p>
                    <w:pPr>
                      <w:spacing w:before="138" w:line="175" w:lineRule="exact"/>
                      <w:ind w:left="0" w:right="21" w:firstLine="0"/>
                      <w:jc w:val="center"/>
                      <w:rPr>
                        <w:sz w:val="18"/>
                      </w:rPr>
                    </w:pPr>
                    <w:r>
                      <w:rPr>
                        <w:sz w:val="18"/>
                      </w:rPr>
                      <w:t>\</w:t>
                    </w:r>
                  </w:p>
                  <w:p>
                    <w:pPr>
                      <w:spacing w:before="0" w:line="342" w:lineRule="exact"/>
                      <w:ind w:left="78" w:right="0" w:firstLine="0"/>
                      <w:jc w:val="left"/>
                      <w:rPr>
                        <w:sz w:val="31"/>
                      </w:rPr>
                    </w:pPr>
                    <w:r>
                      <w:rPr>
                        <w:sz w:val="31"/>
                      </w:rPr>
                      <w:t>400</w:t>
                    </w:r>
                  </w:p>
                  <w:p>
                    <w:pPr>
                      <w:spacing w:before="13"/>
                      <w:ind w:left="78" w:right="0" w:firstLine="0"/>
                      <w:jc w:val="left"/>
                      <w:rPr>
                        <w:sz w:val="31"/>
                      </w:rPr>
                    </w:pPr>
                    <w:r>
                      <w:rPr>
                        <w:sz w:val="31"/>
                      </w:rPr>
                      <w:t>600</w:t>
                    </w:r>
                  </w:p>
                  <w:p>
                    <w:pPr>
                      <w:spacing w:before="124" w:line="175" w:lineRule="exact"/>
                      <w:ind w:left="0" w:right="21" w:firstLine="0"/>
                      <w:jc w:val="center"/>
                      <w:rPr>
                        <w:sz w:val="18"/>
                      </w:rPr>
                    </w:pPr>
                    <w:r>
                      <w:rPr>
                        <w:sz w:val="18"/>
                      </w:rPr>
                      <w:t>,</w:t>
                    </w:r>
                  </w:p>
                  <w:p>
                    <w:pPr>
                      <w:spacing w:before="0" w:line="342" w:lineRule="exact"/>
                      <w:ind w:left="0" w:right="0" w:firstLine="0"/>
                      <w:jc w:val="left"/>
                      <w:rPr>
                        <w:sz w:val="31"/>
                      </w:rPr>
                    </w:pPr>
                    <w:r>
                      <w:rPr>
                        <w:sz w:val="31"/>
                      </w:rPr>
                      <w:t>1400</w:t>
                    </w:r>
                  </w:p>
                  <w:p>
                    <w:pPr>
                      <w:spacing w:before="10" w:line="355" w:lineRule="exact"/>
                      <w:ind w:left="0" w:right="0" w:firstLine="0"/>
                      <w:jc w:val="left"/>
                      <w:rPr>
                        <w:sz w:val="31"/>
                      </w:rPr>
                    </w:pPr>
                    <w:r>
                      <w:rPr>
                        <w:sz w:val="31"/>
                      </w:rPr>
                      <w:t>3600</w:t>
                    </w:r>
                  </w:p>
                </w:txbxContent>
              </v:textbox>
            </v:shape>
            <v:shape id="_x0000_s1029" type="#_x0000_t202" style="width:2555;height:738;left:9257;position:absolute;top:611" filled="f" stroked="f">
              <v:textbox inset="0,0,0,0">
                <w:txbxContent>
                  <w:p>
                    <w:pPr>
                      <w:spacing w:before="0" w:line="359" w:lineRule="exact"/>
                      <w:ind w:left="8" w:right="26" w:firstLine="0"/>
                      <w:jc w:val="center"/>
                      <w:rPr>
                        <w:sz w:val="31"/>
                      </w:rPr>
                    </w:pPr>
                    <w:r>
                      <w:rPr>
                        <w:sz w:val="31"/>
                      </w:rPr>
                      <w:t>负债和所有者权益</w:t>
                    </w:r>
                  </w:p>
                  <w:p>
                    <w:pPr>
                      <w:spacing w:before="24" w:line="355" w:lineRule="exact"/>
                      <w:ind w:left="2" w:right="26" w:firstLine="0"/>
                      <w:jc w:val="center"/>
                      <w:rPr>
                        <w:sz w:val="31"/>
                      </w:rPr>
                    </w:pPr>
                    <w:r>
                      <w:rPr>
                        <w:sz w:val="31"/>
                      </w:rPr>
                      <w:t>应付账款</w:t>
                    </w:r>
                  </w:p>
                </w:txbxContent>
              </v:textbox>
            </v:shape>
            <v:shape id="_x0000_s1030" type="#_x0000_t202" style="width:654;height:738;left:13402;position:absolute;top:611" filled="f" stroked="f">
              <v:textbox inset="0,0,0,0">
                <w:txbxContent>
                  <w:p>
                    <w:pPr>
                      <w:spacing w:before="0" w:line="359" w:lineRule="exact"/>
                      <w:ind w:left="0" w:right="0" w:firstLine="0"/>
                      <w:jc w:val="left"/>
                      <w:rPr>
                        <w:sz w:val="31"/>
                      </w:rPr>
                    </w:pPr>
                    <w:r>
                      <w:rPr>
                        <w:sz w:val="31"/>
                      </w:rPr>
                      <w:t>金额</w:t>
                    </w:r>
                  </w:p>
                  <w:p>
                    <w:pPr>
                      <w:spacing w:before="24" w:line="355" w:lineRule="exact"/>
                      <w:ind w:left="79" w:right="0" w:firstLine="0"/>
                      <w:jc w:val="left"/>
                      <w:rPr>
                        <w:sz w:val="31"/>
                      </w:rPr>
                    </w:pPr>
                    <w:r>
                      <w:rPr>
                        <w:sz w:val="31"/>
                      </w:rPr>
                      <w:t>500</w:t>
                    </w:r>
                  </w:p>
                </w:txbxContent>
              </v:textbox>
            </v:shape>
            <v:shape id="_x0000_s1031" type="#_x0000_t202" style="width:1288;height:724;left:9887;position:absolute;top:1677" filled="f" stroked="f">
              <v:textbox inset="0,0,0,0">
                <w:txbxContent>
                  <w:p>
                    <w:pPr>
                      <w:spacing w:before="0" w:line="359" w:lineRule="exact"/>
                      <w:ind w:left="0" w:right="0" w:firstLine="0"/>
                      <w:jc w:val="left"/>
                      <w:rPr>
                        <w:sz w:val="31"/>
                      </w:rPr>
                    </w:pPr>
                    <w:r>
                      <w:rPr>
                        <w:sz w:val="31"/>
                      </w:rPr>
                      <w:t>应付费用</w:t>
                    </w:r>
                  </w:p>
                  <w:p>
                    <w:pPr>
                      <w:spacing w:before="9" w:line="355" w:lineRule="exact"/>
                      <w:ind w:left="0" w:right="0" w:firstLine="0"/>
                      <w:jc w:val="left"/>
                      <w:rPr>
                        <w:sz w:val="31"/>
                      </w:rPr>
                    </w:pPr>
                    <w:r>
                      <w:rPr>
                        <w:sz w:val="31"/>
                      </w:rPr>
                      <w:t>应付票据</w:t>
                    </w:r>
                  </w:p>
                </w:txbxContent>
              </v:textbox>
            </v:shape>
            <v:shape id="_x0000_s1032" type="#_x0000_t202" style="width:496;height:724;left:13481;position:absolute;top:1677" filled="f" stroked="f">
              <v:textbox inset="0,0,0,0">
                <w:txbxContent>
                  <w:p>
                    <w:pPr>
                      <w:spacing w:before="0" w:line="359" w:lineRule="exact"/>
                      <w:ind w:left="0" w:right="0" w:firstLine="0"/>
                      <w:jc w:val="left"/>
                      <w:rPr>
                        <w:sz w:val="31"/>
                      </w:rPr>
                    </w:pPr>
                    <w:r>
                      <w:rPr>
                        <w:sz w:val="31"/>
                      </w:rPr>
                      <w:t>400</w:t>
                    </w:r>
                  </w:p>
                  <w:p>
                    <w:pPr>
                      <w:spacing w:before="9" w:line="355" w:lineRule="exact"/>
                      <w:ind w:left="0" w:right="0" w:firstLine="0"/>
                      <w:jc w:val="left"/>
                      <w:rPr>
                        <w:sz w:val="31"/>
                      </w:rPr>
                    </w:pPr>
                    <w:r>
                      <w:rPr>
                        <w:sz w:val="31"/>
                      </w:rPr>
                      <w:t>300</w:t>
                    </w:r>
                  </w:p>
                </w:txbxContent>
              </v:textbox>
            </v:shape>
            <v:shape id="_x0000_s1033" type="#_x0000_t202" style="width:1288;height:317;left:9887;position:absolute;top:2724" filled="f" stroked="f">
              <v:textbox inset="0,0,0,0">
                <w:txbxContent>
                  <w:p>
                    <w:pPr>
                      <w:spacing w:before="0" w:line="317" w:lineRule="exact"/>
                      <w:ind w:left="0" w:right="0" w:firstLine="0"/>
                      <w:jc w:val="left"/>
                      <w:rPr>
                        <w:sz w:val="31"/>
                      </w:rPr>
                    </w:pPr>
                    <w:r>
                      <w:rPr>
                        <w:sz w:val="31"/>
                      </w:rPr>
                      <w:t>实收资本</w:t>
                    </w:r>
                  </w:p>
                </w:txbxContent>
              </v:textbox>
            </v:shape>
            <v:shape id="_x0000_s1034" type="#_x0000_t202" style="width:7675;height:317;left:3496;position:absolute;top:3149" filled="f" stroked="f">
              <v:textbox inset="0,0,0,0">
                <w:txbxContent>
                  <w:p>
                    <w:pPr>
                      <w:tabs>
                        <w:tab w:val="left" w:pos="946"/>
                        <w:tab w:val="left" w:pos="6391"/>
                        <w:tab w:val="left" w:pos="7338"/>
                      </w:tabs>
                      <w:spacing w:before="0" w:line="317" w:lineRule="exact"/>
                      <w:ind w:left="0" w:right="0" w:firstLine="0"/>
                      <w:jc w:val="left"/>
                      <w:rPr>
                        <w:sz w:val="31"/>
                      </w:rPr>
                    </w:pPr>
                    <w:r>
                      <w:rPr>
                        <w:sz w:val="31"/>
                      </w:rPr>
                      <w:t>合</w:t>
                      <w:tab/>
                      <w:t>计</w:t>
                      <w:tab/>
                      <w:t>合</w:t>
                      <w:tab/>
                      <w:t>计</w:t>
                    </w:r>
                  </w:p>
                </w:txbxContent>
              </v:textbox>
            </v:shape>
            <v:shape id="_x0000_s1035" type="#_x0000_t202" style="width:654;height:742;left:13402;position:absolute;top:2724" filled="f" stroked="f">
              <v:textbox inset="0,0,0,0">
                <w:txbxContent>
                  <w:p>
                    <w:pPr>
                      <w:spacing w:before="0" w:line="359" w:lineRule="exact"/>
                      <w:ind w:left="0" w:right="0" w:firstLine="0"/>
                      <w:jc w:val="left"/>
                      <w:rPr>
                        <w:sz w:val="31"/>
                      </w:rPr>
                    </w:pPr>
                    <w:r>
                      <w:rPr>
                        <w:sz w:val="31"/>
                      </w:rPr>
                      <w:t>4800</w:t>
                    </w:r>
                  </w:p>
                  <w:p>
                    <w:pPr>
                      <w:spacing w:before="27" w:line="355" w:lineRule="exact"/>
                      <w:ind w:left="0" w:right="0" w:firstLine="0"/>
                      <w:jc w:val="left"/>
                      <w:rPr>
                        <w:sz w:val="31"/>
                      </w:rPr>
                    </w:pPr>
                    <w:r>
                      <w:rPr>
                        <w:sz w:val="31"/>
                      </w:rPr>
                      <w:t>6000</w:t>
                    </w:r>
                  </w:p>
                </w:txbxContent>
              </v:textbox>
            </v:shape>
            <v:shape id="_x0000_s1036" type="#_x0000_t202" style="width:654;height:317;left:7007;position:absolute;top:3559" filled="f" stroked="f">
              <v:textbox inset="0,0,0,0">
                <w:txbxContent>
                  <w:p>
                    <w:pPr>
                      <w:spacing w:before="0" w:line="317" w:lineRule="exact"/>
                      <w:ind w:left="0" w:right="0" w:firstLine="0"/>
                      <w:jc w:val="left"/>
                      <w:rPr>
                        <w:sz w:val="31"/>
                      </w:rPr>
                    </w:pPr>
                    <w:r>
                      <w:rPr>
                        <w:sz w:val="31"/>
                      </w:rPr>
                      <w:t>6000</w:t>
                    </w:r>
                  </w:p>
                </w:txbxContent>
              </v:textbox>
            </v:shape>
            <w10:wrap type="topAndBottom"/>
          </v:group>
        </w:pict>
      </w:r>
      <w:r>
        <w:t>1.某企业本年度“资产负债表”有关项目如下（单位：万元）</w:t>
      </w:r>
    </w:p>
    <w:p>
      <w:pPr>
        <w:pStyle w:val="BodyText"/>
        <w:spacing w:before="82"/>
        <w:ind w:left="2967"/>
      </w:pPr>
      <w:r>
        <w:t>该企业本年度销售收入 8000 万元，下年度预计销售收入 9000 万元。要求：</w:t>
      </w:r>
    </w:p>
    <w:p>
      <w:pPr>
        <w:pStyle w:val="ListParagraph"/>
        <w:numPr>
          <w:ilvl w:val="0"/>
          <w:numId w:val="95"/>
        </w:numPr>
        <w:tabs>
          <w:tab w:val="left" w:pos="3732"/>
        </w:tabs>
        <w:spacing w:before="189" w:after="0" w:line="240" w:lineRule="auto"/>
        <w:ind w:left="3731" w:right="0" w:hanging="794"/>
        <w:jc w:val="left"/>
        <w:rPr>
          <w:sz w:val="31"/>
        </w:rPr>
      </w:pPr>
      <w:r>
        <w:rPr>
          <w:sz w:val="31"/>
        </w:rPr>
        <w:t>用销售百分比法确定该企业下年度流动资金筹资总规模。</w:t>
      </w:r>
    </w:p>
    <w:p>
      <w:pPr>
        <w:pStyle w:val="ListParagraph"/>
        <w:numPr>
          <w:ilvl w:val="0"/>
          <w:numId w:val="95"/>
        </w:numPr>
        <w:tabs>
          <w:tab w:val="left" w:pos="3764"/>
        </w:tabs>
        <w:spacing w:before="129" w:after="0" w:line="283" w:lineRule="auto"/>
        <w:ind w:left="2967" w:right="2663" w:firstLine="3"/>
        <w:jc w:val="left"/>
        <w:rPr>
          <w:sz w:val="31"/>
        </w:rPr>
      </w:pPr>
      <w:r>
        <w:rPr>
          <w:spacing w:val="1"/>
          <w:sz w:val="31"/>
        </w:rPr>
        <w:t xml:space="preserve">若下年度税后留利预计 </w:t>
      </w:r>
      <w:r>
        <w:rPr>
          <w:sz w:val="31"/>
        </w:rPr>
        <w:t>500</w:t>
      </w:r>
      <w:r>
        <w:rPr>
          <w:spacing w:val="10"/>
          <w:sz w:val="31"/>
        </w:rPr>
        <w:t xml:space="preserve"> 万元，其中 </w:t>
      </w:r>
      <w:r>
        <w:rPr>
          <w:sz w:val="31"/>
        </w:rPr>
        <w:t>10</w:t>
      </w:r>
      <w:r>
        <w:rPr>
          <w:spacing w:val="-1"/>
          <w:sz w:val="31"/>
        </w:rPr>
        <w:t>%可用于投资，请确定该企业对外筹资规</w:t>
      </w:r>
      <w:r>
        <w:rPr>
          <w:sz w:val="31"/>
        </w:rPr>
        <w:t>模。</w:t>
      </w:r>
    </w:p>
    <w:p>
      <w:pPr>
        <w:pStyle w:val="BodyText"/>
        <w:spacing w:line="283" w:lineRule="auto"/>
        <w:ind w:left="2967" w:right="2674" w:firstLine="237"/>
        <w:jc w:val="both"/>
      </w:pPr>
      <w:r>
        <w:t>(3) 公司如需对外筹资，可向银行申请年利率为 10%、期限为 5 年、每年年末付息的借款解决，筹资费用忽略不计。假定该公司适用的企业所得税税率为25%。请计算公司借款的资本成本。</w:t>
      </w:r>
    </w:p>
    <w:p>
      <w:pPr>
        <w:pStyle w:val="BodyText"/>
        <w:ind w:left="0"/>
        <w:rPr>
          <w:sz w:val="32"/>
        </w:rPr>
      </w:pPr>
    </w:p>
    <w:p>
      <w:pPr>
        <w:spacing w:before="252"/>
        <w:ind w:left="2700" w:right="0" w:firstLine="0"/>
        <w:jc w:val="left"/>
        <w:rPr>
          <w:b/>
          <w:sz w:val="18"/>
        </w:rPr>
      </w:pPr>
      <w:r>
        <w:rPr>
          <w:b/>
          <w:w w:val="99"/>
          <w:sz w:val="18"/>
        </w:rPr>
        <w:t>》</w:t>
      </w:r>
    </w:p>
    <w:p>
      <w:pPr>
        <w:pStyle w:val="BodyText"/>
        <w:spacing w:before="41"/>
      </w:pPr>
      <w:r>
        <w:rPr>
          <w:b/>
        </w:rPr>
        <w:t>2、</w:t>
      </w:r>
      <w:r>
        <w:t>六环公司的有关资料如下：</w:t>
      </w:r>
    </w:p>
    <w:p>
      <w:pPr>
        <w:pStyle w:val="BodyText"/>
        <w:spacing w:before="71"/>
      </w:pPr>
      <w:r>
        <w:t>（1）1998 年资产负债见下表</w:t>
      </w:r>
    </w:p>
    <w:p>
      <w:pPr>
        <w:spacing w:after="0"/>
        <w:sectPr>
          <w:headerReference w:type="default" r:id="rId31"/>
          <w:pgSz w:w="17860" w:h="25260"/>
          <w:pgMar w:top="1360" w:right="0" w:bottom="280" w:left="0" w:header="1160" w:footer="0"/>
          <w:pgNumType w:start="11"/>
          <w:cols w:space="708"/>
        </w:sectPr>
      </w:pPr>
    </w:p>
    <w:p>
      <w:pPr>
        <w:pStyle w:val="BodyText"/>
        <w:ind w:left="0"/>
        <w:rPr>
          <w:sz w:val="20"/>
        </w:rPr>
      </w:pPr>
    </w:p>
    <w:p>
      <w:pPr>
        <w:pStyle w:val="BodyText"/>
        <w:ind w:left="0"/>
        <w:rPr>
          <w:sz w:val="20"/>
        </w:rPr>
      </w:pPr>
    </w:p>
    <w:p>
      <w:pPr>
        <w:pStyle w:val="BodyText"/>
        <w:spacing w:before="5"/>
        <w:ind w:left="0"/>
        <w:rPr>
          <w:sz w:val="14"/>
        </w:rPr>
      </w:pPr>
    </w:p>
    <w:p>
      <w:pPr>
        <w:spacing w:after="0"/>
        <w:rPr>
          <w:sz w:val="14"/>
        </w:rPr>
        <w:sectPr>
          <w:headerReference w:type="default" r:id="rId32"/>
          <w:pgSz w:w="17860" w:h="25260"/>
          <w:pgMar w:top="1360" w:right="0" w:bottom="280" w:left="0" w:header="1160" w:footer="0"/>
          <w:pgNumType w:start="12"/>
          <w:cols w:space="708"/>
        </w:sectPr>
      </w:pPr>
    </w:p>
    <w:p>
      <w:pPr>
        <w:spacing w:before="70"/>
        <w:ind w:left="7717" w:right="0" w:firstLine="0"/>
        <w:jc w:val="left"/>
        <w:rPr>
          <w:sz w:val="24"/>
        </w:rPr>
      </w:pPr>
      <w:r>
        <w:rPr>
          <w:spacing w:val="-3"/>
          <w:sz w:val="24"/>
        </w:rPr>
        <w:t>六环公司资产负债表</w:t>
      </w:r>
    </w:p>
    <w:p>
      <w:pPr>
        <w:spacing w:before="115"/>
        <w:ind w:left="7756" w:right="0" w:firstLine="0"/>
        <w:jc w:val="left"/>
        <w:rPr>
          <w:sz w:val="24"/>
        </w:rPr>
      </w:pPr>
      <w:r>
        <w:pict>
          <v:group id="_x0000_s1037" style="width:564pt;height:533pt;margin-top:18.52pt;margin-left:154pt;mso-position-horizontal-relative:page;position:absolute;z-index:-251637760" coordorigin="3080,370" coordsize="11280,10660">
            <v:shape id="_x0000_s1038" type="#_x0000_t75" style="width:11280;height:10660;left:3080;position:absolute;top:370" stroked="f">
              <v:imagedata r:id="rId33" o:title=""/>
            </v:shape>
            <v:shape id="_x0000_s1039" type="#_x0000_t202" style="width:508;height:244;left:5557;position:absolute;top:581" filled="f" stroked="f">
              <v:textbox inset="0,0,0,0">
                <w:txbxContent>
                  <w:p>
                    <w:pPr>
                      <w:spacing w:before="0" w:line="244" w:lineRule="exact"/>
                      <w:ind w:left="0" w:right="0" w:firstLine="0"/>
                      <w:jc w:val="left"/>
                      <w:rPr>
                        <w:sz w:val="24"/>
                      </w:rPr>
                    </w:pPr>
                    <w:r>
                      <w:rPr>
                        <w:sz w:val="24"/>
                      </w:rPr>
                      <w:t>项目</w:t>
                    </w:r>
                  </w:p>
                </w:txbxContent>
              </v:textbox>
            </v:shape>
            <v:shape id="_x0000_s1040" type="#_x0000_t202" style="width:508;height:244;left:11160;position:absolute;top:581" filled="f" stroked="f">
              <v:textbox inset="0,0,0,0">
                <w:txbxContent>
                  <w:p>
                    <w:pPr>
                      <w:spacing w:before="0" w:line="244" w:lineRule="exact"/>
                      <w:ind w:left="0" w:right="0" w:firstLine="0"/>
                      <w:jc w:val="left"/>
                      <w:rPr>
                        <w:sz w:val="24"/>
                      </w:rPr>
                    </w:pPr>
                    <w:r>
                      <w:rPr>
                        <w:sz w:val="24"/>
                      </w:rPr>
                      <w:t>金额</w:t>
                    </w:r>
                  </w:p>
                </w:txbxContent>
              </v:textbox>
            </v:shape>
            <v:shape id="_x0000_s1041" type="#_x0000_t202" style="width:508;height:244;left:3247;position:absolute;top:1017" filled="f" stroked="f">
              <v:textbox inset="0,0,0,0">
                <w:txbxContent>
                  <w:p>
                    <w:pPr>
                      <w:spacing w:before="0" w:line="244" w:lineRule="exact"/>
                      <w:ind w:left="0" w:right="0" w:firstLine="0"/>
                      <w:jc w:val="left"/>
                      <w:rPr>
                        <w:sz w:val="24"/>
                      </w:rPr>
                    </w:pPr>
                    <w:r>
                      <w:rPr>
                        <w:sz w:val="24"/>
                      </w:rPr>
                      <w:t>资产</w:t>
                    </w:r>
                  </w:p>
                </w:txbxContent>
              </v:textbox>
            </v:shape>
          </v:group>
        </w:pict>
      </w:r>
      <w:r>
        <w:rPr>
          <w:rFonts w:ascii="Arial" w:eastAsia="Arial"/>
          <w:sz w:val="24"/>
        </w:rPr>
        <w:t>1998</w:t>
      </w:r>
      <w:r>
        <w:rPr>
          <w:rFonts w:ascii="Arial" w:eastAsia="Arial"/>
          <w:spacing w:val="-17"/>
          <w:sz w:val="24"/>
        </w:rPr>
        <w:t xml:space="preserve"> </w:t>
      </w:r>
      <w:r>
        <w:rPr>
          <w:spacing w:val="-38"/>
          <w:sz w:val="24"/>
        </w:rPr>
        <w:t xml:space="preserve">年 </w:t>
      </w:r>
      <w:r>
        <w:rPr>
          <w:rFonts w:ascii="Arial" w:eastAsia="Arial"/>
          <w:sz w:val="24"/>
        </w:rPr>
        <w:t>12</w:t>
      </w:r>
      <w:r>
        <w:rPr>
          <w:rFonts w:ascii="Arial" w:eastAsia="Arial"/>
          <w:spacing w:val="-20"/>
          <w:sz w:val="24"/>
        </w:rPr>
        <w:t xml:space="preserve"> </w:t>
      </w:r>
      <w:r>
        <w:rPr>
          <w:spacing w:val="-37"/>
          <w:sz w:val="24"/>
        </w:rPr>
        <w:t xml:space="preserve">月 </w:t>
      </w:r>
      <w:r>
        <w:rPr>
          <w:rFonts w:ascii="Arial" w:eastAsia="Arial"/>
          <w:sz w:val="24"/>
        </w:rPr>
        <w:t>31</w:t>
      </w:r>
      <w:r>
        <w:rPr>
          <w:rFonts w:ascii="Arial" w:eastAsia="Arial"/>
          <w:spacing w:val="-20"/>
          <w:sz w:val="24"/>
        </w:rPr>
        <w:t xml:space="preserve"> </w:t>
      </w:r>
      <w:r>
        <w:rPr>
          <w:sz w:val="24"/>
        </w:rPr>
        <w:t>日</w:t>
      </w:r>
    </w:p>
    <w:p>
      <w:pPr>
        <w:pStyle w:val="BodyText"/>
        <w:ind w:left="0"/>
        <w:rPr>
          <w:sz w:val="24"/>
        </w:rPr>
      </w:pPr>
      <w:r>
        <w:br w:type="column"/>
      </w:r>
    </w:p>
    <w:p>
      <w:pPr>
        <w:spacing w:before="185"/>
        <w:ind w:left="3183" w:right="3723" w:firstLine="0"/>
        <w:jc w:val="center"/>
        <w:rPr>
          <w:sz w:val="24"/>
        </w:rPr>
      </w:pPr>
      <w:r>
        <w:rPr>
          <w:sz w:val="24"/>
        </w:rPr>
        <w:t>单位：元</w:t>
      </w:r>
    </w:p>
    <w:p>
      <w:pPr>
        <w:spacing w:after="0"/>
        <w:jc w:val="center"/>
        <w:rPr>
          <w:sz w:val="24"/>
        </w:rPr>
        <w:sectPr>
          <w:headerReference w:type="default" r:id="rId34"/>
          <w:type w:val="continuous"/>
          <w:pgSz w:w="17860" w:h="25260"/>
          <w:pgMar w:top="1280" w:right="0" w:bottom="280" w:left="0" w:header="708" w:footer="708"/>
          <w:pgNumType w:start="13"/>
          <w:cols w:num="2" w:space="708" w:equalWidth="0">
            <w:col w:w="9914" w:space="40"/>
            <w:col w:w="7906" w:space="0"/>
          </w:cols>
        </w:sect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19"/>
        </w:rPr>
      </w:pPr>
    </w:p>
    <w:tbl>
      <w:tblPr>
        <w:tblStyle w:val="TableNormal4"/>
        <w:tblW w:w="0" w:type="auto"/>
        <w:jc w:val="left"/>
        <w:tblInd w:w="3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15"/>
        <w:gridCol w:w="4013"/>
        <w:gridCol w:w="478"/>
      </w:tblGrid>
      <w:tr>
        <w:tblPrEx>
          <w:tblW w:w="0" w:type="auto"/>
          <w:jc w:val="left"/>
          <w:tblInd w:w="3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3"/>
          <w:jc w:val="left"/>
        </w:trPr>
        <w:tc>
          <w:tcPr>
            <w:tcW w:w="6515" w:type="dxa"/>
          </w:tcPr>
          <w:p>
            <w:pPr>
              <w:pStyle w:val="TableParagraph"/>
              <w:spacing w:line="277" w:lineRule="exact"/>
              <w:ind w:left="50"/>
              <w:rPr>
                <w:sz w:val="24"/>
              </w:rPr>
            </w:pPr>
            <w:r>
              <w:rPr>
                <w:sz w:val="24"/>
              </w:rPr>
              <w:t>流动资产</w:t>
            </w:r>
          </w:p>
        </w:tc>
        <w:tc>
          <w:tcPr>
            <w:tcW w:w="4491" w:type="dxa"/>
            <w:gridSpan w:val="2"/>
          </w:tcPr>
          <w:p>
            <w:pPr>
              <w:pStyle w:val="TableParagraph"/>
              <w:rPr>
                <w:rFonts w:ascii="Times New Roman"/>
                <w:sz w:val="24"/>
              </w:rPr>
            </w:pP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8"/>
              <w:rPr>
                <w:sz w:val="24"/>
              </w:rPr>
            </w:pPr>
            <w:r>
              <w:rPr>
                <w:sz w:val="24"/>
              </w:rPr>
              <w:t>现金</w:t>
            </w:r>
          </w:p>
        </w:tc>
        <w:tc>
          <w:tcPr>
            <w:tcW w:w="4013" w:type="dxa"/>
          </w:tcPr>
          <w:p>
            <w:pPr>
              <w:pStyle w:val="TableParagraph"/>
              <w:spacing w:before="59"/>
              <w:ind w:right="57"/>
              <w:jc w:val="right"/>
              <w:rPr>
                <w:sz w:val="24"/>
              </w:rPr>
            </w:pPr>
            <w:r>
              <w:rPr>
                <w:sz w:val="24"/>
              </w:rPr>
              <w:t>50</w:t>
            </w:r>
          </w:p>
        </w:tc>
        <w:tc>
          <w:tcPr>
            <w:tcW w:w="478" w:type="dxa"/>
          </w:tcPr>
          <w:p>
            <w:pPr>
              <w:pStyle w:val="TableParagraph"/>
              <w:spacing w:before="59"/>
              <w:ind w:left="62"/>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8"/>
              <w:rPr>
                <w:sz w:val="24"/>
              </w:rPr>
            </w:pPr>
            <w:r>
              <w:rPr>
                <w:sz w:val="24"/>
              </w:rPr>
              <w:t>应收账款</w:t>
            </w:r>
          </w:p>
        </w:tc>
        <w:tc>
          <w:tcPr>
            <w:tcW w:w="4013" w:type="dxa"/>
          </w:tcPr>
          <w:p>
            <w:pPr>
              <w:pStyle w:val="TableParagraph"/>
              <w:spacing w:before="59"/>
              <w:ind w:right="59"/>
              <w:jc w:val="right"/>
              <w:rPr>
                <w:sz w:val="24"/>
              </w:rPr>
            </w:pPr>
            <w:r>
              <w:rPr>
                <w:sz w:val="24"/>
              </w:rPr>
              <w:t>200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2"/>
          <w:jc w:val="left"/>
        </w:trPr>
        <w:tc>
          <w:tcPr>
            <w:tcW w:w="6515" w:type="dxa"/>
          </w:tcPr>
          <w:p>
            <w:pPr>
              <w:pStyle w:val="TableParagraph"/>
              <w:spacing w:before="59"/>
              <w:ind w:left="298"/>
              <w:rPr>
                <w:sz w:val="24"/>
              </w:rPr>
            </w:pPr>
            <w:r>
              <w:rPr>
                <w:sz w:val="24"/>
              </w:rPr>
              <w:t>存货</w:t>
            </w:r>
          </w:p>
        </w:tc>
        <w:tc>
          <w:tcPr>
            <w:tcW w:w="4013" w:type="dxa"/>
          </w:tcPr>
          <w:p>
            <w:pPr>
              <w:pStyle w:val="TableParagraph"/>
              <w:spacing w:before="59"/>
              <w:ind w:right="57"/>
              <w:jc w:val="right"/>
              <w:rPr>
                <w:sz w:val="24"/>
              </w:rPr>
            </w:pPr>
            <w:r>
              <w:rPr>
                <w:sz w:val="24"/>
              </w:rPr>
              <w:t>10</w:t>
            </w:r>
          </w:p>
        </w:tc>
        <w:tc>
          <w:tcPr>
            <w:tcW w:w="478" w:type="dxa"/>
          </w:tcPr>
          <w:p>
            <w:pPr>
              <w:pStyle w:val="TableParagraph"/>
              <w:spacing w:before="59"/>
              <w:ind w:left="62"/>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8"/>
              <w:rPr>
                <w:sz w:val="24"/>
              </w:rPr>
            </w:pPr>
            <w:r>
              <w:rPr>
                <w:sz w:val="24"/>
              </w:rPr>
              <w:t>预付费用</w:t>
            </w:r>
          </w:p>
        </w:tc>
        <w:tc>
          <w:tcPr>
            <w:tcW w:w="4013" w:type="dxa"/>
          </w:tcPr>
          <w:p>
            <w:pPr>
              <w:pStyle w:val="TableParagraph"/>
              <w:spacing w:before="59"/>
              <w:ind w:right="57"/>
              <w:jc w:val="right"/>
              <w:rPr>
                <w:sz w:val="24"/>
              </w:rPr>
            </w:pPr>
            <w:r>
              <w:rPr>
                <w:sz w:val="24"/>
              </w:rPr>
              <w:t>90</w:t>
            </w:r>
          </w:p>
        </w:tc>
        <w:tc>
          <w:tcPr>
            <w:tcW w:w="478" w:type="dxa"/>
          </w:tcPr>
          <w:p>
            <w:pPr>
              <w:pStyle w:val="TableParagraph"/>
              <w:spacing w:before="59"/>
              <w:ind w:left="62"/>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2"/>
          <w:jc w:val="left"/>
        </w:trPr>
        <w:tc>
          <w:tcPr>
            <w:tcW w:w="6515" w:type="dxa"/>
          </w:tcPr>
          <w:p>
            <w:pPr>
              <w:pStyle w:val="TableParagraph"/>
              <w:spacing w:before="59"/>
              <w:ind w:left="294"/>
              <w:rPr>
                <w:sz w:val="24"/>
              </w:rPr>
            </w:pPr>
            <w:r>
              <w:rPr>
                <w:sz w:val="24"/>
              </w:rPr>
              <w:t>流动资产合计</w:t>
            </w:r>
          </w:p>
        </w:tc>
        <w:tc>
          <w:tcPr>
            <w:tcW w:w="4013" w:type="dxa"/>
          </w:tcPr>
          <w:p>
            <w:pPr>
              <w:pStyle w:val="TableParagraph"/>
              <w:spacing w:before="59"/>
              <w:ind w:right="59"/>
              <w:jc w:val="right"/>
              <w:rPr>
                <w:sz w:val="24"/>
              </w:rPr>
            </w:pPr>
            <w:r>
              <w:rPr>
                <w:sz w:val="24"/>
              </w:rPr>
              <w:t>350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长期投资</w:t>
            </w:r>
          </w:p>
        </w:tc>
        <w:tc>
          <w:tcPr>
            <w:tcW w:w="4013" w:type="dxa"/>
          </w:tcPr>
          <w:p>
            <w:pPr>
              <w:pStyle w:val="TableParagraph"/>
              <w:spacing w:before="59"/>
              <w:ind w:right="57"/>
              <w:jc w:val="right"/>
              <w:rPr>
                <w:sz w:val="24"/>
              </w:rPr>
            </w:pPr>
            <w:r>
              <w:rPr>
                <w:sz w:val="24"/>
              </w:rPr>
              <w:t>30</w:t>
            </w:r>
          </w:p>
        </w:tc>
        <w:tc>
          <w:tcPr>
            <w:tcW w:w="478" w:type="dxa"/>
          </w:tcPr>
          <w:p>
            <w:pPr>
              <w:pStyle w:val="TableParagraph"/>
              <w:spacing w:before="59"/>
              <w:ind w:left="62"/>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固定资产原值</w:t>
            </w:r>
          </w:p>
        </w:tc>
        <w:tc>
          <w:tcPr>
            <w:tcW w:w="4013" w:type="dxa"/>
          </w:tcPr>
          <w:p>
            <w:pPr>
              <w:pStyle w:val="TableParagraph"/>
              <w:spacing w:before="59"/>
              <w:ind w:right="59"/>
              <w:jc w:val="right"/>
              <w:rPr>
                <w:sz w:val="24"/>
              </w:rPr>
            </w:pPr>
            <w:r>
              <w:rPr>
                <w:sz w:val="24"/>
              </w:rPr>
              <w:t>800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2"/>
          <w:jc w:val="left"/>
        </w:trPr>
        <w:tc>
          <w:tcPr>
            <w:tcW w:w="6515" w:type="dxa"/>
          </w:tcPr>
          <w:p>
            <w:pPr>
              <w:pStyle w:val="TableParagraph"/>
              <w:spacing w:before="59"/>
              <w:ind w:left="298"/>
              <w:rPr>
                <w:sz w:val="24"/>
              </w:rPr>
            </w:pPr>
            <w:r>
              <w:rPr>
                <w:sz w:val="24"/>
              </w:rPr>
              <w:t>减：累计折旧</w:t>
            </w:r>
          </w:p>
        </w:tc>
        <w:tc>
          <w:tcPr>
            <w:tcW w:w="4013" w:type="dxa"/>
          </w:tcPr>
          <w:p>
            <w:pPr>
              <w:pStyle w:val="TableParagraph"/>
              <w:spacing w:before="59"/>
              <w:ind w:right="59"/>
              <w:jc w:val="right"/>
              <w:rPr>
                <w:sz w:val="24"/>
              </w:rPr>
            </w:pPr>
            <w:r>
              <w:rPr>
                <w:sz w:val="24"/>
              </w:rPr>
              <w:t>200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固定资产净值</w:t>
            </w:r>
          </w:p>
        </w:tc>
        <w:tc>
          <w:tcPr>
            <w:tcW w:w="4013" w:type="dxa"/>
          </w:tcPr>
          <w:p>
            <w:pPr>
              <w:pStyle w:val="TableParagraph"/>
              <w:spacing w:before="59"/>
              <w:ind w:right="59"/>
              <w:jc w:val="right"/>
              <w:rPr>
                <w:sz w:val="24"/>
              </w:rPr>
            </w:pPr>
            <w:r>
              <w:rPr>
                <w:sz w:val="24"/>
              </w:rPr>
              <w:t>600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资产总计</w:t>
            </w:r>
          </w:p>
        </w:tc>
        <w:tc>
          <w:tcPr>
            <w:tcW w:w="4013" w:type="dxa"/>
          </w:tcPr>
          <w:p>
            <w:pPr>
              <w:pStyle w:val="TableParagraph"/>
              <w:spacing w:before="59"/>
              <w:ind w:right="59"/>
              <w:jc w:val="right"/>
              <w:rPr>
                <w:sz w:val="24"/>
              </w:rPr>
            </w:pPr>
            <w:r>
              <w:rPr>
                <w:sz w:val="24"/>
              </w:rPr>
              <w:t>980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负债及股东权益</w:t>
            </w:r>
          </w:p>
        </w:tc>
        <w:tc>
          <w:tcPr>
            <w:tcW w:w="4013" w:type="dxa"/>
          </w:tcPr>
          <w:p>
            <w:pPr>
              <w:pStyle w:val="TableParagraph"/>
              <w:rPr>
                <w:rFonts w:ascii="Times New Roman"/>
                <w:sz w:val="26"/>
              </w:rPr>
            </w:pPr>
          </w:p>
        </w:tc>
        <w:tc>
          <w:tcPr>
            <w:tcW w:w="478" w:type="dxa"/>
          </w:tcPr>
          <w:p>
            <w:pPr>
              <w:pStyle w:val="TableParagraph"/>
              <w:rPr>
                <w:rFonts w:ascii="Times New Roman"/>
                <w:sz w:val="26"/>
              </w:rPr>
            </w:pP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流动负债</w:t>
            </w:r>
          </w:p>
        </w:tc>
        <w:tc>
          <w:tcPr>
            <w:tcW w:w="4013" w:type="dxa"/>
          </w:tcPr>
          <w:p>
            <w:pPr>
              <w:pStyle w:val="TableParagraph"/>
              <w:rPr>
                <w:rFonts w:ascii="Times New Roman"/>
                <w:sz w:val="26"/>
              </w:rPr>
            </w:pPr>
          </w:p>
        </w:tc>
        <w:tc>
          <w:tcPr>
            <w:tcW w:w="478" w:type="dxa"/>
          </w:tcPr>
          <w:p>
            <w:pPr>
              <w:pStyle w:val="TableParagraph"/>
              <w:rPr>
                <w:rFonts w:ascii="Times New Roman"/>
                <w:sz w:val="26"/>
              </w:rPr>
            </w:pPr>
          </w:p>
        </w:tc>
      </w:tr>
      <w:tr>
        <w:tblPrEx>
          <w:tblW w:w="0" w:type="auto"/>
          <w:jc w:val="left"/>
          <w:tblInd w:w="3205" w:type="dxa"/>
          <w:tblLayout w:type="fixed"/>
          <w:tblCellMar>
            <w:top w:w="0" w:type="dxa"/>
            <w:left w:w="0" w:type="dxa"/>
            <w:bottom w:w="0" w:type="dxa"/>
            <w:right w:w="0" w:type="dxa"/>
          </w:tblCellMar>
          <w:tblLook w:val="01E0"/>
        </w:tblPrEx>
        <w:trPr>
          <w:trHeight w:val="422"/>
          <w:jc w:val="left"/>
        </w:trPr>
        <w:tc>
          <w:tcPr>
            <w:tcW w:w="6515" w:type="dxa"/>
          </w:tcPr>
          <w:p>
            <w:pPr>
              <w:pStyle w:val="TableParagraph"/>
              <w:spacing w:before="59"/>
              <w:ind w:left="298"/>
              <w:rPr>
                <w:sz w:val="24"/>
              </w:rPr>
            </w:pPr>
            <w:r>
              <w:rPr>
                <w:sz w:val="24"/>
              </w:rPr>
              <w:t>应付费用</w:t>
            </w:r>
          </w:p>
        </w:tc>
        <w:tc>
          <w:tcPr>
            <w:tcW w:w="4013" w:type="dxa"/>
          </w:tcPr>
          <w:p>
            <w:pPr>
              <w:pStyle w:val="TableParagraph"/>
              <w:spacing w:before="59"/>
              <w:ind w:right="57"/>
              <w:jc w:val="right"/>
              <w:rPr>
                <w:sz w:val="24"/>
              </w:rPr>
            </w:pPr>
            <w:r>
              <w:rPr>
                <w:sz w:val="24"/>
              </w:rPr>
              <w:t>60</w:t>
            </w:r>
          </w:p>
        </w:tc>
        <w:tc>
          <w:tcPr>
            <w:tcW w:w="478" w:type="dxa"/>
          </w:tcPr>
          <w:p>
            <w:pPr>
              <w:pStyle w:val="TableParagraph"/>
              <w:spacing w:before="59"/>
              <w:ind w:left="62"/>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8"/>
              <w:rPr>
                <w:sz w:val="24"/>
              </w:rPr>
            </w:pPr>
            <w:r>
              <w:rPr>
                <w:sz w:val="24"/>
              </w:rPr>
              <w:t>应付票据</w:t>
            </w:r>
          </w:p>
        </w:tc>
        <w:tc>
          <w:tcPr>
            <w:tcW w:w="4013" w:type="dxa"/>
          </w:tcPr>
          <w:p>
            <w:pPr>
              <w:pStyle w:val="TableParagraph"/>
              <w:spacing w:before="59"/>
              <w:ind w:right="59"/>
              <w:jc w:val="right"/>
              <w:rPr>
                <w:sz w:val="24"/>
              </w:rPr>
            </w:pPr>
            <w:r>
              <w:rPr>
                <w:sz w:val="24"/>
              </w:rPr>
              <w:t>170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8"/>
              <w:rPr>
                <w:sz w:val="24"/>
              </w:rPr>
            </w:pPr>
            <w:r>
              <w:rPr>
                <w:sz w:val="24"/>
              </w:rPr>
              <w:t>应付账款</w:t>
            </w:r>
          </w:p>
        </w:tc>
        <w:tc>
          <w:tcPr>
            <w:tcW w:w="4013" w:type="dxa"/>
          </w:tcPr>
          <w:p>
            <w:pPr>
              <w:pStyle w:val="TableParagraph"/>
              <w:spacing w:before="59"/>
              <w:ind w:right="57"/>
              <w:jc w:val="right"/>
              <w:rPr>
                <w:sz w:val="24"/>
              </w:rPr>
            </w:pPr>
            <w:r>
              <w:rPr>
                <w:sz w:val="24"/>
              </w:rPr>
              <w:t>80</w:t>
            </w:r>
          </w:p>
        </w:tc>
        <w:tc>
          <w:tcPr>
            <w:tcW w:w="478" w:type="dxa"/>
          </w:tcPr>
          <w:p>
            <w:pPr>
              <w:pStyle w:val="TableParagraph"/>
              <w:spacing w:before="59"/>
              <w:ind w:left="62"/>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4"/>
              <w:rPr>
                <w:sz w:val="24"/>
              </w:rPr>
            </w:pPr>
            <w:r>
              <w:rPr>
                <w:sz w:val="24"/>
              </w:rPr>
              <w:t>流动负债合计</w:t>
            </w:r>
          </w:p>
        </w:tc>
        <w:tc>
          <w:tcPr>
            <w:tcW w:w="4013" w:type="dxa"/>
          </w:tcPr>
          <w:p>
            <w:pPr>
              <w:pStyle w:val="TableParagraph"/>
              <w:spacing w:before="59"/>
              <w:ind w:right="59"/>
              <w:jc w:val="right"/>
              <w:rPr>
                <w:sz w:val="24"/>
              </w:rPr>
            </w:pPr>
            <w:r>
              <w:rPr>
                <w:sz w:val="24"/>
              </w:rPr>
              <w:t>310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50"/>
              <w:rPr>
                <w:sz w:val="24"/>
              </w:rPr>
            </w:pPr>
            <w:r>
              <w:rPr>
                <w:sz w:val="24"/>
              </w:rPr>
              <w:t>长期负债</w:t>
            </w:r>
          </w:p>
        </w:tc>
        <w:tc>
          <w:tcPr>
            <w:tcW w:w="4013" w:type="dxa"/>
          </w:tcPr>
          <w:p>
            <w:pPr>
              <w:pStyle w:val="TableParagraph"/>
              <w:spacing w:before="59"/>
              <w:ind w:right="59"/>
              <w:jc w:val="right"/>
              <w:rPr>
                <w:sz w:val="24"/>
              </w:rPr>
            </w:pPr>
            <w:r>
              <w:rPr>
                <w:sz w:val="24"/>
              </w:rPr>
              <w:t>200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847"/>
          <w:jc w:val="left"/>
        </w:trPr>
        <w:tc>
          <w:tcPr>
            <w:tcW w:w="6515" w:type="dxa"/>
          </w:tcPr>
          <w:p>
            <w:pPr>
              <w:pStyle w:val="TableParagraph"/>
              <w:spacing w:before="59"/>
              <w:ind w:left="50"/>
              <w:rPr>
                <w:sz w:val="24"/>
              </w:rPr>
            </w:pPr>
            <w:r>
              <w:rPr>
                <w:sz w:val="24"/>
              </w:rPr>
              <w:t>股东权益：</w:t>
            </w:r>
          </w:p>
          <w:p>
            <w:pPr>
              <w:pStyle w:val="TableParagraph"/>
              <w:spacing w:before="115"/>
              <w:ind w:left="298"/>
              <w:rPr>
                <w:sz w:val="24"/>
              </w:rPr>
            </w:pPr>
            <w:r>
              <w:rPr>
                <w:sz w:val="24"/>
              </w:rPr>
              <w:t>普通股股本（</w:t>
            </w:r>
            <w:r>
              <w:rPr>
                <w:rFonts w:ascii="Arial" w:eastAsia="Arial"/>
                <w:sz w:val="24"/>
              </w:rPr>
              <w:t xml:space="preserve">10000 </w:t>
            </w:r>
            <w:r>
              <w:rPr>
                <w:sz w:val="24"/>
              </w:rPr>
              <w:t>股）</w:t>
            </w:r>
          </w:p>
        </w:tc>
        <w:tc>
          <w:tcPr>
            <w:tcW w:w="4013" w:type="dxa"/>
          </w:tcPr>
          <w:p>
            <w:pPr>
              <w:pStyle w:val="TableParagraph"/>
              <w:rPr>
                <w:sz w:val="24"/>
              </w:rPr>
            </w:pPr>
          </w:p>
          <w:p>
            <w:pPr>
              <w:pStyle w:val="TableParagraph"/>
              <w:spacing w:before="174"/>
              <w:ind w:right="59"/>
              <w:jc w:val="right"/>
              <w:rPr>
                <w:sz w:val="24"/>
              </w:rPr>
            </w:pPr>
            <w:r>
              <w:rPr>
                <w:sz w:val="24"/>
              </w:rPr>
              <w:t>250</w:t>
            </w:r>
          </w:p>
        </w:tc>
        <w:tc>
          <w:tcPr>
            <w:tcW w:w="478" w:type="dxa"/>
          </w:tcPr>
          <w:p>
            <w:pPr>
              <w:pStyle w:val="TableParagraph"/>
              <w:rPr>
                <w:sz w:val="24"/>
              </w:rPr>
            </w:pPr>
          </w:p>
          <w:p>
            <w:pPr>
              <w:pStyle w:val="TableParagraph"/>
              <w:spacing w:before="174"/>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1"/>
          <w:jc w:val="left"/>
        </w:trPr>
        <w:tc>
          <w:tcPr>
            <w:tcW w:w="6515" w:type="dxa"/>
          </w:tcPr>
          <w:p>
            <w:pPr>
              <w:pStyle w:val="TableParagraph"/>
              <w:spacing w:before="57"/>
              <w:ind w:left="298"/>
              <w:rPr>
                <w:sz w:val="24"/>
              </w:rPr>
            </w:pPr>
            <w:r>
              <w:rPr>
                <w:sz w:val="24"/>
              </w:rPr>
              <w:t>留用利润</w:t>
            </w:r>
          </w:p>
        </w:tc>
        <w:tc>
          <w:tcPr>
            <w:tcW w:w="4013" w:type="dxa"/>
          </w:tcPr>
          <w:p>
            <w:pPr>
              <w:pStyle w:val="TableParagraph"/>
              <w:spacing w:before="57"/>
              <w:ind w:right="59"/>
              <w:jc w:val="right"/>
              <w:rPr>
                <w:sz w:val="24"/>
              </w:rPr>
            </w:pPr>
            <w:r>
              <w:rPr>
                <w:sz w:val="24"/>
              </w:rPr>
              <w:t>220</w:t>
            </w:r>
          </w:p>
        </w:tc>
        <w:tc>
          <w:tcPr>
            <w:tcW w:w="478" w:type="dxa"/>
          </w:tcPr>
          <w:p>
            <w:pPr>
              <w:pStyle w:val="TableParagraph"/>
              <w:spacing w:before="57"/>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423"/>
          <w:jc w:val="left"/>
        </w:trPr>
        <w:tc>
          <w:tcPr>
            <w:tcW w:w="6515" w:type="dxa"/>
          </w:tcPr>
          <w:p>
            <w:pPr>
              <w:pStyle w:val="TableParagraph"/>
              <w:spacing w:before="59"/>
              <w:ind w:left="294"/>
              <w:rPr>
                <w:sz w:val="24"/>
              </w:rPr>
            </w:pPr>
            <w:r>
              <w:rPr>
                <w:sz w:val="24"/>
              </w:rPr>
              <w:t>股东权益合计</w:t>
            </w:r>
          </w:p>
        </w:tc>
        <w:tc>
          <w:tcPr>
            <w:tcW w:w="4013" w:type="dxa"/>
          </w:tcPr>
          <w:p>
            <w:pPr>
              <w:pStyle w:val="TableParagraph"/>
              <w:spacing w:before="59"/>
              <w:ind w:right="59"/>
              <w:jc w:val="right"/>
              <w:rPr>
                <w:sz w:val="24"/>
              </w:rPr>
            </w:pPr>
            <w:r>
              <w:rPr>
                <w:sz w:val="24"/>
              </w:rPr>
              <w:t>470</w:t>
            </w:r>
          </w:p>
        </w:tc>
        <w:tc>
          <w:tcPr>
            <w:tcW w:w="478" w:type="dxa"/>
          </w:tcPr>
          <w:p>
            <w:pPr>
              <w:pStyle w:val="TableParagraph"/>
              <w:spacing w:before="59"/>
              <w:ind w:left="60"/>
              <w:rPr>
                <w:sz w:val="24"/>
              </w:rPr>
            </w:pPr>
            <w:r>
              <w:rPr>
                <w:sz w:val="24"/>
              </w:rPr>
              <w:t>000</w:t>
            </w:r>
          </w:p>
        </w:tc>
      </w:tr>
      <w:tr>
        <w:tblPrEx>
          <w:tblW w:w="0" w:type="auto"/>
          <w:jc w:val="left"/>
          <w:tblInd w:w="3205" w:type="dxa"/>
          <w:tblLayout w:type="fixed"/>
          <w:tblCellMar>
            <w:top w:w="0" w:type="dxa"/>
            <w:left w:w="0" w:type="dxa"/>
            <w:bottom w:w="0" w:type="dxa"/>
            <w:right w:w="0" w:type="dxa"/>
          </w:tblCellMar>
          <w:tblLook w:val="01E0"/>
        </w:tblPrEx>
        <w:trPr>
          <w:trHeight w:val="333"/>
          <w:jc w:val="left"/>
        </w:trPr>
        <w:tc>
          <w:tcPr>
            <w:tcW w:w="6515" w:type="dxa"/>
          </w:tcPr>
          <w:p>
            <w:pPr>
              <w:pStyle w:val="TableParagraph"/>
              <w:spacing w:before="59" w:line="254" w:lineRule="exact"/>
              <w:ind w:left="50"/>
              <w:rPr>
                <w:sz w:val="24"/>
              </w:rPr>
            </w:pPr>
            <w:r>
              <w:rPr>
                <w:sz w:val="24"/>
              </w:rPr>
              <w:t>负债及股东权益总计</w:t>
            </w:r>
          </w:p>
        </w:tc>
        <w:tc>
          <w:tcPr>
            <w:tcW w:w="4013" w:type="dxa"/>
          </w:tcPr>
          <w:p>
            <w:pPr>
              <w:pStyle w:val="TableParagraph"/>
              <w:spacing w:before="59" w:line="254" w:lineRule="exact"/>
              <w:ind w:right="59"/>
              <w:jc w:val="right"/>
              <w:rPr>
                <w:sz w:val="24"/>
              </w:rPr>
            </w:pPr>
            <w:r>
              <w:rPr>
                <w:sz w:val="24"/>
              </w:rPr>
              <w:t>980</w:t>
            </w:r>
          </w:p>
        </w:tc>
        <w:tc>
          <w:tcPr>
            <w:tcW w:w="478" w:type="dxa"/>
          </w:tcPr>
          <w:p>
            <w:pPr>
              <w:pStyle w:val="TableParagraph"/>
              <w:spacing w:before="59" w:line="254" w:lineRule="exact"/>
              <w:ind w:left="60"/>
              <w:rPr>
                <w:sz w:val="24"/>
              </w:rPr>
            </w:pPr>
            <w:r>
              <w:rPr>
                <w:sz w:val="24"/>
              </w:rPr>
              <w:t>000</w:t>
            </w:r>
          </w:p>
        </w:tc>
      </w:tr>
    </w:tbl>
    <w:p>
      <w:pPr>
        <w:pStyle w:val="BodyText"/>
        <w:ind w:left="0"/>
        <w:rPr>
          <w:sz w:val="20"/>
        </w:rPr>
      </w:pPr>
    </w:p>
    <w:p>
      <w:pPr>
        <w:pStyle w:val="BodyText"/>
        <w:spacing w:before="6"/>
        <w:ind w:left="0"/>
        <w:rPr>
          <w:sz w:val="27"/>
        </w:rPr>
      </w:pPr>
    </w:p>
    <w:p>
      <w:pPr>
        <w:pStyle w:val="BodyText"/>
        <w:spacing w:before="62"/>
      </w:pPr>
      <w:r>
        <w:t>（2）1998 年实际销售收入为 2 000 000 元，预计 1999 年销售收入增长 10%。</w:t>
      </w:r>
    </w:p>
    <w:p>
      <w:pPr>
        <w:pStyle w:val="ListParagraph"/>
        <w:numPr>
          <w:ilvl w:val="0"/>
          <w:numId w:val="95"/>
        </w:numPr>
        <w:tabs>
          <w:tab w:val="left" w:pos="3494"/>
        </w:tabs>
        <w:spacing w:before="71" w:after="0" w:line="240" w:lineRule="auto"/>
        <w:ind w:left="3493" w:right="0" w:hanging="794"/>
        <w:jc w:val="left"/>
        <w:rPr>
          <w:sz w:val="31"/>
        </w:rPr>
      </w:pPr>
      <w:r>
        <w:rPr>
          <w:spacing w:val="-18"/>
          <w:sz w:val="31"/>
        </w:rPr>
        <w:t xml:space="preserve">公司预定 </w:t>
      </w:r>
      <w:r>
        <w:rPr>
          <w:sz w:val="31"/>
        </w:rPr>
        <w:t>1999</w:t>
      </w:r>
      <w:r>
        <w:rPr>
          <w:spacing w:val="-21"/>
          <w:sz w:val="31"/>
        </w:rPr>
        <w:t xml:space="preserve"> 年增加长期投资 </w:t>
      </w:r>
      <w:r>
        <w:rPr>
          <w:sz w:val="31"/>
        </w:rPr>
        <w:t>50</w:t>
      </w:r>
      <w:r>
        <w:rPr>
          <w:spacing w:val="6"/>
          <w:sz w:val="31"/>
        </w:rPr>
        <w:t xml:space="preserve"> </w:t>
      </w:r>
      <w:r>
        <w:rPr>
          <w:sz w:val="31"/>
        </w:rPr>
        <w:t>000</w:t>
      </w:r>
      <w:r>
        <w:rPr>
          <w:spacing w:val="-28"/>
          <w:sz w:val="31"/>
        </w:rPr>
        <w:t xml:space="preserve"> 元。</w:t>
      </w:r>
    </w:p>
    <w:p>
      <w:pPr>
        <w:pStyle w:val="ListParagraph"/>
        <w:numPr>
          <w:ilvl w:val="0"/>
          <w:numId w:val="95"/>
        </w:numPr>
        <w:tabs>
          <w:tab w:val="left" w:pos="3494"/>
        </w:tabs>
        <w:spacing w:before="71" w:after="0" w:line="283" w:lineRule="auto"/>
        <w:ind w:left="2700" w:right="2680" w:firstLine="0"/>
        <w:jc w:val="left"/>
        <w:rPr>
          <w:sz w:val="31"/>
        </w:rPr>
      </w:pPr>
      <w:r>
        <w:rPr>
          <w:spacing w:val="-5"/>
          <w:sz w:val="31"/>
        </w:rPr>
        <w:t xml:space="preserve">预计 </w:t>
      </w:r>
      <w:r>
        <w:rPr>
          <w:sz w:val="31"/>
        </w:rPr>
        <w:t>1999</w:t>
      </w:r>
      <w:r>
        <w:rPr>
          <w:spacing w:val="-8"/>
          <w:sz w:val="31"/>
        </w:rPr>
        <w:t xml:space="preserve"> 年税前利润占销售收入的比率为 </w:t>
      </w:r>
      <w:r>
        <w:rPr>
          <w:sz w:val="31"/>
        </w:rPr>
        <w:t>10</w:t>
      </w:r>
      <w:r>
        <w:rPr>
          <w:spacing w:val="-3"/>
          <w:sz w:val="31"/>
        </w:rPr>
        <w:t xml:space="preserve">%，公司的所得税税率为 </w:t>
      </w:r>
      <w:r>
        <w:rPr>
          <w:sz w:val="31"/>
        </w:rPr>
        <w:t>40</w:t>
      </w:r>
      <w:r>
        <w:rPr>
          <w:spacing w:val="-3"/>
          <w:sz w:val="31"/>
        </w:rPr>
        <w:t>%，税后利润</w:t>
      </w:r>
      <w:r>
        <w:rPr>
          <w:spacing w:val="-12"/>
          <w:sz w:val="31"/>
        </w:rPr>
        <w:t xml:space="preserve">的留用比率为 </w:t>
      </w:r>
      <w:r>
        <w:rPr>
          <w:sz w:val="31"/>
        </w:rPr>
        <w:t>50%。</w:t>
      </w:r>
    </w:p>
    <w:p>
      <w:pPr>
        <w:pStyle w:val="BodyText"/>
        <w:spacing w:line="396" w:lineRule="exact"/>
      </w:pPr>
      <w:r>
        <w:rPr>
          <w:spacing w:val="-54"/>
          <w:w w:val="102"/>
        </w:rPr>
        <w:t>要求：</w:t>
      </w:r>
      <w:r>
        <w:rPr>
          <w:spacing w:val="-1"/>
          <w:w w:val="102"/>
        </w:rPr>
        <w:t>（</w:t>
      </w:r>
      <w:r>
        <w:rPr>
          <w:w w:val="102"/>
        </w:rPr>
        <w:t>1）试编制六环公司</w:t>
      </w:r>
      <w:r>
        <w:rPr>
          <w:spacing w:val="-90"/>
        </w:rPr>
        <w:t xml:space="preserve"> </w:t>
      </w:r>
      <w:r>
        <w:rPr>
          <w:w w:val="102"/>
        </w:rPr>
        <w:t>1999</w:t>
      </w:r>
      <w:r>
        <w:rPr>
          <w:spacing w:val="-80"/>
        </w:rPr>
        <w:t xml:space="preserve"> </w:t>
      </w:r>
      <w:r>
        <w:rPr>
          <w:w w:val="102"/>
        </w:rPr>
        <w:t>年预计资产负债表。</w:t>
      </w:r>
    </w:p>
    <w:p>
      <w:pPr>
        <w:pStyle w:val="BodyText"/>
        <w:spacing w:before="71"/>
      </w:pPr>
      <w:r>
        <w:t>（2）用简便方法测算该公司 1999 年需要追加外部筹资数量。</w:t>
      </w:r>
    </w:p>
    <w:p>
      <w:pPr>
        <w:pStyle w:val="BodyText"/>
        <w:ind w:left="0"/>
        <w:rPr>
          <w:sz w:val="32"/>
        </w:rPr>
      </w:pPr>
    </w:p>
    <w:p>
      <w:pPr>
        <w:pStyle w:val="BodyText"/>
        <w:spacing w:before="3"/>
        <w:ind w:left="0"/>
        <w:rPr>
          <w:sz w:val="26"/>
        </w:rPr>
      </w:pPr>
    </w:p>
    <w:p>
      <w:pPr>
        <w:spacing w:before="0"/>
        <w:ind w:left="2700" w:right="0" w:firstLine="0"/>
        <w:jc w:val="left"/>
        <w:rPr>
          <w:rFonts w:ascii="Arial"/>
          <w:sz w:val="18"/>
        </w:rPr>
      </w:pPr>
      <w:r>
        <w:rPr>
          <w:rFonts w:ascii="Arial"/>
          <w:w w:val="119"/>
          <w:sz w:val="18"/>
        </w:rPr>
        <w:t>]</w:t>
      </w:r>
    </w:p>
    <w:p>
      <w:pPr>
        <w:pStyle w:val="BodyText"/>
        <w:ind w:left="0"/>
        <w:rPr>
          <w:rFonts w:ascii="Arial"/>
          <w:sz w:val="18"/>
        </w:rPr>
      </w:pPr>
    </w:p>
    <w:p>
      <w:pPr>
        <w:pStyle w:val="BodyText"/>
        <w:spacing w:before="9"/>
        <w:ind w:left="0"/>
        <w:rPr>
          <w:rFonts w:ascii="Arial"/>
          <w:sz w:val="21"/>
        </w:rPr>
      </w:pPr>
    </w:p>
    <w:p>
      <w:pPr>
        <w:pStyle w:val="Heading2"/>
        <w:spacing w:line="930" w:lineRule="atLeast"/>
        <w:ind w:right="12782"/>
      </w:pPr>
      <w:r>
        <w:t>第五章 筹资方式一、单选题</w:t>
      </w:r>
    </w:p>
    <w:p>
      <w:pPr>
        <w:pStyle w:val="BodyText"/>
        <w:tabs>
          <w:tab w:val="left" w:pos="11367"/>
        </w:tabs>
        <w:spacing w:before="77" w:line="283" w:lineRule="auto"/>
        <w:ind w:left="3176" w:right="6015" w:hanging="476"/>
      </w:pPr>
      <w:r>
        <w:t>1、采用筹集投入资本方式筹措自有资本的企业不应该是（</w:t>
        <w:tab/>
      </w:r>
      <w:r>
        <w:rPr>
          <w:spacing w:val="-159"/>
        </w:rPr>
        <w:t>）</w:t>
      </w:r>
      <w:r>
        <w:rPr>
          <w:spacing w:val="-17"/>
        </w:rPr>
        <w:t>。</w:t>
      </w:r>
      <w:r>
        <w:t>A</w:t>
      </w:r>
      <w:r>
        <w:rPr>
          <w:spacing w:val="3"/>
        </w:rPr>
        <w:t xml:space="preserve"> </w:t>
      </w:r>
      <w:r>
        <w:rPr>
          <w:spacing w:val="-4"/>
        </w:rPr>
        <w:t>.</w:t>
      </w:r>
      <w:r>
        <w:t>股份制企业</w:t>
      </w:r>
    </w:p>
    <w:p>
      <w:pPr>
        <w:pStyle w:val="ListParagraph"/>
        <w:numPr>
          <w:ilvl w:val="0"/>
          <w:numId w:val="94"/>
        </w:numPr>
        <w:tabs>
          <w:tab w:val="left" w:pos="3493"/>
        </w:tabs>
        <w:spacing w:before="0" w:after="0" w:line="396" w:lineRule="exact"/>
        <w:ind w:left="3492" w:right="0" w:hanging="317"/>
        <w:jc w:val="left"/>
        <w:rPr>
          <w:sz w:val="31"/>
        </w:rPr>
      </w:pPr>
      <w:r>
        <w:rPr>
          <w:spacing w:val="-2"/>
          <w:sz w:val="31"/>
        </w:rPr>
        <w:t>.国有企业</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94"/>
        </w:numPr>
        <w:tabs>
          <w:tab w:val="left" w:pos="3493"/>
        </w:tabs>
        <w:spacing w:before="40" w:after="0" w:line="240" w:lineRule="auto"/>
        <w:ind w:left="3492" w:right="0" w:hanging="317"/>
        <w:jc w:val="left"/>
        <w:rPr>
          <w:sz w:val="31"/>
        </w:rPr>
      </w:pPr>
      <w:r>
        <w:rPr>
          <w:spacing w:val="-2"/>
          <w:sz w:val="31"/>
        </w:rPr>
        <w:t>.集体企业</w:t>
      </w:r>
    </w:p>
    <w:p>
      <w:pPr>
        <w:spacing w:after="0" w:line="240" w:lineRule="auto"/>
        <w:jc w:val="left"/>
        <w:rPr>
          <w:sz w:val="31"/>
        </w:rPr>
        <w:sectPr>
          <w:headerReference w:type="default" r:id="rId35"/>
          <w:type w:val="continuous"/>
          <w:pgSz w:w="17860" w:h="25260"/>
          <w:pgMar w:top="1280" w:right="0" w:bottom="280" w:left="0" w:header="708" w:footer="708"/>
          <w:pgNumType w:start="14"/>
          <w:cols w:space="708"/>
        </w:sectPr>
      </w:pPr>
    </w:p>
    <w:p>
      <w:pPr>
        <w:pStyle w:val="BodyText"/>
        <w:ind w:left="0"/>
        <w:rPr>
          <w:sz w:val="20"/>
        </w:rPr>
      </w:pPr>
    </w:p>
    <w:p>
      <w:pPr>
        <w:pStyle w:val="BodyText"/>
        <w:spacing w:before="5"/>
        <w:ind w:left="0"/>
        <w:rPr>
          <w:sz w:val="19"/>
        </w:rPr>
      </w:pPr>
    </w:p>
    <w:p>
      <w:pPr>
        <w:pStyle w:val="ListParagraph"/>
        <w:numPr>
          <w:ilvl w:val="0"/>
          <w:numId w:val="94"/>
        </w:numPr>
        <w:tabs>
          <w:tab w:val="left" w:pos="3493"/>
        </w:tabs>
        <w:spacing w:before="62" w:after="0" w:line="240" w:lineRule="auto"/>
        <w:ind w:left="3492" w:right="0" w:hanging="317"/>
        <w:jc w:val="both"/>
        <w:rPr>
          <w:sz w:val="31"/>
        </w:rPr>
      </w:pPr>
      <w:r>
        <w:rPr>
          <w:spacing w:val="-2"/>
          <w:sz w:val="31"/>
        </w:rPr>
        <w:t>.合资或合营企业</w:t>
      </w:r>
    </w:p>
    <w:p>
      <w:pPr>
        <w:pStyle w:val="BodyText"/>
        <w:spacing w:before="71" w:line="283" w:lineRule="auto"/>
        <w:ind w:left="3176" w:right="6786" w:hanging="476"/>
        <w:jc w:val="both"/>
      </w:pPr>
      <w:r>
        <w:t>2、筹集投入资本时，要对（    ）出资形式规定最高比例。A .现金</w:t>
      </w:r>
    </w:p>
    <w:p>
      <w:pPr>
        <w:pStyle w:val="BodyText"/>
        <w:spacing w:line="283" w:lineRule="auto"/>
        <w:ind w:left="3176" w:right="12944"/>
        <w:jc w:val="both"/>
      </w:pPr>
      <w:r>
        <w:t>B .流动资产C .固定资产D .无形资产</w:t>
      </w:r>
    </w:p>
    <w:p>
      <w:pPr>
        <w:pStyle w:val="BodyText"/>
        <w:spacing w:line="395" w:lineRule="exact"/>
        <w:jc w:val="both"/>
      </w:pPr>
      <w:r>
        <w:t>3、股票分为国家股、法人股、个人股和外资股是根据（</w:t>
      </w:r>
      <w:r>
        <w:rPr>
          <w:spacing w:val="146"/>
        </w:rPr>
        <w:t xml:space="preserve"> </w:t>
      </w:r>
      <w:r>
        <w:t>）的不同。</w:t>
      </w:r>
    </w:p>
    <w:p>
      <w:pPr>
        <w:pStyle w:val="BodyText"/>
        <w:ind w:left="0"/>
        <w:rPr>
          <w:sz w:val="15"/>
        </w:rPr>
      </w:pPr>
    </w:p>
    <w:p>
      <w:pPr>
        <w:spacing w:before="75"/>
        <w:ind w:left="2700" w:right="0" w:firstLine="0"/>
        <w:jc w:val="left"/>
        <w:rPr>
          <w:sz w:val="18"/>
        </w:rPr>
      </w:pPr>
      <w:r>
        <w:rPr>
          <w:sz w:val="18"/>
        </w:rPr>
        <w:t>—</w:t>
      </w:r>
    </w:p>
    <w:p>
      <w:pPr>
        <w:pStyle w:val="BodyText"/>
        <w:spacing w:before="40" w:line="283" w:lineRule="auto"/>
        <w:ind w:left="3176" w:right="11992"/>
      </w:pPr>
      <w:r>
        <w:t>A .股东权利和义务B .股票发行对象</w:t>
      </w:r>
    </w:p>
    <w:p>
      <w:pPr>
        <w:pStyle w:val="BodyText"/>
        <w:spacing w:line="283" w:lineRule="auto"/>
        <w:ind w:left="3176" w:right="12309"/>
      </w:pPr>
      <w:r>
        <w:t>C .股票上市地区D .投资主体</w:t>
      </w:r>
    </w:p>
    <w:p>
      <w:pPr>
        <w:pStyle w:val="BodyText"/>
        <w:tabs>
          <w:tab w:val="left" w:pos="6956"/>
        </w:tabs>
        <w:spacing w:line="396" w:lineRule="exact"/>
      </w:pPr>
      <w:r>
        <w:t>4、下列说法中正确的是（</w:t>
        <w:tab/>
      </w:r>
      <w:r>
        <w:rPr>
          <w:spacing w:val="-162"/>
        </w:rPr>
        <w:t>）</w:t>
      </w:r>
      <w:r>
        <w:t>。</w:t>
      </w:r>
    </w:p>
    <w:p>
      <w:pPr>
        <w:pStyle w:val="BodyText"/>
        <w:spacing w:before="71" w:line="283" w:lineRule="auto"/>
        <w:ind w:left="3176" w:right="9776"/>
      </w:pPr>
      <w:r>
        <w:t>A .公司债券比政府债券的收益率低B .公司债券比政府债券的流动性高</w:t>
      </w:r>
    </w:p>
    <w:p>
      <w:pPr>
        <w:pStyle w:val="ListParagraph"/>
        <w:numPr>
          <w:ilvl w:val="0"/>
          <w:numId w:val="93"/>
        </w:numPr>
        <w:tabs>
          <w:tab w:val="left" w:pos="3493"/>
        </w:tabs>
        <w:spacing w:before="0" w:after="0" w:line="396" w:lineRule="exact"/>
        <w:ind w:left="3492" w:right="0" w:hanging="317"/>
        <w:jc w:val="left"/>
        <w:rPr>
          <w:sz w:val="31"/>
        </w:rPr>
      </w:pPr>
      <w:r>
        <w:rPr>
          <w:spacing w:val="-2"/>
          <w:sz w:val="31"/>
        </w:rPr>
        <w:t>.发行可转换债券有利于资本结构的调整</w:t>
      </w:r>
    </w:p>
    <w:p>
      <w:pPr>
        <w:pStyle w:val="BodyText"/>
        <w:ind w:left="0"/>
        <w:rPr>
          <w:sz w:val="15"/>
        </w:rPr>
      </w:pPr>
    </w:p>
    <w:p>
      <w:pPr>
        <w:spacing w:before="75"/>
        <w:ind w:left="2700" w:right="0" w:firstLine="0"/>
        <w:jc w:val="left"/>
        <w:rPr>
          <w:sz w:val="18"/>
        </w:rPr>
      </w:pPr>
      <w:r>
        <w:rPr>
          <w:sz w:val="18"/>
        </w:rPr>
        <w:t>&amp;</w:t>
      </w:r>
    </w:p>
    <w:p>
      <w:pPr>
        <w:pStyle w:val="ListParagraph"/>
        <w:numPr>
          <w:ilvl w:val="0"/>
          <w:numId w:val="93"/>
        </w:numPr>
        <w:tabs>
          <w:tab w:val="left" w:pos="3493"/>
        </w:tabs>
        <w:spacing w:before="41" w:after="0" w:line="240" w:lineRule="auto"/>
        <w:ind w:left="3492" w:right="0" w:hanging="317"/>
        <w:jc w:val="left"/>
        <w:rPr>
          <w:sz w:val="31"/>
        </w:rPr>
      </w:pPr>
      <w:r>
        <w:rPr>
          <w:spacing w:val="-2"/>
          <w:sz w:val="31"/>
        </w:rPr>
        <w:t>.债券筹资比股票筹资的风险小</w:t>
      </w:r>
    </w:p>
    <w:p>
      <w:pPr>
        <w:pStyle w:val="ListParagraph"/>
        <w:numPr>
          <w:ilvl w:val="0"/>
          <w:numId w:val="92"/>
        </w:numPr>
        <w:tabs>
          <w:tab w:val="left" w:pos="3019"/>
          <w:tab w:val="left" w:pos="7752"/>
          <w:tab w:val="left" w:pos="8075"/>
        </w:tabs>
        <w:spacing w:before="70" w:after="0" w:line="264" w:lineRule="auto"/>
        <w:ind w:left="3017" w:right="7423" w:hanging="317"/>
        <w:jc w:val="left"/>
        <w:rPr>
          <w:sz w:val="31"/>
        </w:rPr>
      </w:pPr>
      <w:r>
        <w:rPr>
          <w:sz w:val="31"/>
        </w:rPr>
        <w:t>下列投资中，风险最小的</w:t>
      </w:r>
      <w:r>
        <w:rPr>
          <w:spacing w:val="-18"/>
          <w:sz w:val="31"/>
        </w:rPr>
        <w:t>是</w:t>
      </w:r>
      <w:r>
        <w:rPr>
          <w:sz w:val="31"/>
        </w:rPr>
        <w:t>(</w:t>
        <w:tab/>
      </w:r>
      <w:r>
        <w:rPr>
          <w:spacing w:val="-8"/>
          <w:sz w:val="31"/>
        </w:rPr>
        <w:t xml:space="preserve">) </w:t>
      </w:r>
      <w:r>
        <w:rPr>
          <w:sz w:val="31"/>
        </w:rPr>
        <w:t>。           A．购买政府债券</w:t>
        <w:tab/>
        <w:tab/>
      </w:r>
      <w:r>
        <w:rPr>
          <w:spacing w:val="-9"/>
          <w:sz w:val="31"/>
        </w:rPr>
        <w:t>B．</w:t>
      </w:r>
      <w:r>
        <w:rPr>
          <w:sz w:val="31"/>
        </w:rPr>
        <w:t>购买公司债</w:t>
      </w:r>
      <w:r>
        <w:rPr>
          <w:spacing w:val="-17"/>
          <w:sz w:val="31"/>
        </w:rPr>
        <w:t>券</w:t>
      </w:r>
    </w:p>
    <w:p>
      <w:pPr>
        <w:pStyle w:val="BodyText"/>
        <w:tabs>
          <w:tab w:val="left" w:pos="8078"/>
        </w:tabs>
        <w:spacing w:line="366" w:lineRule="exact"/>
        <w:ind w:left="3017"/>
      </w:pPr>
      <w:r>
        <w:t>C．购买股票</w:t>
        <w:tab/>
      </w:r>
      <w:r>
        <w:rPr>
          <w:spacing w:val="-11"/>
        </w:rPr>
        <w:t>D．</w:t>
      </w:r>
      <w:r>
        <w:t>投资期货</w:t>
      </w:r>
    </w:p>
    <w:p>
      <w:pPr>
        <w:pStyle w:val="ListParagraph"/>
        <w:numPr>
          <w:ilvl w:val="0"/>
          <w:numId w:val="92"/>
        </w:numPr>
        <w:tabs>
          <w:tab w:val="left" w:pos="3177"/>
          <w:tab w:val="left" w:pos="7596"/>
          <w:tab w:val="left" w:pos="10103"/>
        </w:tabs>
        <w:spacing w:before="14" w:after="0" w:line="244" w:lineRule="auto"/>
        <w:ind w:left="3330" w:right="7120" w:hanging="630"/>
        <w:jc w:val="left"/>
        <w:rPr>
          <w:sz w:val="31"/>
        </w:rPr>
      </w:pPr>
      <w:r>
        <w:rPr>
          <w:sz w:val="31"/>
        </w:rPr>
        <w:t>下列筹资方式中，不需考虑筹资费用的是（</w:t>
        <w:tab/>
        <w:t>）</w:t>
      </w:r>
      <w:r>
        <w:rPr>
          <w:spacing w:val="-17"/>
          <w:sz w:val="31"/>
        </w:rPr>
        <w:t>。</w:t>
      </w:r>
      <w:r>
        <w:rPr>
          <w:sz w:val="31"/>
        </w:rPr>
        <w:t>A.利用留存收益</w:t>
        <w:tab/>
      </w:r>
      <w:r>
        <w:rPr>
          <w:spacing w:val="-7"/>
          <w:sz w:val="31"/>
        </w:rPr>
        <w:t>B.</w:t>
      </w:r>
      <w:r>
        <w:rPr>
          <w:sz w:val="31"/>
        </w:rPr>
        <w:t>发行债券</w:t>
      </w:r>
    </w:p>
    <w:p>
      <w:pPr>
        <w:pStyle w:val="BodyText"/>
        <w:tabs>
          <w:tab w:val="left" w:pos="7600"/>
        </w:tabs>
        <w:spacing w:before="6"/>
        <w:ind w:left="3330"/>
      </w:pPr>
      <w:r>
        <w:t>C.发行优先股</w:t>
        <w:tab/>
      </w:r>
      <w:r>
        <w:rPr>
          <w:spacing w:val="-9"/>
        </w:rPr>
        <w:t>D.</w:t>
      </w:r>
      <w:r>
        <w:t>向银行借款</w:t>
      </w:r>
    </w:p>
    <w:p>
      <w:pPr>
        <w:pStyle w:val="ListParagraph"/>
        <w:numPr>
          <w:ilvl w:val="0"/>
          <w:numId w:val="92"/>
        </w:numPr>
        <w:tabs>
          <w:tab w:val="left" w:pos="3176"/>
        </w:tabs>
        <w:spacing w:before="43" w:after="0" w:line="283" w:lineRule="auto"/>
        <w:ind w:left="3172" w:right="2529" w:hanging="472"/>
        <w:jc w:val="left"/>
        <w:rPr>
          <w:sz w:val="31"/>
        </w:rPr>
      </w:pPr>
      <w:r>
        <w:rPr>
          <w:spacing w:val="-4"/>
          <w:sz w:val="31"/>
        </w:rPr>
        <w:t xml:space="preserve">企业某周转信贷额为 </w:t>
      </w:r>
      <w:r>
        <w:rPr>
          <w:sz w:val="31"/>
        </w:rPr>
        <w:t>2000</w:t>
      </w:r>
      <w:r>
        <w:rPr>
          <w:spacing w:val="-16"/>
          <w:sz w:val="31"/>
        </w:rPr>
        <w:t xml:space="preserve"> 万元，承诺费率为％，借款企业在年度内已使用了 </w:t>
      </w:r>
      <w:r>
        <w:rPr>
          <w:sz w:val="31"/>
        </w:rPr>
        <w:t>1200</w:t>
      </w:r>
      <w:r>
        <w:rPr>
          <w:spacing w:val="-8"/>
          <w:sz w:val="31"/>
        </w:rPr>
        <w:t xml:space="preserve"> 万元， </w:t>
      </w:r>
      <w:r>
        <w:rPr>
          <w:sz w:val="31"/>
        </w:rPr>
        <w:t>则其应向银行支付承诺费（）</w:t>
      </w:r>
    </w:p>
    <w:p>
      <w:pPr>
        <w:pStyle w:val="BodyText"/>
        <w:spacing w:before="6"/>
        <w:ind w:left="0"/>
        <w:rPr>
          <w:sz w:val="9"/>
        </w:rPr>
      </w:pPr>
    </w:p>
    <w:p>
      <w:pPr>
        <w:spacing w:before="74"/>
        <w:ind w:left="2970" w:right="0" w:firstLine="0"/>
        <w:jc w:val="left"/>
        <w:rPr>
          <w:sz w:val="18"/>
        </w:rPr>
      </w:pPr>
      <w:r>
        <w:rPr>
          <w:sz w:val="18"/>
        </w:rPr>
        <w:t>)</w:t>
      </w:r>
    </w:p>
    <w:p>
      <w:pPr>
        <w:pStyle w:val="BodyText"/>
        <w:tabs>
          <w:tab w:val="left" w:pos="5620"/>
          <w:tab w:val="left" w:pos="8220"/>
          <w:tab w:val="left" w:pos="10661"/>
        </w:tabs>
        <w:spacing w:before="41"/>
        <w:ind w:left="3172"/>
      </w:pPr>
      <w:r>
        <w:t>A</w:t>
      </w:r>
      <w:r>
        <w:rPr>
          <w:spacing w:val="12"/>
        </w:rPr>
        <w:t xml:space="preserve"> </w:t>
      </w:r>
      <w:r>
        <w:t>10000</w:t>
      </w:r>
      <w:r>
        <w:rPr>
          <w:spacing w:val="-75"/>
        </w:rPr>
        <w:t xml:space="preserve"> </w:t>
      </w:r>
      <w:r>
        <w:t>元</w:t>
        <w:tab/>
        <w:t>B</w:t>
      </w:r>
      <w:r>
        <w:rPr>
          <w:spacing w:val="13"/>
        </w:rPr>
        <w:t xml:space="preserve"> </w:t>
      </w:r>
      <w:r>
        <w:t>40000</w:t>
      </w:r>
      <w:r>
        <w:rPr>
          <w:spacing w:val="-85"/>
        </w:rPr>
        <w:t xml:space="preserve"> </w:t>
      </w:r>
      <w:r>
        <w:t>元</w:t>
        <w:tab/>
        <w:t>C</w:t>
      </w:r>
      <w:r>
        <w:rPr>
          <w:spacing w:val="13"/>
        </w:rPr>
        <w:t xml:space="preserve"> </w:t>
      </w:r>
      <w:r>
        <w:t>45000</w:t>
      </w:r>
      <w:r>
        <w:rPr>
          <w:spacing w:val="-87"/>
        </w:rPr>
        <w:t xml:space="preserve"> </w:t>
      </w:r>
      <w:r>
        <w:t>元</w:t>
        <w:tab/>
        <w:t>D 50000</w:t>
      </w:r>
      <w:r>
        <w:rPr>
          <w:spacing w:val="-86"/>
        </w:rPr>
        <w:t xml:space="preserve"> </w:t>
      </w:r>
      <w:r>
        <w:t>元</w:t>
      </w:r>
    </w:p>
    <w:p>
      <w:pPr>
        <w:pStyle w:val="BodyText"/>
        <w:spacing w:before="71" w:line="283" w:lineRule="auto"/>
        <w:ind w:left="3176" w:right="3812" w:hanging="476"/>
        <w:jc w:val="both"/>
      </w:pPr>
      <w:r>
        <w:t>8、可转换债券持有人是否行使转换权，主要看转换时的普通股市价是否（</w:t>
      </w:r>
      <w:r>
        <w:rPr>
          <w:spacing w:val="5"/>
        </w:rPr>
        <w:t xml:space="preserve">     </w:t>
      </w:r>
      <w:r>
        <w:rPr>
          <w:spacing w:val="-159"/>
        </w:rPr>
        <w:t>）</w:t>
      </w:r>
      <w:r>
        <w:rPr>
          <w:spacing w:val="-18"/>
        </w:rPr>
        <w:t>。</w:t>
      </w:r>
      <w:r>
        <w:t>A</w:t>
      </w:r>
      <w:r>
        <w:rPr>
          <w:spacing w:val="-1"/>
        </w:rPr>
        <w:t xml:space="preserve"> .高于转换价值</w:t>
      </w:r>
    </w:p>
    <w:p>
      <w:pPr>
        <w:pStyle w:val="BodyText"/>
        <w:spacing w:line="283" w:lineRule="auto"/>
        <w:ind w:left="3176" w:right="12309"/>
        <w:jc w:val="both"/>
      </w:pPr>
      <w:r>
        <w:t>B</w:t>
      </w:r>
      <w:r>
        <w:rPr>
          <w:spacing w:val="1"/>
        </w:rPr>
        <w:t xml:space="preserve"> .低于转换价值</w:t>
      </w:r>
      <w:r>
        <w:t>C</w:t>
      </w:r>
      <w:r>
        <w:rPr>
          <w:spacing w:val="1"/>
        </w:rPr>
        <w:t xml:space="preserve"> .高于转换价格</w:t>
      </w:r>
      <w:r>
        <w:t>D</w:t>
      </w:r>
      <w:r>
        <w:rPr>
          <w:spacing w:val="2"/>
        </w:rPr>
        <w:t xml:space="preserve"> .低于转换价格</w:t>
      </w:r>
    </w:p>
    <w:p>
      <w:pPr>
        <w:pStyle w:val="BodyText"/>
        <w:spacing w:line="283" w:lineRule="auto"/>
        <w:ind w:left="3176" w:right="3812" w:hanging="476"/>
        <w:jc w:val="both"/>
      </w:pPr>
      <w:r>
        <w:t>9、在下述银行借款的信用条件中，导致借款实际利率高于名义利率的是（</w:t>
      </w:r>
      <w:r>
        <w:rPr>
          <w:spacing w:val="5"/>
        </w:rPr>
        <w:t xml:space="preserve">     </w:t>
      </w:r>
      <w:r>
        <w:rPr>
          <w:spacing w:val="-159"/>
        </w:rPr>
        <w:t>）</w:t>
      </w:r>
      <w:r>
        <w:rPr>
          <w:spacing w:val="-18"/>
        </w:rPr>
        <w:t>。</w:t>
      </w:r>
      <w:r>
        <w:t>A</w:t>
      </w:r>
      <w:r>
        <w:rPr>
          <w:spacing w:val="-1"/>
        </w:rPr>
        <w:t xml:space="preserve"> .信贷额度</w:t>
      </w:r>
    </w:p>
    <w:p>
      <w:pPr>
        <w:pStyle w:val="BodyText"/>
        <w:spacing w:before="2"/>
        <w:ind w:left="0"/>
        <w:rPr>
          <w:sz w:val="9"/>
        </w:rPr>
      </w:pPr>
    </w:p>
    <w:p>
      <w:pPr>
        <w:spacing w:before="75"/>
        <w:ind w:left="2700" w:right="0" w:firstLine="0"/>
        <w:jc w:val="left"/>
        <w:rPr>
          <w:sz w:val="18"/>
        </w:rPr>
      </w:pPr>
      <w:r>
        <w:rPr>
          <w:sz w:val="18"/>
        </w:rPr>
        <w:t>【</w:t>
      </w:r>
    </w:p>
    <w:p>
      <w:pPr>
        <w:pStyle w:val="BodyText"/>
        <w:spacing w:before="41" w:line="283" w:lineRule="auto"/>
        <w:ind w:left="3176" w:right="12309"/>
      </w:pPr>
      <w:r>
        <w:t>B .周转信贷协议C .补偿性余额</w:t>
      </w:r>
    </w:p>
    <w:p>
      <w:pPr>
        <w:pStyle w:val="BodyText"/>
        <w:spacing w:line="396" w:lineRule="exact"/>
        <w:ind w:left="3176"/>
      </w:pPr>
      <w:r>
        <w:t>D .借款抵押</w:t>
      </w:r>
    </w:p>
    <w:p>
      <w:pPr>
        <w:pStyle w:val="BodyText"/>
        <w:tabs>
          <w:tab w:val="left" w:pos="12159"/>
        </w:tabs>
        <w:spacing w:before="71" w:line="283" w:lineRule="auto"/>
        <w:ind w:left="3176" w:right="5226" w:hanging="476"/>
      </w:pPr>
      <w:r>
        <w:t>10、公司流通在外的累计发行债券总额不得超过公司净资产的（</w:t>
        <w:tab/>
      </w:r>
      <w:r>
        <w:rPr>
          <w:spacing w:val="-162"/>
        </w:rPr>
        <w:t>）</w:t>
      </w:r>
      <w:r>
        <w:rPr>
          <w:spacing w:val="-17"/>
        </w:rPr>
        <w:t>。</w:t>
      </w:r>
      <w:r>
        <w:t>A</w:t>
      </w:r>
      <w:r>
        <w:rPr>
          <w:spacing w:val="3"/>
        </w:rPr>
        <w:t xml:space="preserve"> </w:t>
      </w:r>
      <w:r>
        <w:t>.20%</w:t>
      </w:r>
    </w:p>
    <w:p>
      <w:pPr>
        <w:pStyle w:val="BodyText"/>
        <w:spacing w:line="396" w:lineRule="exact"/>
        <w:ind w:left="3176"/>
      </w:pPr>
      <w:r>
        <w:t>B</w:t>
      </w:r>
      <w:r>
        <w:rPr>
          <w:spacing w:val="20"/>
        </w:rPr>
        <w:t xml:space="preserve"> </w:t>
      </w:r>
      <w:r>
        <w:t>.40%</w:t>
      </w:r>
    </w:p>
    <w:p>
      <w:pPr>
        <w:pStyle w:val="BodyText"/>
        <w:spacing w:before="70"/>
        <w:ind w:left="3176"/>
      </w:pPr>
      <w:r>
        <w:t>C</w:t>
      </w:r>
      <w:r>
        <w:rPr>
          <w:spacing w:val="20"/>
        </w:rPr>
        <w:t xml:space="preserve"> </w:t>
      </w:r>
      <w:r>
        <w:t>.30%</w:t>
      </w:r>
    </w:p>
    <w:p>
      <w:pPr>
        <w:pStyle w:val="BodyText"/>
        <w:spacing w:before="71"/>
        <w:ind w:left="3176"/>
      </w:pPr>
      <w:r>
        <w:t>D</w:t>
      </w:r>
      <w:r>
        <w:rPr>
          <w:spacing w:val="20"/>
        </w:rPr>
        <w:t xml:space="preserve"> </w:t>
      </w:r>
      <w:r>
        <w:t>.50%</w:t>
      </w:r>
    </w:p>
    <w:p>
      <w:pPr>
        <w:spacing w:before="153" w:line="175" w:lineRule="exact"/>
        <w:ind w:left="2700" w:right="0" w:firstLine="0"/>
        <w:jc w:val="left"/>
        <w:rPr>
          <w:b/>
          <w:sz w:val="18"/>
        </w:rPr>
      </w:pPr>
      <w:r>
        <w:rPr>
          <w:b/>
          <w:w w:val="99"/>
          <w:sz w:val="18"/>
        </w:rPr>
        <w:t>、</w:t>
      </w:r>
    </w:p>
    <w:p>
      <w:pPr>
        <w:pStyle w:val="Heading2"/>
        <w:spacing w:line="342" w:lineRule="exact"/>
      </w:pPr>
      <w:r>
        <w:t>二、多选题</w:t>
      </w:r>
    </w:p>
    <w:p>
      <w:pPr>
        <w:spacing w:after="0" w:line="342" w:lineRule="exact"/>
        <w:sectPr>
          <w:headerReference w:type="default" r:id="rId36"/>
          <w:pgSz w:w="17860" w:h="25260"/>
          <w:pgMar w:top="1360" w:right="0" w:bottom="280" w:left="0" w:header="1160" w:footer="0"/>
          <w:pgNumType w:start="15"/>
          <w:cols w:space="708"/>
        </w:sectPr>
      </w:pPr>
    </w:p>
    <w:p>
      <w:pPr>
        <w:pStyle w:val="BodyText"/>
        <w:ind w:left="0"/>
        <w:rPr>
          <w:b/>
          <w:sz w:val="20"/>
        </w:rPr>
      </w:pPr>
    </w:p>
    <w:p>
      <w:pPr>
        <w:pStyle w:val="BodyText"/>
        <w:spacing w:before="5"/>
        <w:ind w:left="0"/>
        <w:rPr>
          <w:b/>
          <w:sz w:val="19"/>
        </w:rPr>
      </w:pPr>
    </w:p>
    <w:p>
      <w:pPr>
        <w:pStyle w:val="ListParagraph"/>
        <w:numPr>
          <w:ilvl w:val="0"/>
          <w:numId w:val="91"/>
        </w:numPr>
        <w:tabs>
          <w:tab w:val="left" w:pos="3019"/>
          <w:tab w:val="left" w:pos="8691"/>
        </w:tabs>
        <w:spacing w:before="62" w:after="0" w:line="240" w:lineRule="auto"/>
        <w:ind w:left="3018" w:right="0" w:hanging="319"/>
        <w:jc w:val="left"/>
        <w:rPr>
          <w:sz w:val="31"/>
        </w:rPr>
      </w:pPr>
      <w:r>
        <w:rPr>
          <w:sz w:val="31"/>
        </w:rPr>
        <w:t>公司债券筹资与普通股筹资相比较（</w:t>
        <w:tab/>
      </w:r>
      <w:r>
        <w:rPr>
          <w:spacing w:val="-162"/>
          <w:sz w:val="31"/>
        </w:rPr>
        <w:t>）</w:t>
      </w:r>
      <w:r>
        <w:rPr>
          <w:sz w:val="31"/>
        </w:rPr>
        <w:t>。</w:t>
      </w:r>
    </w:p>
    <w:p>
      <w:pPr>
        <w:pStyle w:val="BodyText"/>
        <w:tabs>
          <w:tab w:val="left" w:pos="7871"/>
        </w:tabs>
        <w:spacing w:before="71"/>
        <w:ind w:left="3060"/>
      </w:pPr>
      <w:r>
        <w:t>A</w:t>
      </w:r>
      <w:r>
        <w:rPr>
          <w:spacing w:val="-50"/>
        </w:rPr>
        <w:t xml:space="preserve"> </w:t>
      </w:r>
      <w:r>
        <w:t>债券筹资的资金成本相对较高</w:t>
        <w:tab/>
        <w:t>B</w:t>
      </w:r>
      <w:r>
        <w:rPr>
          <w:spacing w:val="2"/>
        </w:rPr>
        <w:t xml:space="preserve"> </w:t>
      </w:r>
      <w:r>
        <w:t>普通股筹资可以利用财务杠杆作用</w:t>
      </w:r>
    </w:p>
    <w:p>
      <w:pPr>
        <w:pStyle w:val="BodyText"/>
        <w:tabs>
          <w:tab w:val="left" w:pos="7871"/>
          <w:tab w:val="left" w:pos="9790"/>
        </w:tabs>
        <w:spacing w:before="71" w:line="283" w:lineRule="auto"/>
        <w:ind w:right="4366" w:firstLine="359"/>
      </w:pPr>
      <w:r>
        <w:t>C</w:t>
      </w:r>
      <w:r>
        <w:rPr>
          <w:spacing w:val="-50"/>
        </w:rPr>
        <w:t xml:space="preserve"> </w:t>
      </w:r>
      <w:r>
        <w:t>债券筹资的资金成本相对较低</w:t>
        <w:tab/>
        <w:t>D</w:t>
      </w:r>
      <w:r>
        <w:rPr>
          <w:spacing w:val="14"/>
        </w:rPr>
        <w:t xml:space="preserve"> </w:t>
      </w:r>
      <w:r>
        <w:t>债券利息可以抵税，普通股股利则不</w:t>
      </w:r>
      <w:r>
        <w:rPr>
          <w:spacing w:val="-17"/>
        </w:rPr>
        <w:t>能</w:t>
      </w:r>
      <w:r>
        <w:t>2、筹集投入资本，投资者的投资形式可以是（</w:t>
        <w:tab/>
      </w:r>
      <w:r>
        <w:rPr>
          <w:spacing w:val="-162"/>
        </w:rPr>
        <w:t>）</w:t>
      </w:r>
      <w:r>
        <w:t>。</w:t>
      </w:r>
    </w:p>
    <w:p>
      <w:pPr>
        <w:pStyle w:val="ListParagraph"/>
        <w:numPr>
          <w:ilvl w:val="1"/>
          <w:numId w:val="91"/>
        </w:numPr>
        <w:tabs>
          <w:tab w:val="left" w:pos="3493"/>
        </w:tabs>
        <w:spacing w:before="0" w:after="0" w:line="396" w:lineRule="exact"/>
        <w:ind w:left="3492" w:right="0" w:hanging="317"/>
        <w:jc w:val="left"/>
        <w:rPr>
          <w:sz w:val="31"/>
        </w:rPr>
      </w:pPr>
      <w:r>
        <w:rPr>
          <w:spacing w:val="-2"/>
          <w:sz w:val="31"/>
        </w:rPr>
        <w:t>.现金</w:t>
      </w:r>
    </w:p>
    <w:p>
      <w:pPr>
        <w:pStyle w:val="ListParagraph"/>
        <w:numPr>
          <w:ilvl w:val="1"/>
          <w:numId w:val="91"/>
        </w:numPr>
        <w:tabs>
          <w:tab w:val="left" w:pos="3493"/>
        </w:tabs>
        <w:spacing w:before="71" w:after="0" w:line="283" w:lineRule="auto"/>
        <w:ind w:left="3176" w:right="12944" w:firstLine="0"/>
        <w:jc w:val="left"/>
        <w:rPr>
          <w:sz w:val="31"/>
        </w:rPr>
      </w:pPr>
      <w:r>
        <w:rPr>
          <w:spacing w:val="-6"/>
          <w:sz w:val="31"/>
        </w:rPr>
        <w:t>.有价证券</w:t>
      </w:r>
      <w:r>
        <w:rPr>
          <w:sz w:val="31"/>
        </w:rPr>
        <w:t>C .流动资产</w:t>
      </w:r>
    </w:p>
    <w:p>
      <w:pPr>
        <w:pStyle w:val="BodyText"/>
        <w:spacing w:before="6"/>
        <w:ind w:left="0"/>
        <w:rPr>
          <w:sz w:val="9"/>
        </w:rPr>
      </w:pPr>
    </w:p>
    <w:p>
      <w:pPr>
        <w:spacing w:before="75"/>
        <w:ind w:left="2700" w:right="0" w:firstLine="0"/>
        <w:jc w:val="left"/>
        <w:rPr>
          <w:sz w:val="18"/>
        </w:rPr>
      </w:pPr>
      <w:r>
        <w:rPr>
          <w:sz w:val="18"/>
        </w:rPr>
        <w:t>|</w:t>
      </w:r>
    </w:p>
    <w:p>
      <w:pPr>
        <w:pStyle w:val="BodyText"/>
        <w:spacing w:before="40" w:line="283" w:lineRule="auto"/>
        <w:ind w:left="3176" w:right="12944"/>
      </w:pPr>
      <w:r>
        <w:t>D .固定资产E</w:t>
      </w:r>
      <w:r>
        <w:rPr>
          <w:spacing w:val="1"/>
        </w:rPr>
        <w:t xml:space="preserve"> .无形资产</w:t>
      </w:r>
    </w:p>
    <w:p>
      <w:pPr>
        <w:pStyle w:val="BodyText"/>
        <w:tabs>
          <w:tab w:val="left" w:pos="8529"/>
        </w:tabs>
        <w:spacing w:line="283" w:lineRule="auto"/>
        <w:ind w:left="3176" w:right="8852" w:hanging="476"/>
      </w:pPr>
      <w:r>
        <w:t>3、决定债券发行价格的因素主要有（</w:t>
        <w:tab/>
      </w:r>
      <w:r>
        <w:rPr>
          <w:spacing w:val="-159"/>
        </w:rPr>
        <w:t>）</w:t>
      </w:r>
      <w:r>
        <w:rPr>
          <w:spacing w:val="-16"/>
        </w:rPr>
        <w:t>。</w:t>
      </w:r>
      <w:r>
        <w:t>A</w:t>
      </w:r>
      <w:r>
        <w:rPr>
          <w:spacing w:val="4"/>
        </w:rPr>
        <w:t xml:space="preserve"> </w:t>
      </w:r>
      <w:r>
        <w:rPr>
          <w:spacing w:val="-4"/>
        </w:rPr>
        <w:t>.</w:t>
      </w:r>
      <w:r>
        <w:t>债券面额</w:t>
      </w:r>
    </w:p>
    <w:p>
      <w:pPr>
        <w:pStyle w:val="ListParagraph"/>
        <w:numPr>
          <w:ilvl w:val="0"/>
          <w:numId w:val="90"/>
        </w:numPr>
        <w:tabs>
          <w:tab w:val="left" w:pos="3493"/>
        </w:tabs>
        <w:spacing w:before="0" w:after="0" w:line="397" w:lineRule="exact"/>
        <w:ind w:left="3492" w:right="0" w:hanging="317"/>
        <w:jc w:val="left"/>
        <w:rPr>
          <w:sz w:val="31"/>
        </w:rPr>
      </w:pPr>
      <w:r>
        <w:rPr>
          <w:spacing w:val="-2"/>
          <w:sz w:val="31"/>
        </w:rPr>
        <w:t>.票面利率</w:t>
      </w:r>
    </w:p>
    <w:p>
      <w:pPr>
        <w:pStyle w:val="ListParagraph"/>
        <w:numPr>
          <w:ilvl w:val="0"/>
          <w:numId w:val="90"/>
        </w:numPr>
        <w:tabs>
          <w:tab w:val="left" w:pos="3493"/>
        </w:tabs>
        <w:spacing w:before="69" w:after="0" w:line="283" w:lineRule="auto"/>
        <w:ind w:left="3176" w:right="12309" w:firstLine="0"/>
        <w:jc w:val="left"/>
        <w:rPr>
          <w:sz w:val="31"/>
        </w:rPr>
      </w:pPr>
      <w:r>
        <w:rPr>
          <w:spacing w:val="-5"/>
          <w:sz w:val="31"/>
        </w:rPr>
        <w:t>.公司经济效益</w:t>
      </w:r>
      <w:r>
        <w:rPr>
          <w:sz w:val="31"/>
        </w:rPr>
        <w:t>D .债券期限</w:t>
      </w:r>
    </w:p>
    <w:p>
      <w:pPr>
        <w:pStyle w:val="BodyText"/>
        <w:spacing w:line="396" w:lineRule="exact"/>
        <w:ind w:left="3176"/>
      </w:pPr>
      <w:r>
        <w:t>E</w:t>
      </w:r>
      <w:r>
        <w:rPr>
          <w:spacing w:val="4"/>
        </w:rPr>
        <w:t xml:space="preserve"> .市场利率</w:t>
      </w:r>
    </w:p>
    <w:p>
      <w:pPr>
        <w:pStyle w:val="BodyText"/>
        <w:spacing w:before="1"/>
        <w:ind w:left="0"/>
        <w:rPr>
          <w:sz w:val="15"/>
        </w:rPr>
      </w:pPr>
    </w:p>
    <w:p>
      <w:pPr>
        <w:spacing w:before="75"/>
        <w:ind w:left="2700" w:right="0" w:firstLine="0"/>
        <w:jc w:val="left"/>
        <w:rPr>
          <w:sz w:val="18"/>
        </w:rPr>
      </w:pPr>
      <w:r>
        <w:rPr>
          <w:sz w:val="18"/>
        </w:rPr>
        <w:t>—</w:t>
      </w:r>
    </w:p>
    <w:p>
      <w:pPr>
        <w:pStyle w:val="BodyText"/>
        <w:tabs>
          <w:tab w:val="left" w:pos="12159"/>
        </w:tabs>
        <w:spacing w:before="40" w:line="283" w:lineRule="auto"/>
        <w:ind w:left="3176" w:right="5226" w:hanging="317"/>
      </w:pPr>
      <w:r>
        <w:t>4、按照国际惯例，银行借款往往附加一些信用条件，主要有（</w:t>
        <w:tab/>
      </w:r>
      <w:r>
        <w:rPr>
          <w:spacing w:val="-162"/>
        </w:rPr>
        <w:t>）</w:t>
      </w:r>
      <w:r>
        <w:rPr>
          <w:spacing w:val="-17"/>
        </w:rPr>
        <w:t>。</w:t>
      </w:r>
      <w:r>
        <w:t>A</w:t>
      </w:r>
      <w:r>
        <w:rPr>
          <w:spacing w:val="3"/>
        </w:rPr>
        <w:t xml:space="preserve"> </w:t>
      </w:r>
      <w:r>
        <w:rPr>
          <w:spacing w:val="-4"/>
        </w:rPr>
        <w:t>.</w:t>
      </w:r>
      <w:r>
        <w:t>信用额度</w:t>
      </w:r>
    </w:p>
    <w:p>
      <w:pPr>
        <w:pStyle w:val="BodyText"/>
        <w:spacing w:line="283" w:lineRule="auto"/>
        <w:ind w:left="3176" w:right="12309"/>
      </w:pPr>
      <w:r>
        <w:t>B .周转信用协议C .补偿性余额</w:t>
      </w:r>
    </w:p>
    <w:p>
      <w:pPr>
        <w:pStyle w:val="ListParagraph"/>
        <w:numPr>
          <w:ilvl w:val="0"/>
          <w:numId w:val="89"/>
        </w:numPr>
        <w:tabs>
          <w:tab w:val="left" w:pos="3493"/>
        </w:tabs>
        <w:spacing w:before="0" w:after="0" w:line="396" w:lineRule="exact"/>
        <w:ind w:left="3492" w:right="0" w:hanging="317"/>
        <w:jc w:val="left"/>
        <w:rPr>
          <w:sz w:val="31"/>
        </w:rPr>
      </w:pPr>
      <w:r>
        <w:rPr>
          <w:spacing w:val="-2"/>
          <w:sz w:val="31"/>
        </w:rPr>
        <w:t>.保证人担保</w:t>
      </w:r>
    </w:p>
    <w:p>
      <w:pPr>
        <w:pStyle w:val="ListParagraph"/>
        <w:numPr>
          <w:ilvl w:val="0"/>
          <w:numId w:val="89"/>
        </w:numPr>
        <w:tabs>
          <w:tab w:val="left" w:pos="3493"/>
        </w:tabs>
        <w:spacing w:before="70" w:after="0" w:line="240" w:lineRule="auto"/>
        <w:ind w:left="3492" w:right="0" w:hanging="317"/>
        <w:jc w:val="left"/>
        <w:rPr>
          <w:sz w:val="31"/>
        </w:rPr>
      </w:pPr>
      <w:r>
        <w:rPr>
          <w:spacing w:val="-2"/>
          <w:sz w:val="31"/>
        </w:rPr>
        <w:t>.签订借款合同</w:t>
      </w:r>
    </w:p>
    <w:p>
      <w:pPr>
        <w:pStyle w:val="BodyText"/>
        <w:tabs>
          <w:tab w:val="left" w:pos="7269"/>
        </w:tabs>
        <w:spacing w:before="70" w:line="283" w:lineRule="auto"/>
        <w:ind w:left="3176" w:right="10112" w:hanging="476"/>
      </w:pPr>
      <w:r>
        <w:t>5、融资租赁筹资的优点有（</w:t>
        <w:tab/>
      </w:r>
      <w:r>
        <w:rPr>
          <w:spacing w:val="-159"/>
        </w:rPr>
        <w:t>）</w:t>
      </w:r>
      <w:r>
        <w:rPr>
          <w:spacing w:val="-16"/>
        </w:rPr>
        <w:t>。</w:t>
      </w:r>
      <w:r>
        <w:t>A</w:t>
      </w:r>
      <w:r>
        <w:rPr>
          <w:spacing w:val="8"/>
        </w:rPr>
        <w:t xml:space="preserve"> </w:t>
      </w:r>
      <w:r>
        <w:rPr>
          <w:spacing w:val="-4"/>
        </w:rPr>
        <w:t>.</w:t>
      </w:r>
      <w:r>
        <w:t>迅速获得所需资产</w:t>
      </w:r>
    </w:p>
    <w:p>
      <w:pPr>
        <w:pStyle w:val="BodyText"/>
        <w:spacing w:before="7"/>
        <w:ind w:left="0"/>
        <w:rPr>
          <w:sz w:val="9"/>
        </w:rPr>
      </w:pPr>
    </w:p>
    <w:p>
      <w:pPr>
        <w:spacing w:before="74"/>
        <w:ind w:left="2700" w:right="0" w:firstLine="0"/>
        <w:jc w:val="left"/>
        <w:rPr>
          <w:sz w:val="18"/>
        </w:rPr>
      </w:pPr>
      <w:r>
        <w:rPr>
          <w:sz w:val="18"/>
        </w:rPr>
        <w:t>：</w:t>
      </w:r>
    </w:p>
    <w:p>
      <w:pPr>
        <w:pStyle w:val="ListParagraph"/>
        <w:numPr>
          <w:ilvl w:val="0"/>
          <w:numId w:val="88"/>
        </w:numPr>
        <w:tabs>
          <w:tab w:val="left" w:pos="3493"/>
        </w:tabs>
        <w:spacing w:before="41" w:after="0" w:line="240" w:lineRule="auto"/>
        <w:ind w:left="3492" w:right="0" w:hanging="317"/>
        <w:jc w:val="left"/>
        <w:rPr>
          <w:sz w:val="31"/>
        </w:rPr>
      </w:pPr>
      <w:r>
        <w:rPr>
          <w:spacing w:val="-2"/>
          <w:sz w:val="31"/>
        </w:rPr>
        <w:t>.租赁筹资限制较少</w:t>
      </w:r>
    </w:p>
    <w:p>
      <w:pPr>
        <w:pStyle w:val="ListParagraph"/>
        <w:numPr>
          <w:ilvl w:val="0"/>
          <w:numId w:val="88"/>
        </w:numPr>
        <w:tabs>
          <w:tab w:val="left" w:pos="3493"/>
        </w:tabs>
        <w:spacing w:before="71" w:after="0" w:line="283" w:lineRule="auto"/>
        <w:ind w:left="3176" w:right="10725" w:firstLine="0"/>
        <w:jc w:val="left"/>
        <w:rPr>
          <w:sz w:val="31"/>
        </w:rPr>
      </w:pPr>
      <w:r>
        <w:rPr>
          <w:spacing w:val="-4"/>
          <w:sz w:val="31"/>
        </w:rPr>
        <w:t>.免遭设备陈旧过时的风险</w:t>
      </w:r>
      <w:r>
        <w:rPr>
          <w:sz w:val="31"/>
        </w:rPr>
        <w:t>D .筹资成本较低</w:t>
      </w:r>
    </w:p>
    <w:p>
      <w:pPr>
        <w:pStyle w:val="BodyText"/>
        <w:spacing w:line="396" w:lineRule="exact"/>
        <w:ind w:left="3176"/>
      </w:pPr>
      <w:r>
        <w:t>E .适当减轻一次付款的财务压力</w:t>
      </w:r>
    </w:p>
    <w:p>
      <w:pPr>
        <w:pStyle w:val="BodyText"/>
        <w:tabs>
          <w:tab w:val="left" w:pos="7269"/>
        </w:tabs>
        <w:spacing w:before="70" w:line="283" w:lineRule="auto"/>
        <w:ind w:left="3176" w:right="10112" w:hanging="476"/>
      </w:pPr>
      <w:r>
        <w:t>6、债券筹资的优点主要有（</w:t>
        <w:tab/>
      </w:r>
      <w:r>
        <w:rPr>
          <w:spacing w:val="-159"/>
        </w:rPr>
        <w:t>）</w:t>
      </w:r>
      <w:r>
        <w:rPr>
          <w:spacing w:val="-16"/>
        </w:rPr>
        <w:t>。</w:t>
      </w:r>
      <w:r>
        <w:t>A</w:t>
      </w:r>
      <w:r>
        <w:rPr>
          <w:spacing w:val="6"/>
        </w:rPr>
        <w:t xml:space="preserve"> </w:t>
      </w:r>
      <w:r>
        <w:rPr>
          <w:spacing w:val="-4"/>
        </w:rPr>
        <w:t>.</w:t>
      </w:r>
      <w:r>
        <w:t>债券成本较低</w:t>
      </w:r>
    </w:p>
    <w:p>
      <w:pPr>
        <w:pStyle w:val="BodyText"/>
        <w:spacing w:line="283" w:lineRule="auto"/>
        <w:ind w:left="3176" w:right="11992"/>
      </w:pPr>
      <w:r>
        <w:t>B .可利用财务杠杆C .保障股东控制权</w:t>
      </w:r>
    </w:p>
    <w:p>
      <w:pPr>
        <w:pStyle w:val="BodyText"/>
        <w:spacing w:before="4"/>
        <w:ind w:left="0"/>
        <w:rPr>
          <w:sz w:val="9"/>
        </w:rPr>
      </w:pPr>
    </w:p>
    <w:p>
      <w:pPr>
        <w:spacing w:before="75"/>
        <w:ind w:left="2700" w:right="0" w:firstLine="0"/>
        <w:jc w:val="left"/>
        <w:rPr>
          <w:sz w:val="18"/>
        </w:rPr>
      </w:pPr>
      <w:r>
        <w:rPr>
          <w:sz w:val="18"/>
        </w:rPr>
        <w:t>》</w:t>
      </w:r>
    </w:p>
    <w:p>
      <w:pPr>
        <w:pStyle w:val="ListParagraph"/>
        <w:numPr>
          <w:ilvl w:val="0"/>
          <w:numId w:val="87"/>
        </w:numPr>
        <w:tabs>
          <w:tab w:val="left" w:pos="3493"/>
        </w:tabs>
        <w:spacing w:before="42" w:after="0" w:line="240" w:lineRule="auto"/>
        <w:ind w:left="3492" w:right="0" w:hanging="317"/>
        <w:jc w:val="left"/>
        <w:rPr>
          <w:sz w:val="31"/>
        </w:rPr>
      </w:pPr>
      <w:r>
        <w:rPr>
          <w:spacing w:val="-2"/>
          <w:sz w:val="31"/>
        </w:rPr>
        <w:t>.财务风险较小</w:t>
      </w:r>
    </w:p>
    <w:p>
      <w:pPr>
        <w:pStyle w:val="ListParagraph"/>
        <w:numPr>
          <w:ilvl w:val="0"/>
          <w:numId w:val="87"/>
        </w:numPr>
        <w:tabs>
          <w:tab w:val="left" w:pos="3493"/>
        </w:tabs>
        <w:spacing w:before="70" w:after="0" w:line="240" w:lineRule="auto"/>
        <w:ind w:left="3492" w:right="0" w:hanging="317"/>
        <w:jc w:val="left"/>
        <w:rPr>
          <w:sz w:val="31"/>
        </w:rPr>
      </w:pPr>
      <w:r>
        <w:rPr>
          <w:spacing w:val="-2"/>
          <w:sz w:val="31"/>
        </w:rPr>
        <w:t>.筹资数量不受限制</w:t>
      </w:r>
    </w:p>
    <w:p>
      <w:pPr>
        <w:pStyle w:val="BodyText"/>
        <w:tabs>
          <w:tab w:val="left" w:pos="8216"/>
        </w:tabs>
        <w:spacing w:before="71" w:line="283" w:lineRule="auto"/>
        <w:ind w:left="3176" w:right="9169" w:hanging="476"/>
      </w:pPr>
      <w:r>
        <w:t>7、普通股股东所拥有的权利包括（</w:t>
        <w:tab/>
      </w:r>
      <w:r>
        <w:rPr>
          <w:spacing w:val="-162"/>
        </w:rPr>
        <w:t>）</w:t>
      </w:r>
      <w:r>
        <w:rPr>
          <w:spacing w:val="-17"/>
        </w:rPr>
        <w:t>。</w:t>
      </w:r>
      <w:r>
        <w:t>A</w:t>
      </w:r>
      <w:r>
        <w:rPr>
          <w:spacing w:val="4"/>
        </w:rPr>
        <w:t xml:space="preserve"> </w:t>
      </w:r>
      <w:r>
        <w:rPr>
          <w:spacing w:val="-4"/>
        </w:rPr>
        <w:t>.</w:t>
      </w:r>
      <w:r>
        <w:t>分享盈余权</w:t>
      </w:r>
    </w:p>
    <w:p>
      <w:pPr>
        <w:pStyle w:val="BodyText"/>
        <w:spacing w:line="283" w:lineRule="auto"/>
        <w:ind w:left="3176" w:right="12626"/>
      </w:pPr>
      <w:r>
        <w:t>B</w:t>
      </w:r>
      <w:r>
        <w:rPr>
          <w:spacing w:val="1"/>
        </w:rPr>
        <w:t xml:space="preserve"> .优先认股权</w:t>
      </w:r>
      <w:r>
        <w:t>C</w:t>
      </w:r>
      <w:r>
        <w:rPr>
          <w:spacing w:val="1"/>
        </w:rPr>
        <w:t xml:space="preserve"> .转让股份权</w:t>
      </w:r>
    </w:p>
    <w:p>
      <w:pPr>
        <w:pStyle w:val="BodyText"/>
        <w:spacing w:line="283" w:lineRule="auto"/>
        <w:ind w:left="3176" w:right="11360"/>
      </w:pPr>
      <w:r>
        <w:t>D .优先分配剩余资产权E .优先分配固定股利</w:t>
      </w:r>
    </w:p>
    <w:p>
      <w:pPr>
        <w:spacing w:before="193"/>
        <w:ind w:left="3060" w:right="0" w:firstLine="0"/>
        <w:jc w:val="left"/>
        <w:rPr>
          <w:b/>
          <w:sz w:val="18"/>
        </w:rPr>
      </w:pPr>
      <w:r>
        <w:rPr>
          <w:b/>
          <w:w w:val="99"/>
          <w:sz w:val="18"/>
        </w:rPr>
        <w:t>"</w:t>
      </w:r>
    </w:p>
    <w:p>
      <w:pPr>
        <w:spacing w:after="0"/>
        <w:jc w:val="left"/>
        <w:rPr>
          <w:sz w:val="18"/>
        </w:rPr>
        <w:sectPr>
          <w:headerReference w:type="default" r:id="rId37"/>
          <w:pgSz w:w="17860" w:h="25260"/>
          <w:pgMar w:top="1360" w:right="0" w:bottom="280" w:left="0" w:header="1160" w:footer="0"/>
          <w:pgNumType w:start="16"/>
          <w:cols w:space="708"/>
        </w:sectPr>
      </w:pPr>
    </w:p>
    <w:p>
      <w:pPr>
        <w:pStyle w:val="BodyText"/>
        <w:ind w:left="0"/>
        <w:rPr>
          <w:b/>
          <w:sz w:val="20"/>
        </w:rPr>
      </w:pPr>
    </w:p>
    <w:p>
      <w:pPr>
        <w:pStyle w:val="BodyText"/>
        <w:spacing w:before="5"/>
        <w:ind w:left="0"/>
        <w:rPr>
          <w:b/>
          <w:sz w:val="19"/>
        </w:rPr>
      </w:pPr>
    </w:p>
    <w:p>
      <w:pPr>
        <w:pStyle w:val="Heading2"/>
        <w:spacing w:before="62"/>
        <w:ind w:left="3060"/>
      </w:pPr>
      <w:r>
        <w:t>三、判断题</w:t>
      </w:r>
    </w:p>
    <w:p>
      <w:pPr>
        <w:pStyle w:val="ListParagraph"/>
        <w:numPr>
          <w:ilvl w:val="0"/>
          <w:numId w:val="86"/>
        </w:numPr>
        <w:tabs>
          <w:tab w:val="left" w:pos="3019"/>
          <w:tab w:val="left" w:pos="9005"/>
        </w:tabs>
        <w:spacing w:before="39" w:after="0" w:line="240" w:lineRule="auto"/>
        <w:ind w:left="3018" w:right="0" w:hanging="319"/>
        <w:jc w:val="left"/>
        <w:rPr>
          <w:sz w:val="31"/>
        </w:rPr>
      </w:pPr>
      <w:r>
        <w:rPr>
          <w:sz w:val="31"/>
        </w:rPr>
        <w:t>企业的权益资本是一种永久性的资本。（</w:t>
        <w:tab/>
        <w:t>）</w:t>
      </w:r>
    </w:p>
    <w:p>
      <w:pPr>
        <w:pStyle w:val="ListParagraph"/>
        <w:numPr>
          <w:ilvl w:val="0"/>
          <w:numId w:val="86"/>
        </w:numPr>
        <w:tabs>
          <w:tab w:val="left" w:pos="3019"/>
          <w:tab w:val="left" w:pos="12943"/>
        </w:tabs>
        <w:spacing w:before="42" w:after="0" w:line="240" w:lineRule="auto"/>
        <w:ind w:left="3018" w:right="0" w:hanging="319"/>
        <w:jc w:val="left"/>
        <w:rPr>
          <w:sz w:val="31"/>
        </w:rPr>
      </w:pPr>
      <w:r>
        <w:rPr>
          <w:sz w:val="31"/>
        </w:rPr>
        <w:t>商业信用筹资属于自然融资，与商品买卖同时进行，故无实际成本</w:t>
      </w:r>
      <w:r>
        <w:rPr>
          <w:spacing w:val="-207"/>
          <w:sz w:val="31"/>
        </w:rPr>
        <w:t>。</w:t>
      </w:r>
      <w:r>
        <w:rPr>
          <w:sz w:val="31"/>
        </w:rPr>
        <w:t>（</w:t>
        <w:tab/>
        <w:t>）</w:t>
      </w:r>
    </w:p>
    <w:p>
      <w:pPr>
        <w:pStyle w:val="ListParagraph"/>
        <w:numPr>
          <w:ilvl w:val="0"/>
          <w:numId w:val="86"/>
        </w:numPr>
        <w:tabs>
          <w:tab w:val="left" w:pos="3019"/>
        </w:tabs>
        <w:spacing w:before="71" w:after="0" w:line="240" w:lineRule="auto"/>
        <w:ind w:left="3018" w:right="0" w:hanging="319"/>
        <w:jc w:val="left"/>
        <w:rPr>
          <w:sz w:val="31"/>
        </w:rPr>
      </w:pPr>
      <w:r>
        <w:rPr>
          <w:sz w:val="31"/>
        </w:rPr>
        <w:t>债券计息还本时，是以债券的价格为依据，而不是以其面值为依据</w:t>
      </w:r>
      <w:r>
        <w:rPr>
          <w:spacing w:val="-208"/>
          <w:sz w:val="31"/>
        </w:rPr>
        <w:t>。</w:t>
      </w:r>
      <w:r>
        <w:rPr>
          <w:sz w:val="31"/>
        </w:rPr>
        <w:t>（）</w:t>
      </w:r>
    </w:p>
    <w:p>
      <w:pPr>
        <w:pStyle w:val="ListParagraph"/>
        <w:numPr>
          <w:ilvl w:val="0"/>
          <w:numId w:val="86"/>
        </w:numPr>
        <w:tabs>
          <w:tab w:val="left" w:pos="3177"/>
          <w:tab w:val="left" w:pos="6798"/>
        </w:tabs>
        <w:spacing w:before="71" w:after="0" w:line="283" w:lineRule="auto"/>
        <w:ind w:left="2700" w:right="2643" w:firstLine="0"/>
        <w:jc w:val="left"/>
        <w:rPr>
          <w:sz w:val="31"/>
        </w:rPr>
      </w:pPr>
      <w:r>
        <w:rPr>
          <w:sz w:val="31"/>
        </w:rPr>
        <w:t>补偿性余额的约束有助于降低银行贷款风险，但同时也减少了企业实际可动用借款额</w:t>
      </w:r>
      <w:r>
        <w:rPr>
          <w:spacing w:val="-18"/>
          <w:sz w:val="31"/>
        </w:rPr>
        <w:t xml:space="preserve">， </w:t>
      </w:r>
      <w:r>
        <w:rPr>
          <w:sz w:val="31"/>
        </w:rPr>
        <w:t>提高了借款的实际利率</w:t>
      </w:r>
      <w:r>
        <w:rPr>
          <w:spacing w:val="-176"/>
          <w:sz w:val="31"/>
        </w:rPr>
        <w:t>。</w:t>
      </w:r>
      <w:r>
        <w:rPr>
          <w:sz w:val="31"/>
        </w:rPr>
        <w:t>（</w:t>
        <w:tab/>
        <w:t>）</w:t>
      </w:r>
    </w:p>
    <w:p>
      <w:pPr>
        <w:pStyle w:val="BodyText"/>
        <w:tabs>
          <w:tab w:val="left" w:pos="3805"/>
        </w:tabs>
        <w:spacing w:line="283" w:lineRule="auto"/>
        <w:ind w:right="2643"/>
      </w:pPr>
      <w:r>
        <w:t>5、融资租赁又称财务租赁，有时也称资本租赁，故与经营租赁不同，其性质已不属借贷</w:t>
      </w:r>
      <w:r>
        <w:rPr>
          <w:spacing w:val="-18"/>
        </w:rPr>
        <w:t>行</w:t>
      </w:r>
      <w:r>
        <w:t>为</w:t>
      </w:r>
      <w:r>
        <w:rPr>
          <w:spacing w:val="-159"/>
        </w:rPr>
        <w:t>。</w:t>
      </w:r>
      <w:r>
        <w:t>（</w:t>
        <w:tab/>
        <w:t>）</w:t>
      </w:r>
    </w:p>
    <w:p>
      <w:pPr>
        <w:pStyle w:val="BodyText"/>
        <w:tabs>
          <w:tab w:val="left" w:pos="7273"/>
        </w:tabs>
        <w:spacing w:line="283" w:lineRule="auto"/>
        <w:ind w:right="2643"/>
      </w:pPr>
      <w:r>
        <w:t>6、独资企业比公司企业创建容易、设立成本低、出资人对债务负无限责任，因而可以筹</w:t>
      </w:r>
      <w:r>
        <w:rPr>
          <w:spacing w:val="-18"/>
        </w:rPr>
        <w:t>集</w:t>
      </w:r>
      <w:r>
        <w:t>更多的主权资金和债务资金</w:t>
      </w:r>
      <w:r>
        <w:rPr>
          <w:spacing w:val="-176"/>
        </w:rPr>
        <w:t>。</w:t>
      </w:r>
      <w:r>
        <w:t>（</w:t>
        <w:tab/>
        <w:t>）</w:t>
      </w:r>
    </w:p>
    <w:p>
      <w:pPr>
        <w:pStyle w:val="BodyText"/>
        <w:tabs>
          <w:tab w:val="left" w:pos="11683"/>
        </w:tabs>
        <w:spacing w:line="283" w:lineRule="auto"/>
        <w:ind w:right="2643"/>
      </w:pPr>
      <w:r>
        <w:t>7、一旦企业与银行签定周转信贷协议，则在协定的有效期内，只要企业的借款总额不超</w:t>
      </w:r>
      <w:r>
        <w:rPr>
          <w:spacing w:val="-18"/>
        </w:rPr>
        <w:t>过</w:t>
      </w:r>
      <w:r>
        <w:t>最高限额，银行必须满足企业任何时候任何用途的借款要求</w:t>
      </w:r>
      <w:r>
        <w:rPr>
          <w:spacing w:val="-201"/>
        </w:rPr>
        <w:t>。</w:t>
      </w:r>
      <w:r>
        <w:t>（</w:t>
        <w:tab/>
        <w:t>）</w:t>
      </w:r>
    </w:p>
    <w:p>
      <w:pPr>
        <w:spacing w:before="191"/>
        <w:ind w:left="2700" w:right="0" w:firstLine="0"/>
        <w:jc w:val="left"/>
        <w:rPr>
          <w:sz w:val="18"/>
        </w:rPr>
      </w:pPr>
      <w:r>
        <w:rPr>
          <w:sz w:val="18"/>
        </w:rPr>
        <w:t>;</w:t>
      </w:r>
    </w:p>
    <w:p>
      <w:pPr>
        <w:pStyle w:val="BodyText"/>
        <w:spacing w:before="42" w:line="283" w:lineRule="auto"/>
        <w:ind w:right="2643"/>
      </w:pPr>
      <w:r>
        <w:t>8</w:t>
      </w:r>
      <w:r>
        <w:rPr>
          <w:spacing w:val="-1"/>
        </w:rPr>
        <w:t>、债券的票面金额是决定债券发行价格的最基本因素。债券发行价格的高低，从根本上取</w:t>
      </w:r>
      <w:r>
        <w:t>决于债券面额的大小</w:t>
      </w:r>
      <w:r>
        <w:rPr>
          <w:spacing w:val="-173"/>
        </w:rPr>
        <w:t>。</w:t>
      </w:r>
      <w:r>
        <w:t>（）</w:t>
      </w:r>
    </w:p>
    <w:p>
      <w:pPr>
        <w:pStyle w:val="BodyText"/>
        <w:tabs>
          <w:tab w:val="left" w:pos="14363"/>
        </w:tabs>
        <w:spacing w:line="283" w:lineRule="auto"/>
        <w:ind w:right="3177"/>
        <w:rPr>
          <w:b/>
        </w:rPr>
      </w:pPr>
      <w:r>
        <w:t>9、优先股股息和债券利息都要定期支付，均应作为财务费用，在所得税前列支</w:t>
      </w:r>
      <w:r>
        <w:rPr>
          <w:spacing w:val="-214"/>
        </w:rPr>
        <w:t>。</w:t>
      </w:r>
      <w:r>
        <w:t>（</w:t>
        <w:tab/>
      </w:r>
      <w:r>
        <w:rPr>
          <w:spacing w:val="-18"/>
        </w:rPr>
        <w:t xml:space="preserve">） </w:t>
      </w:r>
      <w:r>
        <w:rPr>
          <w:b/>
        </w:rPr>
        <w:t>四、简答题</w:t>
      </w:r>
    </w:p>
    <w:p>
      <w:pPr>
        <w:pStyle w:val="BodyText"/>
        <w:spacing w:line="264" w:lineRule="auto"/>
        <w:ind w:right="10880"/>
      </w:pPr>
      <w:r>
        <w:t>1. 简述普通股筹资的优缺点。2.简述债券筹资的优缺点。</w:t>
      </w:r>
    </w:p>
    <w:p>
      <w:pPr>
        <w:pStyle w:val="BodyText"/>
        <w:spacing w:line="369" w:lineRule="exact"/>
      </w:pPr>
      <w:r>
        <w:t>3、简述融资租赁的优缺点</w:t>
      </w:r>
    </w:p>
    <w:p>
      <w:pPr>
        <w:pStyle w:val="Heading2"/>
        <w:spacing w:before="6"/>
      </w:pPr>
      <w:r>
        <w:t>五、计算题</w:t>
      </w:r>
    </w:p>
    <w:p>
      <w:pPr>
        <w:pStyle w:val="BodyText"/>
        <w:spacing w:before="46" w:line="283" w:lineRule="auto"/>
        <w:ind w:right="2534" w:firstLine="316"/>
      </w:pPr>
      <w:r>
        <w:t>1</w:t>
      </w:r>
      <w:r>
        <w:rPr>
          <w:spacing w:val="-13"/>
        </w:rPr>
        <w:t xml:space="preserve">、某公司于 </w:t>
      </w:r>
      <w:r>
        <w:t>2000</w:t>
      </w:r>
      <w:r>
        <w:rPr>
          <w:spacing w:val="-42"/>
        </w:rPr>
        <w:t xml:space="preserve"> 年 </w:t>
      </w:r>
      <w:r>
        <w:t>1</w:t>
      </w:r>
      <w:r>
        <w:rPr>
          <w:spacing w:val="-43"/>
        </w:rPr>
        <w:t xml:space="preserve"> 月 </w:t>
      </w:r>
      <w:r>
        <w:t>1</w:t>
      </w:r>
      <w:r>
        <w:rPr>
          <w:spacing w:val="-23"/>
        </w:rPr>
        <w:t xml:space="preserve"> 日申请于 </w:t>
      </w:r>
      <w:r>
        <w:t>2000</w:t>
      </w:r>
      <w:r>
        <w:rPr>
          <w:spacing w:val="-44"/>
        </w:rPr>
        <w:t xml:space="preserve"> 年 </w:t>
      </w:r>
      <w:r>
        <w:t>3</w:t>
      </w:r>
      <w:r>
        <w:rPr>
          <w:spacing w:val="-43"/>
        </w:rPr>
        <w:t xml:space="preserve"> 月 </w:t>
      </w:r>
      <w:r>
        <w:t>1</w:t>
      </w:r>
      <w:r>
        <w:rPr>
          <w:spacing w:val="-20"/>
        </w:rPr>
        <w:t xml:space="preserve"> 日发行面值 </w:t>
      </w:r>
      <w:r>
        <w:t>1 000</w:t>
      </w:r>
      <w:r>
        <w:rPr>
          <w:spacing w:val="-19"/>
        </w:rPr>
        <w:t xml:space="preserve"> 元、券面利率 </w:t>
      </w:r>
      <w:r>
        <w:t>10</w:t>
      </w:r>
      <w:r>
        <w:rPr>
          <w:spacing w:val="-6"/>
        </w:rPr>
        <w:t>%、</w:t>
      </w:r>
      <w:r>
        <w:rPr>
          <w:spacing w:val="-9"/>
        </w:rPr>
        <w:t xml:space="preserve">每年付息、期限 </w:t>
      </w:r>
      <w:r>
        <w:t>5</w:t>
      </w:r>
      <w:r>
        <w:rPr>
          <w:spacing w:val="-14"/>
        </w:rPr>
        <w:t xml:space="preserve"> 年的债券，计划发行总额为 </w:t>
      </w:r>
      <w:r>
        <w:t>10 000</w:t>
      </w:r>
      <w:r>
        <w:rPr>
          <w:spacing w:val="-16"/>
        </w:rPr>
        <w:t xml:space="preserve"> 万元。</w:t>
      </w:r>
      <w:r>
        <w:t>2000</w:t>
      </w:r>
      <w:r>
        <w:rPr>
          <w:spacing w:val="-40"/>
        </w:rPr>
        <w:t xml:space="preserve"> 年 </w:t>
      </w:r>
      <w:r>
        <w:t>3</w:t>
      </w:r>
      <w:r>
        <w:rPr>
          <w:spacing w:val="-38"/>
        </w:rPr>
        <w:t xml:space="preserve"> 月 </w:t>
      </w:r>
      <w:r>
        <w:t>1</w:t>
      </w:r>
      <w:r>
        <w:rPr>
          <w:spacing w:val="-8"/>
        </w:rPr>
        <w:t xml:space="preserve"> 日该公司获准发</w:t>
      </w:r>
      <w:r>
        <w:rPr>
          <w:spacing w:val="-14"/>
        </w:rPr>
        <w:t xml:space="preserve">行债券，此时市场融资利率已升至 </w:t>
      </w:r>
      <w:r>
        <w:t>12%。</w:t>
      </w:r>
    </w:p>
    <w:p>
      <w:pPr>
        <w:spacing w:before="196"/>
        <w:ind w:left="2700" w:right="0" w:firstLine="0"/>
        <w:jc w:val="left"/>
        <w:rPr>
          <w:sz w:val="18"/>
        </w:rPr>
      </w:pPr>
      <w:r>
        <w:rPr>
          <w:sz w:val="18"/>
        </w:rPr>
        <w:t>~</w:t>
      </w:r>
    </w:p>
    <w:p>
      <w:pPr>
        <w:pStyle w:val="BodyText"/>
        <w:spacing w:before="40"/>
      </w:pPr>
      <w:r>
        <w:t>要求：计算该公司该债券发行价格。</w:t>
      </w:r>
    </w:p>
    <w:p>
      <w:pPr>
        <w:pStyle w:val="BodyText"/>
        <w:spacing w:before="1"/>
        <w:ind w:left="0"/>
        <w:rPr>
          <w:sz w:val="42"/>
        </w:rPr>
      </w:pPr>
    </w:p>
    <w:p>
      <w:pPr>
        <w:pStyle w:val="BodyText"/>
        <w:spacing w:line="283" w:lineRule="auto"/>
        <w:ind w:right="2534"/>
      </w:pPr>
      <w:r>
        <w:t>2</w:t>
      </w:r>
      <w:r>
        <w:rPr>
          <w:spacing w:val="-10"/>
        </w:rPr>
        <w:t xml:space="preserve">、某企业与 </w:t>
      </w:r>
      <w:r>
        <w:t>2007</w:t>
      </w:r>
      <w:r>
        <w:rPr>
          <w:spacing w:val="-33"/>
        </w:rPr>
        <w:t xml:space="preserve"> 年 </w:t>
      </w:r>
      <w:r>
        <w:t>1</w:t>
      </w:r>
      <w:r>
        <w:rPr>
          <w:spacing w:val="-12"/>
        </w:rPr>
        <w:t xml:space="preserve"> 月从租赁公司租入一套设备价值是 </w:t>
      </w:r>
      <w:r>
        <w:t>100000</w:t>
      </w:r>
      <w:r>
        <w:rPr>
          <w:spacing w:val="-17"/>
        </w:rPr>
        <w:t xml:space="preserve"> 元，租期为 </w:t>
      </w:r>
      <w:r>
        <w:t>5</w:t>
      </w:r>
      <w:r>
        <w:rPr>
          <w:spacing w:val="-10"/>
        </w:rPr>
        <w:t xml:space="preserve"> 年，预计租</w:t>
      </w:r>
      <w:r>
        <w:rPr>
          <w:spacing w:val="-15"/>
        </w:rPr>
        <w:t xml:space="preserve">赁期满时的残值为 </w:t>
      </w:r>
      <w:r>
        <w:t>6000</w:t>
      </w:r>
      <w:r>
        <w:rPr>
          <w:spacing w:val="-12"/>
        </w:rPr>
        <w:t xml:space="preserve"> 元，归租赁公司 ，年利率按 </w:t>
      </w:r>
      <w:r>
        <w:t>9%</w:t>
      </w:r>
      <w:r>
        <w:rPr>
          <w:spacing w:val="-11"/>
        </w:rPr>
        <w:t xml:space="preserve">计算，租赁手续费为设备价值的 </w:t>
      </w:r>
      <w:r>
        <w:t>2</w:t>
      </w:r>
      <w:r>
        <w:rPr>
          <w:spacing w:val="-8"/>
        </w:rPr>
        <w:t>%。</w:t>
      </w:r>
      <w:r>
        <w:t>租金每年末支付一次。租赁该设备每次支付租金应为</w:t>
      </w:r>
    </w:p>
    <w:p>
      <w:pPr>
        <w:pStyle w:val="BodyText"/>
        <w:spacing w:before="4"/>
        <w:ind w:left="0"/>
        <w:rPr>
          <w:sz w:val="36"/>
        </w:rPr>
      </w:pPr>
    </w:p>
    <w:p>
      <w:pPr>
        <w:pStyle w:val="Heading2"/>
        <w:tabs>
          <w:tab w:val="left" w:pos="3967"/>
        </w:tabs>
        <w:spacing w:line="283" w:lineRule="auto"/>
        <w:ind w:right="11038"/>
      </w:pPr>
      <w:r>
        <w:t>第六章</w:t>
        <w:tab/>
        <w:t>资本成本与资本结</w:t>
      </w:r>
      <w:r>
        <w:rPr>
          <w:spacing w:val="-17"/>
        </w:rPr>
        <w:t>构</w:t>
      </w:r>
      <w:r>
        <w:t>一、单选题</w:t>
      </w:r>
    </w:p>
    <w:p>
      <w:pPr>
        <w:pStyle w:val="ListParagraph"/>
        <w:numPr>
          <w:ilvl w:val="0"/>
          <w:numId w:val="85"/>
        </w:numPr>
        <w:tabs>
          <w:tab w:val="left" w:pos="3176"/>
          <w:tab w:val="left" w:pos="5861"/>
          <w:tab w:val="left" w:pos="8612"/>
          <w:tab w:val="left" w:pos="10661"/>
          <w:tab w:val="left" w:pos="11683"/>
        </w:tabs>
        <w:spacing w:before="0" w:after="0" w:line="283" w:lineRule="auto"/>
        <w:ind w:left="3489" w:right="5619" w:hanging="789"/>
        <w:jc w:val="left"/>
        <w:rPr>
          <w:sz w:val="31"/>
        </w:rPr>
      </w:pPr>
      <w:r>
        <w:rPr>
          <w:sz w:val="31"/>
        </w:rPr>
        <w:t>一般来说，在企业的各种资金来源中，资金成本最高的是（</w:t>
        <w:tab/>
      </w:r>
      <w:r>
        <w:rPr>
          <w:spacing w:val="-162"/>
          <w:sz w:val="31"/>
        </w:rPr>
        <w:t>）</w:t>
      </w:r>
      <w:r>
        <w:rPr>
          <w:sz w:val="31"/>
        </w:rPr>
        <w:t>。A</w:t>
      </w:r>
      <w:r>
        <w:rPr>
          <w:spacing w:val="10"/>
          <w:sz w:val="31"/>
        </w:rPr>
        <w:t xml:space="preserve"> </w:t>
      </w:r>
      <w:r>
        <w:rPr>
          <w:sz w:val="31"/>
        </w:rPr>
        <w:t>债券</w:t>
        <w:tab/>
        <w:t>B</w:t>
      </w:r>
      <w:r>
        <w:rPr>
          <w:spacing w:val="-75"/>
          <w:sz w:val="31"/>
        </w:rPr>
        <w:t xml:space="preserve"> </w:t>
      </w:r>
      <w:r>
        <w:rPr>
          <w:sz w:val="31"/>
        </w:rPr>
        <w:t>长期银行借款</w:t>
        <w:tab/>
        <w:t>C</w:t>
      </w:r>
      <w:r>
        <w:rPr>
          <w:spacing w:val="10"/>
          <w:sz w:val="31"/>
        </w:rPr>
        <w:t xml:space="preserve"> </w:t>
      </w:r>
      <w:r>
        <w:rPr>
          <w:sz w:val="31"/>
        </w:rPr>
        <w:t>普通股</w:t>
        <w:tab/>
        <w:t>D</w:t>
      </w:r>
      <w:r>
        <w:rPr>
          <w:spacing w:val="23"/>
          <w:sz w:val="31"/>
        </w:rPr>
        <w:t xml:space="preserve"> </w:t>
      </w:r>
      <w:r>
        <w:rPr>
          <w:sz w:val="31"/>
        </w:rPr>
        <w:t>留存收</w:t>
      </w:r>
      <w:r>
        <w:rPr>
          <w:spacing w:val="-17"/>
          <w:sz w:val="31"/>
        </w:rPr>
        <w:t>益</w:t>
      </w:r>
    </w:p>
    <w:p>
      <w:pPr>
        <w:spacing w:before="195"/>
        <w:ind w:left="2700" w:right="0" w:firstLine="0"/>
        <w:jc w:val="left"/>
        <w:rPr>
          <w:sz w:val="18"/>
        </w:rPr>
      </w:pPr>
      <w:r>
        <w:rPr>
          <w:sz w:val="18"/>
        </w:rPr>
        <w:t>￥</w:t>
      </w:r>
    </w:p>
    <w:p>
      <w:pPr>
        <w:pStyle w:val="ListParagraph"/>
        <w:numPr>
          <w:ilvl w:val="0"/>
          <w:numId w:val="85"/>
        </w:numPr>
        <w:tabs>
          <w:tab w:val="left" w:pos="3176"/>
          <w:tab w:val="left" w:pos="6798"/>
        </w:tabs>
        <w:spacing w:before="41" w:after="0" w:line="283" w:lineRule="auto"/>
        <w:ind w:left="3330" w:right="2691" w:hanging="630"/>
        <w:jc w:val="left"/>
        <w:rPr>
          <w:sz w:val="31"/>
        </w:rPr>
      </w:pPr>
      <w:r>
        <w:rPr>
          <w:sz w:val="31"/>
        </w:rPr>
        <w:t>某公司发行债券，票面利率为</w:t>
      </w:r>
      <w:r>
        <w:rPr>
          <w:spacing w:val="-44"/>
          <w:sz w:val="31"/>
        </w:rPr>
        <w:t xml:space="preserve"> </w:t>
      </w:r>
      <w:r>
        <w:rPr>
          <w:sz w:val="31"/>
        </w:rPr>
        <w:t>10%，偿还期限</w:t>
      </w:r>
      <w:r>
        <w:rPr>
          <w:spacing w:val="-10"/>
          <w:sz w:val="31"/>
        </w:rPr>
        <w:t xml:space="preserve"> </w:t>
      </w:r>
      <w:r>
        <w:rPr>
          <w:sz w:val="31"/>
        </w:rPr>
        <w:t>5</w:t>
      </w:r>
      <w:r>
        <w:rPr>
          <w:spacing w:val="-13"/>
          <w:sz w:val="31"/>
        </w:rPr>
        <w:t xml:space="preserve"> </w:t>
      </w:r>
      <w:r>
        <w:rPr>
          <w:sz w:val="31"/>
        </w:rPr>
        <w:t>年，发行费率</w:t>
      </w:r>
      <w:r>
        <w:rPr>
          <w:spacing w:val="-18"/>
          <w:sz w:val="31"/>
        </w:rPr>
        <w:t xml:space="preserve"> </w:t>
      </w:r>
      <w:r>
        <w:rPr>
          <w:sz w:val="31"/>
        </w:rPr>
        <w:t>4%，所得税税率为</w:t>
      </w:r>
      <w:r>
        <w:rPr>
          <w:spacing w:val="-22"/>
          <w:sz w:val="31"/>
        </w:rPr>
        <w:t xml:space="preserve"> </w:t>
      </w:r>
      <w:r>
        <w:rPr>
          <w:spacing w:val="-5"/>
          <w:sz w:val="31"/>
        </w:rPr>
        <w:t xml:space="preserve">25%， </w:t>
      </w:r>
      <w:r>
        <w:rPr>
          <w:sz w:val="31"/>
        </w:rPr>
        <w:t>则债券资金成本为（</w:t>
        <w:tab/>
      </w:r>
      <w:r>
        <w:rPr>
          <w:spacing w:val="-162"/>
          <w:sz w:val="31"/>
        </w:rPr>
        <w:t>）</w:t>
      </w:r>
      <w:r>
        <w:rPr>
          <w:sz w:val="31"/>
        </w:rPr>
        <w:t>。</w:t>
      </w:r>
    </w:p>
    <w:p>
      <w:pPr>
        <w:pStyle w:val="BodyText"/>
        <w:tabs>
          <w:tab w:val="left" w:pos="4439"/>
          <w:tab w:val="left" w:pos="5706"/>
          <w:tab w:val="left" w:pos="7132"/>
        </w:tabs>
        <w:spacing w:line="396" w:lineRule="exact"/>
        <w:ind w:left="3330"/>
      </w:pPr>
      <w:r>
        <w:t>A</w:t>
      </w:r>
      <w:r>
        <w:rPr>
          <w:spacing w:val="6"/>
        </w:rPr>
        <w:t xml:space="preserve"> </w:t>
      </w:r>
      <w:r>
        <w:t>%</w:t>
        <w:tab/>
        <w:t>B</w:t>
      </w:r>
      <w:r>
        <w:rPr>
          <w:spacing w:val="6"/>
        </w:rPr>
        <w:t xml:space="preserve"> </w:t>
      </w:r>
      <w:r>
        <w:t>%</w:t>
        <w:tab/>
        <w:t>C</w:t>
      </w:r>
      <w:r>
        <w:rPr>
          <w:spacing w:val="6"/>
        </w:rPr>
        <w:t xml:space="preserve"> </w:t>
      </w:r>
      <w:r>
        <w:t>%</w:t>
        <w:tab/>
        <w:t>D</w:t>
      </w:r>
      <w:r>
        <w:rPr>
          <w:spacing w:val="3"/>
        </w:rPr>
        <w:t xml:space="preserve"> </w:t>
      </w:r>
      <w:r>
        <w:t>71%</w:t>
      </w:r>
    </w:p>
    <w:p>
      <w:pPr>
        <w:pStyle w:val="ListParagraph"/>
        <w:numPr>
          <w:ilvl w:val="0"/>
          <w:numId w:val="85"/>
        </w:numPr>
        <w:tabs>
          <w:tab w:val="left" w:pos="3177"/>
          <w:tab w:val="left" w:pos="7273"/>
        </w:tabs>
        <w:spacing w:before="71" w:after="0" w:line="283" w:lineRule="auto"/>
        <w:ind w:left="3172" w:right="2534" w:hanging="472"/>
        <w:jc w:val="left"/>
        <w:rPr>
          <w:sz w:val="31"/>
        </w:rPr>
      </w:pPr>
      <w:r>
        <w:rPr>
          <w:sz w:val="31"/>
        </w:rPr>
        <w:t>某人持</w:t>
      </w:r>
      <w:r>
        <w:rPr>
          <w:spacing w:val="53"/>
          <w:sz w:val="31"/>
        </w:rPr>
        <w:t>有</w:t>
      </w:r>
      <w:r>
        <w:rPr>
          <w:sz w:val="31"/>
        </w:rPr>
        <w:t>A</w:t>
      </w:r>
      <w:r>
        <w:rPr>
          <w:spacing w:val="38"/>
          <w:sz w:val="31"/>
        </w:rPr>
        <w:t xml:space="preserve"> </w:t>
      </w:r>
      <w:r>
        <w:rPr>
          <w:sz w:val="31"/>
        </w:rPr>
        <w:t>公司优先股，每年每股股利</w:t>
      </w:r>
      <w:r>
        <w:rPr>
          <w:spacing w:val="40"/>
          <w:sz w:val="31"/>
        </w:rPr>
        <w:t>为</w:t>
      </w:r>
      <w:r>
        <w:rPr>
          <w:sz w:val="31"/>
        </w:rPr>
        <w:t>3</w:t>
      </w:r>
      <w:r>
        <w:rPr>
          <w:spacing w:val="38"/>
          <w:sz w:val="31"/>
        </w:rPr>
        <w:t xml:space="preserve"> </w:t>
      </w:r>
      <w:r>
        <w:rPr>
          <w:sz w:val="31"/>
        </w:rPr>
        <w:t>元，如果他想长期持有，若市场利率</w:t>
      </w:r>
      <w:r>
        <w:rPr>
          <w:spacing w:val="19"/>
          <w:sz w:val="31"/>
        </w:rPr>
        <w:t>为</w:t>
      </w:r>
      <w:r>
        <w:rPr>
          <w:spacing w:val="-5"/>
          <w:sz w:val="31"/>
        </w:rPr>
        <w:t xml:space="preserve">12%， </w:t>
      </w:r>
      <w:r>
        <w:rPr>
          <w:sz w:val="31"/>
        </w:rPr>
        <w:t>则该项股票的内在价值为（</w:t>
        <w:tab/>
        <w:t>）元。</w:t>
      </w:r>
    </w:p>
    <w:p>
      <w:pPr>
        <w:pStyle w:val="BodyText"/>
        <w:tabs>
          <w:tab w:val="left" w:pos="5548"/>
          <w:tab w:val="left" w:pos="8082"/>
          <w:tab w:val="left" w:pos="10300"/>
        </w:tabs>
        <w:spacing w:line="396" w:lineRule="exact"/>
        <w:ind w:left="3172"/>
      </w:pPr>
      <w:r>
        <w:t>A</w:t>
      </w:r>
      <w:r>
        <w:rPr>
          <w:spacing w:val="7"/>
        </w:rPr>
        <w:t xml:space="preserve"> </w:t>
      </w:r>
      <w:r>
        <w:t>20</w:t>
        <w:tab/>
        <w:t>B</w:t>
      </w:r>
      <w:r>
        <w:rPr>
          <w:spacing w:val="8"/>
        </w:rPr>
        <w:t xml:space="preserve"> </w:t>
      </w:r>
      <w:r>
        <w:t>25</w:t>
        <w:tab/>
        <w:t>C</w:t>
      </w:r>
      <w:r>
        <w:rPr>
          <w:spacing w:val="7"/>
        </w:rPr>
        <w:t xml:space="preserve"> </w:t>
      </w:r>
      <w:r>
        <w:t>30</w:t>
        <w:tab/>
        <w:t>D</w:t>
      </w:r>
      <w:r>
        <w:rPr>
          <w:spacing w:val="3"/>
        </w:rPr>
        <w:t xml:space="preserve"> </w:t>
      </w:r>
      <w:r>
        <w:t>24</w:t>
      </w:r>
    </w:p>
    <w:p>
      <w:pPr>
        <w:pStyle w:val="ListParagraph"/>
        <w:numPr>
          <w:ilvl w:val="0"/>
          <w:numId w:val="85"/>
        </w:numPr>
        <w:tabs>
          <w:tab w:val="left" w:pos="3176"/>
        </w:tabs>
        <w:spacing w:before="70" w:after="0" w:line="240" w:lineRule="auto"/>
        <w:ind w:left="3175" w:right="0" w:hanging="476"/>
        <w:jc w:val="left"/>
        <w:rPr>
          <w:sz w:val="31"/>
        </w:rPr>
      </w:pPr>
      <w:r>
        <w:rPr>
          <w:sz w:val="31"/>
        </w:rPr>
        <w:t>经营杠杆给企业带来的风险是指（</w:t>
      </w:r>
      <w:r>
        <w:rPr>
          <w:spacing w:val="-23"/>
          <w:sz w:val="31"/>
        </w:rPr>
        <w:t xml:space="preserve"> </w:t>
      </w:r>
      <w:r>
        <w:rPr>
          <w:sz w:val="31"/>
        </w:rPr>
        <w:t>）的风险。</w:t>
      </w:r>
    </w:p>
    <w:p>
      <w:pPr>
        <w:pStyle w:val="BodyText"/>
        <w:tabs>
          <w:tab w:val="left" w:pos="9263"/>
        </w:tabs>
        <w:spacing w:before="71"/>
        <w:ind w:left="3172"/>
      </w:pPr>
      <w:r>
        <w:t>A</w:t>
      </w:r>
      <w:r>
        <w:rPr>
          <w:spacing w:val="-68"/>
        </w:rPr>
        <w:t xml:space="preserve"> </w:t>
      </w:r>
      <w:r>
        <w:t>成本上升</w:t>
        <w:tab/>
        <w:t>B</w:t>
      </w:r>
      <w:r>
        <w:rPr>
          <w:spacing w:val="-104"/>
        </w:rPr>
        <w:t xml:space="preserve"> </w:t>
      </w:r>
      <w:r>
        <w:t>利润下降</w:t>
      </w:r>
    </w:p>
    <w:p>
      <w:pPr>
        <w:pStyle w:val="BodyText"/>
        <w:tabs>
          <w:tab w:val="left" w:pos="9246"/>
        </w:tabs>
        <w:spacing w:before="71"/>
        <w:ind w:left="3172"/>
      </w:pPr>
      <w:r>
        <w:t>C</w:t>
      </w:r>
      <w:r>
        <w:rPr>
          <w:spacing w:val="-45"/>
        </w:rPr>
        <w:t xml:space="preserve"> </w:t>
      </w:r>
      <w:r>
        <w:t>业务量变动导致息税前利润更大变动</w:t>
        <w:tab/>
        <w:t>D</w:t>
      </w:r>
      <w:r>
        <w:rPr>
          <w:spacing w:val="-81"/>
        </w:rPr>
        <w:t xml:space="preserve"> </w:t>
      </w:r>
      <w:r>
        <w:t>业务量变动导致税后利润更大变动</w:t>
      </w:r>
    </w:p>
    <w:p>
      <w:pPr>
        <w:spacing w:after="0"/>
        <w:sectPr>
          <w:headerReference w:type="default" r:id="rId38"/>
          <w:pgSz w:w="17860" w:h="25260"/>
          <w:pgMar w:top="1360" w:right="0" w:bottom="280" w:left="0" w:header="1160" w:footer="0"/>
          <w:pgNumType w:start="17"/>
          <w:cols w:space="708"/>
        </w:sectPr>
      </w:pPr>
    </w:p>
    <w:p>
      <w:pPr>
        <w:pStyle w:val="BodyText"/>
        <w:ind w:left="0"/>
        <w:rPr>
          <w:sz w:val="20"/>
        </w:rPr>
      </w:pPr>
    </w:p>
    <w:p>
      <w:pPr>
        <w:pStyle w:val="BodyText"/>
        <w:spacing w:before="5"/>
        <w:ind w:left="0"/>
        <w:rPr>
          <w:sz w:val="19"/>
        </w:rPr>
      </w:pPr>
    </w:p>
    <w:p>
      <w:pPr>
        <w:pStyle w:val="ListParagraph"/>
        <w:numPr>
          <w:ilvl w:val="0"/>
          <w:numId w:val="85"/>
        </w:numPr>
        <w:tabs>
          <w:tab w:val="left" w:pos="3177"/>
        </w:tabs>
        <w:spacing w:before="62" w:after="0" w:line="240" w:lineRule="auto"/>
        <w:ind w:left="3177" w:right="0" w:hanging="477"/>
        <w:jc w:val="left"/>
        <w:rPr>
          <w:sz w:val="31"/>
        </w:rPr>
      </w:pPr>
      <w:r>
        <w:rPr>
          <w:w w:val="102"/>
          <w:sz w:val="31"/>
        </w:rPr>
        <w:t>下列各项筹资活动中，会加大财务杠杆作用的是（</w:t>
      </w:r>
      <w:r>
        <w:rPr>
          <w:spacing w:val="-197"/>
          <w:w w:val="102"/>
          <w:sz w:val="31"/>
        </w:rPr>
        <w:t>）</w:t>
      </w:r>
      <w:r>
        <w:rPr>
          <w:w w:val="102"/>
          <w:sz w:val="31"/>
        </w:rPr>
        <w:t>。</w:t>
      </w:r>
    </w:p>
    <w:p>
      <w:pPr>
        <w:pStyle w:val="BodyText"/>
        <w:spacing w:before="2"/>
        <w:ind w:left="0"/>
        <w:rPr>
          <w:sz w:val="15"/>
        </w:rPr>
      </w:pPr>
    </w:p>
    <w:p>
      <w:pPr>
        <w:spacing w:before="74"/>
        <w:ind w:left="3060" w:right="0" w:firstLine="0"/>
        <w:jc w:val="left"/>
        <w:rPr>
          <w:sz w:val="18"/>
        </w:rPr>
      </w:pPr>
      <w:r>
        <w:rPr>
          <w:sz w:val="18"/>
        </w:rPr>
        <w:t>&gt;</w:t>
      </w:r>
    </w:p>
    <w:p>
      <w:pPr>
        <w:pStyle w:val="BodyText"/>
        <w:tabs>
          <w:tab w:val="left" w:pos="6016"/>
          <w:tab w:val="left" w:pos="8850"/>
          <w:tab w:val="left" w:pos="11845"/>
        </w:tabs>
        <w:spacing w:before="41"/>
        <w:ind w:left="3330"/>
      </w:pPr>
      <w:r>
        <w:t>A</w:t>
      </w:r>
      <w:r>
        <w:rPr>
          <w:spacing w:val="19"/>
        </w:rPr>
        <w:t xml:space="preserve"> </w:t>
      </w:r>
      <w:r>
        <w:t>增发普通股</w:t>
        <w:tab/>
        <w:t>B</w:t>
      </w:r>
      <w:r>
        <w:rPr>
          <w:spacing w:val="13"/>
        </w:rPr>
        <w:t xml:space="preserve"> </w:t>
      </w:r>
      <w:r>
        <w:t>增发优先股</w:t>
        <w:tab/>
        <w:t>C</w:t>
      </w:r>
      <w:r>
        <w:rPr>
          <w:spacing w:val="15"/>
        </w:rPr>
        <w:t xml:space="preserve"> </w:t>
      </w:r>
      <w:r>
        <w:t>吸收国家投资</w:t>
        <w:tab/>
        <w:t>D</w:t>
      </w:r>
      <w:r>
        <w:rPr>
          <w:spacing w:val="-3"/>
        </w:rPr>
        <w:t xml:space="preserve"> </w:t>
      </w:r>
      <w:r>
        <w:t>商业信用</w:t>
      </w:r>
    </w:p>
    <w:p>
      <w:pPr>
        <w:pStyle w:val="ListParagraph"/>
        <w:numPr>
          <w:ilvl w:val="0"/>
          <w:numId w:val="85"/>
        </w:numPr>
        <w:tabs>
          <w:tab w:val="left" w:pos="3176"/>
          <w:tab w:val="left" w:pos="8688"/>
        </w:tabs>
        <w:spacing w:before="70" w:after="0" w:line="240" w:lineRule="auto"/>
        <w:ind w:left="3175" w:right="0" w:hanging="476"/>
        <w:jc w:val="left"/>
        <w:rPr>
          <w:sz w:val="31"/>
        </w:rPr>
      </w:pPr>
      <w:r>
        <w:rPr>
          <w:sz w:val="31"/>
        </w:rPr>
        <w:t>形成财务风险的原因是因为公司（</w:t>
        <w:tab/>
      </w:r>
      <w:r>
        <w:rPr>
          <w:spacing w:val="-159"/>
          <w:sz w:val="31"/>
        </w:rPr>
        <w:t>）</w:t>
      </w:r>
      <w:r>
        <w:rPr>
          <w:sz w:val="31"/>
        </w:rPr>
        <w:t>。</w:t>
      </w:r>
    </w:p>
    <w:p>
      <w:pPr>
        <w:pStyle w:val="BodyText"/>
        <w:tabs>
          <w:tab w:val="left" w:pos="5458"/>
          <w:tab w:val="left" w:pos="8846"/>
          <w:tab w:val="left" w:pos="11367"/>
          <w:tab w:val="left" w:pos="11604"/>
        </w:tabs>
        <w:spacing w:before="71" w:line="283" w:lineRule="auto"/>
        <w:ind w:right="4438" w:firstLine="626"/>
      </w:pPr>
      <w:r>
        <w:t>A</w:t>
      </w:r>
      <w:r>
        <w:rPr>
          <w:spacing w:val="-68"/>
        </w:rPr>
        <w:t xml:space="preserve"> </w:t>
      </w:r>
      <w:r>
        <w:t>举债经营</w:t>
        <w:tab/>
        <w:t>B</w:t>
      </w:r>
      <w:r>
        <w:rPr>
          <w:spacing w:val="-63"/>
        </w:rPr>
        <w:t xml:space="preserve"> </w:t>
      </w:r>
      <w:r>
        <w:t>存在固定经营成本</w:t>
        <w:tab/>
        <w:t>C</w:t>
      </w:r>
      <w:r>
        <w:rPr>
          <w:spacing w:val="-71"/>
        </w:rPr>
        <w:t xml:space="preserve"> </w:t>
      </w:r>
      <w:r>
        <w:t>存在变动成本</w:t>
        <w:tab/>
        <w:tab/>
        <w:t>D</w:t>
      </w:r>
      <w:r>
        <w:rPr>
          <w:spacing w:val="-54"/>
        </w:rPr>
        <w:t xml:space="preserve"> </w:t>
      </w:r>
      <w:r>
        <w:t>拥有普通</w:t>
      </w:r>
      <w:r>
        <w:rPr>
          <w:spacing w:val="-17"/>
        </w:rPr>
        <w:t>股</w:t>
      </w:r>
      <w:r>
        <w:t>7、企业在经营决策时对经营成本中固定成本的利用称为（</w:t>
        <w:tab/>
      </w:r>
      <w:r>
        <w:rPr>
          <w:spacing w:val="-159"/>
        </w:rPr>
        <w:t>）</w:t>
      </w:r>
      <w:r>
        <w:t>。</w:t>
      </w:r>
    </w:p>
    <w:p>
      <w:pPr>
        <w:pStyle w:val="BodyText"/>
        <w:tabs>
          <w:tab w:val="left" w:pos="5382"/>
          <w:tab w:val="left" w:pos="7276"/>
          <w:tab w:val="left" w:pos="9480"/>
        </w:tabs>
        <w:spacing w:line="396" w:lineRule="exact"/>
        <w:ind w:left="3176"/>
      </w:pPr>
      <w:r>
        <w:t>A</w:t>
      </w:r>
      <w:r>
        <w:rPr>
          <w:spacing w:val="18"/>
        </w:rPr>
        <w:t xml:space="preserve"> </w:t>
      </w:r>
      <w:r>
        <w:rPr>
          <w:spacing w:val="-4"/>
        </w:rPr>
        <w:t>.</w:t>
      </w:r>
      <w:r>
        <w:t>财务杠杆</w:t>
        <w:tab/>
        <w:t>B</w:t>
      </w:r>
      <w:r>
        <w:rPr>
          <w:spacing w:val="15"/>
        </w:rPr>
        <w:t xml:space="preserve"> </w:t>
      </w:r>
      <w:r>
        <w:rPr>
          <w:spacing w:val="-3"/>
        </w:rPr>
        <w:t>.</w:t>
      </w:r>
      <w:r>
        <w:t>总杠杆</w:t>
        <w:tab/>
        <w:t>C</w:t>
      </w:r>
      <w:r>
        <w:rPr>
          <w:spacing w:val="18"/>
        </w:rPr>
        <w:t xml:space="preserve"> </w:t>
      </w:r>
      <w:r>
        <w:rPr>
          <w:spacing w:val="-7"/>
        </w:rPr>
        <w:t>.</w:t>
      </w:r>
      <w:r>
        <w:t>联合杠杆</w:t>
        <w:tab/>
        <w:t>D</w:t>
      </w:r>
      <w:r>
        <w:rPr>
          <w:spacing w:val="3"/>
        </w:rPr>
        <w:t xml:space="preserve"> </w:t>
      </w:r>
      <w:r>
        <w:rPr>
          <w:spacing w:val="-7"/>
        </w:rPr>
        <w:t>.</w:t>
      </w:r>
      <w:r>
        <w:t>营业杠杆</w:t>
      </w:r>
    </w:p>
    <w:p>
      <w:pPr>
        <w:pStyle w:val="BodyText"/>
        <w:tabs>
          <w:tab w:val="left" w:pos="4277"/>
        </w:tabs>
        <w:spacing w:before="71" w:line="283" w:lineRule="auto"/>
        <w:ind w:right="2643"/>
      </w:pPr>
      <w:r>
        <w:t>8、企业在筹措资金过程中向银行支付的借款手续费、因发行股票、债券而支付的发行费</w:t>
      </w:r>
      <w:r>
        <w:rPr>
          <w:spacing w:val="-18"/>
        </w:rPr>
        <w:t>都</w:t>
      </w:r>
      <w:r>
        <w:t>属于（</w:t>
        <w:tab/>
      </w:r>
      <w:r>
        <w:rPr>
          <w:spacing w:val="-159"/>
        </w:rPr>
        <w:t>）</w:t>
      </w:r>
      <w:r>
        <w:t>。</w:t>
      </w:r>
    </w:p>
    <w:p>
      <w:pPr>
        <w:pStyle w:val="BodyText"/>
        <w:tabs>
          <w:tab w:val="left" w:pos="5382"/>
          <w:tab w:val="left" w:pos="7590"/>
          <w:tab w:val="left" w:pos="9796"/>
        </w:tabs>
        <w:spacing w:line="396" w:lineRule="exact"/>
        <w:ind w:left="3176"/>
      </w:pPr>
      <w:r>
        <w:t>A</w:t>
      </w:r>
      <w:r>
        <w:rPr>
          <w:spacing w:val="18"/>
        </w:rPr>
        <w:t xml:space="preserve"> </w:t>
      </w:r>
      <w:r>
        <w:rPr>
          <w:spacing w:val="-4"/>
        </w:rPr>
        <w:t>.</w:t>
      </w:r>
      <w:r>
        <w:t>用资费用</w:t>
        <w:tab/>
        <w:t>B</w:t>
      </w:r>
      <w:r>
        <w:rPr>
          <w:spacing w:val="18"/>
        </w:rPr>
        <w:t xml:space="preserve"> </w:t>
      </w:r>
      <w:r>
        <w:rPr>
          <w:spacing w:val="-3"/>
        </w:rPr>
        <w:t>.</w:t>
      </w:r>
      <w:r>
        <w:t>筹资费用</w:t>
        <w:tab/>
        <w:t>C</w:t>
      </w:r>
      <w:r>
        <w:rPr>
          <w:spacing w:val="18"/>
        </w:rPr>
        <w:t xml:space="preserve"> </w:t>
      </w:r>
      <w:r>
        <w:rPr>
          <w:spacing w:val="-4"/>
        </w:rPr>
        <w:t>.</w:t>
      </w:r>
      <w:r>
        <w:t>固定费用</w:t>
        <w:tab/>
        <w:t>D</w:t>
      </w:r>
      <w:r>
        <w:rPr>
          <w:spacing w:val="4"/>
        </w:rPr>
        <w:t xml:space="preserve"> </w:t>
      </w:r>
      <w:r>
        <w:rPr>
          <w:spacing w:val="-7"/>
        </w:rPr>
        <w:t>.</w:t>
      </w:r>
      <w:r>
        <w:t>变动费用</w:t>
      </w:r>
    </w:p>
    <w:p>
      <w:pPr>
        <w:pStyle w:val="BodyText"/>
        <w:tabs>
          <w:tab w:val="left" w:pos="11997"/>
        </w:tabs>
        <w:spacing w:before="71"/>
      </w:pPr>
      <w:r>
        <w:t>9、息税前利润变动率相当于销售额变动率的倍数，表示的是（</w:t>
        <w:tab/>
      </w:r>
      <w:r>
        <w:rPr>
          <w:spacing w:val="-159"/>
        </w:rPr>
        <w:t>）</w:t>
      </w:r>
      <w:r>
        <w:t>。</w:t>
      </w:r>
    </w:p>
    <w:p>
      <w:pPr>
        <w:pStyle w:val="BodyText"/>
        <w:spacing w:before="1"/>
        <w:ind w:left="0"/>
        <w:rPr>
          <w:sz w:val="15"/>
        </w:rPr>
      </w:pPr>
    </w:p>
    <w:p>
      <w:pPr>
        <w:spacing w:before="75"/>
        <w:ind w:left="2700" w:right="0" w:firstLine="0"/>
        <w:jc w:val="left"/>
        <w:rPr>
          <w:sz w:val="18"/>
        </w:rPr>
      </w:pPr>
      <w:r>
        <w:rPr>
          <w:sz w:val="18"/>
        </w:rPr>
        <w:t>|</w:t>
      </w:r>
    </w:p>
    <w:p>
      <w:pPr>
        <w:pStyle w:val="BodyText"/>
        <w:tabs>
          <w:tab w:val="left" w:pos="2836"/>
          <w:tab w:val="left" w:pos="5674"/>
          <w:tab w:val="left" w:pos="8507"/>
        </w:tabs>
        <w:spacing w:before="41"/>
        <w:ind w:left="0" w:right="628"/>
        <w:jc w:val="center"/>
      </w:pPr>
      <w:r>
        <w:t>A</w:t>
      </w:r>
      <w:r>
        <w:rPr>
          <w:spacing w:val="24"/>
        </w:rPr>
        <w:t xml:space="preserve"> </w:t>
      </w:r>
      <w:r>
        <w:rPr>
          <w:spacing w:val="-4"/>
        </w:rPr>
        <w:t>.</w:t>
      </w:r>
      <w:r>
        <w:t>边际资本成本</w:t>
        <w:tab/>
        <w:t>B</w:t>
      </w:r>
      <w:r>
        <w:rPr>
          <w:spacing w:val="24"/>
        </w:rPr>
        <w:t xml:space="preserve"> </w:t>
      </w:r>
      <w:r>
        <w:rPr>
          <w:spacing w:val="-7"/>
        </w:rPr>
        <w:t>.</w:t>
      </w:r>
      <w:r>
        <w:t>财务杠杆系数</w:t>
        <w:tab/>
        <w:t>C</w:t>
      </w:r>
      <w:r>
        <w:rPr>
          <w:spacing w:val="24"/>
        </w:rPr>
        <w:t xml:space="preserve"> </w:t>
      </w:r>
      <w:r>
        <w:rPr>
          <w:spacing w:val="-8"/>
        </w:rPr>
        <w:t>.</w:t>
      </w:r>
      <w:r>
        <w:t>营业杠杆系数</w:t>
        <w:tab/>
        <w:t>D</w:t>
      </w:r>
      <w:r>
        <w:rPr>
          <w:spacing w:val="5"/>
        </w:rPr>
        <w:t xml:space="preserve"> </w:t>
      </w:r>
      <w:r>
        <w:rPr>
          <w:spacing w:val="-8"/>
        </w:rPr>
        <w:t>.</w:t>
      </w:r>
      <w:r>
        <w:t>联合杠杆系数</w:t>
      </w:r>
    </w:p>
    <w:p>
      <w:pPr>
        <w:pStyle w:val="BodyText"/>
        <w:tabs>
          <w:tab w:val="left" w:pos="8375"/>
        </w:tabs>
        <w:spacing w:before="71"/>
      </w:pPr>
      <w:r>
        <w:t>10、要使资本结构达到最佳，应使（</w:t>
        <w:tab/>
        <w:t>）达到最低。</w:t>
      </w:r>
    </w:p>
    <w:p>
      <w:pPr>
        <w:pStyle w:val="BodyText"/>
        <w:tabs>
          <w:tab w:val="left" w:pos="6012"/>
          <w:tab w:val="left" w:pos="8850"/>
          <w:tab w:val="left" w:pos="11683"/>
        </w:tabs>
        <w:spacing w:before="70"/>
        <w:ind w:left="3176"/>
      </w:pPr>
      <w:r>
        <w:t>A</w:t>
      </w:r>
      <w:r>
        <w:rPr>
          <w:spacing w:val="24"/>
        </w:rPr>
        <w:t xml:space="preserve"> </w:t>
      </w:r>
      <w:r>
        <w:rPr>
          <w:spacing w:val="-4"/>
        </w:rPr>
        <w:t>.</w:t>
      </w:r>
      <w:r>
        <w:t>边际资本成本</w:t>
        <w:tab/>
        <w:t>B</w:t>
      </w:r>
      <w:r>
        <w:rPr>
          <w:spacing w:val="24"/>
        </w:rPr>
        <w:t xml:space="preserve"> </w:t>
      </w:r>
      <w:r>
        <w:rPr>
          <w:spacing w:val="-7"/>
        </w:rPr>
        <w:t>.</w:t>
      </w:r>
      <w:r>
        <w:t>债务资本成本</w:t>
        <w:tab/>
        <w:t>C</w:t>
      </w:r>
      <w:r>
        <w:rPr>
          <w:spacing w:val="24"/>
        </w:rPr>
        <w:t xml:space="preserve"> </w:t>
      </w:r>
      <w:r>
        <w:rPr>
          <w:spacing w:val="-8"/>
        </w:rPr>
        <w:t>.</w:t>
      </w:r>
      <w:r>
        <w:t>综合资本成本</w:t>
        <w:tab/>
        <w:t>D</w:t>
      </w:r>
      <w:r>
        <w:rPr>
          <w:spacing w:val="5"/>
        </w:rPr>
        <w:t xml:space="preserve"> </w:t>
      </w:r>
      <w:r>
        <w:rPr>
          <w:spacing w:val="-8"/>
        </w:rPr>
        <w:t>.</w:t>
      </w:r>
      <w:r>
        <w:t>自有资本成本</w:t>
      </w:r>
    </w:p>
    <w:p>
      <w:pPr>
        <w:pStyle w:val="BodyText"/>
        <w:tabs>
          <w:tab w:val="left" w:pos="5537"/>
        </w:tabs>
        <w:spacing w:before="71" w:line="283" w:lineRule="auto"/>
        <w:ind w:right="2679"/>
      </w:pPr>
      <w:r>
        <w:t>11、某公司本期息税前利润为</w:t>
      </w:r>
      <w:r>
        <w:rPr>
          <w:spacing w:val="-59"/>
        </w:rPr>
        <w:t xml:space="preserve"> </w:t>
      </w:r>
      <w:r>
        <w:t>6</w:t>
      </w:r>
      <w:r>
        <w:rPr>
          <w:spacing w:val="-20"/>
        </w:rPr>
        <w:t xml:space="preserve"> </w:t>
      </w:r>
      <w:r>
        <w:t>000</w:t>
      </w:r>
      <w:r>
        <w:rPr>
          <w:spacing w:val="-44"/>
        </w:rPr>
        <w:t xml:space="preserve"> </w:t>
      </w:r>
      <w:r>
        <w:t>万元，本期实际利息费用为</w:t>
      </w:r>
      <w:r>
        <w:rPr>
          <w:spacing w:val="-59"/>
        </w:rPr>
        <w:t xml:space="preserve"> </w:t>
      </w:r>
      <w:r>
        <w:t>1</w:t>
      </w:r>
      <w:r>
        <w:rPr>
          <w:spacing w:val="-20"/>
        </w:rPr>
        <w:t xml:space="preserve"> </w:t>
      </w:r>
      <w:r>
        <w:t>000</w:t>
      </w:r>
      <w:r>
        <w:rPr>
          <w:spacing w:val="-44"/>
        </w:rPr>
        <w:t xml:space="preserve"> </w:t>
      </w:r>
      <w:r>
        <w:t>万元，则该公司的</w:t>
      </w:r>
      <w:r>
        <w:rPr>
          <w:spacing w:val="-15"/>
        </w:rPr>
        <w:t>财</w:t>
      </w:r>
      <w:r>
        <w:t>务杠杆系数为（</w:t>
        <w:tab/>
      </w:r>
      <w:r>
        <w:rPr>
          <w:spacing w:val="-159"/>
        </w:rPr>
        <w:t>）</w:t>
      </w:r>
      <w:r>
        <w:t>。</w:t>
      </w:r>
    </w:p>
    <w:p>
      <w:pPr>
        <w:pStyle w:val="BodyText"/>
        <w:tabs>
          <w:tab w:val="left" w:pos="6027"/>
          <w:tab w:val="left" w:pos="9036"/>
          <w:tab w:val="left" w:pos="11095"/>
        </w:tabs>
        <w:spacing w:line="396" w:lineRule="exact"/>
        <w:ind w:left="3176"/>
      </w:pPr>
      <w:r>
        <w:t>A</w:t>
      </w:r>
      <w:r>
        <w:rPr>
          <w:spacing w:val="7"/>
        </w:rPr>
        <w:t xml:space="preserve"> </w:t>
      </w:r>
      <w:r>
        <w:t>.6</w:t>
        <w:tab/>
        <w:t>B</w:t>
      </w:r>
      <w:r>
        <w:rPr>
          <w:spacing w:val="11"/>
        </w:rPr>
        <w:t xml:space="preserve"> </w:t>
      </w:r>
      <w:r>
        <w:t>.1.2</w:t>
        <w:tab/>
        <w:t>C</w:t>
      </w:r>
      <w:r>
        <w:rPr>
          <w:spacing w:val="6"/>
        </w:rPr>
        <w:t xml:space="preserve"> </w:t>
      </w:r>
      <w:r>
        <w:t>.</w:t>
        <w:tab/>
        <w:t>D</w:t>
      </w:r>
      <w:r>
        <w:rPr>
          <w:spacing w:val="3"/>
        </w:rPr>
        <w:t xml:space="preserve"> </w:t>
      </w:r>
      <w:r>
        <w:t>.2</w:t>
      </w:r>
    </w:p>
    <w:p>
      <w:pPr>
        <w:pStyle w:val="BodyText"/>
        <w:tabs>
          <w:tab w:val="left" w:pos="9005"/>
        </w:tabs>
        <w:spacing w:before="71"/>
      </w:pPr>
      <w:r>
        <w:t>12、总杠杆系数是指每股收益变动率与（</w:t>
        <w:tab/>
        <w:t>）之比。</w:t>
      </w:r>
    </w:p>
    <w:p>
      <w:pPr>
        <w:pStyle w:val="BodyText"/>
        <w:tabs>
          <w:tab w:val="left" w:pos="4118"/>
          <w:tab w:val="left" w:pos="5699"/>
          <w:tab w:val="left" w:pos="8220"/>
          <w:tab w:val="left" w:pos="11687"/>
        </w:tabs>
        <w:spacing w:before="71" w:line="283" w:lineRule="auto"/>
        <w:ind w:right="4114" w:firstLine="475"/>
      </w:pPr>
      <w:r>
        <w:t>A</w:t>
      </w:r>
      <w:r>
        <w:rPr>
          <w:spacing w:val="43"/>
        </w:rPr>
        <w:t xml:space="preserve"> </w:t>
      </w:r>
      <w:r>
        <w:rPr>
          <w:spacing w:val="-4"/>
        </w:rPr>
        <w:t>.</w:t>
      </w:r>
      <w:r>
        <w:t>资本利润率</w:t>
        <w:tab/>
        <w:t>B</w:t>
      </w:r>
      <w:r>
        <w:rPr>
          <w:spacing w:val="21"/>
        </w:rPr>
        <w:t xml:space="preserve"> </w:t>
      </w:r>
      <w:r>
        <w:rPr>
          <w:spacing w:val="-7"/>
        </w:rPr>
        <w:t>.</w:t>
      </w:r>
      <w:r>
        <w:t>销售利润率</w:t>
        <w:tab/>
        <w:t>C</w:t>
      </w:r>
      <w:r>
        <w:rPr>
          <w:spacing w:val="31"/>
        </w:rPr>
        <w:t xml:space="preserve"> </w:t>
      </w:r>
      <w:r>
        <w:rPr>
          <w:spacing w:val="-4"/>
        </w:rPr>
        <w:t>.</w:t>
      </w:r>
      <w:r>
        <w:t>息税前利润变动率</w:t>
        <w:tab/>
        <w:t>D</w:t>
      </w:r>
      <w:r>
        <w:rPr>
          <w:spacing w:val="39"/>
        </w:rPr>
        <w:t xml:space="preserve"> </w:t>
      </w:r>
      <w:r>
        <w:rPr>
          <w:spacing w:val="-4"/>
        </w:rPr>
        <w:t>.</w:t>
      </w:r>
      <w:r>
        <w:t>销售变动</w:t>
      </w:r>
      <w:r>
        <w:rPr>
          <w:spacing w:val="-17"/>
        </w:rPr>
        <w:t>率</w:t>
      </w:r>
      <w:r>
        <w:t>13</w:t>
      </w:r>
      <w:r>
        <w:rPr>
          <w:spacing w:val="-159"/>
        </w:rPr>
        <w:t>、</w:t>
      </w:r>
      <w:r>
        <w:t>（</w:t>
        <w:tab/>
        <w:t>）是企业日常理财中所经常面临的财务风险。</w:t>
      </w:r>
    </w:p>
    <w:p>
      <w:pPr>
        <w:pStyle w:val="BodyText"/>
        <w:spacing w:before="5"/>
        <w:ind w:left="0"/>
        <w:rPr>
          <w:sz w:val="9"/>
        </w:rPr>
      </w:pPr>
    </w:p>
    <w:p>
      <w:pPr>
        <w:spacing w:before="75"/>
        <w:ind w:left="2700" w:right="0" w:firstLine="0"/>
        <w:jc w:val="left"/>
        <w:rPr>
          <w:sz w:val="18"/>
        </w:rPr>
      </w:pPr>
      <w:r>
        <w:rPr>
          <w:sz w:val="18"/>
        </w:rPr>
        <w:t>;</w:t>
      </w:r>
    </w:p>
    <w:p>
      <w:pPr>
        <w:pStyle w:val="BodyText"/>
        <w:tabs>
          <w:tab w:val="left" w:pos="2836"/>
          <w:tab w:val="left" w:pos="5674"/>
          <w:tab w:val="left" w:pos="8507"/>
        </w:tabs>
        <w:spacing w:before="41"/>
        <w:ind w:left="0" w:right="628"/>
        <w:jc w:val="center"/>
      </w:pPr>
      <w:r>
        <w:t>A</w:t>
      </w:r>
      <w:r>
        <w:rPr>
          <w:spacing w:val="24"/>
        </w:rPr>
        <w:t xml:space="preserve"> </w:t>
      </w:r>
      <w:r>
        <w:rPr>
          <w:spacing w:val="-4"/>
        </w:rPr>
        <w:t>.</w:t>
      </w:r>
      <w:r>
        <w:t>商品价格下跌</w:t>
        <w:tab/>
        <w:t>B</w:t>
      </w:r>
      <w:r>
        <w:rPr>
          <w:spacing w:val="24"/>
        </w:rPr>
        <w:t xml:space="preserve"> </w:t>
      </w:r>
      <w:r>
        <w:rPr>
          <w:spacing w:val="-7"/>
        </w:rPr>
        <w:t>.</w:t>
      </w:r>
      <w:r>
        <w:t>获利能力下降</w:t>
        <w:tab/>
        <w:t>C</w:t>
      </w:r>
      <w:r>
        <w:rPr>
          <w:spacing w:val="24"/>
        </w:rPr>
        <w:t xml:space="preserve"> </w:t>
      </w:r>
      <w:r>
        <w:rPr>
          <w:spacing w:val="-8"/>
        </w:rPr>
        <w:t>.</w:t>
      </w:r>
      <w:r>
        <w:t>短期偿债压力</w:t>
        <w:tab/>
        <w:t>D</w:t>
      </w:r>
      <w:r>
        <w:rPr>
          <w:spacing w:val="5"/>
        </w:rPr>
        <w:t xml:space="preserve"> </w:t>
      </w:r>
      <w:r>
        <w:rPr>
          <w:spacing w:val="-8"/>
        </w:rPr>
        <w:t>.</w:t>
      </w:r>
      <w:r>
        <w:t>营运能力下降</w:t>
      </w:r>
    </w:p>
    <w:p>
      <w:pPr>
        <w:pStyle w:val="BodyText"/>
        <w:tabs>
          <w:tab w:val="left" w:pos="4752"/>
          <w:tab w:val="left" w:pos="6330"/>
          <w:tab w:val="left" w:pos="7903"/>
          <w:tab w:val="left" w:pos="13416"/>
        </w:tabs>
        <w:spacing w:before="70" w:line="283" w:lineRule="auto"/>
        <w:ind w:left="3176" w:right="3965" w:hanging="476"/>
      </w:pPr>
      <w:r>
        <w:t>14、当息税前利润率小于利息率时，提高负债比率会使主权资本利润率（</w:t>
        <w:tab/>
      </w:r>
      <w:r>
        <w:rPr>
          <w:spacing w:val="-159"/>
        </w:rPr>
        <w:t>）</w:t>
      </w:r>
      <w:r>
        <w:rPr>
          <w:spacing w:val="-16"/>
        </w:rPr>
        <w:t>。</w:t>
      </w:r>
      <w:r>
        <w:t>A</w:t>
      </w:r>
      <w:r>
        <w:rPr>
          <w:spacing w:val="12"/>
        </w:rPr>
        <w:t xml:space="preserve"> </w:t>
      </w:r>
      <w:r>
        <w:rPr>
          <w:spacing w:val="-4"/>
        </w:rPr>
        <w:t>.</w:t>
      </w:r>
      <w:r>
        <w:t>提高</w:t>
        <w:tab/>
        <w:t>B</w:t>
      </w:r>
      <w:r>
        <w:rPr>
          <w:spacing w:val="12"/>
        </w:rPr>
        <w:t xml:space="preserve"> </w:t>
      </w:r>
      <w:r>
        <w:rPr>
          <w:spacing w:val="-4"/>
        </w:rPr>
        <w:t>.</w:t>
      </w:r>
      <w:r>
        <w:t>下降</w:t>
        <w:tab/>
        <w:t>C</w:t>
      </w:r>
      <w:r>
        <w:rPr>
          <w:spacing w:val="12"/>
        </w:rPr>
        <w:t xml:space="preserve"> </w:t>
      </w:r>
      <w:r>
        <w:rPr>
          <w:spacing w:val="-8"/>
        </w:rPr>
        <w:t>.</w:t>
      </w:r>
      <w:r>
        <w:t>为零</w:t>
        <w:tab/>
        <w:t>D</w:t>
      </w:r>
      <w:r>
        <w:rPr>
          <w:spacing w:val="4"/>
        </w:rPr>
        <w:t xml:space="preserve"> </w:t>
      </w:r>
      <w:r>
        <w:rPr>
          <w:spacing w:val="-7"/>
        </w:rPr>
        <w:t>.</w:t>
      </w:r>
      <w:r>
        <w:t>上述全不对</w:t>
      </w:r>
    </w:p>
    <w:p>
      <w:pPr>
        <w:pStyle w:val="BodyText"/>
        <w:tabs>
          <w:tab w:val="left" w:pos="9635"/>
        </w:tabs>
        <w:spacing w:line="396" w:lineRule="exact"/>
      </w:pPr>
      <w:r>
        <w:t>15、企业资金中资本与负债的比例关系称为（</w:t>
        <w:tab/>
      </w:r>
      <w:r>
        <w:rPr>
          <w:spacing w:val="-162"/>
        </w:rPr>
        <w:t>）</w:t>
      </w:r>
      <w:r>
        <w:t>。</w:t>
      </w:r>
    </w:p>
    <w:p>
      <w:pPr>
        <w:pStyle w:val="BodyText"/>
        <w:tabs>
          <w:tab w:val="left" w:pos="5382"/>
          <w:tab w:val="left" w:pos="7590"/>
          <w:tab w:val="left" w:pos="9796"/>
        </w:tabs>
        <w:spacing w:before="71"/>
        <w:ind w:left="3176"/>
      </w:pPr>
      <w:r>
        <w:t>A</w:t>
      </w:r>
      <w:r>
        <w:rPr>
          <w:spacing w:val="18"/>
        </w:rPr>
        <w:t xml:space="preserve"> </w:t>
      </w:r>
      <w:r>
        <w:rPr>
          <w:spacing w:val="-4"/>
        </w:rPr>
        <w:t>.</w:t>
      </w:r>
      <w:r>
        <w:t>财务结构</w:t>
        <w:tab/>
        <w:t>B</w:t>
      </w:r>
      <w:r>
        <w:rPr>
          <w:spacing w:val="18"/>
        </w:rPr>
        <w:t xml:space="preserve"> </w:t>
      </w:r>
      <w:r>
        <w:rPr>
          <w:spacing w:val="-3"/>
        </w:rPr>
        <w:t>.</w:t>
      </w:r>
      <w:r>
        <w:t>资本结构</w:t>
        <w:tab/>
        <w:t>C</w:t>
      </w:r>
      <w:r>
        <w:rPr>
          <w:spacing w:val="18"/>
        </w:rPr>
        <w:t xml:space="preserve"> </w:t>
      </w:r>
      <w:r>
        <w:rPr>
          <w:spacing w:val="-4"/>
        </w:rPr>
        <w:t>.</w:t>
      </w:r>
      <w:r>
        <w:t>成本结构</w:t>
        <w:tab/>
        <w:t>D</w:t>
      </w:r>
      <w:r>
        <w:rPr>
          <w:spacing w:val="37"/>
        </w:rPr>
        <w:t xml:space="preserve"> </w:t>
      </w:r>
      <w:r>
        <w:rPr>
          <w:spacing w:val="-7"/>
        </w:rPr>
        <w:t>.</w:t>
      </w:r>
      <w:r>
        <w:t>利润结构</w:t>
      </w:r>
    </w:p>
    <w:p>
      <w:pPr>
        <w:pStyle w:val="BodyText"/>
        <w:tabs>
          <w:tab w:val="left" w:pos="5382"/>
          <w:tab w:val="left" w:pos="7590"/>
          <w:tab w:val="left" w:pos="9796"/>
          <w:tab w:val="left" w:pos="14852"/>
        </w:tabs>
        <w:spacing w:before="71" w:line="283" w:lineRule="auto"/>
        <w:ind w:left="3176" w:right="2534" w:hanging="476"/>
      </w:pPr>
      <w:r>
        <w:t>16</w:t>
      </w:r>
      <w:r>
        <w:rPr>
          <w:spacing w:val="-116"/>
        </w:rPr>
        <w:t>、</w:t>
      </w:r>
      <w:r>
        <w:t>利用财务杠杆</w:t>
      </w:r>
      <w:r>
        <w:rPr>
          <w:spacing w:val="-126"/>
        </w:rPr>
        <w:t>，</w:t>
      </w:r>
      <w:r>
        <w:t>给企业带来破产风险或普通股收益发生大幅度变动的风险</w:t>
      </w:r>
      <w:r>
        <w:rPr>
          <w:spacing w:val="-161"/>
        </w:rPr>
        <w:t>，</w:t>
      </w:r>
      <w:r>
        <w:t>称</w:t>
      </w:r>
      <w:r>
        <w:rPr>
          <w:spacing w:val="-116"/>
        </w:rPr>
        <w:t>为</w:t>
      </w:r>
      <w:r>
        <w:t>（</w:t>
        <w:tab/>
      </w:r>
      <w:r>
        <w:rPr>
          <w:spacing w:val="-162"/>
        </w:rPr>
        <w:t>）</w:t>
      </w:r>
      <w:r>
        <w:rPr>
          <w:spacing w:val="-18"/>
        </w:rPr>
        <w:t>。</w:t>
      </w:r>
      <w:r>
        <w:t>A</w:t>
      </w:r>
      <w:r>
        <w:rPr>
          <w:spacing w:val="18"/>
        </w:rPr>
        <w:t xml:space="preserve"> </w:t>
      </w:r>
      <w:r>
        <w:rPr>
          <w:spacing w:val="-4"/>
        </w:rPr>
        <w:t>.</w:t>
      </w:r>
      <w:r>
        <w:t>经营风险</w:t>
        <w:tab/>
        <w:t>B</w:t>
      </w:r>
      <w:r>
        <w:rPr>
          <w:spacing w:val="18"/>
        </w:rPr>
        <w:t xml:space="preserve"> </w:t>
      </w:r>
      <w:r>
        <w:rPr>
          <w:spacing w:val="-3"/>
        </w:rPr>
        <w:t>.</w:t>
      </w:r>
      <w:r>
        <w:t>财务风险</w:t>
        <w:tab/>
        <w:t>C</w:t>
      </w:r>
      <w:r>
        <w:rPr>
          <w:spacing w:val="18"/>
        </w:rPr>
        <w:t xml:space="preserve"> </w:t>
      </w:r>
      <w:r>
        <w:rPr>
          <w:spacing w:val="-4"/>
        </w:rPr>
        <w:t>.</w:t>
      </w:r>
      <w:r>
        <w:t>投资风险</w:t>
        <w:tab/>
        <w:t>D</w:t>
      </w:r>
      <w:r>
        <w:rPr>
          <w:spacing w:val="4"/>
        </w:rPr>
        <w:t xml:space="preserve"> </w:t>
      </w:r>
      <w:r>
        <w:rPr>
          <w:spacing w:val="-7"/>
        </w:rPr>
        <w:t>.</w:t>
      </w:r>
      <w:r>
        <w:t>资金风险</w:t>
      </w:r>
    </w:p>
    <w:p>
      <w:pPr>
        <w:pStyle w:val="BodyText"/>
        <w:tabs>
          <w:tab w:val="left" w:pos="9005"/>
        </w:tabs>
        <w:spacing w:line="396" w:lineRule="exact"/>
      </w:pPr>
      <w:r>
        <w:t>17、不存在财务杠杆作用的筹资方式是（</w:t>
        <w:tab/>
      </w:r>
      <w:r>
        <w:rPr>
          <w:spacing w:val="-159"/>
        </w:rPr>
        <w:t>）</w:t>
      </w:r>
      <w:r>
        <w:t>。</w:t>
      </w:r>
    </w:p>
    <w:p>
      <w:pPr>
        <w:pStyle w:val="BodyText"/>
        <w:spacing w:before="1"/>
        <w:ind w:left="0"/>
        <w:rPr>
          <w:sz w:val="15"/>
        </w:rPr>
      </w:pPr>
    </w:p>
    <w:p>
      <w:pPr>
        <w:spacing w:before="75"/>
        <w:ind w:left="2700" w:right="0" w:firstLine="0"/>
        <w:jc w:val="left"/>
        <w:rPr>
          <w:sz w:val="18"/>
        </w:rPr>
      </w:pPr>
      <w:r>
        <w:rPr>
          <w:sz w:val="18"/>
        </w:rPr>
        <w:t>.</w:t>
      </w:r>
    </w:p>
    <w:p>
      <w:pPr>
        <w:pStyle w:val="BodyText"/>
        <w:tabs>
          <w:tab w:val="left" w:pos="5382"/>
          <w:tab w:val="left" w:pos="7590"/>
          <w:tab w:val="left" w:pos="10110"/>
        </w:tabs>
        <w:spacing w:before="40"/>
        <w:ind w:left="3176"/>
      </w:pPr>
      <w:r>
        <w:t>A</w:t>
      </w:r>
      <w:r>
        <w:rPr>
          <w:spacing w:val="18"/>
        </w:rPr>
        <w:t xml:space="preserve"> </w:t>
      </w:r>
      <w:r>
        <w:rPr>
          <w:spacing w:val="-4"/>
        </w:rPr>
        <w:t>.</w:t>
      </w:r>
      <w:r>
        <w:t>银行借款</w:t>
        <w:tab/>
        <w:t>B</w:t>
      </w:r>
      <w:r>
        <w:rPr>
          <w:spacing w:val="18"/>
        </w:rPr>
        <w:t xml:space="preserve"> </w:t>
      </w:r>
      <w:r>
        <w:rPr>
          <w:spacing w:val="-3"/>
        </w:rPr>
        <w:t>.</w:t>
      </w:r>
      <w:r>
        <w:t>发行债券</w:t>
        <w:tab/>
        <w:t>C</w:t>
      </w:r>
      <w:r>
        <w:rPr>
          <w:spacing w:val="21"/>
        </w:rPr>
        <w:t xml:space="preserve"> </w:t>
      </w:r>
      <w:r>
        <w:rPr>
          <w:spacing w:val="-4"/>
        </w:rPr>
        <w:t>.</w:t>
      </w:r>
      <w:r>
        <w:t>发行优先股</w:t>
        <w:tab/>
        <w:t>D</w:t>
      </w:r>
      <w:r>
        <w:rPr>
          <w:spacing w:val="4"/>
        </w:rPr>
        <w:t xml:space="preserve"> </w:t>
      </w:r>
      <w:r>
        <w:rPr>
          <w:spacing w:val="-8"/>
        </w:rPr>
        <w:t>.</w:t>
      </w:r>
      <w:r>
        <w:t>发行普通股</w:t>
      </w:r>
    </w:p>
    <w:p>
      <w:pPr>
        <w:pStyle w:val="BodyText"/>
        <w:tabs>
          <w:tab w:val="left" w:pos="8375"/>
        </w:tabs>
        <w:spacing w:before="71"/>
      </w:pPr>
      <w:r>
        <w:t>18、调整企业的资金结构，并不能（</w:t>
        <w:tab/>
      </w:r>
      <w:r>
        <w:rPr>
          <w:spacing w:val="-159"/>
        </w:rPr>
        <w:t>）</w:t>
      </w:r>
      <w:r>
        <w:t>。</w:t>
      </w:r>
    </w:p>
    <w:p>
      <w:pPr>
        <w:pStyle w:val="BodyText"/>
        <w:tabs>
          <w:tab w:val="left" w:pos="6012"/>
          <w:tab w:val="left" w:pos="8850"/>
          <w:tab w:val="left" w:pos="10423"/>
          <w:tab w:val="left" w:pos="11683"/>
        </w:tabs>
        <w:spacing w:before="71" w:line="283" w:lineRule="auto"/>
        <w:ind w:right="3171" w:firstLine="475"/>
      </w:pPr>
      <w:r>
        <w:t>A</w:t>
      </w:r>
      <w:r>
        <w:rPr>
          <w:spacing w:val="24"/>
        </w:rPr>
        <w:t xml:space="preserve"> </w:t>
      </w:r>
      <w:r>
        <w:rPr>
          <w:spacing w:val="-4"/>
        </w:rPr>
        <w:t>.</w:t>
      </w:r>
      <w:r>
        <w:t>降低财务风险</w:t>
        <w:tab/>
        <w:t>B</w:t>
      </w:r>
      <w:r>
        <w:rPr>
          <w:spacing w:val="24"/>
        </w:rPr>
        <w:t xml:space="preserve"> </w:t>
      </w:r>
      <w:r>
        <w:rPr>
          <w:spacing w:val="-7"/>
        </w:rPr>
        <w:t>.</w:t>
      </w:r>
      <w:r>
        <w:t>降低经营风险</w:t>
        <w:tab/>
        <w:t>C</w:t>
      </w:r>
      <w:r>
        <w:rPr>
          <w:spacing w:val="50"/>
        </w:rPr>
        <w:t xml:space="preserve"> </w:t>
      </w:r>
      <w:r>
        <w:rPr>
          <w:spacing w:val="-8"/>
        </w:rPr>
        <w:t>.</w:t>
      </w:r>
      <w:r>
        <w:t>降低资金成本</w:t>
        <w:tab/>
        <w:t>D</w:t>
      </w:r>
      <w:r>
        <w:rPr>
          <w:spacing w:val="58"/>
        </w:rPr>
        <w:t xml:space="preserve"> </w:t>
      </w:r>
      <w:r>
        <w:rPr>
          <w:spacing w:val="-8"/>
        </w:rPr>
        <w:t>.</w:t>
      </w:r>
      <w:r>
        <w:t>增加财务杠杆作</w:t>
      </w:r>
      <w:r>
        <w:rPr>
          <w:spacing w:val="-16"/>
        </w:rPr>
        <w:t>用</w:t>
      </w:r>
      <w:r>
        <w:rPr>
          <w:w w:val="102"/>
        </w:rPr>
        <w:t>1</w:t>
      </w:r>
      <w:r>
        <w:rPr>
          <w:spacing w:val="-1"/>
          <w:w w:val="102"/>
        </w:rPr>
        <w:t>9</w:t>
      </w:r>
      <w:r>
        <w:rPr>
          <w:w w:val="102"/>
        </w:rPr>
        <w:t>、当经营杠杆系数为</w:t>
      </w:r>
      <w:r>
        <w:rPr>
          <w:spacing w:val="-90"/>
        </w:rPr>
        <w:t xml:space="preserve"> </w:t>
      </w:r>
      <w:r>
        <w:rPr>
          <w:w w:val="102"/>
        </w:rPr>
        <w:t>1</w:t>
      </w:r>
      <w:r>
        <w:rPr>
          <w:spacing w:val="-80"/>
        </w:rPr>
        <w:t xml:space="preserve"> </w:t>
      </w:r>
      <w:r>
        <w:rPr>
          <w:w w:val="102"/>
        </w:rPr>
        <w:t>时，下列表述正确的是</w:t>
      </w:r>
      <w:r>
        <w:rPr>
          <w:spacing w:val="-176"/>
          <w:w w:val="102"/>
        </w:rPr>
        <w:t>：</w:t>
      </w:r>
      <w:r>
        <w:rPr>
          <w:w w:val="102"/>
        </w:rPr>
        <w:t>（</w:t>
      </w:r>
      <w:r>
        <w:tab/>
      </w:r>
      <w:r>
        <w:rPr>
          <w:w w:val="102"/>
        </w:rPr>
        <w:t>）为零。</w:t>
      </w:r>
    </w:p>
    <w:p>
      <w:pPr>
        <w:pStyle w:val="BodyText"/>
        <w:tabs>
          <w:tab w:val="left" w:pos="5854"/>
          <w:tab w:val="left" w:pos="8061"/>
          <w:tab w:val="left" w:pos="10265"/>
          <w:tab w:val="left" w:pos="10899"/>
        </w:tabs>
        <w:spacing w:line="283" w:lineRule="auto"/>
        <w:ind w:right="4589" w:firstLine="475"/>
      </w:pPr>
      <w:r>
        <w:t>A</w:t>
      </w:r>
      <w:r>
        <w:rPr>
          <w:spacing w:val="24"/>
        </w:rPr>
        <w:t xml:space="preserve"> </w:t>
      </w:r>
      <w:r>
        <w:rPr>
          <w:spacing w:val="-4"/>
        </w:rPr>
        <w:t>.</w:t>
      </w:r>
      <w:r>
        <w:t>产销量增长率</w:t>
        <w:tab/>
        <w:t>B</w:t>
      </w:r>
      <w:r>
        <w:rPr>
          <w:spacing w:val="18"/>
        </w:rPr>
        <w:t xml:space="preserve"> </w:t>
      </w:r>
      <w:r>
        <w:rPr>
          <w:spacing w:val="-7"/>
        </w:rPr>
        <w:t>.</w:t>
      </w:r>
      <w:r>
        <w:t>边际贡献</w:t>
        <w:tab/>
        <w:t>C</w:t>
      </w:r>
      <w:r>
        <w:rPr>
          <w:spacing w:val="18"/>
        </w:rPr>
        <w:t xml:space="preserve"> </w:t>
      </w:r>
      <w:r>
        <w:rPr>
          <w:spacing w:val="-8"/>
        </w:rPr>
        <w:t>.</w:t>
      </w:r>
      <w:r>
        <w:t>固定成本</w:t>
        <w:tab/>
        <w:t>D</w:t>
      </w:r>
      <w:r>
        <w:rPr>
          <w:spacing w:val="57"/>
        </w:rPr>
        <w:t xml:space="preserve"> </w:t>
      </w:r>
      <w:r>
        <w:rPr>
          <w:spacing w:val="-8"/>
        </w:rPr>
        <w:t>.</w:t>
      </w:r>
      <w:r>
        <w:t>利息与优先股股</w:t>
      </w:r>
      <w:r>
        <w:rPr>
          <w:spacing w:val="-16"/>
        </w:rPr>
        <w:t>利</w:t>
      </w:r>
      <w:r>
        <w:t>20、可以作为比较各种筹资方式优劣的尺度的成本是（</w:t>
        <w:tab/>
        <w:tab/>
      </w:r>
      <w:r>
        <w:rPr>
          <w:spacing w:val="-162"/>
        </w:rPr>
        <w:t>）</w:t>
      </w:r>
      <w:r>
        <w:t>。</w:t>
      </w:r>
    </w:p>
    <w:p>
      <w:pPr>
        <w:pStyle w:val="BodyText"/>
        <w:tabs>
          <w:tab w:val="left" w:pos="6012"/>
          <w:tab w:val="left" w:pos="8850"/>
          <w:tab w:val="left" w:pos="11683"/>
        </w:tabs>
        <w:spacing w:line="283" w:lineRule="auto"/>
        <w:ind w:right="4121" w:firstLine="475"/>
        <w:rPr>
          <w:b/>
        </w:rPr>
      </w:pPr>
      <w:r>
        <w:t>A</w:t>
      </w:r>
      <w:r>
        <w:rPr>
          <w:spacing w:val="24"/>
        </w:rPr>
        <w:t xml:space="preserve"> </w:t>
      </w:r>
      <w:r>
        <w:rPr>
          <w:spacing w:val="-4"/>
        </w:rPr>
        <w:t>.</w:t>
      </w:r>
      <w:r>
        <w:t>个别资本成本</w:t>
        <w:tab/>
        <w:t>B</w:t>
      </w:r>
      <w:r>
        <w:rPr>
          <w:spacing w:val="24"/>
        </w:rPr>
        <w:t xml:space="preserve"> </w:t>
      </w:r>
      <w:r>
        <w:rPr>
          <w:spacing w:val="-7"/>
        </w:rPr>
        <w:t>.</w:t>
      </w:r>
      <w:r>
        <w:t>边际资本成本</w:t>
        <w:tab/>
        <w:t>C</w:t>
      </w:r>
      <w:r>
        <w:rPr>
          <w:spacing w:val="24"/>
        </w:rPr>
        <w:t xml:space="preserve"> </w:t>
      </w:r>
      <w:r>
        <w:rPr>
          <w:spacing w:val="-8"/>
        </w:rPr>
        <w:t>.</w:t>
      </w:r>
      <w:r>
        <w:t>综合资本成本</w:t>
        <w:tab/>
        <w:t>D</w:t>
      </w:r>
      <w:r>
        <w:rPr>
          <w:spacing w:val="40"/>
        </w:rPr>
        <w:t xml:space="preserve"> </w:t>
      </w:r>
      <w:r>
        <w:rPr>
          <w:spacing w:val="-8"/>
        </w:rPr>
        <w:t>.</w:t>
      </w:r>
      <w:r>
        <w:t>资本总成</w:t>
      </w:r>
      <w:r>
        <w:rPr>
          <w:spacing w:val="-16"/>
        </w:rPr>
        <w:t>本</w:t>
      </w:r>
      <w:r>
        <w:rPr>
          <w:b/>
        </w:rPr>
        <w:t>二、多选题</w:t>
      </w:r>
    </w:p>
    <w:p>
      <w:pPr>
        <w:spacing w:before="194"/>
        <w:ind w:left="2700" w:right="0" w:firstLine="0"/>
        <w:jc w:val="left"/>
        <w:rPr>
          <w:sz w:val="18"/>
        </w:rPr>
      </w:pPr>
      <w:r>
        <w:rPr>
          <w:sz w:val="18"/>
        </w:rPr>
        <w:t>`</w:t>
      </w:r>
    </w:p>
    <w:p>
      <w:pPr>
        <w:pStyle w:val="BodyText"/>
        <w:tabs>
          <w:tab w:val="left" w:pos="4748"/>
        </w:tabs>
        <w:spacing w:before="40"/>
      </w:pPr>
      <w:r>
        <w:t>1、下列（</w:t>
        <w:tab/>
        <w:t>）说法是正确的。</w:t>
      </w:r>
    </w:p>
    <w:p>
      <w:pPr>
        <w:pStyle w:val="BodyText"/>
        <w:spacing w:before="71" w:line="283" w:lineRule="auto"/>
        <w:ind w:left="3176" w:right="8996"/>
      </w:pPr>
      <w:r>
        <w:t>A .企业的总价值V0 与预期的报酬成正比B .企业的总价值V0 与预期的风险成反比</w:t>
      </w:r>
    </w:p>
    <w:p>
      <w:pPr>
        <w:pStyle w:val="ListParagraph"/>
        <w:numPr>
          <w:ilvl w:val="0"/>
          <w:numId w:val="84"/>
        </w:numPr>
        <w:tabs>
          <w:tab w:val="left" w:pos="3493"/>
        </w:tabs>
        <w:spacing w:before="0" w:after="0" w:line="396" w:lineRule="exact"/>
        <w:ind w:left="3492" w:right="0" w:hanging="317"/>
        <w:jc w:val="left"/>
        <w:rPr>
          <w:sz w:val="31"/>
        </w:rPr>
      </w:pPr>
      <w:r>
        <w:rPr>
          <w:spacing w:val="-2"/>
          <w:sz w:val="31"/>
        </w:rPr>
        <w:t>.在风险不变时，报酬越高，企业总价值越大</w:t>
      </w:r>
    </w:p>
    <w:p>
      <w:pPr>
        <w:spacing w:after="0" w:line="396" w:lineRule="exact"/>
        <w:jc w:val="left"/>
        <w:rPr>
          <w:sz w:val="31"/>
        </w:rPr>
        <w:sectPr>
          <w:headerReference w:type="default" r:id="rId39"/>
          <w:pgSz w:w="17860" w:h="25260"/>
          <w:pgMar w:top="1360" w:right="0" w:bottom="280" w:left="0" w:header="1160" w:footer="0"/>
          <w:pgNumType w:start="18"/>
          <w:cols w:space="708"/>
        </w:sectPr>
      </w:pPr>
    </w:p>
    <w:p>
      <w:pPr>
        <w:pStyle w:val="BodyText"/>
        <w:ind w:left="0"/>
        <w:rPr>
          <w:sz w:val="20"/>
        </w:rPr>
      </w:pPr>
    </w:p>
    <w:p>
      <w:pPr>
        <w:pStyle w:val="BodyText"/>
        <w:spacing w:before="5"/>
        <w:ind w:left="0"/>
        <w:rPr>
          <w:sz w:val="19"/>
        </w:rPr>
      </w:pPr>
    </w:p>
    <w:p>
      <w:pPr>
        <w:pStyle w:val="ListParagraph"/>
        <w:numPr>
          <w:ilvl w:val="0"/>
          <w:numId w:val="84"/>
        </w:numPr>
        <w:tabs>
          <w:tab w:val="left" w:pos="3493"/>
        </w:tabs>
        <w:spacing w:before="62" w:after="0" w:line="240" w:lineRule="auto"/>
        <w:ind w:left="3492" w:right="0" w:hanging="317"/>
        <w:jc w:val="left"/>
        <w:rPr>
          <w:sz w:val="31"/>
        </w:rPr>
      </w:pPr>
      <w:r>
        <w:rPr>
          <w:spacing w:val="-2"/>
          <w:sz w:val="31"/>
        </w:rPr>
        <w:t>.在报酬不变时，风险越高，企业总价值越大</w:t>
      </w:r>
    </w:p>
    <w:p>
      <w:pPr>
        <w:pStyle w:val="ListParagraph"/>
        <w:numPr>
          <w:ilvl w:val="0"/>
          <w:numId w:val="84"/>
        </w:numPr>
        <w:tabs>
          <w:tab w:val="left" w:pos="3493"/>
          <w:tab w:val="left" w:pos="7899"/>
        </w:tabs>
        <w:spacing w:before="71" w:after="0" w:line="283" w:lineRule="auto"/>
        <w:ind w:left="2700" w:right="6608" w:firstLine="475"/>
        <w:jc w:val="left"/>
        <w:rPr>
          <w:sz w:val="31"/>
        </w:rPr>
      </w:pPr>
      <w:r>
        <w:rPr>
          <w:spacing w:val="-4"/>
          <w:sz w:val="31"/>
        </w:rPr>
        <w:t>.</w:t>
      </w:r>
      <w:r>
        <w:rPr>
          <w:sz w:val="31"/>
        </w:rPr>
        <w:t>在风险和报酬达到最佳平衡时，企业的总价值达到最</w:t>
      </w:r>
      <w:r>
        <w:rPr>
          <w:spacing w:val="-18"/>
          <w:sz w:val="31"/>
        </w:rPr>
        <w:t xml:space="preserve">大 </w:t>
      </w:r>
      <w:r>
        <w:rPr>
          <w:sz w:val="31"/>
        </w:rPr>
        <w:t>2、影响营业风险的主要因素有（</w:t>
        <w:tab/>
      </w:r>
      <w:r>
        <w:rPr>
          <w:spacing w:val="-159"/>
          <w:sz w:val="31"/>
        </w:rPr>
        <w:t>）</w:t>
      </w:r>
      <w:r>
        <w:rPr>
          <w:sz w:val="31"/>
        </w:rPr>
        <w:t>。</w:t>
      </w:r>
    </w:p>
    <w:p>
      <w:pPr>
        <w:pStyle w:val="BodyText"/>
        <w:tabs>
          <w:tab w:val="left" w:pos="6330"/>
        </w:tabs>
        <w:spacing w:line="396" w:lineRule="exact"/>
        <w:ind w:left="3176"/>
      </w:pPr>
      <w:r>
        <w:t>A</w:t>
      </w:r>
      <w:r>
        <w:rPr>
          <w:spacing w:val="27"/>
        </w:rPr>
        <w:t xml:space="preserve"> </w:t>
      </w:r>
      <w:r>
        <w:rPr>
          <w:spacing w:val="-4"/>
        </w:rPr>
        <w:t>.</w:t>
      </w:r>
      <w:r>
        <w:t>产品需求的变动</w:t>
        <w:tab/>
        <w:t>B</w:t>
      </w:r>
      <w:r>
        <w:rPr>
          <w:spacing w:val="4"/>
        </w:rPr>
        <w:t xml:space="preserve"> </w:t>
      </w:r>
      <w:r>
        <w:rPr>
          <w:spacing w:val="-8"/>
        </w:rPr>
        <w:t>.</w:t>
      </w:r>
      <w:r>
        <w:t>产品售价的变动</w:t>
      </w:r>
    </w:p>
    <w:p>
      <w:pPr>
        <w:pStyle w:val="BodyText"/>
        <w:spacing w:before="1"/>
        <w:ind w:left="0"/>
        <w:rPr>
          <w:sz w:val="15"/>
        </w:rPr>
      </w:pPr>
    </w:p>
    <w:p>
      <w:pPr>
        <w:spacing w:before="75"/>
        <w:ind w:left="2700" w:right="0" w:firstLine="0"/>
        <w:jc w:val="left"/>
        <w:rPr>
          <w:sz w:val="18"/>
        </w:rPr>
      </w:pPr>
      <w:r>
        <w:rPr>
          <w:sz w:val="18"/>
        </w:rPr>
        <w:t>^</w:t>
      </w:r>
    </w:p>
    <w:p>
      <w:pPr>
        <w:pStyle w:val="BodyText"/>
        <w:tabs>
          <w:tab w:val="left" w:pos="5382"/>
          <w:tab w:val="left" w:pos="8536"/>
        </w:tabs>
        <w:spacing w:before="40"/>
        <w:ind w:left="3176"/>
      </w:pPr>
      <w:r>
        <w:t>C</w:t>
      </w:r>
      <w:r>
        <w:rPr>
          <w:spacing w:val="18"/>
        </w:rPr>
        <w:t xml:space="preserve"> </w:t>
      </w:r>
      <w:r>
        <w:rPr>
          <w:spacing w:val="-4"/>
        </w:rPr>
        <w:t>.</w:t>
      </w:r>
      <w:r>
        <w:t>营业杠杆</w:t>
        <w:tab/>
        <w:t>D</w:t>
      </w:r>
      <w:r>
        <w:rPr>
          <w:spacing w:val="27"/>
        </w:rPr>
        <w:t xml:space="preserve"> </w:t>
      </w:r>
      <w:r>
        <w:rPr>
          <w:spacing w:val="-3"/>
        </w:rPr>
        <w:t>.</w:t>
      </w:r>
      <w:r>
        <w:t>利率水平的变动</w:t>
        <w:tab/>
        <w:t>E</w:t>
      </w:r>
      <w:r>
        <w:rPr>
          <w:spacing w:val="5"/>
        </w:rPr>
        <w:t xml:space="preserve"> </w:t>
      </w:r>
      <w:r>
        <w:rPr>
          <w:spacing w:val="-7"/>
        </w:rPr>
        <w:t>.</w:t>
      </w:r>
      <w:r>
        <w:t>单位产品变动成本的变化</w:t>
      </w:r>
    </w:p>
    <w:p>
      <w:pPr>
        <w:pStyle w:val="BodyText"/>
        <w:tabs>
          <w:tab w:val="left" w:pos="5382"/>
          <w:tab w:val="left" w:pos="11053"/>
        </w:tabs>
        <w:spacing w:before="71" w:line="283" w:lineRule="auto"/>
        <w:ind w:left="3176" w:right="6333" w:hanging="476"/>
      </w:pPr>
      <w:r>
        <w:t>3、企业在制定资本结构决策时对债务筹资的利用称为（</w:t>
        <w:tab/>
      </w:r>
      <w:r>
        <w:rPr>
          <w:spacing w:val="-162"/>
        </w:rPr>
        <w:t>）</w:t>
      </w:r>
      <w:r>
        <w:rPr>
          <w:spacing w:val="-18"/>
        </w:rPr>
        <w:t>。</w:t>
      </w:r>
      <w:r>
        <w:t>A</w:t>
      </w:r>
      <w:r>
        <w:rPr>
          <w:spacing w:val="18"/>
        </w:rPr>
        <w:t xml:space="preserve"> </w:t>
      </w:r>
      <w:r>
        <w:rPr>
          <w:spacing w:val="-4"/>
        </w:rPr>
        <w:t>.</w:t>
      </w:r>
      <w:r>
        <w:t>营业杠杆</w:t>
        <w:tab/>
        <w:t>B</w:t>
      </w:r>
      <w:r>
        <w:rPr>
          <w:spacing w:val="4"/>
        </w:rPr>
        <w:t xml:space="preserve"> </w:t>
      </w:r>
      <w:r>
        <w:rPr>
          <w:spacing w:val="-3"/>
        </w:rPr>
        <w:t>.</w:t>
      </w:r>
      <w:r>
        <w:t>财务杠杆</w:t>
      </w:r>
    </w:p>
    <w:p>
      <w:pPr>
        <w:pStyle w:val="BodyText"/>
        <w:tabs>
          <w:tab w:val="left" w:pos="3964"/>
          <w:tab w:val="left" w:pos="5069"/>
          <w:tab w:val="left" w:pos="7276"/>
        </w:tabs>
        <w:spacing w:line="283" w:lineRule="auto"/>
        <w:ind w:right="8845" w:firstLine="475"/>
      </w:pPr>
      <w:r>
        <w:t>C</w:t>
      </w:r>
      <w:r>
        <w:rPr>
          <w:spacing w:val="30"/>
        </w:rPr>
        <w:t xml:space="preserve"> </w:t>
      </w:r>
      <w:r>
        <w:rPr>
          <w:spacing w:val="-4"/>
        </w:rPr>
        <w:t>.</w:t>
      </w:r>
      <w:r>
        <w:t>总杠杆</w:t>
        <w:tab/>
        <w:t>D</w:t>
      </w:r>
      <w:r>
        <w:rPr>
          <w:spacing w:val="18"/>
        </w:rPr>
        <w:t xml:space="preserve"> </w:t>
      </w:r>
      <w:r>
        <w:rPr>
          <w:spacing w:val="-8"/>
        </w:rPr>
        <w:t>.</w:t>
      </w:r>
      <w:r>
        <w:t>融资杠杆</w:t>
        <w:tab/>
        <w:t>E</w:t>
      </w:r>
      <w:r>
        <w:rPr>
          <w:spacing w:val="33"/>
        </w:rPr>
        <w:t xml:space="preserve"> </w:t>
      </w:r>
      <w:r>
        <w:rPr>
          <w:spacing w:val="-7"/>
        </w:rPr>
        <w:t>.</w:t>
      </w:r>
      <w:r>
        <w:t>联合杠</w:t>
      </w:r>
      <w:r>
        <w:rPr>
          <w:spacing w:val="-17"/>
        </w:rPr>
        <w:t>杆</w:t>
      </w:r>
      <w:r>
        <w:t>4</w:t>
      </w:r>
      <w:r>
        <w:rPr>
          <w:spacing w:val="-159"/>
        </w:rPr>
        <w:t>、</w:t>
      </w:r>
      <w:r>
        <w:t>（</w:t>
        <w:tab/>
        <w:t>）情况下财务杠杆效益为零。</w:t>
      </w:r>
    </w:p>
    <w:p>
      <w:pPr>
        <w:pStyle w:val="ListParagraph"/>
        <w:numPr>
          <w:ilvl w:val="0"/>
          <w:numId w:val="83"/>
        </w:numPr>
        <w:tabs>
          <w:tab w:val="left" w:pos="3493"/>
        </w:tabs>
        <w:spacing w:before="0" w:after="0" w:line="396" w:lineRule="exact"/>
        <w:ind w:left="3492" w:right="0" w:hanging="317"/>
        <w:jc w:val="left"/>
        <w:rPr>
          <w:sz w:val="31"/>
        </w:rPr>
      </w:pPr>
      <w:r>
        <w:rPr>
          <w:spacing w:val="-2"/>
          <w:sz w:val="31"/>
        </w:rPr>
        <w:t>.负债为零</w:t>
      </w:r>
    </w:p>
    <w:p>
      <w:pPr>
        <w:pStyle w:val="ListParagraph"/>
        <w:numPr>
          <w:ilvl w:val="0"/>
          <w:numId w:val="83"/>
        </w:numPr>
        <w:tabs>
          <w:tab w:val="left" w:pos="3493"/>
        </w:tabs>
        <w:spacing w:before="70" w:after="0" w:line="240" w:lineRule="auto"/>
        <w:ind w:left="3492" w:right="0" w:hanging="317"/>
        <w:jc w:val="left"/>
        <w:rPr>
          <w:sz w:val="31"/>
        </w:rPr>
      </w:pPr>
      <w:r>
        <w:rPr>
          <w:spacing w:val="-2"/>
          <w:sz w:val="31"/>
        </w:rPr>
        <w:t>.负债不为零，资产利润率等于负债利率</w:t>
      </w:r>
    </w:p>
    <w:p>
      <w:pPr>
        <w:pStyle w:val="ListParagraph"/>
        <w:numPr>
          <w:ilvl w:val="0"/>
          <w:numId w:val="83"/>
        </w:numPr>
        <w:tabs>
          <w:tab w:val="left" w:pos="3493"/>
        </w:tabs>
        <w:spacing w:before="72" w:after="0" w:line="240" w:lineRule="auto"/>
        <w:ind w:left="3492" w:right="0" w:hanging="317"/>
        <w:jc w:val="left"/>
        <w:rPr>
          <w:sz w:val="31"/>
        </w:rPr>
      </w:pPr>
      <w:r>
        <w:rPr>
          <w:spacing w:val="-2"/>
          <w:sz w:val="31"/>
        </w:rPr>
        <w:t>.负债等于主权资本，资产利润率等于负债利率</w:t>
      </w:r>
    </w:p>
    <w:p>
      <w:pPr>
        <w:pStyle w:val="BodyText"/>
        <w:ind w:left="0"/>
        <w:rPr>
          <w:sz w:val="15"/>
        </w:rPr>
      </w:pPr>
    </w:p>
    <w:p>
      <w:pPr>
        <w:spacing w:before="75"/>
        <w:ind w:left="2700" w:right="0" w:firstLine="0"/>
        <w:jc w:val="left"/>
        <w:rPr>
          <w:sz w:val="18"/>
        </w:rPr>
      </w:pPr>
      <w:r>
        <w:rPr>
          <w:sz w:val="18"/>
        </w:rPr>
        <w:t>"</w:t>
      </w:r>
    </w:p>
    <w:p>
      <w:pPr>
        <w:pStyle w:val="ListParagraph"/>
        <w:numPr>
          <w:ilvl w:val="0"/>
          <w:numId w:val="83"/>
        </w:numPr>
        <w:tabs>
          <w:tab w:val="left" w:pos="3493"/>
        </w:tabs>
        <w:spacing w:before="41" w:after="0" w:line="283" w:lineRule="auto"/>
        <w:ind w:left="3176" w:right="8824" w:firstLine="0"/>
        <w:jc w:val="left"/>
        <w:rPr>
          <w:sz w:val="31"/>
        </w:rPr>
      </w:pPr>
      <w:r>
        <w:rPr>
          <w:spacing w:val="-3"/>
          <w:sz w:val="31"/>
        </w:rPr>
        <w:t>.负债不为零，资产利润率大于负债利率</w:t>
      </w:r>
      <w:r>
        <w:rPr>
          <w:sz w:val="31"/>
        </w:rPr>
        <w:t>E</w:t>
      </w:r>
      <w:r>
        <w:rPr>
          <w:spacing w:val="-1"/>
          <w:sz w:val="31"/>
        </w:rPr>
        <w:t xml:space="preserve"> .负债不为零，资产利润率小于负债利率</w:t>
      </w:r>
    </w:p>
    <w:p>
      <w:pPr>
        <w:pStyle w:val="BodyText"/>
        <w:tabs>
          <w:tab w:val="left" w:pos="4748"/>
        </w:tabs>
        <w:spacing w:line="396" w:lineRule="exact"/>
      </w:pPr>
      <w:r>
        <w:t>5、下列（</w:t>
        <w:tab/>
        <w:t>）说法是正确的。</w:t>
      </w:r>
    </w:p>
    <w:p>
      <w:pPr>
        <w:pStyle w:val="BodyText"/>
        <w:spacing w:before="71" w:line="283" w:lineRule="auto"/>
        <w:ind w:left="3176" w:right="8996"/>
      </w:pPr>
      <w:r>
        <w:t>A .企业的总价值V0 与预期的报酬成正比B .企业的总价值V0 与预期的风险成反比</w:t>
      </w:r>
    </w:p>
    <w:p>
      <w:pPr>
        <w:pStyle w:val="BodyText"/>
        <w:spacing w:line="283" w:lineRule="auto"/>
        <w:ind w:left="3176" w:right="8143"/>
      </w:pPr>
      <w:r>
        <w:t>C .在风险不变时，报酬越高，企业总价值越大D .在报酬不变时，风险越高，企业总价值越大</w:t>
      </w:r>
    </w:p>
    <w:p>
      <w:pPr>
        <w:pStyle w:val="BodyText"/>
        <w:spacing w:line="396" w:lineRule="exact"/>
        <w:ind w:left="3176"/>
      </w:pPr>
      <w:r>
        <w:t>E .在风险和报酬达到最佳平衡时，企业的总价值达到最大</w:t>
      </w:r>
    </w:p>
    <w:p>
      <w:pPr>
        <w:spacing w:before="266"/>
        <w:ind w:left="2700" w:right="0" w:firstLine="0"/>
        <w:jc w:val="left"/>
        <w:rPr>
          <w:sz w:val="18"/>
        </w:rPr>
      </w:pPr>
      <w:r>
        <w:rPr>
          <w:sz w:val="18"/>
        </w:rPr>
        <w:t>￥</w:t>
      </w:r>
    </w:p>
    <w:p>
      <w:pPr>
        <w:pStyle w:val="BodyText"/>
        <w:tabs>
          <w:tab w:val="left" w:pos="4594"/>
        </w:tabs>
        <w:spacing w:before="40" w:line="283" w:lineRule="auto"/>
        <w:ind w:right="2643"/>
      </w:pPr>
      <w:r>
        <w:t>6、当企业在进行资本结构比较、筹资方式比较和追加筹资方案比较的决策时，应该依据</w:t>
      </w:r>
      <w:r>
        <w:rPr>
          <w:spacing w:val="-18"/>
        </w:rPr>
        <w:t>的</w:t>
      </w:r>
      <w:r>
        <w:t>成本有（</w:t>
        <w:tab/>
      </w:r>
      <w:r>
        <w:rPr>
          <w:spacing w:val="-162"/>
        </w:rPr>
        <w:t>）</w:t>
      </w:r>
      <w:r>
        <w:t>。</w:t>
      </w:r>
    </w:p>
    <w:p>
      <w:pPr>
        <w:pStyle w:val="BodyText"/>
        <w:tabs>
          <w:tab w:val="left" w:pos="5382"/>
          <w:tab w:val="left" w:pos="6012"/>
          <w:tab w:val="left" w:pos="7590"/>
        </w:tabs>
        <w:spacing w:line="283" w:lineRule="auto"/>
        <w:ind w:left="3176" w:right="7896"/>
      </w:pPr>
      <w:r>
        <w:t>A</w:t>
      </w:r>
      <w:r>
        <w:rPr>
          <w:spacing w:val="18"/>
        </w:rPr>
        <w:t xml:space="preserve"> </w:t>
      </w:r>
      <w:r>
        <w:rPr>
          <w:spacing w:val="-4"/>
        </w:rPr>
        <w:t>.</w:t>
      </w:r>
      <w:r>
        <w:t>债务成本</w:t>
        <w:tab/>
        <w:t>B</w:t>
      </w:r>
      <w:r>
        <w:rPr>
          <w:spacing w:val="37"/>
        </w:rPr>
        <w:t xml:space="preserve"> </w:t>
      </w:r>
      <w:r>
        <w:rPr>
          <w:spacing w:val="-3"/>
        </w:rPr>
        <w:t>.</w:t>
      </w:r>
      <w:r>
        <w:t>权益成本</w:t>
        <w:tab/>
        <w:t>C</w:t>
      </w:r>
      <w:r>
        <w:rPr>
          <w:spacing w:val="46"/>
        </w:rPr>
        <w:t xml:space="preserve"> </w:t>
      </w:r>
      <w:r>
        <w:rPr>
          <w:spacing w:val="-4"/>
        </w:rPr>
        <w:t>.</w:t>
      </w:r>
      <w:r>
        <w:t>个别资本成</w:t>
      </w:r>
      <w:r>
        <w:rPr>
          <w:spacing w:val="-19"/>
        </w:rPr>
        <w:t>本</w:t>
      </w:r>
      <w:r>
        <w:t>D</w:t>
      </w:r>
      <w:r>
        <w:rPr>
          <w:spacing w:val="50"/>
        </w:rPr>
        <w:t xml:space="preserve"> </w:t>
      </w:r>
      <w:r>
        <w:rPr>
          <w:spacing w:val="-4"/>
        </w:rPr>
        <w:t>.</w:t>
      </w:r>
      <w:r>
        <w:t>综合资本成本</w:t>
        <w:tab/>
        <w:t>E</w:t>
      </w:r>
      <w:r>
        <w:rPr>
          <w:spacing w:val="7"/>
        </w:rPr>
        <w:t xml:space="preserve"> </w:t>
      </w:r>
      <w:r>
        <w:rPr>
          <w:spacing w:val="-7"/>
        </w:rPr>
        <w:t>.</w:t>
      </w:r>
      <w:r>
        <w:t>边际资本成本</w:t>
      </w:r>
    </w:p>
    <w:p>
      <w:pPr>
        <w:pStyle w:val="BodyText"/>
        <w:tabs>
          <w:tab w:val="left" w:pos="5699"/>
          <w:tab w:val="left" w:pos="7276"/>
          <w:tab w:val="left" w:pos="14521"/>
        </w:tabs>
        <w:spacing w:line="283" w:lineRule="auto"/>
        <w:ind w:left="3176" w:right="2864" w:hanging="476"/>
      </w:pPr>
      <w:r>
        <w:t>7、资金成本由筹资费用和用资费用两部分构成，下列各项中属于用资费用的是（</w:t>
        <w:tab/>
      </w:r>
      <w:r>
        <w:rPr>
          <w:spacing w:val="-162"/>
        </w:rPr>
        <w:t>）</w:t>
      </w:r>
      <w:r>
        <w:rPr>
          <w:spacing w:val="-17"/>
        </w:rPr>
        <w:t>。</w:t>
      </w:r>
      <w:r>
        <w:t>A</w:t>
      </w:r>
      <w:r>
        <w:rPr>
          <w:spacing w:val="21"/>
        </w:rPr>
        <w:t xml:space="preserve"> </w:t>
      </w:r>
      <w:r>
        <w:rPr>
          <w:spacing w:val="-4"/>
        </w:rPr>
        <w:t>.</w:t>
      </w:r>
      <w:r>
        <w:t>借款手续费</w:t>
        <w:tab/>
        <w:t>B</w:t>
      </w:r>
      <w:r>
        <w:rPr>
          <w:spacing w:val="12"/>
        </w:rPr>
        <w:t xml:space="preserve"> </w:t>
      </w:r>
      <w:r>
        <w:rPr>
          <w:spacing w:val="-7"/>
        </w:rPr>
        <w:t>.</w:t>
      </w:r>
      <w:r>
        <w:t>股利</w:t>
        <w:tab/>
        <w:t>C</w:t>
      </w:r>
      <w:r>
        <w:rPr>
          <w:spacing w:val="3"/>
        </w:rPr>
        <w:t xml:space="preserve"> </w:t>
      </w:r>
      <w:r>
        <w:rPr>
          <w:spacing w:val="-7"/>
        </w:rPr>
        <w:t>.</w:t>
      </w:r>
      <w:r>
        <w:t>利息</w:t>
      </w:r>
    </w:p>
    <w:p>
      <w:pPr>
        <w:pStyle w:val="BodyText"/>
        <w:tabs>
          <w:tab w:val="left" w:pos="5699"/>
        </w:tabs>
        <w:spacing w:line="396" w:lineRule="exact"/>
        <w:ind w:left="3176"/>
      </w:pPr>
      <w:r>
        <w:t>D</w:t>
      </w:r>
      <w:r>
        <w:rPr>
          <w:spacing w:val="21"/>
        </w:rPr>
        <w:t xml:space="preserve"> </w:t>
      </w:r>
      <w:r>
        <w:rPr>
          <w:spacing w:val="-4"/>
        </w:rPr>
        <w:t>.</w:t>
      </w:r>
      <w:r>
        <w:t>债券发行费</w:t>
        <w:tab/>
        <w:t>E</w:t>
      </w:r>
      <w:r>
        <w:rPr>
          <w:spacing w:val="3"/>
        </w:rPr>
        <w:t xml:space="preserve"> </w:t>
      </w:r>
      <w:r>
        <w:rPr>
          <w:spacing w:val="-7"/>
        </w:rPr>
        <w:t>.</w:t>
      </w:r>
      <w:r>
        <w:t>佣金</w:t>
      </w:r>
    </w:p>
    <w:p>
      <w:pPr>
        <w:pStyle w:val="BodyText"/>
        <w:tabs>
          <w:tab w:val="left" w:pos="5382"/>
          <w:tab w:val="left" w:pos="7590"/>
          <w:tab w:val="left" w:pos="9790"/>
        </w:tabs>
        <w:spacing w:before="69" w:line="283" w:lineRule="auto"/>
        <w:ind w:left="3176" w:right="7595" w:hanging="476"/>
      </w:pPr>
      <w:r>
        <w:t>8、综合资本成本的权数，可有三种选择，即（</w:t>
        <w:tab/>
      </w:r>
      <w:r>
        <w:rPr>
          <w:spacing w:val="-162"/>
        </w:rPr>
        <w:t>）</w:t>
      </w:r>
      <w:r>
        <w:rPr>
          <w:spacing w:val="-17"/>
        </w:rPr>
        <w:t>。</w:t>
      </w:r>
      <w:r>
        <w:t>A</w:t>
      </w:r>
      <w:r>
        <w:rPr>
          <w:spacing w:val="18"/>
        </w:rPr>
        <w:t xml:space="preserve"> </w:t>
      </w:r>
      <w:r>
        <w:rPr>
          <w:spacing w:val="-4"/>
        </w:rPr>
        <w:t>.</w:t>
      </w:r>
      <w:r>
        <w:t>票面价值</w:t>
        <w:tab/>
        <w:t>B</w:t>
      </w:r>
      <w:r>
        <w:rPr>
          <w:spacing w:val="18"/>
        </w:rPr>
        <w:t xml:space="preserve"> </w:t>
      </w:r>
      <w:r>
        <w:rPr>
          <w:spacing w:val="-3"/>
        </w:rPr>
        <w:t>.</w:t>
      </w:r>
      <w:r>
        <w:t>账面价值</w:t>
        <w:tab/>
        <w:t>C</w:t>
      </w:r>
      <w:r>
        <w:rPr>
          <w:spacing w:val="8"/>
        </w:rPr>
        <w:t xml:space="preserve"> </w:t>
      </w:r>
      <w:r>
        <w:rPr>
          <w:spacing w:val="-4"/>
        </w:rPr>
        <w:t>.</w:t>
      </w:r>
      <w:r>
        <w:t>市场价值</w:t>
      </w:r>
    </w:p>
    <w:p>
      <w:pPr>
        <w:pStyle w:val="BodyText"/>
        <w:spacing w:before="5"/>
        <w:ind w:left="0"/>
        <w:rPr>
          <w:sz w:val="9"/>
        </w:rPr>
      </w:pPr>
    </w:p>
    <w:p>
      <w:pPr>
        <w:spacing w:before="75"/>
        <w:ind w:left="2700" w:right="0" w:firstLine="0"/>
        <w:jc w:val="left"/>
        <w:rPr>
          <w:sz w:val="18"/>
        </w:rPr>
      </w:pPr>
      <w:r>
        <w:rPr>
          <w:sz w:val="18"/>
        </w:rPr>
        <w:t>&amp;</w:t>
      </w:r>
    </w:p>
    <w:p>
      <w:pPr>
        <w:pStyle w:val="BodyText"/>
        <w:tabs>
          <w:tab w:val="left" w:pos="5382"/>
        </w:tabs>
        <w:spacing w:before="41"/>
        <w:ind w:left="3176"/>
      </w:pPr>
      <w:r>
        <w:t>D</w:t>
      </w:r>
      <w:r>
        <w:rPr>
          <w:spacing w:val="18"/>
        </w:rPr>
        <w:t xml:space="preserve"> </w:t>
      </w:r>
      <w:r>
        <w:rPr>
          <w:spacing w:val="-4"/>
        </w:rPr>
        <w:t>.</w:t>
      </w:r>
      <w:r>
        <w:t>目标价值</w:t>
        <w:tab/>
        <w:t>E</w:t>
      </w:r>
      <w:r>
        <w:rPr>
          <w:spacing w:val="3"/>
        </w:rPr>
        <w:t xml:space="preserve"> </w:t>
      </w:r>
      <w:r>
        <w:rPr>
          <w:spacing w:val="-3"/>
        </w:rPr>
        <w:t>.</w:t>
      </w:r>
      <w:r>
        <w:t>清算价值</w:t>
      </w:r>
    </w:p>
    <w:p>
      <w:pPr>
        <w:pStyle w:val="BodyText"/>
        <w:tabs>
          <w:tab w:val="left" w:pos="8529"/>
        </w:tabs>
        <w:spacing w:before="71"/>
      </w:pPr>
      <w:r>
        <w:t>9、企业降低经营风险的途径一般有（</w:t>
        <w:tab/>
      </w:r>
      <w:r>
        <w:rPr>
          <w:spacing w:val="-159"/>
        </w:rPr>
        <w:t>）</w:t>
      </w:r>
      <w:r>
        <w:t>。</w:t>
      </w:r>
    </w:p>
    <w:p>
      <w:pPr>
        <w:pStyle w:val="BodyText"/>
        <w:tabs>
          <w:tab w:val="left" w:pos="5699"/>
          <w:tab w:val="left" w:pos="6643"/>
          <w:tab w:val="left" w:pos="8536"/>
        </w:tabs>
        <w:spacing w:before="71" w:line="283" w:lineRule="auto"/>
        <w:ind w:left="3176" w:right="6951"/>
      </w:pPr>
      <w:r>
        <w:t>A</w:t>
      </w:r>
      <w:r>
        <w:rPr>
          <w:spacing w:val="21"/>
        </w:rPr>
        <w:t xml:space="preserve"> </w:t>
      </w:r>
      <w:r>
        <w:rPr>
          <w:spacing w:val="-4"/>
        </w:rPr>
        <w:t>.</w:t>
      </w:r>
      <w:r>
        <w:t>增加销售量</w:t>
        <w:tab/>
        <w:t>B</w:t>
      </w:r>
      <w:r>
        <w:rPr>
          <w:spacing w:val="50"/>
        </w:rPr>
        <w:t xml:space="preserve"> </w:t>
      </w:r>
      <w:r>
        <w:rPr>
          <w:spacing w:val="-7"/>
        </w:rPr>
        <w:t>.</w:t>
      </w:r>
      <w:r>
        <w:t>增加自有资本</w:t>
        <w:tab/>
        <w:t>C</w:t>
      </w:r>
      <w:r>
        <w:rPr>
          <w:spacing w:val="46"/>
        </w:rPr>
        <w:t xml:space="preserve"> </w:t>
      </w:r>
      <w:r>
        <w:rPr>
          <w:spacing w:val="-7"/>
        </w:rPr>
        <w:t>.</w:t>
      </w:r>
      <w:r>
        <w:t>降低变动成</w:t>
      </w:r>
      <w:r>
        <w:rPr>
          <w:spacing w:val="-17"/>
        </w:rPr>
        <w:t>本</w:t>
      </w:r>
      <w:r>
        <w:t>D</w:t>
      </w:r>
      <w:r>
        <w:rPr>
          <w:spacing w:val="64"/>
        </w:rPr>
        <w:t xml:space="preserve"> </w:t>
      </w:r>
      <w:r>
        <w:rPr>
          <w:spacing w:val="-4"/>
        </w:rPr>
        <w:t>.</w:t>
      </w:r>
      <w:r>
        <w:t>增加固定成本比例</w:t>
        <w:tab/>
        <w:t>E</w:t>
      </w:r>
      <w:r>
        <w:rPr>
          <w:spacing w:val="6"/>
        </w:rPr>
        <w:t xml:space="preserve"> </w:t>
      </w:r>
      <w:r>
        <w:rPr>
          <w:spacing w:val="-7"/>
        </w:rPr>
        <w:t>.</w:t>
      </w:r>
      <w:r>
        <w:t>提高产品售价</w:t>
      </w:r>
    </w:p>
    <w:p>
      <w:pPr>
        <w:pStyle w:val="BodyText"/>
        <w:tabs>
          <w:tab w:val="left" w:pos="8061"/>
        </w:tabs>
        <w:spacing w:line="396" w:lineRule="exact"/>
      </w:pPr>
      <w:r>
        <w:t>10、企业资本结构最佳时，应该（</w:t>
        <w:tab/>
      </w:r>
      <w:r>
        <w:rPr>
          <w:spacing w:val="-162"/>
        </w:rPr>
        <w:t>）</w:t>
      </w:r>
      <w:r>
        <w:t>。</w:t>
      </w:r>
    </w:p>
    <w:p>
      <w:pPr>
        <w:pStyle w:val="BodyText"/>
        <w:tabs>
          <w:tab w:val="left" w:pos="6012"/>
          <w:tab w:val="left" w:pos="8850"/>
        </w:tabs>
        <w:spacing w:before="71" w:line="283" w:lineRule="auto"/>
        <w:ind w:left="3176" w:right="6004"/>
      </w:pPr>
      <w:r>
        <w:t>A</w:t>
      </w:r>
      <w:r>
        <w:rPr>
          <w:spacing w:val="24"/>
        </w:rPr>
        <w:t xml:space="preserve"> </w:t>
      </w:r>
      <w:r>
        <w:rPr>
          <w:spacing w:val="-4"/>
        </w:rPr>
        <w:t>.</w:t>
      </w:r>
      <w:r>
        <w:t>资本成本最低</w:t>
        <w:tab/>
        <w:t>B</w:t>
      </w:r>
      <w:r>
        <w:rPr>
          <w:spacing w:val="24"/>
        </w:rPr>
        <w:t xml:space="preserve"> </w:t>
      </w:r>
      <w:r>
        <w:rPr>
          <w:spacing w:val="-7"/>
        </w:rPr>
        <w:t>.</w:t>
      </w:r>
      <w:r>
        <w:t>财务风险最小</w:t>
        <w:tab/>
        <w:t>C</w:t>
      </w:r>
      <w:r>
        <w:rPr>
          <w:spacing w:val="57"/>
        </w:rPr>
        <w:t xml:space="preserve"> </w:t>
      </w:r>
      <w:r>
        <w:rPr>
          <w:spacing w:val="-8"/>
        </w:rPr>
        <w:t>.</w:t>
      </w:r>
      <w:r>
        <w:t>营业杠杆系数最</w:t>
      </w:r>
      <w:r>
        <w:rPr>
          <w:spacing w:val="-16"/>
        </w:rPr>
        <w:t>大</w:t>
      </w:r>
      <w:r>
        <w:t>D</w:t>
      </w:r>
      <w:r>
        <w:rPr>
          <w:spacing w:val="24"/>
        </w:rPr>
        <w:t xml:space="preserve"> </w:t>
      </w:r>
      <w:r>
        <w:rPr>
          <w:spacing w:val="-4"/>
        </w:rPr>
        <w:t>.</w:t>
      </w:r>
      <w:r>
        <w:t>债务资本最小</w:t>
        <w:tab/>
        <w:t>E</w:t>
      </w:r>
      <w:r>
        <w:rPr>
          <w:spacing w:val="5"/>
        </w:rPr>
        <w:t xml:space="preserve"> </w:t>
      </w:r>
      <w:r>
        <w:rPr>
          <w:spacing w:val="-7"/>
        </w:rPr>
        <w:t>.</w:t>
      </w:r>
      <w:r>
        <w:t>企业价值最大</w:t>
      </w:r>
    </w:p>
    <w:p>
      <w:pPr>
        <w:pStyle w:val="Heading2"/>
        <w:spacing w:line="396" w:lineRule="exact"/>
      </w:pPr>
      <w:r>
        <w:t>三、判断题</w:t>
      </w:r>
    </w:p>
    <w:p>
      <w:pPr>
        <w:spacing w:before="153" w:line="175" w:lineRule="exact"/>
        <w:ind w:left="2700" w:right="0" w:firstLine="0"/>
        <w:jc w:val="left"/>
        <w:rPr>
          <w:sz w:val="18"/>
        </w:rPr>
      </w:pPr>
      <w:r>
        <w:rPr>
          <w:sz w:val="18"/>
        </w:rPr>
        <w:t>~</w:t>
      </w:r>
    </w:p>
    <w:p>
      <w:pPr>
        <w:pStyle w:val="BodyText"/>
        <w:tabs>
          <w:tab w:val="left" w:pos="12627"/>
        </w:tabs>
        <w:spacing w:line="342" w:lineRule="exact"/>
      </w:pPr>
      <w:r>
        <w:t>1、在计算债券成本时，筹资总额应按发行价格而非券面价格计算。（</w:t>
        <w:tab/>
        <w:t>）</w:t>
      </w:r>
    </w:p>
    <w:p>
      <w:pPr>
        <w:pStyle w:val="ListParagraph"/>
        <w:numPr>
          <w:ilvl w:val="0"/>
          <w:numId w:val="82"/>
        </w:numPr>
        <w:tabs>
          <w:tab w:val="left" w:pos="3019"/>
          <w:tab w:val="left" w:pos="13416"/>
        </w:tabs>
        <w:spacing w:before="9" w:after="0" w:line="240" w:lineRule="auto"/>
        <w:ind w:left="3018" w:right="0" w:hanging="319"/>
        <w:jc w:val="left"/>
        <w:rPr>
          <w:sz w:val="31"/>
        </w:rPr>
      </w:pPr>
      <w:r>
        <w:rPr>
          <w:sz w:val="31"/>
        </w:rPr>
        <w:t>企业负债比例越高，财务风险越大，因此，负债对企业总是不利的。（</w:t>
        <w:tab/>
        <w:t>）</w:t>
      </w:r>
    </w:p>
    <w:p>
      <w:pPr>
        <w:pStyle w:val="ListParagraph"/>
        <w:numPr>
          <w:ilvl w:val="0"/>
          <w:numId w:val="82"/>
        </w:numPr>
        <w:tabs>
          <w:tab w:val="left" w:pos="3019"/>
        </w:tabs>
        <w:spacing w:before="14" w:after="0" w:line="240" w:lineRule="auto"/>
        <w:ind w:left="3018" w:right="0" w:hanging="319"/>
        <w:jc w:val="left"/>
        <w:rPr>
          <w:sz w:val="31"/>
        </w:rPr>
      </w:pPr>
      <w:r>
        <w:rPr>
          <w:spacing w:val="-14"/>
          <w:sz w:val="31"/>
        </w:rPr>
        <w:t xml:space="preserve">当预计的 </w:t>
      </w:r>
      <w:r>
        <w:rPr>
          <w:sz w:val="31"/>
        </w:rPr>
        <w:t>EBIT</w:t>
      </w:r>
      <w:r>
        <w:rPr>
          <w:spacing w:val="-9"/>
          <w:sz w:val="31"/>
        </w:rPr>
        <w:t xml:space="preserve"> 大于每股收益无差别点时，采用负债筹资会提高普通股每股收益，但会加</w:t>
      </w:r>
    </w:p>
    <w:p>
      <w:pPr>
        <w:spacing w:after="0" w:line="240" w:lineRule="auto"/>
        <w:jc w:val="left"/>
        <w:rPr>
          <w:sz w:val="31"/>
        </w:rPr>
        <w:sectPr>
          <w:headerReference w:type="default" r:id="rId40"/>
          <w:pgSz w:w="17860" w:h="25260"/>
          <w:pgMar w:top="1360" w:right="0" w:bottom="280" w:left="0" w:header="1160" w:footer="0"/>
          <w:pgNumType w:start="19"/>
          <w:cols w:space="708"/>
        </w:sectPr>
      </w:pPr>
    </w:p>
    <w:p>
      <w:pPr>
        <w:pStyle w:val="BodyText"/>
        <w:ind w:left="0"/>
        <w:rPr>
          <w:sz w:val="20"/>
        </w:rPr>
      </w:pPr>
    </w:p>
    <w:p>
      <w:pPr>
        <w:pStyle w:val="BodyText"/>
        <w:spacing w:before="11"/>
        <w:ind w:left="0"/>
        <w:rPr>
          <w:sz w:val="16"/>
        </w:rPr>
      </w:pPr>
    </w:p>
    <w:p>
      <w:pPr>
        <w:pStyle w:val="BodyText"/>
        <w:spacing w:before="62"/>
        <w:ind w:left="3017"/>
      </w:pPr>
      <w:r>
        <w:t>大企业的财务风险。（）</w:t>
      </w:r>
    </w:p>
    <w:p>
      <w:pPr>
        <w:pStyle w:val="ListParagraph"/>
        <w:numPr>
          <w:ilvl w:val="0"/>
          <w:numId w:val="82"/>
        </w:numPr>
        <w:tabs>
          <w:tab w:val="left" w:pos="3019"/>
          <w:tab w:val="left" w:pos="13102"/>
        </w:tabs>
        <w:spacing w:before="10" w:after="0" w:line="240" w:lineRule="auto"/>
        <w:ind w:left="3018" w:right="0" w:hanging="319"/>
        <w:jc w:val="left"/>
        <w:rPr>
          <w:sz w:val="31"/>
        </w:rPr>
      </w:pPr>
      <w:r>
        <w:rPr>
          <w:sz w:val="31"/>
        </w:rPr>
        <w:t>在个别资金成本一定时，企业综合资金成本的高低取决于资本总额。（</w:t>
        <w:tab/>
        <w:t>）</w:t>
      </w:r>
    </w:p>
    <w:p>
      <w:pPr>
        <w:pStyle w:val="ListParagraph"/>
        <w:numPr>
          <w:ilvl w:val="0"/>
          <w:numId w:val="82"/>
        </w:numPr>
        <w:tabs>
          <w:tab w:val="left" w:pos="3177"/>
          <w:tab w:val="left" w:pos="14676"/>
        </w:tabs>
        <w:spacing w:before="13" w:after="0" w:line="240" w:lineRule="auto"/>
        <w:ind w:left="3177" w:right="0" w:hanging="477"/>
        <w:jc w:val="left"/>
        <w:rPr>
          <w:sz w:val="31"/>
        </w:rPr>
      </w:pPr>
      <w:r>
        <w:rPr>
          <w:sz w:val="31"/>
        </w:rPr>
        <w:t>如果企业的财务杠杆系数等</w:t>
      </w:r>
      <w:r>
        <w:rPr>
          <w:spacing w:val="54"/>
          <w:sz w:val="31"/>
        </w:rPr>
        <w:t>于</w:t>
      </w:r>
      <w:r>
        <w:rPr>
          <w:sz w:val="31"/>
        </w:rPr>
        <w:t>2，表明销售量增加</w:t>
      </w:r>
      <w:r>
        <w:rPr>
          <w:spacing w:val="-56"/>
          <w:sz w:val="31"/>
        </w:rPr>
        <w:t xml:space="preserve"> </w:t>
      </w:r>
      <w:r>
        <w:rPr>
          <w:sz w:val="31"/>
        </w:rPr>
        <w:t>10％，EBIT</w:t>
      </w:r>
      <w:r>
        <w:rPr>
          <w:spacing w:val="-44"/>
          <w:sz w:val="31"/>
        </w:rPr>
        <w:t xml:space="preserve"> </w:t>
      </w:r>
      <w:r>
        <w:rPr>
          <w:sz w:val="31"/>
        </w:rPr>
        <w:t>会增加</w:t>
      </w:r>
      <w:r>
        <w:rPr>
          <w:spacing w:val="-40"/>
          <w:sz w:val="31"/>
        </w:rPr>
        <w:t xml:space="preserve"> </w:t>
      </w:r>
      <w:r>
        <w:rPr>
          <w:sz w:val="31"/>
        </w:rPr>
        <w:t>20％。（</w:t>
        <w:tab/>
        <w:t>）</w:t>
      </w:r>
    </w:p>
    <w:p>
      <w:pPr>
        <w:pStyle w:val="BodyText"/>
        <w:tabs>
          <w:tab w:val="left" w:pos="14363"/>
        </w:tabs>
        <w:spacing w:before="42"/>
      </w:pPr>
      <w:r>
        <w:t>6、财务杠杆系数是由企业资金结构决定的，财务杠杆系数越大，财务风险越大</w:t>
      </w:r>
      <w:r>
        <w:rPr>
          <w:spacing w:val="-214"/>
        </w:rPr>
        <w:t>。</w:t>
      </w:r>
      <w:r>
        <w:t>（</w:t>
        <w:tab/>
        <w:t>）</w:t>
      </w:r>
    </w:p>
    <w:p>
      <w:pPr>
        <w:pStyle w:val="BodyText"/>
        <w:spacing w:before="71"/>
      </w:pPr>
      <w:r>
        <w:t>7、无论企业是否获得利润，债务利息都能起到抵税作用</w:t>
      </w:r>
      <w:r>
        <w:rPr>
          <w:spacing w:val="-201"/>
        </w:rPr>
        <w:t>。</w:t>
      </w:r>
      <w:r>
        <w:t>（）</w:t>
      </w:r>
    </w:p>
    <w:p>
      <w:pPr>
        <w:pStyle w:val="BodyText"/>
        <w:tabs>
          <w:tab w:val="left" w:pos="4118"/>
        </w:tabs>
        <w:spacing w:before="71" w:line="283" w:lineRule="auto"/>
        <w:ind w:right="2643"/>
      </w:pPr>
      <w:r>
        <w:t>8、财务杠杆作用是由于经营成本中存在固定成本而产生的，固定成本越高，财务杠杆系</w:t>
      </w:r>
      <w:r>
        <w:rPr>
          <w:spacing w:val="-18"/>
        </w:rPr>
        <w:t>数</w:t>
      </w:r>
      <w:r>
        <w:t>越大</w:t>
      </w:r>
      <w:r>
        <w:rPr>
          <w:spacing w:val="-163"/>
        </w:rPr>
        <w:t>。</w:t>
      </w:r>
      <w:r>
        <w:t>（</w:t>
        <w:tab/>
        <w:t>）</w:t>
      </w:r>
    </w:p>
    <w:p>
      <w:pPr>
        <w:spacing w:before="196"/>
        <w:ind w:left="2700" w:right="0" w:firstLine="0"/>
        <w:jc w:val="left"/>
        <w:rPr>
          <w:sz w:val="18"/>
        </w:rPr>
      </w:pPr>
      <w:r>
        <w:rPr>
          <w:sz w:val="18"/>
        </w:rPr>
        <w:t>`</w:t>
      </w:r>
    </w:p>
    <w:p>
      <w:pPr>
        <w:pStyle w:val="BodyText"/>
        <w:tabs>
          <w:tab w:val="left" w:pos="13729"/>
        </w:tabs>
        <w:spacing w:before="40"/>
      </w:pPr>
      <w:r>
        <w:t>9、最佳资本结构是指加权平均资本成本最低、财务风险最小时的资本结构</w:t>
      </w:r>
      <w:r>
        <w:rPr>
          <w:spacing w:val="-215"/>
        </w:rPr>
        <w:t>。</w:t>
      </w:r>
      <w:r>
        <w:t>（</w:t>
        <w:tab/>
        <w:t>）</w:t>
      </w:r>
    </w:p>
    <w:p>
      <w:pPr>
        <w:pStyle w:val="BodyText"/>
        <w:spacing w:before="71"/>
      </w:pPr>
      <w:r>
        <w:t>10、在其他因素不变的情况下，固定成本越小，经营杠杆系数也就越小，而经营风险则越大。</w:t>
      </w:r>
    </w:p>
    <w:p>
      <w:pPr>
        <w:pStyle w:val="BodyText"/>
        <w:spacing w:before="71"/>
      </w:pPr>
      <w:r>
        <w:t>（）</w:t>
      </w:r>
    </w:p>
    <w:p>
      <w:pPr>
        <w:pStyle w:val="Heading2"/>
        <w:spacing w:before="71"/>
      </w:pPr>
      <w:r>
        <w:t>四、计算题</w:t>
      </w:r>
    </w:p>
    <w:p>
      <w:pPr>
        <w:pStyle w:val="BodyText"/>
        <w:spacing w:before="70"/>
      </w:pPr>
      <w:r>
        <w:t>1.盛润煤电股份公司当前资金结构如下表：</w:t>
      </w:r>
    </w:p>
    <w:p>
      <w:pPr>
        <w:pStyle w:val="BodyText"/>
        <w:spacing w:before="72"/>
        <w:ind w:left="7511"/>
      </w:pPr>
      <w:r>
        <w:t>盛润公司资本结构表</w:t>
      </w:r>
    </w:p>
    <w:p>
      <w:pPr>
        <w:pStyle w:val="BodyText"/>
        <w:spacing w:before="2"/>
        <w:ind w:left="0"/>
        <w:rPr>
          <w:sz w:val="12"/>
        </w:rPr>
      </w:pPr>
    </w:p>
    <w:p>
      <w:pPr>
        <w:spacing w:after="0"/>
        <w:rPr>
          <w:sz w:val="12"/>
        </w:rPr>
        <w:sectPr>
          <w:headerReference w:type="default" r:id="rId41"/>
          <w:pgSz w:w="17860" w:h="25260"/>
          <w:pgMar w:top="1360" w:right="0" w:bottom="280" w:left="0" w:header="1160" w:footer="0"/>
          <w:pgNumType w:start="20"/>
          <w:cols w:space="708"/>
        </w:sectPr>
      </w:pPr>
    </w:p>
    <w:p>
      <w:pPr>
        <w:pStyle w:val="BodyText"/>
        <w:spacing w:before="63"/>
        <w:ind w:left="3690"/>
      </w:pPr>
      <w:r>
        <w:drawing>
          <wp:anchor distT="0" distB="0" distL="0" distR="0" simplePos="0" relativeHeight="251679744" behindDoc="1" locked="0" layoutInCell="1" allowOverlap="1">
            <wp:simplePos x="0" y="0"/>
            <wp:positionH relativeFrom="page">
              <wp:posOffset>2225675</wp:posOffset>
            </wp:positionH>
            <wp:positionV relativeFrom="paragraph">
              <wp:posOffset>-104902</wp:posOffset>
            </wp:positionV>
            <wp:extent cx="6902450" cy="2245868"/>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42" cstate="print"/>
                    <a:stretch>
                      <a:fillRect/>
                    </a:stretch>
                  </pic:blipFill>
                  <pic:spPr>
                    <a:xfrm>
                      <a:off x="0" y="0"/>
                      <a:ext cx="6902450" cy="2245868"/>
                    </a:xfrm>
                    <a:prstGeom prst="rect">
                      <a:avLst/>
                    </a:prstGeom>
                  </pic:spPr>
                </pic:pic>
              </a:graphicData>
            </a:graphic>
          </wp:anchor>
        </w:drawing>
      </w:r>
      <w:r>
        <w:t>资金种类</w:t>
      </w:r>
    </w:p>
    <w:p>
      <w:pPr>
        <w:pStyle w:val="BodyText"/>
        <w:spacing w:before="218"/>
        <w:ind w:left="3690"/>
      </w:pPr>
      <w:r>
        <w:rPr>
          <w:spacing w:val="-4"/>
        </w:rPr>
        <w:t xml:space="preserve">长期借款(年利率 </w:t>
      </w:r>
      <w:r>
        <w:rPr>
          <w:spacing w:val="-8"/>
        </w:rPr>
        <w:t>6％)</w:t>
      </w:r>
    </w:p>
    <w:p>
      <w:pPr>
        <w:spacing w:before="268"/>
        <w:ind w:left="3690" w:right="0" w:firstLine="0"/>
        <w:jc w:val="left"/>
        <w:rPr>
          <w:sz w:val="18"/>
        </w:rPr>
      </w:pPr>
      <w:r>
        <w:rPr>
          <w:sz w:val="18"/>
        </w:rPr>
        <w:t>…</w:t>
      </w:r>
    </w:p>
    <w:p>
      <w:pPr>
        <w:pStyle w:val="BodyText"/>
        <w:spacing w:before="40"/>
        <w:ind w:left="3690"/>
      </w:pPr>
      <w:r>
        <w:rPr>
          <w:spacing w:val="-4"/>
        </w:rPr>
        <w:t xml:space="preserve">长期债券(年利率 </w:t>
      </w:r>
      <w:r>
        <w:rPr>
          <w:spacing w:val="-8"/>
        </w:rPr>
        <w:t>8％)</w:t>
      </w:r>
    </w:p>
    <w:p>
      <w:pPr>
        <w:pStyle w:val="BodyText"/>
        <w:spacing w:before="8" w:line="460" w:lineRule="atLeast"/>
        <w:ind w:left="3690" w:right="259"/>
      </w:pPr>
      <w:r>
        <w:t>普通股(4 000 万股) 留存收益</w:t>
      </w:r>
    </w:p>
    <w:p>
      <w:pPr>
        <w:pStyle w:val="BodyText"/>
        <w:tabs>
          <w:tab w:val="left" w:pos="4324"/>
        </w:tabs>
        <w:spacing w:line="310" w:lineRule="exact"/>
        <w:ind w:left="3690"/>
      </w:pPr>
      <w:r>
        <w:t>合</w:t>
        <w:tab/>
        <w:t>计</w:t>
      </w:r>
    </w:p>
    <w:p>
      <w:pPr>
        <w:pStyle w:val="BodyText"/>
        <w:spacing w:before="63"/>
        <w:ind w:left="2310"/>
      </w:pPr>
      <w:r>
        <w:br w:type="column"/>
      </w:r>
      <w:r>
        <w:t>金额(万元)</w:t>
      </w:r>
    </w:p>
    <w:p>
      <w:pPr>
        <w:pStyle w:val="BodyText"/>
        <w:spacing w:before="10"/>
        <w:ind w:left="0"/>
        <w:rPr>
          <w:sz w:val="23"/>
        </w:rPr>
      </w:pPr>
    </w:p>
    <w:p>
      <w:pPr>
        <w:pStyle w:val="BodyText"/>
        <w:ind w:left="2310"/>
      </w:pPr>
      <w:r>
        <w:t>1</w:t>
      </w:r>
      <w:r>
        <w:rPr>
          <w:spacing w:val="16"/>
        </w:rPr>
        <w:t xml:space="preserve"> </w:t>
      </w:r>
      <w:r>
        <w:t>000</w:t>
      </w:r>
    </w:p>
    <w:p>
      <w:pPr>
        <w:pStyle w:val="BodyText"/>
        <w:spacing w:before="71"/>
        <w:ind w:left="2310"/>
      </w:pPr>
      <w:r>
        <w:t>2</w:t>
      </w:r>
      <w:r>
        <w:rPr>
          <w:spacing w:val="16"/>
        </w:rPr>
        <w:t xml:space="preserve"> </w:t>
      </w:r>
      <w:r>
        <w:t>000</w:t>
      </w:r>
    </w:p>
    <w:p>
      <w:pPr>
        <w:pStyle w:val="BodyText"/>
        <w:spacing w:before="71"/>
        <w:ind w:left="2310"/>
      </w:pPr>
      <w:r>
        <w:t>4</w:t>
      </w:r>
      <w:r>
        <w:rPr>
          <w:spacing w:val="16"/>
        </w:rPr>
        <w:t xml:space="preserve"> </w:t>
      </w:r>
      <w:r>
        <w:t>000</w:t>
      </w:r>
    </w:p>
    <w:p>
      <w:pPr>
        <w:pStyle w:val="BodyText"/>
        <w:spacing w:before="70"/>
        <w:ind w:left="2310"/>
      </w:pPr>
      <w:r>
        <w:t>1</w:t>
      </w:r>
      <w:r>
        <w:rPr>
          <w:spacing w:val="16"/>
        </w:rPr>
        <w:t xml:space="preserve"> </w:t>
      </w:r>
      <w:r>
        <w:t>000</w:t>
      </w:r>
    </w:p>
    <w:p>
      <w:pPr>
        <w:pStyle w:val="BodyText"/>
        <w:ind w:left="0"/>
      </w:pPr>
    </w:p>
    <w:p>
      <w:pPr>
        <w:spacing w:before="1"/>
        <w:ind w:left="2310" w:right="0" w:firstLine="0"/>
        <w:jc w:val="left"/>
        <w:rPr>
          <w:sz w:val="18"/>
        </w:rPr>
      </w:pPr>
      <w:r>
        <w:rPr>
          <w:sz w:val="18"/>
        </w:rPr>
        <w:t>；</w:t>
      </w:r>
    </w:p>
    <w:p>
      <w:pPr>
        <w:pStyle w:val="BodyText"/>
        <w:spacing w:before="40" w:line="257" w:lineRule="exact"/>
        <w:ind w:left="2310"/>
      </w:pPr>
      <w:r>
        <w:t>8</w:t>
      </w:r>
      <w:r>
        <w:rPr>
          <w:spacing w:val="16"/>
        </w:rPr>
        <w:t xml:space="preserve"> </w:t>
      </w:r>
      <w:r>
        <w:t>000</w:t>
      </w:r>
    </w:p>
    <w:p>
      <w:pPr>
        <w:spacing w:after="0" w:line="257" w:lineRule="exact"/>
        <w:sectPr>
          <w:headerReference w:type="default" r:id="rId43"/>
          <w:type w:val="continuous"/>
          <w:pgSz w:w="17860" w:h="25260"/>
          <w:pgMar w:top="1280" w:right="0" w:bottom="280" w:left="0" w:header="708" w:footer="708"/>
          <w:pgNumType w:start="21"/>
          <w:cols w:num="2" w:space="708" w:equalWidth="0">
            <w:col w:w="6767" w:space="40"/>
            <w:col w:w="11053" w:space="0"/>
          </w:cols>
        </w:sectPr>
      </w:pPr>
    </w:p>
    <w:p>
      <w:pPr>
        <w:pStyle w:val="BodyText"/>
        <w:spacing w:line="360" w:lineRule="exact"/>
        <w:jc w:val="both"/>
      </w:pPr>
      <w:r>
        <w:rPr>
          <w:spacing w:val="1"/>
        </w:rPr>
        <w:t>因生产发展需要，公司年初准备增加资金</w:t>
      </w:r>
      <w:r>
        <w:t>2</w:t>
      </w:r>
      <w:r>
        <w:rPr>
          <w:spacing w:val="-69"/>
        </w:rPr>
        <w:t xml:space="preserve"> </w:t>
      </w:r>
      <w:r>
        <w:t>000</w:t>
      </w:r>
      <w:r>
        <w:rPr>
          <w:spacing w:val="-9"/>
        </w:rPr>
        <w:t xml:space="preserve"> 万元，现有两个筹资方案可供选择：甲方案</w:t>
      </w:r>
    </w:p>
    <w:p>
      <w:pPr>
        <w:pStyle w:val="BodyText"/>
        <w:spacing w:before="71" w:line="283" w:lineRule="auto"/>
        <w:ind w:right="2646"/>
        <w:jc w:val="both"/>
      </w:pPr>
      <w:r>
        <w:rPr>
          <w:spacing w:val="-4"/>
        </w:rPr>
        <w:t xml:space="preserve">为增加发行 </w:t>
      </w:r>
      <w:r>
        <w:t>1000</w:t>
      </w:r>
      <w:r>
        <w:rPr>
          <w:spacing w:val="-6"/>
        </w:rPr>
        <w:t xml:space="preserve"> 万股普通股，每股市价 </w:t>
      </w:r>
      <w:r>
        <w:t>2</w:t>
      </w:r>
      <w:r>
        <w:rPr>
          <w:spacing w:val="-3"/>
        </w:rPr>
        <w:t xml:space="preserve"> 元；乙方案为按面值发行每年年末付息、票面利</w:t>
      </w:r>
      <w:r>
        <w:t>率为 10％</w:t>
      </w:r>
      <w:r>
        <w:rPr>
          <w:spacing w:val="-1"/>
        </w:rPr>
        <w:t xml:space="preserve">的公司债券 </w:t>
      </w:r>
      <w:r>
        <w:t>2</w:t>
      </w:r>
      <w:r>
        <w:rPr>
          <w:spacing w:val="87"/>
        </w:rPr>
        <w:t xml:space="preserve"> </w:t>
      </w:r>
      <w:r>
        <w:t>000</w:t>
      </w:r>
      <w:r>
        <w:rPr>
          <w:spacing w:val="-1"/>
        </w:rPr>
        <w:t xml:space="preserve"> 万元。假定股票与债券的发行费用均可忽略不计，适用的企业</w:t>
      </w:r>
      <w:r>
        <w:rPr>
          <w:spacing w:val="-12"/>
        </w:rPr>
        <w:t xml:space="preserve">所得税税率为 </w:t>
      </w:r>
      <w:r>
        <w:t>25％。要求：</w:t>
      </w:r>
    </w:p>
    <w:p>
      <w:pPr>
        <w:pStyle w:val="ListParagraph"/>
        <w:numPr>
          <w:ilvl w:val="0"/>
          <w:numId w:val="81"/>
        </w:numPr>
        <w:tabs>
          <w:tab w:val="left" w:pos="3494"/>
        </w:tabs>
        <w:spacing w:before="0" w:after="0" w:line="396" w:lineRule="exact"/>
        <w:ind w:left="3493" w:right="0" w:hanging="794"/>
        <w:jc w:val="left"/>
        <w:rPr>
          <w:sz w:val="31"/>
        </w:rPr>
      </w:pPr>
      <w:r>
        <w:rPr>
          <w:sz w:val="31"/>
        </w:rPr>
        <w:t>计算两种筹资方案下每股利润无差别点的息税前利润。</w:t>
      </w:r>
    </w:p>
    <w:p>
      <w:pPr>
        <w:pStyle w:val="ListParagraph"/>
        <w:numPr>
          <w:ilvl w:val="0"/>
          <w:numId w:val="81"/>
        </w:numPr>
        <w:tabs>
          <w:tab w:val="left" w:pos="3494"/>
        </w:tabs>
        <w:spacing w:before="70" w:after="0" w:line="240" w:lineRule="auto"/>
        <w:ind w:left="3493" w:right="0" w:hanging="794"/>
        <w:jc w:val="left"/>
        <w:rPr>
          <w:sz w:val="31"/>
        </w:rPr>
      </w:pPr>
      <w:r>
        <w:rPr>
          <w:sz w:val="31"/>
        </w:rPr>
        <w:t>计算处于每股利润无差别点时乙方案的财务杠杆系数。</w:t>
      </w:r>
    </w:p>
    <w:p>
      <w:pPr>
        <w:pStyle w:val="ListParagraph"/>
        <w:numPr>
          <w:ilvl w:val="0"/>
          <w:numId w:val="81"/>
        </w:numPr>
        <w:tabs>
          <w:tab w:val="left" w:pos="3494"/>
        </w:tabs>
        <w:spacing w:before="71" w:after="0" w:line="283" w:lineRule="auto"/>
        <w:ind w:left="2700" w:right="2658" w:firstLine="0"/>
        <w:jc w:val="left"/>
        <w:rPr>
          <w:sz w:val="31"/>
        </w:rPr>
      </w:pPr>
      <w:r>
        <w:rPr>
          <w:spacing w:val="-4"/>
          <w:sz w:val="31"/>
        </w:rPr>
        <w:t xml:space="preserve">如果公司预计息税前利润为 </w:t>
      </w:r>
      <w:r>
        <w:rPr>
          <w:sz w:val="31"/>
        </w:rPr>
        <w:t>1</w:t>
      </w:r>
      <w:r>
        <w:rPr>
          <w:spacing w:val="124"/>
          <w:sz w:val="31"/>
        </w:rPr>
        <w:t xml:space="preserve"> </w:t>
      </w:r>
      <w:r>
        <w:rPr>
          <w:sz w:val="31"/>
        </w:rPr>
        <w:t>000</w:t>
      </w:r>
      <w:r>
        <w:rPr>
          <w:spacing w:val="-4"/>
          <w:sz w:val="31"/>
        </w:rPr>
        <w:t xml:space="preserve"> 万元，指出该公司应采用哪个筹资方案，并简要说</w:t>
      </w:r>
      <w:r>
        <w:rPr>
          <w:sz w:val="31"/>
        </w:rPr>
        <w:t>明理由。</w:t>
      </w:r>
    </w:p>
    <w:p>
      <w:pPr>
        <w:pStyle w:val="ListParagraph"/>
        <w:numPr>
          <w:ilvl w:val="0"/>
          <w:numId w:val="81"/>
        </w:numPr>
        <w:tabs>
          <w:tab w:val="left" w:pos="3494"/>
        </w:tabs>
        <w:spacing w:before="0" w:after="0" w:line="283" w:lineRule="auto"/>
        <w:ind w:left="2700" w:right="2641" w:firstLine="0"/>
        <w:jc w:val="left"/>
        <w:rPr>
          <w:sz w:val="31"/>
        </w:rPr>
      </w:pPr>
      <w:r>
        <w:rPr>
          <w:sz w:val="31"/>
        </w:rPr>
        <w:t>如果公司增资后预计息税前利润在每股收益无差别点上增长10</w:t>
      </w:r>
      <w:r>
        <w:rPr>
          <w:spacing w:val="-2"/>
          <w:sz w:val="31"/>
        </w:rPr>
        <w:t>％，计算采用乙方案时</w:t>
      </w:r>
      <w:r>
        <w:rPr>
          <w:sz w:val="31"/>
        </w:rPr>
        <w:t>该公司每股利润的增长幅度。</w:t>
      </w:r>
    </w:p>
    <w:p>
      <w:pPr>
        <w:pStyle w:val="BodyText"/>
        <w:spacing w:before="4"/>
        <w:ind w:left="0"/>
        <w:rPr>
          <w:sz w:val="36"/>
        </w:rPr>
      </w:pPr>
    </w:p>
    <w:p>
      <w:pPr>
        <w:pStyle w:val="BodyText"/>
      </w:pPr>
      <w:r>
        <w:t>2、某公司拟筹资2000 万元，其融资组合方案是：(1)发行债券 1000 万元，预计筹资费率为</w:t>
      </w:r>
    </w:p>
    <w:p>
      <w:pPr>
        <w:pStyle w:val="BodyText"/>
        <w:spacing w:before="71" w:line="283" w:lineRule="auto"/>
        <w:ind w:right="2630"/>
        <w:jc w:val="both"/>
      </w:pPr>
      <w:r>
        <w:t>2％，</w:t>
      </w:r>
      <w:r>
        <w:rPr>
          <w:spacing w:val="-7"/>
        </w:rPr>
        <w:t xml:space="preserve">债券年利率为 </w:t>
      </w:r>
      <w:r>
        <w:t>8％；(2</w:t>
      </w:r>
      <w:r>
        <w:rPr>
          <w:spacing w:val="-6"/>
        </w:rPr>
        <w:t xml:space="preserve">)发行优先股 </w:t>
      </w:r>
      <w:r>
        <w:t>500</w:t>
      </w:r>
      <w:r>
        <w:rPr>
          <w:spacing w:val="-10"/>
        </w:rPr>
        <w:t xml:space="preserve"> 万元，年股息率 </w:t>
      </w:r>
      <w:r>
        <w:t>10</w:t>
      </w:r>
      <w:r>
        <w:rPr>
          <w:spacing w:val="-5"/>
        </w:rPr>
        <w:t xml:space="preserve">％，预计筹资费率为 3％； </w:t>
      </w:r>
      <w:r>
        <w:t>(3</w:t>
      </w:r>
      <w:r>
        <w:rPr>
          <w:spacing w:val="-5"/>
        </w:rPr>
        <w:t xml:space="preserve">)为行普通股融资 </w:t>
      </w:r>
      <w:r>
        <w:t>500</w:t>
      </w:r>
      <w:r>
        <w:rPr>
          <w:spacing w:val="-11"/>
        </w:rPr>
        <w:t xml:space="preserve"> 万元，预计筹资费率为 </w:t>
      </w:r>
      <w:r>
        <w:rPr>
          <w:spacing w:val="-18"/>
        </w:rPr>
        <w:t>6％</w:t>
      </w:r>
      <w:r>
        <w:rPr>
          <w:spacing w:val="-7"/>
        </w:rPr>
        <w:t xml:space="preserve">，且假定第一年预期股利率为 </w:t>
      </w:r>
      <w:r>
        <w:rPr>
          <w:spacing w:val="-17"/>
        </w:rPr>
        <w:t>8％</w:t>
      </w:r>
      <w:r>
        <w:rPr>
          <w:spacing w:val="-6"/>
        </w:rPr>
        <w:t>，以后</w:t>
      </w:r>
      <w:r>
        <w:rPr>
          <w:spacing w:val="-19"/>
        </w:rPr>
        <w:t xml:space="preserve">每年平均长 </w:t>
      </w:r>
      <w:r>
        <w:t>5％</w:t>
      </w:r>
      <w:r>
        <w:rPr>
          <w:spacing w:val="3"/>
        </w:rPr>
        <w:t>。如果该公司适用的所得税率为</w:t>
      </w:r>
      <w:r>
        <w:rPr>
          <w:spacing w:val="-3"/>
        </w:rPr>
        <w:t>30</w:t>
      </w:r>
      <w:r>
        <w:rPr>
          <w:spacing w:val="-2"/>
        </w:rPr>
        <w:t>％。</w:t>
      </w:r>
    </w:p>
    <w:p>
      <w:pPr>
        <w:pStyle w:val="BodyText"/>
        <w:spacing w:before="6"/>
        <w:ind w:left="0"/>
        <w:rPr>
          <w:sz w:val="9"/>
        </w:rPr>
      </w:pPr>
    </w:p>
    <w:p>
      <w:pPr>
        <w:spacing w:before="75"/>
        <w:ind w:left="3060" w:right="0" w:firstLine="0"/>
        <w:jc w:val="left"/>
        <w:rPr>
          <w:sz w:val="18"/>
        </w:rPr>
      </w:pPr>
      <w:r>
        <w:rPr>
          <w:sz w:val="18"/>
        </w:rPr>
        <w:t>"</w:t>
      </w:r>
    </w:p>
    <w:p>
      <w:pPr>
        <w:pStyle w:val="BodyText"/>
        <w:spacing w:before="40"/>
        <w:ind w:left="3330"/>
      </w:pPr>
      <w:r>
        <w:t>要求：</w:t>
      </w:r>
    </w:p>
    <w:p>
      <w:pPr>
        <w:pStyle w:val="ListParagraph"/>
        <w:numPr>
          <w:ilvl w:val="1"/>
          <w:numId w:val="81"/>
        </w:numPr>
        <w:tabs>
          <w:tab w:val="left" w:pos="3961"/>
        </w:tabs>
        <w:spacing w:before="71" w:after="0" w:line="240" w:lineRule="auto"/>
        <w:ind w:left="3960" w:right="0" w:hanging="541"/>
        <w:jc w:val="left"/>
        <w:rPr>
          <w:sz w:val="31"/>
        </w:rPr>
      </w:pPr>
      <w:r>
        <w:rPr>
          <w:sz w:val="31"/>
        </w:rPr>
        <w:t>计算债券的筹资成本；</w:t>
      </w:r>
    </w:p>
    <w:p>
      <w:pPr>
        <w:pStyle w:val="ListParagraph"/>
        <w:numPr>
          <w:ilvl w:val="1"/>
          <w:numId w:val="81"/>
        </w:numPr>
        <w:tabs>
          <w:tab w:val="left" w:pos="3961"/>
        </w:tabs>
        <w:spacing w:before="70" w:after="0" w:line="240" w:lineRule="auto"/>
        <w:ind w:left="3960" w:right="0" w:hanging="541"/>
        <w:jc w:val="left"/>
        <w:rPr>
          <w:sz w:val="31"/>
        </w:rPr>
      </w:pPr>
      <w:r>
        <w:rPr>
          <w:sz w:val="31"/>
        </w:rPr>
        <w:t>计算优先股的筹资成本；</w:t>
      </w:r>
    </w:p>
    <w:p>
      <w:pPr>
        <w:pStyle w:val="ListParagraph"/>
        <w:numPr>
          <w:ilvl w:val="1"/>
          <w:numId w:val="81"/>
        </w:numPr>
        <w:tabs>
          <w:tab w:val="left" w:pos="3961"/>
        </w:tabs>
        <w:spacing w:before="71" w:after="0" w:line="240" w:lineRule="auto"/>
        <w:ind w:left="3960" w:right="0" w:hanging="541"/>
        <w:jc w:val="left"/>
        <w:rPr>
          <w:sz w:val="31"/>
        </w:rPr>
      </w:pPr>
      <w:r>
        <w:rPr>
          <w:sz w:val="31"/>
        </w:rPr>
        <w:t>计算普通股筹资成本；</w:t>
      </w:r>
    </w:p>
    <w:p>
      <w:pPr>
        <w:pStyle w:val="ListParagraph"/>
        <w:numPr>
          <w:ilvl w:val="1"/>
          <w:numId w:val="81"/>
        </w:numPr>
        <w:tabs>
          <w:tab w:val="left" w:pos="3961"/>
        </w:tabs>
        <w:spacing w:before="71" w:after="0" w:line="240" w:lineRule="auto"/>
        <w:ind w:left="3960" w:right="0" w:hanging="541"/>
        <w:jc w:val="left"/>
        <w:rPr>
          <w:sz w:val="31"/>
        </w:rPr>
      </w:pPr>
      <w:r>
        <w:rPr>
          <w:sz w:val="31"/>
        </w:rPr>
        <w:t>测算该筹资组合的综合资本成本。（结果保留两位小数）</w:t>
      </w:r>
    </w:p>
    <w:p>
      <w:pPr>
        <w:pStyle w:val="BodyText"/>
        <w:spacing w:before="71" w:line="283" w:lineRule="auto"/>
        <w:ind w:right="2447"/>
      </w:pPr>
      <w:r>
        <w:t>3、某公司的固定成本总额为80 万元，变动成本率（变动成本与销售额之比）为60%，在销售额为 400 万元时，息税前利润为 80 万元，税后利润为万元。该公司全部资本为 750 万元，</w:t>
      </w:r>
    </w:p>
    <w:p>
      <w:pPr>
        <w:spacing w:after="0" w:line="283" w:lineRule="auto"/>
        <w:sectPr>
          <w:headerReference w:type="default" r:id="rId44"/>
          <w:type w:val="continuous"/>
          <w:pgSz w:w="17860" w:h="25260"/>
          <w:pgMar w:top="1280" w:right="0" w:bottom="280" w:left="0" w:header="708" w:footer="708"/>
          <w:pgNumType w:start="22"/>
          <w:cols w:space="708"/>
        </w:sectPr>
      </w:pPr>
    </w:p>
    <w:p>
      <w:pPr>
        <w:pStyle w:val="BodyText"/>
        <w:ind w:left="0"/>
        <w:rPr>
          <w:sz w:val="20"/>
        </w:rPr>
      </w:pPr>
    </w:p>
    <w:p>
      <w:pPr>
        <w:pStyle w:val="BodyText"/>
        <w:spacing w:before="5"/>
        <w:ind w:left="0"/>
        <w:rPr>
          <w:sz w:val="19"/>
        </w:rPr>
      </w:pPr>
    </w:p>
    <w:p>
      <w:pPr>
        <w:pStyle w:val="BodyText"/>
        <w:spacing w:before="62" w:line="283" w:lineRule="auto"/>
        <w:ind w:right="2630"/>
        <w:jc w:val="both"/>
      </w:pPr>
      <w:r>
        <w:rPr>
          <w:w w:val="102"/>
        </w:rPr>
        <w:t>债务资本比率为（债务与全部资本之比</w:t>
      </w:r>
      <w:r>
        <w:rPr>
          <w:spacing w:val="-216"/>
          <w:w w:val="102"/>
        </w:rPr>
        <w:t>）</w:t>
      </w:r>
      <w:r>
        <w:rPr>
          <w:spacing w:val="6"/>
          <w:w w:val="102"/>
        </w:rPr>
        <w:t>，债务利率为</w:t>
      </w:r>
      <w:r>
        <w:rPr>
          <w:w w:val="102"/>
        </w:rPr>
        <w:t>12</w:t>
      </w:r>
      <w:r>
        <w:rPr>
          <w:spacing w:val="3"/>
          <w:w w:val="102"/>
        </w:rPr>
        <w:t>%，所得税税率为</w:t>
      </w:r>
      <w:r>
        <w:rPr>
          <w:w w:val="102"/>
        </w:rPr>
        <w:t>33</w:t>
      </w:r>
      <w:r>
        <w:rPr>
          <w:spacing w:val="-5"/>
          <w:w w:val="102"/>
        </w:rPr>
        <w:t>%。要求：计算</w:t>
      </w:r>
      <w:r>
        <w:rPr>
          <w:spacing w:val="-13"/>
        </w:rPr>
        <w:t>该公司的经营杠杆系数、财务杠杆系数和复合杠杆系数。并对该公司经营及财务面临的风险 进行分析。</w:t>
      </w:r>
    </w:p>
    <w:p>
      <w:pPr>
        <w:pStyle w:val="BodyText"/>
        <w:spacing w:before="5"/>
        <w:ind w:left="0"/>
        <w:rPr>
          <w:sz w:val="36"/>
        </w:rPr>
      </w:pPr>
    </w:p>
    <w:p>
      <w:pPr>
        <w:pStyle w:val="BodyText"/>
        <w:spacing w:line="283" w:lineRule="auto"/>
        <w:ind w:right="2645"/>
        <w:jc w:val="both"/>
      </w:pPr>
      <w:r>
        <w:t>4</w:t>
      </w:r>
      <w:r>
        <w:rPr>
          <w:spacing w:val="9"/>
        </w:rPr>
        <w:t>、某公司</w:t>
      </w:r>
      <w:r>
        <w:t>2001</w:t>
      </w:r>
      <w:r>
        <w:rPr>
          <w:spacing w:val="-13"/>
        </w:rPr>
        <w:t xml:space="preserve"> 年销售收入为 </w:t>
      </w:r>
      <w:r>
        <w:t>280</w:t>
      </w:r>
      <w:r>
        <w:rPr>
          <w:spacing w:val="-15"/>
        </w:rPr>
        <w:t xml:space="preserve"> 万元，利润总额为 </w:t>
      </w:r>
      <w:r>
        <w:t>70</w:t>
      </w:r>
      <w:r>
        <w:rPr>
          <w:spacing w:val="-3"/>
        </w:rPr>
        <w:t xml:space="preserve"> 万元，固定成本为</w:t>
      </w:r>
      <w:r>
        <w:t>30</w:t>
      </w:r>
      <w:r>
        <w:rPr>
          <w:spacing w:val="-27"/>
        </w:rPr>
        <w:t xml:space="preserve"> 万元</w:t>
      </w:r>
      <w:r>
        <w:t>（不含利息费用</w:t>
      </w:r>
      <w:r>
        <w:rPr>
          <w:spacing w:val="-101"/>
        </w:rPr>
        <w:t>）</w:t>
      </w:r>
      <w:r>
        <w:rPr>
          <w:spacing w:val="-11"/>
        </w:rPr>
        <w:t xml:space="preserve">，变动成本率为 </w:t>
      </w:r>
      <w:r>
        <w:rPr>
          <w:spacing w:val="-3"/>
        </w:rPr>
        <w:t>60</w:t>
      </w:r>
      <w:r>
        <w:rPr>
          <w:spacing w:val="1"/>
        </w:rPr>
        <w:t>%。该公司总资本为</w:t>
      </w:r>
      <w:r>
        <w:t>300</w:t>
      </w:r>
      <w:r>
        <w:rPr>
          <w:spacing w:val="5"/>
        </w:rPr>
        <w:t xml:space="preserve"> 万元，资产负债率为</w:t>
      </w:r>
      <w:r>
        <w:t>40</w:t>
      </w:r>
      <w:r>
        <w:rPr>
          <w:spacing w:val="-2"/>
        </w:rPr>
        <w:t>%，债务利息率为</w:t>
      </w:r>
      <w:r>
        <w:t>10%。</w:t>
      </w:r>
    </w:p>
    <w:p>
      <w:pPr>
        <w:spacing w:before="195"/>
        <w:ind w:left="2700" w:right="0" w:firstLine="0"/>
        <w:jc w:val="left"/>
        <w:rPr>
          <w:sz w:val="18"/>
        </w:rPr>
      </w:pPr>
      <w:r>
        <w:rPr>
          <w:sz w:val="18"/>
        </w:rPr>
        <w:t>《</w:t>
      </w:r>
    </w:p>
    <w:p>
      <w:pPr>
        <w:pStyle w:val="BodyText"/>
        <w:spacing w:before="41"/>
      </w:pPr>
      <w:r>
        <w:rPr>
          <w:spacing w:val="-54"/>
          <w:w w:val="102"/>
        </w:rPr>
        <w:t>要求：</w:t>
      </w:r>
      <w:r>
        <w:rPr>
          <w:spacing w:val="-1"/>
          <w:w w:val="102"/>
        </w:rPr>
        <w:t>（</w:t>
      </w:r>
      <w:r>
        <w:rPr>
          <w:w w:val="102"/>
        </w:rPr>
        <w:t>1）计算营业杠杆系数、财务杠杆系数、联合杠杆系数。</w:t>
      </w:r>
    </w:p>
    <w:p>
      <w:pPr>
        <w:pStyle w:val="BodyText"/>
        <w:spacing w:before="70"/>
      </w:pPr>
      <w:r>
        <w:t>（2）说明营业杠杆系数、财务杠杆系数、联合杠杆系数与相关风险的关系。</w:t>
      </w:r>
    </w:p>
    <w:p>
      <w:pPr>
        <w:pStyle w:val="BodyText"/>
        <w:spacing w:before="1"/>
        <w:ind w:left="0"/>
        <w:rPr>
          <w:sz w:val="42"/>
        </w:rPr>
      </w:pPr>
    </w:p>
    <w:p>
      <w:pPr>
        <w:pStyle w:val="BodyText"/>
        <w:spacing w:line="283" w:lineRule="auto"/>
        <w:ind w:right="2669"/>
        <w:jc w:val="both"/>
      </w:pPr>
      <w:r>
        <w:rPr>
          <w:w w:val="102"/>
        </w:rPr>
        <w:t>5</w:t>
      </w:r>
      <w:r>
        <w:rPr>
          <w:spacing w:val="3"/>
          <w:w w:val="102"/>
        </w:rPr>
        <w:t>、某公司目前发行在外普通股</w:t>
      </w:r>
      <w:r>
        <w:rPr>
          <w:w w:val="102"/>
        </w:rPr>
        <w:t>100</w:t>
      </w:r>
      <w:r>
        <w:rPr>
          <w:spacing w:val="-80"/>
        </w:rPr>
        <w:t xml:space="preserve"> </w:t>
      </w:r>
      <w:r>
        <w:rPr>
          <w:w w:val="102"/>
        </w:rPr>
        <w:t>万股（</w:t>
      </w:r>
      <w:r>
        <w:rPr>
          <w:spacing w:val="27"/>
          <w:w w:val="102"/>
        </w:rPr>
        <w:t>每股</w:t>
      </w:r>
      <w:r>
        <w:rPr>
          <w:w w:val="102"/>
        </w:rPr>
        <w:t>1</w:t>
      </w:r>
      <w:r>
        <w:rPr>
          <w:spacing w:val="-80"/>
        </w:rPr>
        <w:t xml:space="preserve"> </w:t>
      </w:r>
      <w:r>
        <w:rPr>
          <w:w w:val="102"/>
        </w:rPr>
        <w:t>元</w:t>
      </w:r>
      <w:r>
        <w:rPr>
          <w:spacing w:val="-162"/>
          <w:w w:val="102"/>
        </w:rPr>
        <w:t>）</w:t>
      </w:r>
      <w:r>
        <w:rPr>
          <w:w w:val="102"/>
        </w:rPr>
        <w:t>，已发行</w:t>
      </w:r>
      <w:r>
        <w:rPr>
          <w:spacing w:val="-97"/>
        </w:rPr>
        <w:t xml:space="preserve"> </w:t>
      </w:r>
      <w:r>
        <w:rPr>
          <w:w w:val="102"/>
        </w:rPr>
        <w:t>10</w:t>
      </w:r>
      <w:r>
        <w:rPr>
          <w:spacing w:val="-2"/>
          <w:w w:val="102"/>
        </w:rPr>
        <w:t>%利率的债券</w:t>
      </w:r>
      <w:r>
        <w:rPr>
          <w:spacing w:val="-83"/>
        </w:rPr>
        <w:t xml:space="preserve"> </w:t>
      </w:r>
      <w:r>
        <w:rPr>
          <w:w w:val="102"/>
        </w:rPr>
        <w:t>400</w:t>
      </w:r>
      <w:r>
        <w:rPr>
          <w:spacing w:val="-80"/>
        </w:rPr>
        <w:t xml:space="preserve"> </w:t>
      </w:r>
      <w:r>
        <w:rPr>
          <w:spacing w:val="-4"/>
          <w:w w:val="102"/>
        </w:rPr>
        <w:t>万元。该</w:t>
      </w:r>
      <w:r>
        <w:t>公司打算为一个新的投资项目融资 500</w:t>
      </w:r>
      <w:r>
        <w:rPr>
          <w:spacing w:val="-2"/>
        </w:rPr>
        <w:t xml:space="preserve"> 万元，新项目投产后公司每年息税前盈余增加到</w:t>
      </w:r>
      <w:r>
        <w:t xml:space="preserve">200 </w:t>
      </w:r>
      <w:r>
        <w:rPr>
          <w:spacing w:val="-14"/>
          <w:w w:val="102"/>
        </w:rPr>
        <w:t>万元。现有两个方案可供选择：按</w:t>
      </w:r>
      <w:r>
        <w:rPr>
          <w:spacing w:val="-76"/>
        </w:rPr>
        <w:t xml:space="preserve"> </w:t>
      </w:r>
      <w:r>
        <w:rPr>
          <w:w w:val="102"/>
        </w:rPr>
        <w:t>12</w:t>
      </w:r>
      <w:r>
        <w:rPr>
          <w:spacing w:val="-11"/>
          <w:w w:val="102"/>
        </w:rPr>
        <w:t>%的利率发行债券</w:t>
      </w:r>
      <w:r>
        <w:rPr>
          <w:w w:val="102"/>
        </w:rPr>
        <w:t>（方案</w:t>
      </w:r>
      <w:r>
        <w:rPr>
          <w:spacing w:val="-80"/>
        </w:rPr>
        <w:t xml:space="preserve"> </w:t>
      </w:r>
      <w:r>
        <w:rPr>
          <w:spacing w:val="-1"/>
          <w:w w:val="102"/>
        </w:rPr>
        <w:t>1</w:t>
      </w:r>
      <w:r>
        <w:rPr>
          <w:spacing w:val="-159"/>
          <w:w w:val="102"/>
        </w:rPr>
        <w:t>）</w:t>
      </w:r>
      <w:r>
        <w:rPr>
          <w:spacing w:val="-17"/>
          <w:w w:val="102"/>
        </w:rPr>
        <w:t>；按每股</w:t>
      </w:r>
      <w:r>
        <w:rPr>
          <w:spacing w:val="-80"/>
        </w:rPr>
        <w:t xml:space="preserve"> </w:t>
      </w:r>
      <w:r>
        <w:rPr>
          <w:w w:val="102"/>
        </w:rPr>
        <w:t>20</w:t>
      </w:r>
      <w:r>
        <w:rPr>
          <w:spacing w:val="-80"/>
        </w:rPr>
        <w:t xml:space="preserve"> </w:t>
      </w:r>
      <w:r>
        <w:rPr>
          <w:spacing w:val="-14"/>
          <w:w w:val="102"/>
        </w:rPr>
        <w:t>元发行新股</w:t>
      </w:r>
      <w:r>
        <w:rPr>
          <w:w w:val="102"/>
        </w:rPr>
        <w:t>（方案</w:t>
      </w:r>
      <w:r>
        <w:rPr>
          <w:spacing w:val="-76"/>
        </w:rPr>
        <w:t xml:space="preserve"> </w:t>
      </w:r>
      <w:r>
        <w:rPr>
          <w:w w:val="102"/>
        </w:rPr>
        <w:t>2</w:t>
      </w:r>
      <w:r>
        <w:rPr>
          <w:spacing w:val="-162"/>
          <w:w w:val="102"/>
        </w:rPr>
        <w:t>）</w:t>
      </w:r>
      <w:r>
        <w:rPr>
          <w:w w:val="102"/>
        </w:rPr>
        <w:t>。公司适用所得税率</w:t>
      </w:r>
      <w:r>
        <w:rPr>
          <w:spacing w:val="-93"/>
        </w:rPr>
        <w:t xml:space="preserve"> </w:t>
      </w:r>
      <w:r>
        <w:rPr>
          <w:w w:val="102"/>
        </w:rPr>
        <w:t>40%。</w:t>
      </w:r>
    </w:p>
    <w:p>
      <w:pPr>
        <w:pStyle w:val="BodyText"/>
        <w:spacing w:line="395" w:lineRule="exact"/>
      </w:pPr>
      <w:r>
        <w:rPr>
          <w:spacing w:val="-54"/>
          <w:w w:val="102"/>
        </w:rPr>
        <w:t>要求：</w:t>
      </w:r>
      <w:r>
        <w:rPr>
          <w:spacing w:val="-1"/>
          <w:w w:val="102"/>
        </w:rPr>
        <w:t>（</w:t>
      </w:r>
      <w:r>
        <w:rPr>
          <w:w w:val="102"/>
        </w:rPr>
        <w:t>1）计算两个方案的每股盈余。</w:t>
      </w:r>
    </w:p>
    <w:p>
      <w:pPr>
        <w:pStyle w:val="ListParagraph"/>
        <w:numPr>
          <w:ilvl w:val="0"/>
          <w:numId w:val="80"/>
        </w:numPr>
        <w:tabs>
          <w:tab w:val="left" w:pos="3494"/>
        </w:tabs>
        <w:spacing w:before="71" w:after="0" w:line="240" w:lineRule="auto"/>
        <w:ind w:left="3493" w:right="0" w:hanging="794"/>
        <w:jc w:val="left"/>
        <w:rPr>
          <w:sz w:val="31"/>
        </w:rPr>
      </w:pPr>
      <w:r>
        <w:rPr>
          <w:sz w:val="31"/>
        </w:rPr>
        <w:t>计算两个方案的每股盈余无差别点息税前盈余。</w:t>
      </w:r>
    </w:p>
    <w:p>
      <w:pPr>
        <w:pStyle w:val="ListParagraph"/>
        <w:numPr>
          <w:ilvl w:val="0"/>
          <w:numId w:val="80"/>
        </w:numPr>
        <w:tabs>
          <w:tab w:val="left" w:pos="3494"/>
        </w:tabs>
        <w:spacing w:before="71" w:after="0" w:line="240" w:lineRule="auto"/>
        <w:ind w:left="3493" w:right="0" w:hanging="794"/>
        <w:jc w:val="left"/>
        <w:rPr>
          <w:sz w:val="31"/>
        </w:rPr>
      </w:pPr>
      <w:r>
        <w:rPr>
          <w:sz w:val="31"/>
        </w:rPr>
        <w:t>计算两个方案的财务杠杆系数。</w:t>
      </w:r>
    </w:p>
    <w:p>
      <w:pPr>
        <w:pStyle w:val="ListParagraph"/>
        <w:numPr>
          <w:ilvl w:val="0"/>
          <w:numId w:val="80"/>
        </w:numPr>
        <w:tabs>
          <w:tab w:val="left" w:pos="3494"/>
        </w:tabs>
        <w:spacing w:before="71" w:after="0" w:line="240" w:lineRule="auto"/>
        <w:ind w:left="3493" w:right="0" w:hanging="794"/>
        <w:jc w:val="left"/>
        <w:rPr>
          <w:sz w:val="31"/>
        </w:rPr>
      </w:pPr>
      <w:r>
        <w:rPr>
          <w:sz w:val="31"/>
        </w:rPr>
        <w:t>判断哪个方案更好。</w:t>
      </w:r>
    </w:p>
    <w:p>
      <w:pPr>
        <w:spacing w:before="267"/>
        <w:ind w:left="2700" w:right="0" w:firstLine="0"/>
        <w:jc w:val="left"/>
        <w:rPr>
          <w:sz w:val="18"/>
        </w:rPr>
      </w:pPr>
      <w:r>
        <w:rPr>
          <w:sz w:val="18"/>
        </w:rPr>
        <w:t>…</w:t>
      </w:r>
    </w:p>
    <w:p>
      <w:pPr>
        <w:pStyle w:val="BodyText"/>
        <w:ind w:left="0"/>
        <w:rPr>
          <w:sz w:val="18"/>
        </w:rPr>
      </w:pPr>
    </w:p>
    <w:p>
      <w:pPr>
        <w:pStyle w:val="BodyText"/>
        <w:spacing w:before="9"/>
        <w:ind w:left="0"/>
        <w:rPr>
          <w:sz w:val="21"/>
        </w:rPr>
      </w:pPr>
    </w:p>
    <w:p>
      <w:pPr>
        <w:pStyle w:val="BodyText"/>
        <w:ind w:left="3172"/>
        <w:jc w:val="both"/>
      </w:pPr>
      <w:r>
        <w:t>6、某企业拟筹资 2 500 万元。其中发行债券 1 000 万元，筹资费用率 2%，债券年利率</w:t>
      </w:r>
    </w:p>
    <w:p>
      <w:pPr>
        <w:pStyle w:val="BodyText"/>
        <w:spacing w:before="71" w:line="283" w:lineRule="auto"/>
        <w:ind w:right="2679"/>
        <w:jc w:val="both"/>
      </w:pPr>
      <w:r>
        <w:rPr>
          <w:spacing w:val="-24"/>
        </w:rPr>
        <w:t xml:space="preserve">为 </w:t>
      </w:r>
      <w:r>
        <w:t>10</w:t>
      </w:r>
      <w:r>
        <w:rPr>
          <w:spacing w:val="-7"/>
        </w:rPr>
        <w:t xml:space="preserve">%，所得税税率为 </w:t>
      </w:r>
      <w:r>
        <w:t>33</w:t>
      </w:r>
      <w:r>
        <w:rPr>
          <w:spacing w:val="-9"/>
        </w:rPr>
        <w:t xml:space="preserve">%；优先股 </w:t>
      </w:r>
      <w:r>
        <w:t>500</w:t>
      </w:r>
      <w:r>
        <w:rPr>
          <w:spacing w:val="-14"/>
        </w:rPr>
        <w:t xml:space="preserve"> 万元，年股利率 </w:t>
      </w:r>
      <w:r>
        <w:t>7</w:t>
      </w:r>
      <w:r>
        <w:rPr>
          <w:spacing w:val="-8"/>
        </w:rPr>
        <w:t xml:space="preserve">%，筹资费用率 </w:t>
      </w:r>
      <w:r>
        <w:t>3</w:t>
      </w:r>
      <w:r>
        <w:rPr>
          <w:spacing w:val="-9"/>
        </w:rPr>
        <w:t xml:space="preserve">%；普通股 </w:t>
      </w:r>
      <w:r>
        <w:t xml:space="preserve">1 000 </w:t>
      </w:r>
      <w:r>
        <w:rPr>
          <w:spacing w:val="2"/>
        </w:rPr>
        <w:t xml:space="preserve">万元，筹资费用率为 </w:t>
      </w:r>
      <w:r>
        <w:t>4</w:t>
      </w:r>
      <w:r>
        <w:rPr>
          <w:spacing w:val="1"/>
        </w:rPr>
        <w:t xml:space="preserve">%，第一年预期股利率为 </w:t>
      </w:r>
      <w:r>
        <w:t>10</w:t>
      </w:r>
      <w:r>
        <w:rPr>
          <w:spacing w:val="3"/>
        </w:rPr>
        <w:t xml:space="preserve">%，以后每年增长 </w:t>
      </w:r>
      <w:r>
        <w:t>4</w:t>
      </w:r>
      <w:r>
        <w:rPr>
          <w:spacing w:val="-2"/>
        </w:rPr>
        <w:t>%。试计算该筹资方案</w:t>
      </w:r>
      <w:r>
        <w:t>的综合资金成本。</w:t>
      </w:r>
    </w:p>
    <w:p>
      <w:pPr>
        <w:pStyle w:val="BodyText"/>
        <w:spacing w:before="5"/>
        <w:ind w:left="0"/>
        <w:rPr>
          <w:sz w:val="36"/>
        </w:rPr>
      </w:pPr>
    </w:p>
    <w:p>
      <w:pPr>
        <w:pStyle w:val="BodyText"/>
        <w:spacing w:line="283" w:lineRule="auto"/>
        <w:ind w:right="2681" w:firstLine="475"/>
        <w:jc w:val="both"/>
      </w:pPr>
      <w:r>
        <w:t>7</w:t>
      </w:r>
      <w:r>
        <w:rPr>
          <w:spacing w:val="-9"/>
        </w:rPr>
        <w:t xml:space="preserve">、某公司拟筹资 </w:t>
      </w:r>
      <w:r>
        <w:t>5</w:t>
      </w:r>
      <w:r>
        <w:rPr>
          <w:spacing w:val="66"/>
        </w:rPr>
        <w:t xml:space="preserve"> </w:t>
      </w:r>
      <w:r>
        <w:t>000</w:t>
      </w:r>
      <w:r>
        <w:rPr>
          <w:spacing w:val="-16"/>
        </w:rPr>
        <w:t xml:space="preserve"> 万元，其中按面值发行债券 </w:t>
      </w:r>
      <w:r>
        <w:t>2</w:t>
      </w:r>
      <w:r>
        <w:rPr>
          <w:spacing w:val="66"/>
        </w:rPr>
        <w:t xml:space="preserve"> </w:t>
      </w:r>
      <w:r>
        <w:t>000</w:t>
      </w:r>
      <w:r>
        <w:rPr>
          <w:spacing w:val="-19"/>
        </w:rPr>
        <w:t xml:space="preserve"> 万元，票面利率 </w:t>
      </w:r>
      <w:r>
        <w:t>10%，筹资费</w:t>
      </w:r>
      <w:r>
        <w:rPr>
          <w:spacing w:val="-17"/>
        </w:rPr>
        <w:t xml:space="preserve">率 </w:t>
      </w:r>
      <w:r>
        <w:t>2</w:t>
      </w:r>
      <w:r>
        <w:rPr>
          <w:spacing w:val="-6"/>
        </w:rPr>
        <w:t xml:space="preserve">%；发行优先股 </w:t>
      </w:r>
      <w:r>
        <w:t>800</w:t>
      </w:r>
      <w:r>
        <w:rPr>
          <w:spacing w:val="-11"/>
        </w:rPr>
        <w:t xml:space="preserve"> 万元，股利率为 </w:t>
      </w:r>
      <w:r>
        <w:t>12</w:t>
      </w:r>
      <w:r>
        <w:rPr>
          <w:spacing w:val="-7"/>
        </w:rPr>
        <w:t xml:space="preserve">%，筹资费率 </w:t>
      </w:r>
      <w:r>
        <w:t>3%；</w:t>
      </w:r>
      <w:r>
        <w:rPr>
          <w:spacing w:val="-8"/>
        </w:rPr>
        <w:t xml:space="preserve">发行普通股 </w:t>
      </w:r>
      <w:r>
        <w:t>2</w:t>
      </w:r>
      <w:r>
        <w:rPr>
          <w:spacing w:val="53"/>
        </w:rPr>
        <w:t xml:space="preserve"> </w:t>
      </w:r>
      <w:r>
        <w:t>200</w:t>
      </w:r>
      <w:r>
        <w:rPr>
          <w:spacing w:val="-10"/>
        </w:rPr>
        <w:t xml:space="preserve"> 万元，筹资</w:t>
      </w:r>
      <w:r>
        <w:rPr>
          <w:spacing w:val="3"/>
        </w:rPr>
        <w:t xml:space="preserve">费率 </w:t>
      </w:r>
      <w:r>
        <w:t>5</w:t>
      </w:r>
      <w:r>
        <w:rPr>
          <w:spacing w:val="2"/>
        </w:rPr>
        <w:t>%，预计第一年股利率为</w:t>
      </w:r>
      <w:r>
        <w:rPr>
          <w:spacing w:val="-11"/>
        </w:rPr>
        <w:t>12</w:t>
      </w:r>
      <w:r>
        <w:rPr>
          <w:spacing w:val="-5"/>
        </w:rPr>
        <w:t xml:space="preserve">%，以后每年按 </w:t>
      </w:r>
      <w:r>
        <w:t>4</w:t>
      </w:r>
      <w:r>
        <w:rPr>
          <w:spacing w:val="-7"/>
        </w:rPr>
        <w:t xml:space="preserve">%递增。所得税税率为 </w:t>
      </w:r>
      <w:r>
        <w:t>33%</w:t>
      </w:r>
      <w:r>
        <w:rPr>
          <w:spacing w:val="-9"/>
        </w:rPr>
        <w:t>。试计算该筹资</w:t>
      </w:r>
      <w:r>
        <w:t>方案的综合资金成本。</w:t>
      </w:r>
    </w:p>
    <w:p>
      <w:pPr>
        <w:pStyle w:val="BodyText"/>
        <w:spacing w:before="4"/>
        <w:ind w:left="0"/>
        <w:rPr>
          <w:sz w:val="36"/>
        </w:rPr>
      </w:pPr>
    </w:p>
    <w:p>
      <w:pPr>
        <w:pStyle w:val="BodyText"/>
        <w:ind w:left="3176"/>
        <w:jc w:val="both"/>
      </w:pPr>
      <w:r>
        <w:pict>
          <v:group id="_x0000_s1042" style="width:630.1pt;height:148.05pt;margin-top:28.15pt;margin-left:2in;mso-position-horizontal-relative:page;position:absolute;z-index:-251635712" coordorigin="2880,563" coordsize="12602,2961">
            <v:shape id="_x0000_s1043" type="#_x0000_t75" style="width:12602;height:2961;left:2880;position:absolute;top:563" stroked="f">
              <v:imagedata r:id="rId45" o:title=""/>
            </v:shape>
            <v:shape id="_x0000_s1044" type="#_x0000_t202" style="width:1096;height:269;left:3763;position:absolute;top:748" filled="f" stroked="f">
              <v:textbox inset="0,0,0,0">
                <w:txbxContent>
                  <w:p>
                    <w:pPr>
                      <w:spacing w:before="0" w:line="269" w:lineRule="exact"/>
                      <w:ind w:left="0" w:right="0" w:firstLine="0"/>
                      <w:jc w:val="left"/>
                      <w:rPr>
                        <w:sz w:val="27"/>
                      </w:rPr>
                    </w:pPr>
                    <w:r>
                      <w:rPr>
                        <w:sz w:val="27"/>
                      </w:rPr>
                      <w:t>筹资方式</w:t>
                    </w:r>
                  </w:p>
                </w:txbxContent>
              </v:textbox>
            </v:shape>
            <v:shape id="_x0000_s1045" type="#_x0000_t202" style="width:816;height:301;left:8552;position:absolute;top:716" filled="f" stroked="f">
              <v:textbox inset="0,0,0,0">
                <w:txbxContent>
                  <w:p>
                    <w:pPr>
                      <w:spacing w:before="0" w:line="300" w:lineRule="exact"/>
                      <w:ind w:left="0" w:right="0" w:firstLine="0"/>
                      <w:jc w:val="left"/>
                      <w:rPr>
                        <w:sz w:val="27"/>
                      </w:rPr>
                    </w:pPr>
                    <w:r>
                      <w:rPr>
                        <w:rFonts w:ascii="Arial" w:eastAsia="Arial"/>
                        <w:sz w:val="27"/>
                      </w:rPr>
                      <w:t xml:space="preserve">A </w:t>
                    </w:r>
                    <w:r>
                      <w:rPr>
                        <w:sz w:val="27"/>
                      </w:rPr>
                      <w:t>方案</w:t>
                    </w:r>
                  </w:p>
                </w:txbxContent>
              </v:textbox>
            </v:shape>
            <v:shape id="_x0000_s1046" type="#_x0000_t202" style="width:806;height:301;left:12617;position:absolute;top:716" filled="f" stroked="f">
              <v:textbox inset="0,0,0,0">
                <w:txbxContent>
                  <w:p>
                    <w:pPr>
                      <w:spacing w:before="0" w:line="300" w:lineRule="exact"/>
                      <w:ind w:left="0" w:right="0" w:firstLine="0"/>
                      <w:jc w:val="left"/>
                      <w:rPr>
                        <w:sz w:val="27"/>
                      </w:rPr>
                    </w:pPr>
                    <w:r>
                      <w:rPr>
                        <w:rFonts w:ascii="Arial" w:eastAsia="Arial"/>
                        <w:sz w:val="27"/>
                      </w:rPr>
                      <w:t xml:space="preserve">B </w:t>
                    </w:r>
                    <w:r>
                      <w:rPr>
                        <w:sz w:val="27"/>
                      </w:rPr>
                      <w:t>方案</w:t>
                    </w:r>
                  </w:p>
                </w:txbxContent>
              </v:textbox>
            </v:shape>
          </v:group>
        </w:pict>
      </w:r>
      <w:r>
        <w:t>8、某公司拟筹资 1 000 万元投资一项目。现有A、B 两个备选方案。有关资料如下表：</w:t>
      </w:r>
    </w:p>
    <w:p>
      <w:pPr>
        <w:pStyle w:val="BodyText"/>
        <w:ind w:left="0"/>
        <w:rPr>
          <w:sz w:val="20"/>
        </w:rPr>
      </w:pPr>
    </w:p>
    <w:p>
      <w:pPr>
        <w:pStyle w:val="BodyText"/>
        <w:ind w:left="0"/>
        <w:rPr>
          <w:sz w:val="20"/>
        </w:rPr>
      </w:pPr>
    </w:p>
    <w:p>
      <w:pPr>
        <w:pStyle w:val="BodyText"/>
        <w:spacing w:before="9"/>
        <w:ind w:left="0"/>
        <w:rPr>
          <w:sz w:val="22"/>
        </w:rPr>
      </w:pPr>
    </w:p>
    <w:tbl>
      <w:tblPr>
        <w:tblStyle w:val="TableNormal5"/>
        <w:tblW w:w="0" w:type="auto"/>
        <w:jc w:val="left"/>
        <w:tblInd w:w="3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4"/>
        <w:gridCol w:w="2739"/>
        <w:gridCol w:w="2415"/>
        <w:gridCol w:w="2454"/>
        <w:gridCol w:w="2171"/>
      </w:tblGrid>
      <w:tr>
        <w:tblPrEx>
          <w:tblW w:w="0" w:type="auto"/>
          <w:jc w:val="left"/>
          <w:tblInd w:w="3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3"/>
          <w:jc w:val="left"/>
        </w:trPr>
        <w:tc>
          <w:tcPr>
            <w:tcW w:w="1694" w:type="dxa"/>
          </w:tcPr>
          <w:p>
            <w:pPr>
              <w:pStyle w:val="TableParagraph"/>
              <w:rPr>
                <w:rFonts w:ascii="Times New Roman"/>
                <w:sz w:val="30"/>
              </w:rPr>
            </w:pPr>
          </w:p>
        </w:tc>
        <w:tc>
          <w:tcPr>
            <w:tcW w:w="2739" w:type="dxa"/>
          </w:tcPr>
          <w:p>
            <w:pPr>
              <w:pStyle w:val="TableParagraph"/>
              <w:spacing w:line="338" w:lineRule="exact"/>
              <w:ind w:left="539" w:right="269"/>
              <w:jc w:val="center"/>
              <w:rPr>
                <w:sz w:val="27"/>
              </w:rPr>
            </w:pPr>
            <w:r>
              <w:rPr>
                <w:sz w:val="27"/>
              </w:rPr>
              <w:t>筹资额（万元）</w:t>
            </w:r>
          </w:p>
        </w:tc>
        <w:tc>
          <w:tcPr>
            <w:tcW w:w="2415" w:type="dxa"/>
          </w:tcPr>
          <w:p>
            <w:pPr>
              <w:pStyle w:val="TableParagraph"/>
              <w:spacing w:line="338" w:lineRule="exact"/>
              <w:ind w:left="258" w:right="255"/>
              <w:jc w:val="center"/>
              <w:rPr>
                <w:sz w:val="27"/>
              </w:rPr>
            </w:pPr>
            <w:r>
              <w:rPr>
                <w:sz w:val="27"/>
              </w:rPr>
              <w:t>资金成本（</w:t>
            </w:r>
            <w:r>
              <w:rPr>
                <w:rFonts w:ascii="Arial" w:eastAsia="Arial"/>
                <w:sz w:val="27"/>
              </w:rPr>
              <w:t>%</w:t>
            </w:r>
            <w:r>
              <w:rPr>
                <w:sz w:val="27"/>
              </w:rPr>
              <w:t>）</w:t>
            </w:r>
          </w:p>
        </w:tc>
        <w:tc>
          <w:tcPr>
            <w:tcW w:w="2454" w:type="dxa"/>
          </w:tcPr>
          <w:p>
            <w:pPr>
              <w:pStyle w:val="TableParagraph"/>
              <w:spacing w:line="338" w:lineRule="exact"/>
              <w:ind w:left="261" w:right="262"/>
              <w:jc w:val="center"/>
              <w:rPr>
                <w:sz w:val="27"/>
              </w:rPr>
            </w:pPr>
            <w:r>
              <w:rPr>
                <w:sz w:val="27"/>
              </w:rPr>
              <w:t>筹资额（万元）</w:t>
            </w:r>
          </w:p>
        </w:tc>
        <w:tc>
          <w:tcPr>
            <w:tcW w:w="2171" w:type="dxa"/>
          </w:tcPr>
          <w:p>
            <w:pPr>
              <w:pStyle w:val="TableParagraph"/>
              <w:spacing w:line="338" w:lineRule="exact"/>
              <w:ind w:left="250" w:right="19"/>
              <w:jc w:val="center"/>
              <w:rPr>
                <w:sz w:val="27"/>
              </w:rPr>
            </w:pPr>
            <w:r>
              <w:rPr>
                <w:sz w:val="27"/>
              </w:rPr>
              <w:t>资金成本（</w:t>
            </w:r>
            <w:r>
              <w:rPr>
                <w:rFonts w:ascii="Arial" w:eastAsia="Arial"/>
                <w:sz w:val="27"/>
              </w:rPr>
              <w:t>%</w:t>
            </w:r>
            <w:r>
              <w:rPr>
                <w:sz w:val="27"/>
              </w:rPr>
              <w:t>）</w:t>
            </w:r>
          </w:p>
        </w:tc>
      </w:tr>
      <w:tr>
        <w:tblPrEx>
          <w:tblW w:w="0" w:type="auto"/>
          <w:jc w:val="left"/>
          <w:tblInd w:w="3720" w:type="dxa"/>
          <w:tblLayout w:type="fixed"/>
          <w:tblCellMar>
            <w:top w:w="0" w:type="dxa"/>
            <w:left w:w="0" w:type="dxa"/>
            <w:bottom w:w="0" w:type="dxa"/>
            <w:right w:w="0" w:type="dxa"/>
          </w:tblCellMar>
          <w:tblLook w:val="01E0"/>
        </w:tblPrEx>
        <w:trPr>
          <w:trHeight w:val="485"/>
          <w:jc w:val="left"/>
        </w:trPr>
        <w:tc>
          <w:tcPr>
            <w:tcW w:w="1694" w:type="dxa"/>
          </w:tcPr>
          <w:p>
            <w:pPr>
              <w:pStyle w:val="TableParagraph"/>
              <w:spacing w:before="86"/>
              <w:ind w:left="50"/>
              <w:rPr>
                <w:sz w:val="27"/>
              </w:rPr>
            </w:pPr>
            <w:r>
              <w:rPr>
                <w:sz w:val="27"/>
              </w:rPr>
              <w:t>普 通 股</w:t>
            </w:r>
          </w:p>
        </w:tc>
        <w:tc>
          <w:tcPr>
            <w:tcW w:w="2739" w:type="dxa"/>
          </w:tcPr>
          <w:p>
            <w:pPr>
              <w:pStyle w:val="TableParagraph"/>
              <w:spacing w:before="102"/>
              <w:ind w:left="537" w:right="269"/>
              <w:jc w:val="center"/>
              <w:rPr>
                <w:rFonts w:ascii="Arial"/>
                <w:sz w:val="27"/>
              </w:rPr>
            </w:pPr>
            <w:r>
              <w:rPr>
                <w:rFonts w:ascii="Arial"/>
                <w:sz w:val="27"/>
              </w:rPr>
              <w:t>200</w:t>
            </w:r>
          </w:p>
        </w:tc>
        <w:tc>
          <w:tcPr>
            <w:tcW w:w="2415" w:type="dxa"/>
          </w:tcPr>
          <w:p>
            <w:pPr>
              <w:pStyle w:val="TableParagraph"/>
              <w:spacing w:before="102"/>
              <w:ind w:left="255" w:right="255"/>
              <w:jc w:val="center"/>
              <w:rPr>
                <w:rFonts w:ascii="Arial"/>
                <w:sz w:val="27"/>
              </w:rPr>
            </w:pPr>
            <w:r>
              <w:rPr>
                <w:rFonts w:ascii="Arial"/>
                <w:sz w:val="27"/>
              </w:rPr>
              <w:t>13</w:t>
            </w:r>
          </w:p>
        </w:tc>
        <w:tc>
          <w:tcPr>
            <w:tcW w:w="2454" w:type="dxa"/>
          </w:tcPr>
          <w:p>
            <w:pPr>
              <w:pStyle w:val="TableParagraph"/>
              <w:spacing w:before="102"/>
              <w:ind w:left="261" w:right="262"/>
              <w:jc w:val="center"/>
              <w:rPr>
                <w:rFonts w:ascii="Arial"/>
                <w:sz w:val="27"/>
              </w:rPr>
            </w:pPr>
            <w:r>
              <w:rPr>
                <w:rFonts w:ascii="Arial"/>
                <w:sz w:val="27"/>
              </w:rPr>
              <w:t>500</w:t>
            </w:r>
          </w:p>
        </w:tc>
        <w:tc>
          <w:tcPr>
            <w:tcW w:w="2171" w:type="dxa"/>
          </w:tcPr>
          <w:p>
            <w:pPr>
              <w:pStyle w:val="TableParagraph"/>
              <w:spacing w:before="102"/>
              <w:ind w:left="247" w:right="19"/>
              <w:jc w:val="center"/>
              <w:rPr>
                <w:rFonts w:ascii="Arial"/>
                <w:sz w:val="27"/>
              </w:rPr>
            </w:pPr>
            <w:r>
              <w:rPr>
                <w:rFonts w:ascii="Arial"/>
                <w:sz w:val="27"/>
              </w:rPr>
              <w:t>12</w:t>
            </w:r>
          </w:p>
        </w:tc>
      </w:tr>
      <w:tr>
        <w:tblPrEx>
          <w:tblW w:w="0" w:type="auto"/>
          <w:jc w:val="left"/>
          <w:tblInd w:w="3720" w:type="dxa"/>
          <w:tblLayout w:type="fixed"/>
          <w:tblCellMar>
            <w:top w:w="0" w:type="dxa"/>
            <w:left w:w="0" w:type="dxa"/>
            <w:bottom w:w="0" w:type="dxa"/>
            <w:right w:w="0" w:type="dxa"/>
          </w:tblCellMar>
          <w:tblLook w:val="01E0"/>
        </w:tblPrEx>
        <w:trPr>
          <w:trHeight w:val="485"/>
          <w:jc w:val="left"/>
        </w:trPr>
        <w:tc>
          <w:tcPr>
            <w:tcW w:w="1694" w:type="dxa"/>
          </w:tcPr>
          <w:p>
            <w:pPr>
              <w:pStyle w:val="TableParagraph"/>
              <w:spacing w:before="84"/>
              <w:ind w:left="50"/>
              <w:rPr>
                <w:sz w:val="27"/>
              </w:rPr>
            </w:pPr>
            <w:r>
              <w:rPr>
                <w:sz w:val="27"/>
              </w:rPr>
              <w:t>公司债券</w:t>
            </w:r>
          </w:p>
        </w:tc>
        <w:tc>
          <w:tcPr>
            <w:tcW w:w="2739" w:type="dxa"/>
          </w:tcPr>
          <w:p>
            <w:pPr>
              <w:pStyle w:val="TableParagraph"/>
              <w:spacing w:before="100"/>
              <w:ind w:left="537" w:right="269"/>
              <w:jc w:val="center"/>
              <w:rPr>
                <w:rFonts w:ascii="Arial"/>
                <w:sz w:val="27"/>
              </w:rPr>
            </w:pPr>
            <w:r>
              <w:rPr>
                <w:rFonts w:ascii="Arial"/>
                <w:sz w:val="27"/>
              </w:rPr>
              <w:t>200</w:t>
            </w:r>
          </w:p>
        </w:tc>
        <w:tc>
          <w:tcPr>
            <w:tcW w:w="2415" w:type="dxa"/>
          </w:tcPr>
          <w:p>
            <w:pPr>
              <w:pStyle w:val="TableParagraph"/>
              <w:spacing w:before="100"/>
              <w:ind w:left="255" w:right="255"/>
              <w:jc w:val="center"/>
              <w:rPr>
                <w:rFonts w:ascii="Arial"/>
                <w:sz w:val="27"/>
              </w:rPr>
            </w:pPr>
            <w:r>
              <w:rPr>
                <w:rFonts w:ascii="Arial"/>
                <w:sz w:val="27"/>
              </w:rPr>
              <w:t>12</w:t>
            </w:r>
          </w:p>
        </w:tc>
        <w:tc>
          <w:tcPr>
            <w:tcW w:w="2454" w:type="dxa"/>
          </w:tcPr>
          <w:p>
            <w:pPr>
              <w:pStyle w:val="TableParagraph"/>
              <w:spacing w:before="100"/>
              <w:ind w:left="261" w:right="262"/>
              <w:jc w:val="center"/>
              <w:rPr>
                <w:rFonts w:ascii="Arial"/>
                <w:sz w:val="27"/>
              </w:rPr>
            </w:pPr>
            <w:r>
              <w:rPr>
                <w:rFonts w:ascii="Arial"/>
                <w:sz w:val="27"/>
              </w:rPr>
              <w:t>300</w:t>
            </w:r>
          </w:p>
        </w:tc>
        <w:tc>
          <w:tcPr>
            <w:tcW w:w="2171" w:type="dxa"/>
          </w:tcPr>
          <w:p>
            <w:pPr>
              <w:pStyle w:val="TableParagraph"/>
              <w:spacing w:before="100"/>
              <w:ind w:left="247" w:right="19"/>
              <w:jc w:val="center"/>
              <w:rPr>
                <w:rFonts w:ascii="Arial"/>
                <w:sz w:val="27"/>
              </w:rPr>
            </w:pPr>
            <w:r>
              <w:rPr>
                <w:rFonts w:ascii="Arial"/>
                <w:sz w:val="27"/>
              </w:rPr>
              <w:t>10</w:t>
            </w:r>
          </w:p>
        </w:tc>
      </w:tr>
      <w:tr>
        <w:tblPrEx>
          <w:tblW w:w="0" w:type="auto"/>
          <w:jc w:val="left"/>
          <w:tblInd w:w="3720" w:type="dxa"/>
          <w:tblLayout w:type="fixed"/>
          <w:tblCellMar>
            <w:top w:w="0" w:type="dxa"/>
            <w:left w:w="0" w:type="dxa"/>
            <w:bottom w:w="0" w:type="dxa"/>
            <w:right w:w="0" w:type="dxa"/>
          </w:tblCellMar>
          <w:tblLook w:val="01E0"/>
        </w:tblPrEx>
        <w:trPr>
          <w:trHeight w:val="485"/>
          <w:jc w:val="left"/>
        </w:trPr>
        <w:tc>
          <w:tcPr>
            <w:tcW w:w="1694" w:type="dxa"/>
          </w:tcPr>
          <w:p>
            <w:pPr>
              <w:pStyle w:val="TableParagraph"/>
              <w:spacing w:before="86"/>
              <w:ind w:left="50"/>
              <w:rPr>
                <w:sz w:val="27"/>
              </w:rPr>
            </w:pPr>
            <w:r>
              <w:rPr>
                <w:sz w:val="27"/>
              </w:rPr>
              <w:t>长期借款</w:t>
            </w:r>
          </w:p>
        </w:tc>
        <w:tc>
          <w:tcPr>
            <w:tcW w:w="2739" w:type="dxa"/>
          </w:tcPr>
          <w:p>
            <w:pPr>
              <w:pStyle w:val="TableParagraph"/>
              <w:spacing w:before="102"/>
              <w:ind w:left="537" w:right="269"/>
              <w:jc w:val="center"/>
              <w:rPr>
                <w:rFonts w:ascii="Arial"/>
                <w:sz w:val="27"/>
              </w:rPr>
            </w:pPr>
            <w:r>
              <w:rPr>
                <w:rFonts w:ascii="Arial"/>
                <w:sz w:val="27"/>
              </w:rPr>
              <w:t>600</w:t>
            </w:r>
          </w:p>
        </w:tc>
        <w:tc>
          <w:tcPr>
            <w:tcW w:w="2415" w:type="dxa"/>
          </w:tcPr>
          <w:p>
            <w:pPr>
              <w:pStyle w:val="TableParagraph"/>
              <w:spacing w:before="102"/>
              <w:ind w:left="255" w:right="255"/>
              <w:jc w:val="center"/>
              <w:rPr>
                <w:rFonts w:ascii="Arial"/>
                <w:sz w:val="27"/>
              </w:rPr>
            </w:pPr>
            <w:r>
              <w:rPr>
                <w:rFonts w:ascii="Arial"/>
                <w:sz w:val="27"/>
              </w:rPr>
              <w:t>10</w:t>
            </w:r>
          </w:p>
        </w:tc>
        <w:tc>
          <w:tcPr>
            <w:tcW w:w="2454" w:type="dxa"/>
          </w:tcPr>
          <w:p>
            <w:pPr>
              <w:pStyle w:val="TableParagraph"/>
              <w:spacing w:before="102"/>
              <w:ind w:left="261" w:right="262"/>
              <w:jc w:val="center"/>
              <w:rPr>
                <w:rFonts w:ascii="Arial"/>
                <w:sz w:val="27"/>
              </w:rPr>
            </w:pPr>
            <w:r>
              <w:rPr>
                <w:rFonts w:ascii="Arial"/>
                <w:sz w:val="27"/>
              </w:rPr>
              <w:t>200</w:t>
            </w:r>
          </w:p>
        </w:tc>
        <w:tc>
          <w:tcPr>
            <w:tcW w:w="2171" w:type="dxa"/>
          </w:tcPr>
          <w:p>
            <w:pPr>
              <w:pStyle w:val="TableParagraph"/>
              <w:spacing w:before="102"/>
              <w:ind w:left="229"/>
              <w:jc w:val="center"/>
              <w:rPr>
                <w:rFonts w:ascii="Arial"/>
                <w:sz w:val="27"/>
              </w:rPr>
            </w:pPr>
            <w:r>
              <w:rPr>
                <w:rFonts w:ascii="Arial"/>
                <w:w w:val="89"/>
                <w:sz w:val="27"/>
              </w:rPr>
              <w:t>9</w:t>
            </w:r>
          </w:p>
        </w:tc>
      </w:tr>
      <w:tr>
        <w:tblPrEx>
          <w:tblW w:w="0" w:type="auto"/>
          <w:jc w:val="left"/>
          <w:tblInd w:w="3720" w:type="dxa"/>
          <w:tblLayout w:type="fixed"/>
          <w:tblCellMar>
            <w:top w:w="0" w:type="dxa"/>
            <w:left w:w="0" w:type="dxa"/>
            <w:bottom w:w="0" w:type="dxa"/>
            <w:right w:w="0" w:type="dxa"/>
          </w:tblCellMar>
          <w:tblLook w:val="01E0"/>
        </w:tblPrEx>
        <w:trPr>
          <w:trHeight w:val="391"/>
          <w:jc w:val="left"/>
        </w:trPr>
        <w:tc>
          <w:tcPr>
            <w:tcW w:w="1694" w:type="dxa"/>
          </w:tcPr>
          <w:p>
            <w:pPr>
              <w:pStyle w:val="TableParagraph"/>
              <w:tabs>
                <w:tab w:val="left" w:pos="860"/>
              </w:tabs>
              <w:spacing w:before="84" w:line="288" w:lineRule="exact"/>
              <w:ind w:left="50"/>
              <w:rPr>
                <w:sz w:val="27"/>
              </w:rPr>
            </w:pPr>
            <w:r>
              <w:rPr>
                <w:sz w:val="27"/>
              </w:rPr>
              <w:t>合</w:t>
              <w:tab/>
              <w:t>计</w:t>
            </w:r>
          </w:p>
        </w:tc>
        <w:tc>
          <w:tcPr>
            <w:tcW w:w="2739" w:type="dxa"/>
          </w:tcPr>
          <w:p>
            <w:pPr>
              <w:pStyle w:val="TableParagraph"/>
              <w:spacing w:before="100" w:line="271" w:lineRule="exact"/>
              <w:ind w:left="538" w:right="269"/>
              <w:jc w:val="center"/>
              <w:rPr>
                <w:rFonts w:ascii="Arial"/>
                <w:sz w:val="27"/>
              </w:rPr>
            </w:pPr>
            <w:r>
              <w:rPr>
                <w:rFonts w:ascii="Arial"/>
                <w:sz w:val="27"/>
              </w:rPr>
              <w:t>1 000</w:t>
            </w:r>
          </w:p>
        </w:tc>
        <w:tc>
          <w:tcPr>
            <w:tcW w:w="2415" w:type="dxa"/>
          </w:tcPr>
          <w:p>
            <w:pPr>
              <w:pStyle w:val="TableParagraph"/>
              <w:rPr>
                <w:rFonts w:ascii="Times New Roman"/>
                <w:sz w:val="30"/>
              </w:rPr>
            </w:pPr>
          </w:p>
        </w:tc>
        <w:tc>
          <w:tcPr>
            <w:tcW w:w="2454" w:type="dxa"/>
          </w:tcPr>
          <w:p>
            <w:pPr>
              <w:pStyle w:val="TableParagraph"/>
              <w:spacing w:before="100" w:line="271" w:lineRule="exact"/>
              <w:ind w:left="261" w:right="262"/>
              <w:jc w:val="center"/>
              <w:rPr>
                <w:rFonts w:ascii="Arial"/>
                <w:sz w:val="27"/>
              </w:rPr>
            </w:pPr>
            <w:r>
              <w:rPr>
                <w:rFonts w:ascii="Arial"/>
                <w:sz w:val="27"/>
              </w:rPr>
              <w:t>1 000</w:t>
            </w:r>
          </w:p>
        </w:tc>
        <w:tc>
          <w:tcPr>
            <w:tcW w:w="2171" w:type="dxa"/>
          </w:tcPr>
          <w:p>
            <w:pPr>
              <w:pStyle w:val="TableParagraph"/>
              <w:rPr>
                <w:rFonts w:ascii="Times New Roman"/>
                <w:sz w:val="30"/>
              </w:rPr>
            </w:pPr>
          </w:p>
        </w:tc>
      </w:tr>
    </w:tbl>
    <w:p>
      <w:pPr>
        <w:pStyle w:val="BodyText"/>
        <w:ind w:left="0"/>
        <w:rPr>
          <w:sz w:val="20"/>
        </w:rPr>
      </w:pPr>
    </w:p>
    <w:p>
      <w:pPr>
        <w:pStyle w:val="BodyText"/>
        <w:ind w:left="0"/>
        <w:rPr>
          <w:sz w:val="20"/>
        </w:rPr>
      </w:pPr>
    </w:p>
    <w:p>
      <w:pPr>
        <w:pStyle w:val="BodyText"/>
        <w:spacing w:before="3"/>
        <w:ind w:left="0"/>
        <w:rPr>
          <w:sz w:val="15"/>
        </w:rPr>
      </w:pPr>
    </w:p>
    <w:p>
      <w:pPr>
        <w:pStyle w:val="BodyText"/>
        <w:spacing w:before="63"/>
      </w:pPr>
      <w:r>
        <w:rPr>
          <w:spacing w:val="-7"/>
        </w:rPr>
        <w:t xml:space="preserve">若该投资项目的年平均收益额为 </w:t>
      </w:r>
      <w:r>
        <w:t>109</w:t>
      </w:r>
      <w:r>
        <w:rPr>
          <w:spacing w:val="-17"/>
        </w:rPr>
        <w:t xml:space="preserve"> 万元，试选择筹资方案</w:t>
      </w:r>
      <w:r>
        <w:rPr>
          <w:spacing w:val="-241"/>
        </w:rPr>
        <w:t>。</w:t>
      </w:r>
      <w:r>
        <w:t>（计算结果保留小数点后两位）</w:t>
      </w:r>
    </w:p>
    <w:p>
      <w:pPr>
        <w:pStyle w:val="BodyText"/>
        <w:ind w:left="0"/>
        <w:rPr>
          <w:sz w:val="32"/>
        </w:rPr>
      </w:pPr>
    </w:p>
    <w:p>
      <w:pPr>
        <w:pStyle w:val="BodyText"/>
        <w:spacing w:before="7"/>
        <w:ind w:left="0"/>
        <w:rPr>
          <w:sz w:val="46"/>
        </w:rPr>
      </w:pPr>
    </w:p>
    <w:p>
      <w:pPr>
        <w:pStyle w:val="BodyText"/>
      </w:pPr>
      <w:r>
        <w:rPr>
          <w:w w:val="102"/>
        </w:rPr>
        <w:t>9</w:t>
      </w:r>
      <w:r>
        <w:rPr>
          <w:spacing w:val="-159"/>
          <w:w w:val="102"/>
        </w:rPr>
        <w:t>、</w:t>
      </w:r>
      <w:r>
        <w:rPr>
          <w:w w:val="102"/>
        </w:rPr>
        <w:t>（</w:t>
      </w:r>
      <w:r>
        <w:rPr>
          <w:spacing w:val="-3"/>
          <w:w w:val="102"/>
        </w:rPr>
        <w:t>计算题</w:t>
      </w:r>
      <w:r>
        <w:rPr>
          <w:w w:val="102"/>
        </w:rPr>
        <w:t>)A</w:t>
      </w:r>
      <w:r>
        <w:rPr>
          <w:spacing w:val="-76"/>
        </w:rPr>
        <w:t xml:space="preserve"> </w:t>
      </w:r>
      <w:r>
        <w:rPr>
          <w:w w:val="102"/>
        </w:rPr>
        <w:t>公司</w:t>
      </w:r>
      <w:r>
        <w:rPr>
          <w:spacing w:val="-76"/>
        </w:rPr>
        <w:t xml:space="preserve"> </w:t>
      </w:r>
      <w:r>
        <w:rPr>
          <w:w w:val="102"/>
        </w:rPr>
        <w:t>1998</w:t>
      </w:r>
      <w:r>
        <w:rPr>
          <w:spacing w:val="-82"/>
        </w:rPr>
        <w:t xml:space="preserve"> </w:t>
      </w:r>
      <w:r>
        <w:rPr>
          <w:w w:val="102"/>
        </w:rPr>
        <w:t>年资本总额为</w:t>
      </w:r>
      <w:r>
        <w:rPr>
          <w:spacing w:val="-84"/>
        </w:rPr>
        <w:t xml:space="preserve"> </w:t>
      </w:r>
      <w:r>
        <w:rPr>
          <w:w w:val="102"/>
        </w:rPr>
        <w:t>1</w:t>
      </w:r>
      <w:r>
        <w:rPr>
          <w:spacing w:val="3"/>
        </w:rPr>
        <w:t xml:space="preserve"> </w:t>
      </w:r>
      <w:r>
        <w:rPr>
          <w:w w:val="102"/>
        </w:rPr>
        <w:t>000</w:t>
      </w:r>
      <w:r>
        <w:rPr>
          <w:spacing w:val="-80"/>
        </w:rPr>
        <w:t xml:space="preserve"> </w:t>
      </w:r>
      <w:r>
        <w:rPr>
          <w:w w:val="102"/>
        </w:rPr>
        <w:t>万元，其中普通股</w:t>
      </w:r>
      <w:r>
        <w:rPr>
          <w:spacing w:val="-86"/>
        </w:rPr>
        <w:t xml:space="preserve"> </w:t>
      </w:r>
      <w:r>
        <w:rPr>
          <w:w w:val="102"/>
        </w:rPr>
        <w:t>600</w:t>
      </w:r>
      <w:r>
        <w:rPr>
          <w:spacing w:val="-76"/>
        </w:rPr>
        <w:t xml:space="preserve"> </w:t>
      </w:r>
      <w:r>
        <w:rPr>
          <w:w w:val="102"/>
        </w:rPr>
        <w:t>万元</w:t>
      </w:r>
      <w:r>
        <w:rPr>
          <w:spacing w:val="-8"/>
          <w:w w:val="102"/>
        </w:rPr>
        <w:t>（</w:t>
      </w:r>
      <w:r>
        <w:rPr>
          <w:w w:val="102"/>
        </w:rPr>
        <w:t>24</w:t>
      </w:r>
      <w:r>
        <w:rPr>
          <w:spacing w:val="-79"/>
        </w:rPr>
        <w:t xml:space="preserve"> </w:t>
      </w:r>
      <w:r>
        <w:rPr>
          <w:w w:val="102"/>
        </w:rPr>
        <w:t>万股</w:t>
      </w:r>
      <w:r>
        <w:rPr>
          <w:spacing w:val="-162"/>
          <w:w w:val="102"/>
        </w:rPr>
        <w:t>）</w:t>
      </w:r>
      <w:r>
        <w:rPr>
          <w:w w:val="102"/>
        </w:rPr>
        <w:t>，债务</w:t>
      </w:r>
    </w:p>
    <w:p>
      <w:pPr>
        <w:spacing w:after="0"/>
        <w:sectPr>
          <w:headerReference w:type="default" r:id="rId46"/>
          <w:pgSz w:w="17860" w:h="25260"/>
          <w:pgMar w:top="1360" w:right="0" w:bottom="280" w:left="0" w:header="1160" w:footer="0"/>
          <w:pgNumType w:start="23"/>
          <w:cols w:space="708"/>
        </w:sectPr>
      </w:pPr>
    </w:p>
    <w:p>
      <w:pPr>
        <w:pStyle w:val="BodyText"/>
        <w:ind w:left="0"/>
        <w:rPr>
          <w:sz w:val="20"/>
        </w:rPr>
      </w:pPr>
    </w:p>
    <w:p>
      <w:pPr>
        <w:pStyle w:val="BodyText"/>
        <w:spacing w:before="5"/>
        <w:ind w:left="0"/>
        <w:rPr>
          <w:sz w:val="19"/>
        </w:rPr>
      </w:pPr>
    </w:p>
    <w:p>
      <w:pPr>
        <w:pStyle w:val="BodyText"/>
        <w:spacing w:before="62"/>
        <w:jc w:val="both"/>
      </w:pPr>
      <w:r>
        <w:t>400</w:t>
      </w:r>
      <w:r>
        <w:rPr>
          <w:spacing w:val="-18"/>
        </w:rPr>
        <w:t xml:space="preserve"> 万元。债务利率为 </w:t>
      </w:r>
      <w:r>
        <w:t>10</w:t>
      </w:r>
      <w:r>
        <w:rPr>
          <w:spacing w:val="-8"/>
        </w:rPr>
        <w:t xml:space="preserve">%，假定公司所得税税率为 </w:t>
      </w:r>
      <w:r>
        <w:t>40%（下同</w:t>
      </w:r>
      <w:r>
        <w:rPr>
          <w:spacing w:val="-166"/>
        </w:rPr>
        <w:t>）</w:t>
      </w:r>
      <w:r>
        <w:t>。</w:t>
      </w:r>
    </w:p>
    <w:p>
      <w:pPr>
        <w:pStyle w:val="BodyText"/>
        <w:spacing w:before="71" w:line="283" w:lineRule="auto"/>
        <w:ind w:right="2674"/>
        <w:jc w:val="both"/>
      </w:pPr>
      <w:r>
        <w:rPr>
          <w:spacing w:val="-11"/>
        </w:rPr>
        <w:t xml:space="preserve">该公司 </w:t>
      </w:r>
      <w:r>
        <w:t>1999</w:t>
      </w:r>
      <w:r>
        <w:rPr>
          <w:spacing w:val="-13"/>
        </w:rPr>
        <w:t xml:space="preserve"> 年预定将资本总额增至 </w:t>
      </w:r>
      <w:r>
        <w:t>1</w:t>
      </w:r>
      <w:r>
        <w:rPr>
          <w:spacing w:val="68"/>
        </w:rPr>
        <w:t xml:space="preserve"> </w:t>
      </w:r>
      <w:r>
        <w:t>200</w:t>
      </w:r>
      <w:r>
        <w:rPr>
          <w:spacing w:val="-13"/>
        </w:rPr>
        <w:t xml:space="preserve"> 万元，需追加资本 </w:t>
      </w:r>
      <w:r>
        <w:t>200</w:t>
      </w:r>
      <w:r>
        <w:rPr>
          <w:spacing w:val="-8"/>
        </w:rPr>
        <w:t xml:space="preserve"> 万元。现有两个追加筹资</w:t>
      </w:r>
      <w:r>
        <w:rPr>
          <w:spacing w:val="-25"/>
          <w:w w:val="102"/>
        </w:rPr>
        <w:t>方案可供选择：</w:t>
      </w:r>
      <w:r>
        <w:rPr>
          <w:spacing w:val="-1"/>
          <w:w w:val="102"/>
        </w:rPr>
        <w:t>（</w:t>
      </w:r>
      <w:r>
        <w:rPr>
          <w:w w:val="102"/>
        </w:rPr>
        <w:t>1）发行债券，年利率</w:t>
      </w:r>
      <w:r>
        <w:rPr>
          <w:spacing w:val="-72"/>
        </w:rPr>
        <w:t xml:space="preserve"> </w:t>
      </w:r>
      <w:r>
        <w:rPr>
          <w:w w:val="102"/>
        </w:rPr>
        <w:t>12</w:t>
      </w:r>
      <w:r>
        <w:rPr>
          <w:spacing w:val="-82"/>
          <w:w w:val="102"/>
        </w:rPr>
        <w:t>%，</w:t>
      </w:r>
      <w:r>
        <w:rPr>
          <w:spacing w:val="-4"/>
          <w:w w:val="102"/>
        </w:rPr>
        <w:t>（</w:t>
      </w:r>
      <w:r>
        <w:rPr>
          <w:w w:val="102"/>
        </w:rPr>
        <w:t>2）增发普通股</w:t>
      </w:r>
      <w:r>
        <w:rPr>
          <w:spacing w:val="-65"/>
        </w:rPr>
        <w:t xml:space="preserve"> </w:t>
      </w:r>
      <w:r>
        <w:rPr>
          <w:w w:val="102"/>
        </w:rPr>
        <w:t>8</w:t>
      </w:r>
      <w:r>
        <w:rPr>
          <w:spacing w:val="-62"/>
        </w:rPr>
        <w:t xml:space="preserve"> </w:t>
      </w:r>
      <w:r>
        <w:rPr>
          <w:w w:val="102"/>
        </w:rPr>
        <w:t>万股。预计</w:t>
      </w:r>
      <w:r>
        <w:rPr>
          <w:spacing w:val="-69"/>
        </w:rPr>
        <w:t xml:space="preserve"> </w:t>
      </w:r>
      <w:r>
        <w:rPr>
          <w:w w:val="102"/>
        </w:rPr>
        <w:t>1999</w:t>
      </w:r>
      <w:r>
        <w:rPr>
          <w:spacing w:val="-57"/>
        </w:rPr>
        <w:t xml:space="preserve"> </w:t>
      </w:r>
      <w:r>
        <w:rPr>
          <w:w w:val="102"/>
        </w:rPr>
        <w:t>年息税前</w:t>
      </w:r>
      <w:r>
        <w:rPr>
          <w:spacing w:val="-20"/>
        </w:rPr>
        <w:t xml:space="preserve">利润为 </w:t>
      </w:r>
      <w:r>
        <w:t>200</w:t>
      </w:r>
      <w:r>
        <w:rPr>
          <w:spacing w:val="-27"/>
        </w:rPr>
        <w:t xml:space="preserve"> 万。</w:t>
      </w:r>
    </w:p>
    <w:p>
      <w:pPr>
        <w:pStyle w:val="BodyText"/>
        <w:spacing w:line="283" w:lineRule="auto"/>
        <w:ind w:right="2642"/>
        <w:jc w:val="both"/>
      </w:pPr>
      <w:r>
        <w:rPr>
          <w:spacing w:val="-54"/>
          <w:w w:val="102"/>
        </w:rPr>
        <w:t>要求：</w:t>
      </w:r>
      <w:r>
        <w:rPr>
          <w:spacing w:val="-1"/>
          <w:w w:val="102"/>
        </w:rPr>
        <w:t>（</w:t>
      </w:r>
      <w:r>
        <w:rPr>
          <w:w w:val="102"/>
        </w:rPr>
        <w:t>1）测算</w:t>
      </w:r>
      <w:r>
        <w:rPr>
          <w:spacing w:val="-76"/>
        </w:rPr>
        <w:t xml:space="preserve"> </w:t>
      </w:r>
      <w:r>
        <w:rPr>
          <w:w w:val="102"/>
        </w:rPr>
        <w:t>1999</w:t>
      </w:r>
      <w:r>
        <w:rPr>
          <w:spacing w:val="-72"/>
        </w:rPr>
        <w:t xml:space="preserve"> </w:t>
      </w:r>
      <w:r>
        <w:rPr>
          <w:spacing w:val="-1"/>
          <w:w w:val="102"/>
        </w:rPr>
        <w:t>年两个可追加筹资方案下无差别点的息税前利润和无差别点的普通股</w:t>
      </w:r>
      <w:r>
        <w:t>每股税后利润。</w:t>
      </w:r>
    </w:p>
    <w:p>
      <w:pPr>
        <w:pStyle w:val="BodyText"/>
        <w:spacing w:line="396" w:lineRule="exact"/>
      </w:pPr>
      <w:r>
        <w:t>（2）测算两个追加筹资方案下 1999 年普通股每股税后利润，并依此作出评价。</w:t>
      </w:r>
    </w:p>
    <w:p>
      <w:pPr>
        <w:pStyle w:val="BodyText"/>
        <w:spacing w:before="12"/>
        <w:ind w:left="0"/>
        <w:rPr>
          <w:sz w:val="41"/>
        </w:rPr>
      </w:pPr>
    </w:p>
    <w:p>
      <w:pPr>
        <w:pStyle w:val="BodyText"/>
        <w:spacing w:line="283" w:lineRule="auto"/>
        <w:ind w:right="2631"/>
        <w:jc w:val="both"/>
      </w:pPr>
      <w:r>
        <w:rPr>
          <w:spacing w:val="-18"/>
        </w:rPr>
        <w:t>10</w:t>
      </w:r>
      <w:r>
        <w:rPr>
          <w:spacing w:val="-8"/>
        </w:rPr>
        <w:t xml:space="preserve">．某公司目前共有资本 </w:t>
      </w:r>
      <w:r>
        <w:t>400</w:t>
      </w:r>
      <w:r>
        <w:rPr>
          <w:spacing w:val="-7"/>
        </w:rPr>
        <w:t xml:space="preserve"> 万元，其中权益资本普通股和债务资本债券各为</w:t>
      </w:r>
      <w:r>
        <w:t>200</w:t>
      </w:r>
      <w:r>
        <w:rPr>
          <w:spacing w:val="-12"/>
        </w:rPr>
        <w:t xml:space="preserve"> 万元，普通股每股 10</w:t>
      </w:r>
      <w:r>
        <w:rPr>
          <w:spacing w:val="-5"/>
        </w:rPr>
        <w:t xml:space="preserve"> 元，债券利息率为</w:t>
      </w:r>
      <w:r>
        <w:rPr>
          <w:spacing w:val="-4"/>
        </w:rPr>
        <w:t>8</w:t>
      </w:r>
      <w:r>
        <w:rPr>
          <w:spacing w:val="3"/>
        </w:rPr>
        <w:t>%。该公司拟增加资本</w:t>
      </w:r>
      <w:r>
        <w:t>200</w:t>
      </w:r>
      <w:r>
        <w:rPr>
          <w:spacing w:val="-1"/>
        </w:rPr>
        <w:t xml:space="preserve"> 万元，方案有两个，甲方案：全</w:t>
      </w:r>
      <w:r>
        <w:rPr>
          <w:spacing w:val="4"/>
        </w:rPr>
        <w:t xml:space="preserve">部发行每股 </w:t>
      </w:r>
      <w:r>
        <w:t>10 元的普通股：乙方案：全部发行年利率8%公司债券。假定公司的所得税税率是 40%</w:t>
      </w:r>
      <w:r>
        <w:rPr>
          <w:spacing w:val="-39"/>
        </w:rPr>
        <w:t xml:space="preserve"> 。</w:t>
      </w:r>
    </w:p>
    <w:p>
      <w:pPr>
        <w:pStyle w:val="BodyText"/>
        <w:spacing w:line="395" w:lineRule="exact"/>
      </w:pPr>
      <w:r>
        <w:rPr>
          <w:spacing w:val="-54"/>
          <w:w w:val="102"/>
        </w:rPr>
        <w:t>要求：</w:t>
      </w:r>
      <w:r>
        <w:rPr>
          <w:spacing w:val="-1"/>
          <w:w w:val="102"/>
        </w:rPr>
        <w:t>（</w:t>
      </w:r>
      <w:r>
        <w:rPr>
          <w:w w:val="102"/>
        </w:rPr>
        <w:t>1）</w:t>
      </w:r>
      <w:r>
        <w:rPr>
          <w:spacing w:val="3"/>
          <w:w w:val="102"/>
        </w:rPr>
        <w:t>公司增资之后，若预计息税前利润为</w:t>
      </w:r>
      <w:r>
        <w:rPr>
          <w:w w:val="102"/>
        </w:rPr>
        <w:t>60</w:t>
      </w:r>
      <w:r>
        <w:rPr>
          <w:spacing w:val="-83"/>
        </w:rPr>
        <w:t xml:space="preserve"> </w:t>
      </w:r>
      <w:r>
        <w:rPr>
          <w:spacing w:val="6"/>
          <w:w w:val="102"/>
        </w:rPr>
        <w:t>万元，计算两个方案的</w:t>
      </w:r>
      <w:r>
        <w:rPr>
          <w:w w:val="102"/>
        </w:rPr>
        <w:t>EP</w:t>
      </w:r>
      <w:r>
        <w:rPr>
          <w:spacing w:val="-7"/>
          <w:w w:val="102"/>
        </w:rPr>
        <w:t>S</w:t>
      </w:r>
      <w:r>
        <w:rPr>
          <w:spacing w:val="-159"/>
          <w:w w:val="102"/>
        </w:rPr>
        <w:t>。</w:t>
      </w:r>
      <w:r>
        <w:rPr>
          <w:w w:val="102"/>
        </w:rPr>
        <w:t>（6</w:t>
      </w:r>
      <w:r>
        <w:rPr>
          <w:spacing w:val="-80"/>
        </w:rPr>
        <w:t xml:space="preserve"> </w:t>
      </w:r>
      <w:r>
        <w:rPr>
          <w:w w:val="102"/>
        </w:rPr>
        <w:t>分）</w:t>
      </w:r>
    </w:p>
    <w:p>
      <w:pPr>
        <w:pStyle w:val="BodyText"/>
        <w:spacing w:before="71" w:line="283" w:lineRule="auto"/>
        <w:ind w:right="2674" w:firstLine="788"/>
      </w:pPr>
      <w:r>
        <w:t>（2）计算每股收益无差别点，如果公司预计息税前利润为45 万元，据此对筹资方案进行决策。（8 分）</w:t>
      </w:r>
    </w:p>
    <w:p>
      <w:pPr>
        <w:spacing w:before="206"/>
        <w:ind w:left="2700" w:right="0" w:firstLine="0"/>
        <w:jc w:val="left"/>
        <w:rPr>
          <w:rFonts w:ascii="Arial"/>
          <w:sz w:val="18"/>
        </w:rPr>
      </w:pPr>
      <w:r>
        <w:rPr>
          <w:rFonts w:ascii="Arial"/>
          <w:w w:val="76"/>
          <w:sz w:val="18"/>
        </w:rPr>
        <w:t>|</w:t>
      </w:r>
    </w:p>
    <w:p>
      <w:pPr>
        <w:pStyle w:val="BodyText"/>
        <w:ind w:left="0"/>
        <w:rPr>
          <w:rFonts w:ascii="Arial"/>
          <w:sz w:val="18"/>
        </w:rPr>
      </w:pPr>
    </w:p>
    <w:p>
      <w:pPr>
        <w:pStyle w:val="BodyText"/>
        <w:ind w:left="0"/>
        <w:rPr>
          <w:rFonts w:ascii="Arial"/>
          <w:sz w:val="18"/>
        </w:rPr>
      </w:pPr>
    </w:p>
    <w:p>
      <w:pPr>
        <w:pStyle w:val="Heading2"/>
        <w:spacing w:before="107" w:line="283" w:lineRule="auto"/>
        <w:ind w:right="12147"/>
      </w:pPr>
      <w:r>
        <w:t>第七章 内部长期投资一、单选题</w:t>
      </w:r>
    </w:p>
    <w:p>
      <w:pPr>
        <w:pStyle w:val="ListParagraph"/>
        <w:numPr>
          <w:ilvl w:val="0"/>
          <w:numId w:val="79"/>
        </w:numPr>
        <w:tabs>
          <w:tab w:val="left" w:pos="3177"/>
          <w:tab w:val="left" w:pos="11053"/>
        </w:tabs>
        <w:spacing w:before="0" w:after="0" w:line="363" w:lineRule="exact"/>
        <w:ind w:left="3177" w:right="0" w:hanging="477"/>
        <w:jc w:val="left"/>
        <w:rPr>
          <w:sz w:val="31"/>
        </w:rPr>
      </w:pPr>
      <w:r>
        <w:rPr>
          <w:sz w:val="31"/>
        </w:rPr>
        <w:t>采用净现值法进行决策时，判断某方案可行的标准是（</w:t>
        <w:tab/>
        <w:t>）。</w:t>
      </w:r>
    </w:p>
    <w:p>
      <w:pPr>
        <w:pStyle w:val="BodyText"/>
        <w:spacing w:before="10" w:line="247" w:lineRule="auto"/>
        <w:ind w:left="3352" w:right="12770"/>
        <w:jc w:val="both"/>
      </w:pPr>
      <w:r>
        <w:t xml:space="preserve">A 净现值＜0 B 净现值≤0 C 净现值＝0 </w:t>
      </w:r>
      <w:r>
        <w:rPr>
          <w:color w:val="FF0000"/>
        </w:rPr>
        <w:t>D 净现值≥0</w:t>
      </w:r>
    </w:p>
    <w:p>
      <w:pPr>
        <w:spacing w:before="112" w:line="176" w:lineRule="exact"/>
        <w:ind w:left="2700" w:right="0" w:firstLine="0"/>
        <w:jc w:val="left"/>
        <w:rPr>
          <w:sz w:val="18"/>
        </w:rPr>
      </w:pPr>
      <w:r>
        <w:rPr>
          <w:sz w:val="18"/>
        </w:rPr>
        <w:t>,</w:t>
      </w:r>
    </w:p>
    <w:p>
      <w:pPr>
        <w:pStyle w:val="ListParagraph"/>
        <w:numPr>
          <w:ilvl w:val="0"/>
          <w:numId w:val="79"/>
        </w:numPr>
        <w:tabs>
          <w:tab w:val="left" w:pos="3176"/>
          <w:tab w:val="left" w:pos="12310"/>
        </w:tabs>
        <w:spacing w:before="0" w:after="0" w:line="342" w:lineRule="exact"/>
        <w:ind w:left="3175" w:right="0" w:hanging="476"/>
        <w:jc w:val="left"/>
        <w:rPr>
          <w:sz w:val="31"/>
        </w:rPr>
      </w:pPr>
      <w:r>
        <w:rPr>
          <w:sz w:val="31"/>
        </w:rPr>
        <w:t>下列投资项目决策评价指标</w:t>
      </w:r>
      <w:r>
        <w:rPr>
          <w:spacing w:val="-25"/>
          <w:sz w:val="31"/>
        </w:rPr>
        <w:t>中</w:t>
      </w:r>
      <w:r>
        <w:rPr>
          <w:sz w:val="31"/>
        </w:rPr>
        <w:t>,属于非贴现现金流量指标的是（</w:t>
        <w:tab/>
        <w:t>）。</w:t>
      </w:r>
    </w:p>
    <w:p>
      <w:pPr>
        <w:pStyle w:val="BodyText"/>
        <w:spacing w:before="13" w:line="244" w:lineRule="auto"/>
        <w:ind w:left="3352" w:right="12604"/>
      </w:pPr>
      <w:r>
        <w:rPr>
          <w:color w:val="FF0000"/>
        </w:rPr>
        <w:t>A 会计收益率</w:t>
      </w:r>
      <w:r>
        <w:t>B 获利指数</w:t>
      </w:r>
    </w:p>
    <w:p>
      <w:pPr>
        <w:pStyle w:val="BodyText"/>
        <w:spacing w:before="7"/>
        <w:ind w:left="3352"/>
      </w:pPr>
      <w:r>
        <w:t>C 净现值</w:t>
      </w:r>
    </w:p>
    <w:p>
      <w:pPr>
        <w:pStyle w:val="BodyText"/>
        <w:spacing w:before="10"/>
        <w:ind w:left="3352"/>
      </w:pPr>
      <w:r>
        <w:t>D 内部收益率</w:t>
      </w:r>
    </w:p>
    <w:p>
      <w:pPr>
        <w:pStyle w:val="ListParagraph"/>
        <w:numPr>
          <w:ilvl w:val="0"/>
          <w:numId w:val="79"/>
        </w:numPr>
        <w:tabs>
          <w:tab w:val="left" w:pos="3019"/>
          <w:tab w:val="left" w:pos="12789"/>
        </w:tabs>
        <w:spacing w:before="46" w:after="0" w:line="283" w:lineRule="auto"/>
        <w:ind w:left="3330" w:right="4596" w:hanging="630"/>
        <w:jc w:val="left"/>
        <w:rPr>
          <w:sz w:val="31"/>
        </w:rPr>
      </w:pPr>
      <w:r>
        <w:rPr>
          <w:sz w:val="31"/>
        </w:rPr>
        <w:t>对投资项目进行决策时所使用的现金流量，下列说法不正确的是（</w:t>
        <w:tab/>
      </w:r>
      <w:r>
        <w:rPr>
          <w:spacing w:val="-162"/>
          <w:sz w:val="31"/>
        </w:rPr>
        <w:t>）</w:t>
      </w:r>
      <w:r>
        <w:rPr>
          <w:spacing w:val="-17"/>
          <w:sz w:val="31"/>
        </w:rPr>
        <w:t>。</w:t>
      </w:r>
      <w:r>
        <w:rPr>
          <w:sz w:val="31"/>
        </w:rPr>
        <w:t>A</w:t>
      </w:r>
      <w:r>
        <w:rPr>
          <w:spacing w:val="4"/>
          <w:sz w:val="31"/>
        </w:rPr>
        <w:t xml:space="preserve"> </w:t>
      </w:r>
      <w:r>
        <w:rPr>
          <w:sz w:val="31"/>
        </w:rPr>
        <w:t>是一种增量现金流量</w:t>
      </w:r>
    </w:p>
    <w:p>
      <w:pPr>
        <w:pStyle w:val="BodyText"/>
        <w:spacing w:line="396" w:lineRule="exact"/>
        <w:ind w:left="3330"/>
      </w:pPr>
      <w:r>
        <w:t>B 估算时需要区分相关成本和非相关成本</w:t>
      </w:r>
    </w:p>
    <w:p>
      <w:pPr>
        <w:pStyle w:val="BodyText"/>
        <w:ind w:left="0"/>
        <w:rPr>
          <w:sz w:val="15"/>
        </w:rPr>
      </w:pPr>
    </w:p>
    <w:p>
      <w:pPr>
        <w:spacing w:before="75"/>
        <w:ind w:left="3060" w:right="0" w:firstLine="0"/>
        <w:jc w:val="left"/>
        <w:rPr>
          <w:sz w:val="18"/>
        </w:rPr>
      </w:pPr>
      <w:r>
        <w:rPr>
          <w:sz w:val="18"/>
        </w:rPr>
        <w:t>《</w:t>
      </w:r>
    </w:p>
    <w:p>
      <w:pPr>
        <w:pStyle w:val="BodyText"/>
        <w:spacing w:before="41"/>
        <w:ind w:left="3330"/>
      </w:pPr>
      <w:r>
        <w:t>C 估算时不能忽略机会成本</w:t>
      </w:r>
    </w:p>
    <w:p>
      <w:pPr>
        <w:pStyle w:val="BodyText"/>
        <w:spacing w:before="70"/>
        <w:ind w:left="3330"/>
      </w:pPr>
      <w:r>
        <w:rPr>
          <w:color w:val="FF0000"/>
        </w:rPr>
        <w:t>D 估算时不需要考虑投资项目对公司其他部门现金流量的影响</w:t>
      </w:r>
    </w:p>
    <w:p>
      <w:pPr>
        <w:pStyle w:val="BodyText"/>
        <w:tabs>
          <w:tab w:val="left" w:pos="10186"/>
        </w:tabs>
        <w:spacing w:before="71" w:after="38" w:line="283" w:lineRule="auto"/>
        <w:ind w:right="2547"/>
      </w:pPr>
      <w:r>
        <w:t>4、某投资方案的年营业收入为</w:t>
      </w:r>
      <w:r>
        <w:rPr>
          <w:spacing w:val="-81"/>
        </w:rPr>
        <w:t xml:space="preserve"> </w:t>
      </w:r>
      <w:r>
        <w:t>10</w:t>
      </w:r>
      <w:r>
        <w:rPr>
          <w:spacing w:val="47"/>
        </w:rPr>
        <w:t xml:space="preserve"> </w:t>
      </w:r>
      <w:r>
        <w:t>000</w:t>
      </w:r>
      <w:r>
        <w:rPr>
          <w:spacing w:val="-63"/>
        </w:rPr>
        <w:t xml:space="preserve"> </w:t>
      </w:r>
      <w:r>
        <w:t>元，年营业成本为</w:t>
      </w:r>
      <w:r>
        <w:rPr>
          <w:spacing w:val="-72"/>
        </w:rPr>
        <w:t xml:space="preserve"> </w:t>
      </w:r>
      <w:r>
        <w:t>6</w:t>
      </w:r>
      <w:r>
        <w:rPr>
          <w:spacing w:val="47"/>
        </w:rPr>
        <w:t xml:space="preserve"> </w:t>
      </w:r>
      <w:r>
        <w:t>000</w:t>
      </w:r>
      <w:r>
        <w:rPr>
          <w:spacing w:val="-64"/>
        </w:rPr>
        <w:t xml:space="preserve"> </w:t>
      </w:r>
      <w:r>
        <w:t>元，年折旧额为</w:t>
      </w:r>
      <w:r>
        <w:rPr>
          <w:spacing w:val="-67"/>
        </w:rPr>
        <w:t xml:space="preserve"> </w:t>
      </w:r>
      <w:r>
        <w:t>1</w:t>
      </w:r>
      <w:r>
        <w:rPr>
          <w:spacing w:val="47"/>
        </w:rPr>
        <w:t xml:space="preserve"> </w:t>
      </w:r>
      <w:r>
        <w:t>000</w:t>
      </w:r>
      <w:r>
        <w:rPr>
          <w:spacing w:val="-59"/>
        </w:rPr>
        <w:t xml:space="preserve"> </w:t>
      </w:r>
      <w:r>
        <w:t>元</w:t>
      </w:r>
      <w:r>
        <w:rPr>
          <w:spacing w:val="-14"/>
        </w:rPr>
        <w:t xml:space="preserve">， </w:t>
      </w:r>
      <w:r>
        <w:t>所得税率为</w:t>
      </w:r>
      <w:r>
        <w:rPr>
          <w:spacing w:val="-47"/>
        </w:rPr>
        <w:t xml:space="preserve"> </w:t>
      </w:r>
      <w:r>
        <w:t>33%，该方案的每年营业现金流量为（</w:t>
        <w:tab/>
        <w:t>）元。</w:t>
      </w:r>
    </w:p>
    <w:tbl>
      <w:tblPr>
        <w:tblStyle w:val="TableNormal6"/>
        <w:tblW w:w="0" w:type="auto"/>
        <w:jc w:val="left"/>
        <w:tblInd w:w="31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3"/>
        <w:gridCol w:w="605"/>
      </w:tblGrid>
      <w:tr>
        <w:tblPrEx>
          <w:tblW w:w="0" w:type="auto"/>
          <w:jc w:val="left"/>
          <w:tblInd w:w="31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763" w:type="dxa"/>
          </w:tcPr>
          <w:p>
            <w:pPr>
              <w:pStyle w:val="TableParagraph"/>
              <w:spacing w:line="359" w:lineRule="exact"/>
              <w:ind w:left="37" w:right="65"/>
              <w:jc w:val="center"/>
              <w:rPr>
                <w:sz w:val="31"/>
              </w:rPr>
            </w:pPr>
            <w:r>
              <w:rPr>
                <w:sz w:val="31"/>
              </w:rPr>
              <w:t>A .1</w:t>
            </w:r>
          </w:p>
        </w:tc>
        <w:tc>
          <w:tcPr>
            <w:tcW w:w="605" w:type="dxa"/>
          </w:tcPr>
          <w:p>
            <w:pPr>
              <w:pStyle w:val="TableParagraph"/>
              <w:spacing w:line="359" w:lineRule="exact"/>
              <w:ind w:right="48"/>
              <w:jc w:val="right"/>
              <w:rPr>
                <w:sz w:val="31"/>
              </w:rPr>
            </w:pPr>
            <w:r>
              <w:rPr>
                <w:sz w:val="31"/>
              </w:rPr>
              <w:t>680</w:t>
            </w:r>
          </w:p>
        </w:tc>
      </w:tr>
      <w:tr>
        <w:tblPrEx>
          <w:tblW w:w="0" w:type="auto"/>
          <w:jc w:val="left"/>
          <w:tblInd w:w="3133" w:type="dxa"/>
          <w:tblLayout w:type="fixed"/>
          <w:tblCellMar>
            <w:top w:w="0" w:type="dxa"/>
            <w:left w:w="0" w:type="dxa"/>
            <w:bottom w:w="0" w:type="dxa"/>
            <w:right w:w="0" w:type="dxa"/>
          </w:tblCellMar>
          <w:tblLook w:val="01E0"/>
        </w:tblPrEx>
        <w:trPr>
          <w:trHeight w:val="467"/>
          <w:jc w:val="left"/>
        </w:trPr>
        <w:tc>
          <w:tcPr>
            <w:tcW w:w="763" w:type="dxa"/>
          </w:tcPr>
          <w:p>
            <w:pPr>
              <w:pStyle w:val="TableParagraph"/>
              <w:spacing w:before="38"/>
              <w:ind w:left="37" w:right="65"/>
              <w:jc w:val="center"/>
              <w:rPr>
                <w:sz w:val="31"/>
              </w:rPr>
            </w:pPr>
            <w:r>
              <w:rPr>
                <w:sz w:val="31"/>
              </w:rPr>
              <w:t>B .2</w:t>
            </w:r>
          </w:p>
        </w:tc>
        <w:tc>
          <w:tcPr>
            <w:tcW w:w="605" w:type="dxa"/>
          </w:tcPr>
          <w:p>
            <w:pPr>
              <w:pStyle w:val="TableParagraph"/>
              <w:spacing w:before="38"/>
              <w:ind w:right="48"/>
              <w:jc w:val="right"/>
              <w:rPr>
                <w:sz w:val="31"/>
              </w:rPr>
            </w:pPr>
            <w:r>
              <w:rPr>
                <w:sz w:val="31"/>
              </w:rPr>
              <w:t>680</w:t>
            </w:r>
          </w:p>
        </w:tc>
      </w:tr>
      <w:tr>
        <w:tblPrEx>
          <w:tblW w:w="0" w:type="auto"/>
          <w:jc w:val="left"/>
          <w:tblInd w:w="3133" w:type="dxa"/>
          <w:tblLayout w:type="fixed"/>
          <w:tblCellMar>
            <w:top w:w="0" w:type="dxa"/>
            <w:left w:w="0" w:type="dxa"/>
            <w:bottom w:w="0" w:type="dxa"/>
            <w:right w:w="0" w:type="dxa"/>
          </w:tblCellMar>
          <w:tblLook w:val="01E0"/>
        </w:tblPrEx>
        <w:trPr>
          <w:trHeight w:val="468"/>
          <w:jc w:val="left"/>
        </w:trPr>
        <w:tc>
          <w:tcPr>
            <w:tcW w:w="763" w:type="dxa"/>
          </w:tcPr>
          <w:p>
            <w:pPr>
              <w:pStyle w:val="TableParagraph"/>
              <w:spacing w:before="38"/>
              <w:ind w:left="37" w:right="64"/>
              <w:jc w:val="center"/>
              <w:rPr>
                <w:sz w:val="31"/>
              </w:rPr>
            </w:pPr>
            <w:r>
              <w:rPr>
                <w:color w:val="FF0000"/>
                <w:sz w:val="31"/>
              </w:rPr>
              <w:t>C .3</w:t>
            </w:r>
          </w:p>
        </w:tc>
        <w:tc>
          <w:tcPr>
            <w:tcW w:w="605" w:type="dxa"/>
          </w:tcPr>
          <w:p>
            <w:pPr>
              <w:pStyle w:val="TableParagraph"/>
              <w:spacing w:before="38"/>
              <w:ind w:right="48"/>
              <w:jc w:val="right"/>
              <w:rPr>
                <w:sz w:val="31"/>
              </w:rPr>
            </w:pPr>
            <w:r>
              <w:rPr>
                <w:color w:val="FF0000"/>
                <w:sz w:val="31"/>
              </w:rPr>
              <w:t>680</w:t>
            </w:r>
          </w:p>
        </w:tc>
      </w:tr>
      <w:tr>
        <w:tblPrEx>
          <w:tblW w:w="0" w:type="auto"/>
          <w:jc w:val="left"/>
          <w:tblInd w:w="3133" w:type="dxa"/>
          <w:tblLayout w:type="fixed"/>
          <w:tblCellMar>
            <w:top w:w="0" w:type="dxa"/>
            <w:left w:w="0" w:type="dxa"/>
            <w:bottom w:w="0" w:type="dxa"/>
            <w:right w:w="0" w:type="dxa"/>
          </w:tblCellMar>
          <w:tblLook w:val="01E0"/>
        </w:tblPrEx>
        <w:trPr>
          <w:trHeight w:val="392"/>
          <w:jc w:val="left"/>
        </w:trPr>
        <w:tc>
          <w:tcPr>
            <w:tcW w:w="763" w:type="dxa"/>
          </w:tcPr>
          <w:p>
            <w:pPr>
              <w:pStyle w:val="TableParagraph"/>
              <w:spacing w:before="38" w:line="335" w:lineRule="exact"/>
              <w:ind w:left="37" w:right="65"/>
              <w:jc w:val="center"/>
              <w:rPr>
                <w:sz w:val="31"/>
              </w:rPr>
            </w:pPr>
            <w:r>
              <w:rPr>
                <w:sz w:val="31"/>
              </w:rPr>
              <w:t>D .4</w:t>
            </w:r>
          </w:p>
        </w:tc>
        <w:tc>
          <w:tcPr>
            <w:tcW w:w="605" w:type="dxa"/>
          </w:tcPr>
          <w:p>
            <w:pPr>
              <w:pStyle w:val="TableParagraph"/>
              <w:spacing w:before="38" w:line="335" w:lineRule="exact"/>
              <w:ind w:right="48"/>
              <w:jc w:val="right"/>
              <w:rPr>
                <w:sz w:val="31"/>
              </w:rPr>
            </w:pPr>
            <w:r>
              <w:rPr>
                <w:sz w:val="31"/>
              </w:rPr>
              <w:t>320</w:t>
            </w:r>
          </w:p>
        </w:tc>
      </w:tr>
    </w:tbl>
    <w:p>
      <w:pPr>
        <w:pStyle w:val="BodyText"/>
        <w:tabs>
          <w:tab w:val="left" w:pos="12627"/>
        </w:tabs>
        <w:spacing w:before="113"/>
      </w:pPr>
      <w:r>
        <w:t>5、投资决策评价方法中，对于互斥方案来说，最好的评价方法是（</w:t>
        <w:tab/>
      </w:r>
      <w:r>
        <w:rPr>
          <w:spacing w:val="-159"/>
        </w:rPr>
        <w:t>）</w:t>
      </w:r>
      <w:r>
        <w:t>。</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1"/>
          <w:numId w:val="79"/>
        </w:numPr>
        <w:tabs>
          <w:tab w:val="left" w:pos="3493"/>
        </w:tabs>
        <w:spacing w:before="40" w:after="0" w:line="240" w:lineRule="auto"/>
        <w:ind w:left="3492" w:right="0" w:hanging="317"/>
        <w:jc w:val="left"/>
        <w:rPr>
          <w:color w:val="FF0000"/>
          <w:sz w:val="31"/>
        </w:rPr>
      </w:pPr>
      <w:r>
        <w:rPr>
          <w:color w:val="FF0000"/>
          <w:spacing w:val="-2"/>
          <w:sz w:val="31"/>
        </w:rPr>
        <w:t>.净现值法</w:t>
      </w:r>
    </w:p>
    <w:p>
      <w:pPr>
        <w:pStyle w:val="ListParagraph"/>
        <w:numPr>
          <w:ilvl w:val="1"/>
          <w:numId w:val="79"/>
        </w:numPr>
        <w:tabs>
          <w:tab w:val="left" w:pos="3493"/>
        </w:tabs>
        <w:spacing w:before="71" w:after="0" w:line="240" w:lineRule="auto"/>
        <w:ind w:left="3492" w:right="0" w:hanging="317"/>
        <w:jc w:val="left"/>
        <w:rPr>
          <w:sz w:val="31"/>
        </w:rPr>
      </w:pPr>
      <w:r>
        <w:rPr>
          <w:spacing w:val="-2"/>
          <w:sz w:val="31"/>
        </w:rPr>
        <w:t>.获利指数法</w:t>
      </w:r>
    </w:p>
    <w:p>
      <w:pPr>
        <w:spacing w:after="0" w:line="240" w:lineRule="auto"/>
        <w:jc w:val="left"/>
        <w:rPr>
          <w:sz w:val="31"/>
        </w:rPr>
        <w:sectPr>
          <w:headerReference w:type="default" r:id="rId47"/>
          <w:pgSz w:w="17860" w:h="25260"/>
          <w:pgMar w:top="1360" w:right="0" w:bottom="280" w:left="0" w:header="1160" w:footer="0"/>
          <w:pgNumType w:start="24"/>
          <w:cols w:space="708"/>
        </w:sectPr>
      </w:pPr>
    </w:p>
    <w:p>
      <w:pPr>
        <w:pStyle w:val="BodyText"/>
        <w:ind w:left="0"/>
        <w:rPr>
          <w:sz w:val="20"/>
        </w:rPr>
      </w:pPr>
    </w:p>
    <w:p>
      <w:pPr>
        <w:pStyle w:val="BodyText"/>
        <w:spacing w:before="5"/>
        <w:ind w:left="0"/>
        <w:rPr>
          <w:sz w:val="19"/>
        </w:rPr>
      </w:pPr>
    </w:p>
    <w:p>
      <w:pPr>
        <w:pStyle w:val="ListParagraph"/>
        <w:numPr>
          <w:ilvl w:val="1"/>
          <w:numId w:val="79"/>
        </w:numPr>
        <w:tabs>
          <w:tab w:val="left" w:pos="3493"/>
        </w:tabs>
        <w:spacing w:before="62" w:after="0" w:line="283" w:lineRule="auto"/>
        <w:ind w:left="3176" w:right="12309" w:firstLine="0"/>
        <w:jc w:val="left"/>
        <w:rPr>
          <w:sz w:val="31"/>
        </w:rPr>
      </w:pPr>
      <w:r>
        <w:rPr>
          <w:spacing w:val="-5"/>
          <w:sz w:val="31"/>
        </w:rPr>
        <w:t>.内部报酬率法</w:t>
      </w:r>
      <w:r>
        <w:rPr>
          <w:sz w:val="31"/>
        </w:rPr>
        <w:t>D</w:t>
      </w:r>
      <w:r>
        <w:rPr>
          <w:spacing w:val="1"/>
          <w:sz w:val="31"/>
        </w:rPr>
        <w:t xml:space="preserve"> .平均报酬率法</w:t>
      </w:r>
    </w:p>
    <w:p>
      <w:pPr>
        <w:pStyle w:val="BodyText"/>
        <w:tabs>
          <w:tab w:val="left" w:pos="7431"/>
        </w:tabs>
        <w:spacing w:line="283" w:lineRule="auto"/>
        <w:ind w:right="2634"/>
      </w:pPr>
      <w:r>
        <w:t>6、某投资项目原始投资</w:t>
      </w:r>
      <w:r>
        <w:rPr>
          <w:spacing w:val="22"/>
        </w:rPr>
        <w:t>为</w:t>
      </w:r>
      <w:r>
        <w:t>12</w:t>
      </w:r>
      <w:r>
        <w:rPr>
          <w:spacing w:val="6"/>
        </w:rPr>
        <w:t xml:space="preserve"> </w:t>
      </w:r>
      <w:r>
        <w:t>万元，当年完工投产</w:t>
      </w:r>
      <w:r>
        <w:rPr>
          <w:spacing w:val="-90"/>
        </w:rPr>
        <w:t>，</w:t>
      </w:r>
      <w:r>
        <w:t>有效期</w:t>
      </w:r>
      <w:r>
        <w:rPr>
          <w:spacing w:val="-1"/>
        </w:rPr>
        <w:t xml:space="preserve"> </w:t>
      </w:r>
      <w:r>
        <w:t>3</w:t>
      </w:r>
      <w:r>
        <w:rPr>
          <w:spacing w:val="7"/>
        </w:rPr>
        <w:t xml:space="preserve"> </w:t>
      </w:r>
      <w:r>
        <w:t>年，每年可获得现金净流量</w:t>
      </w:r>
      <w:r>
        <w:rPr>
          <w:spacing w:val="-15"/>
        </w:rPr>
        <w:t>万</w:t>
      </w:r>
      <w:r>
        <w:t>元，则该项目内部报酬率为（</w:t>
        <w:tab/>
      </w:r>
      <w:r>
        <w:rPr>
          <w:spacing w:val="-162"/>
        </w:rPr>
        <w:t>）</w:t>
      </w:r>
      <w:r>
        <w:t>。</w:t>
      </w:r>
    </w:p>
    <w:p>
      <w:pPr>
        <w:pStyle w:val="ListParagraph"/>
        <w:numPr>
          <w:ilvl w:val="0"/>
          <w:numId w:val="78"/>
        </w:numPr>
        <w:tabs>
          <w:tab w:val="left" w:pos="3493"/>
        </w:tabs>
        <w:spacing w:before="0" w:after="0" w:line="396" w:lineRule="exact"/>
        <w:ind w:left="3492" w:right="0" w:hanging="317"/>
        <w:jc w:val="left"/>
        <w:rPr>
          <w:sz w:val="31"/>
        </w:rPr>
      </w:pPr>
      <w:r>
        <w:rPr>
          <w:sz w:val="31"/>
        </w:rPr>
        <w:t>.%</w:t>
      </w:r>
    </w:p>
    <w:p>
      <w:pPr>
        <w:pStyle w:val="ListParagraph"/>
        <w:numPr>
          <w:ilvl w:val="0"/>
          <w:numId w:val="78"/>
        </w:numPr>
        <w:tabs>
          <w:tab w:val="left" w:pos="3493"/>
        </w:tabs>
        <w:spacing w:before="70" w:after="0" w:line="240" w:lineRule="auto"/>
        <w:ind w:left="3492" w:right="0" w:hanging="318"/>
        <w:jc w:val="left"/>
        <w:rPr>
          <w:color w:val="FF0000"/>
          <w:sz w:val="31"/>
        </w:rPr>
      </w:pPr>
      <w:r>
        <w:rPr>
          <w:color w:val="FF0000"/>
          <w:sz w:val="31"/>
        </w:rPr>
        <w:t>.%</w:t>
      </w:r>
    </w:p>
    <w:p>
      <w:pPr>
        <w:pStyle w:val="ListParagraph"/>
        <w:numPr>
          <w:ilvl w:val="0"/>
          <w:numId w:val="78"/>
        </w:numPr>
        <w:tabs>
          <w:tab w:val="left" w:pos="3493"/>
        </w:tabs>
        <w:spacing w:before="71" w:after="0" w:line="240" w:lineRule="auto"/>
        <w:ind w:left="3492" w:right="0" w:hanging="317"/>
        <w:jc w:val="left"/>
        <w:rPr>
          <w:sz w:val="31"/>
        </w:rPr>
      </w:pPr>
      <w:r>
        <w:rPr>
          <w:sz w:val="31"/>
        </w:rPr>
        <w:t>.%</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78"/>
        </w:numPr>
        <w:tabs>
          <w:tab w:val="left" w:pos="3493"/>
        </w:tabs>
        <w:spacing w:before="40" w:after="0" w:line="240" w:lineRule="auto"/>
        <w:ind w:left="3492" w:right="0" w:hanging="317"/>
        <w:jc w:val="left"/>
        <w:rPr>
          <w:sz w:val="31"/>
        </w:rPr>
      </w:pPr>
      <w:r>
        <w:rPr>
          <w:sz w:val="31"/>
        </w:rPr>
        <w:t>.%</w:t>
      </w:r>
    </w:p>
    <w:p>
      <w:pPr>
        <w:pStyle w:val="BodyText"/>
        <w:tabs>
          <w:tab w:val="left" w:pos="11683"/>
        </w:tabs>
        <w:spacing w:before="71" w:line="283" w:lineRule="auto"/>
        <w:ind w:left="3176" w:right="4589" w:hanging="476"/>
      </w:pPr>
      <w:r>
        <w:t>7、计算营业现金流量时，每年净现金流量可按下列公式的（</w:t>
        <w:tab/>
        <w:t>）来计算</w:t>
      </w:r>
      <w:r>
        <w:rPr>
          <w:spacing w:val="-17"/>
        </w:rPr>
        <w:t>。</w:t>
      </w:r>
      <w:r>
        <w:t>A</w:t>
      </w:r>
      <w:r>
        <w:rPr>
          <w:spacing w:val="5"/>
        </w:rPr>
        <w:t xml:space="preserve"> </w:t>
      </w:r>
      <w:r>
        <w:t>.NCF：每年营业收入―付现成本</w:t>
      </w:r>
    </w:p>
    <w:p>
      <w:pPr>
        <w:pStyle w:val="BodyText"/>
        <w:spacing w:line="283" w:lineRule="auto"/>
        <w:ind w:left="3176" w:right="8669" w:hanging="1"/>
      </w:pPr>
      <w:r>
        <w:rPr>
          <w:color w:val="FF0000"/>
        </w:rPr>
        <w:t>B</w:t>
      </w:r>
      <w:r>
        <w:rPr>
          <w:color w:val="FF0000"/>
          <w:spacing w:val="108"/>
        </w:rPr>
        <w:t xml:space="preserve"> </w:t>
      </w:r>
      <w:r>
        <w:rPr>
          <w:color w:val="FF0000"/>
        </w:rPr>
        <w:t>.NCF</w:t>
      </w:r>
      <w:r>
        <w:rPr>
          <w:color w:val="FF0000"/>
          <w:spacing w:val="-1"/>
        </w:rPr>
        <w:t>：每年营业收入―付现成本―所得税</w:t>
      </w:r>
      <w:r>
        <w:t>C</w:t>
      </w:r>
      <w:r>
        <w:rPr>
          <w:spacing w:val="8"/>
        </w:rPr>
        <w:t xml:space="preserve"> </w:t>
      </w:r>
      <w:r>
        <w:t>.NCF：净利＋折旧＋所得税</w:t>
      </w:r>
    </w:p>
    <w:p>
      <w:pPr>
        <w:pStyle w:val="BodyText"/>
        <w:spacing w:line="397" w:lineRule="exact"/>
        <w:ind w:left="3176"/>
      </w:pPr>
      <w:r>
        <w:t>D</w:t>
      </w:r>
      <w:r>
        <w:rPr>
          <w:spacing w:val="80"/>
        </w:rPr>
        <w:t xml:space="preserve"> </w:t>
      </w:r>
      <w:r>
        <w:t>.NCF：净利＋折旧―所得税</w:t>
      </w:r>
    </w:p>
    <w:p>
      <w:pPr>
        <w:pStyle w:val="BodyText"/>
        <w:tabs>
          <w:tab w:val="left" w:pos="11997"/>
        </w:tabs>
        <w:spacing w:before="69" w:line="283" w:lineRule="auto"/>
        <w:ind w:left="3175" w:right="5385" w:hanging="475"/>
      </w:pPr>
      <w:r>
        <w:t>8、当一项长期投资的净现值大于零时，下列说法不正确的是（</w:t>
        <w:tab/>
      </w:r>
      <w:r>
        <w:rPr>
          <w:spacing w:val="-159"/>
        </w:rPr>
        <w:t>）</w:t>
      </w:r>
      <w:r>
        <w:rPr>
          <w:spacing w:val="-17"/>
        </w:rPr>
        <w:t>。</w:t>
      </w:r>
      <w:r>
        <w:rPr>
          <w:color w:val="FF0000"/>
        </w:rPr>
        <w:t>A</w:t>
      </w:r>
      <w:r>
        <w:rPr>
          <w:color w:val="FF0000"/>
          <w:spacing w:val="4"/>
        </w:rPr>
        <w:t xml:space="preserve"> </w:t>
      </w:r>
      <w:r>
        <w:rPr>
          <w:color w:val="FF0000"/>
          <w:spacing w:val="-4"/>
        </w:rPr>
        <w:t>.</w:t>
      </w:r>
      <w:r>
        <w:rPr>
          <w:color w:val="FF0000"/>
        </w:rPr>
        <w:t>该方案不可投资</w:t>
      </w:r>
    </w:p>
    <w:p>
      <w:pPr>
        <w:pStyle w:val="BodyText"/>
        <w:spacing w:before="6"/>
        <w:ind w:left="0"/>
        <w:rPr>
          <w:sz w:val="9"/>
        </w:rPr>
      </w:pPr>
    </w:p>
    <w:p>
      <w:pPr>
        <w:spacing w:before="74"/>
        <w:ind w:left="2700" w:right="0" w:firstLine="0"/>
        <w:jc w:val="left"/>
        <w:rPr>
          <w:sz w:val="18"/>
        </w:rPr>
      </w:pPr>
      <w:r>
        <w:rPr>
          <w:sz w:val="18"/>
        </w:rPr>
        <w:t>/</w:t>
      </w:r>
    </w:p>
    <w:p>
      <w:pPr>
        <w:pStyle w:val="BodyText"/>
        <w:spacing w:before="41" w:line="283" w:lineRule="auto"/>
        <w:ind w:left="3176" w:right="7736"/>
      </w:pPr>
      <w:r>
        <w:t>B .该方案未来报酬的总现值大于初始投资的现值C .该方案获利指数大于 1</w:t>
      </w:r>
    </w:p>
    <w:p>
      <w:pPr>
        <w:pStyle w:val="BodyText"/>
        <w:spacing w:line="396" w:lineRule="exact"/>
        <w:ind w:left="3176"/>
      </w:pPr>
      <w:r>
        <w:t>D .该方案的内部报酬率大于其资本成本</w:t>
      </w:r>
    </w:p>
    <w:p>
      <w:pPr>
        <w:pStyle w:val="BodyText"/>
        <w:tabs>
          <w:tab w:val="left" w:pos="4907"/>
        </w:tabs>
        <w:spacing w:before="71" w:line="283" w:lineRule="auto"/>
        <w:ind w:right="2614"/>
      </w:pPr>
      <w:r>
        <w:t>9、某投资方案贴现率</w:t>
      </w:r>
      <w:r>
        <w:rPr>
          <w:spacing w:val="36"/>
        </w:rPr>
        <w:t>为</w:t>
      </w:r>
      <w:r>
        <w:rPr>
          <w:spacing w:val="-3"/>
        </w:rPr>
        <w:t>18%</w:t>
      </w:r>
      <w:r>
        <w:t>时，净现值为―，贴现率</w:t>
      </w:r>
      <w:r>
        <w:rPr>
          <w:spacing w:val="4"/>
        </w:rPr>
        <w:t>为</w:t>
      </w:r>
      <w:r>
        <w:t>16%时，净现值为，则该方案的内</w:t>
      </w:r>
      <w:r>
        <w:rPr>
          <w:spacing w:val="-17"/>
        </w:rPr>
        <w:t>部</w:t>
      </w:r>
      <w:r>
        <w:t>报酬率为（</w:t>
        <w:tab/>
      </w:r>
      <w:r>
        <w:rPr>
          <w:spacing w:val="-159"/>
        </w:rPr>
        <w:t>）</w:t>
      </w:r>
      <w:r>
        <w:t>。</w:t>
      </w:r>
    </w:p>
    <w:p>
      <w:pPr>
        <w:pStyle w:val="ListParagraph"/>
        <w:numPr>
          <w:ilvl w:val="0"/>
          <w:numId w:val="77"/>
        </w:numPr>
        <w:tabs>
          <w:tab w:val="left" w:pos="3493"/>
        </w:tabs>
        <w:spacing w:before="0" w:after="0" w:line="396" w:lineRule="exact"/>
        <w:ind w:left="3492" w:right="0" w:hanging="317"/>
        <w:jc w:val="left"/>
        <w:rPr>
          <w:sz w:val="31"/>
        </w:rPr>
      </w:pPr>
      <w:r>
        <w:rPr>
          <w:sz w:val="31"/>
        </w:rPr>
        <w:t>.%</w:t>
      </w:r>
    </w:p>
    <w:p>
      <w:pPr>
        <w:pStyle w:val="ListParagraph"/>
        <w:numPr>
          <w:ilvl w:val="0"/>
          <w:numId w:val="77"/>
        </w:numPr>
        <w:tabs>
          <w:tab w:val="left" w:pos="3493"/>
        </w:tabs>
        <w:spacing w:before="70" w:after="0" w:line="240" w:lineRule="auto"/>
        <w:ind w:left="3492" w:right="0" w:hanging="317"/>
        <w:jc w:val="left"/>
        <w:rPr>
          <w:sz w:val="31"/>
        </w:rPr>
      </w:pPr>
      <w:r>
        <w:rPr>
          <w:sz w:val="31"/>
        </w:rPr>
        <w:t>.%</w:t>
      </w:r>
    </w:p>
    <w:p>
      <w:pPr>
        <w:pStyle w:val="ListParagraph"/>
        <w:numPr>
          <w:ilvl w:val="0"/>
          <w:numId w:val="77"/>
        </w:numPr>
        <w:tabs>
          <w:tab w:val="left" w:pos="3493"/>
        </w:tabs>
        <w:spacing w:before="72" w:after="0" w:line="240" w:lineRule="auto"/>
        <w:ind w:left="3492" w:right="0" w:hanging="318"/>
        <w:jc w:val="left"/>
        <w:rPr>
          <w:color w:val="FF0000"/>
          <w:sz w:val="31"/>
        </w:rPr>
      </w:pPr>
      <w:r>
        <w:rPr>
          <w:color w:val="FF0000"/>
          <w:sz w:val="31"/>
        </w:rPr>
        <w:t>.%</w:t>
      </w:r>
    </w:p>
    <w:p>
      <w:pPr>
        <w:pStyle w:val="ListParagraph"/>
        <w:numPr>
          <w:ilvl w:val="0"/>
          <w:numId w:val="77"/>
        </w:numPr>
        <w:tabs>
          <w:tab w:val="left" w:pos="3493"/>
        </w:tabs>
        <w:spacing w:before="71" w:after="0" w:line="240" w:lineRule="auto"/>
        <w:ind w:left="3492" w:right="0" w:hanging="317"/>
        <w:jc w:val="left"/>
        <w:rPr>
          <w:sz w:val="31"/>
        </w:rPr>
      </w:pPr>
      <w:r>
        <w:rPr>
          <w:sz w:val="31"/>
        </w:rPr>
        <w:t>.%</w:t>
      </w:r>
    </w:p>
    <w:p>
      <w:pPr>
        <w:spacing w:before="268"/>
        <w:ind w:left="2700" w:right="0" w:firstLine="0"/>
        <w:jc w:val="left"/>
        <w:rPr>
          <w:sz w:val="18"/>
        </w:rPr>
      </w:pPr>
      <w:r>
        <w:rPr>
          <w:sz w:val="18"/>
        </w:rPr>
        <w:t>$</w:t>
      </w:r>
    </w:p>
    <w:p>
      <w:pPr>
        <w:pStyle w:val="BodyText"/>
        <w:tabs>
          <w:tab w:val="left" w:pos="7115"/>
        </w:tabs>
        <w:spacing w:before="40"/>
      </w:pPr>
      <w:r>
        <w:t>10、下列说法不正确的是（</w:t>
        <w:tab/>
      </w:r>
      <w:r>
        <w:rPr>
          <w:spacing w:val="-159"/>
        </w:rPr>
        <w:t>）</w:t>
      </w:r>
      <w:r>
        <w:t>。</w:t>
      </w:r>
    </w:p>
    <w:p>
      <w:pPr>
        <w:pStyle w:val="BodyText"/>
        <w:spacing w:before="71" w:line="283" w:lineRule="auto"/>
        <w:ind w:left="3176" w:right="9141" w:hanging="1"/>
      </w:pPr>
      <w:r>
        <w:rPr>
          <w:color w:val="FF0000"/>
        </w:rPr>
        <w:t>A</w:t>
      </w:r>
      <w:r>
        <w:rPr>
          <w:color w:val="FF0000"/>
          <w:spacing w:val="3"/>
        </w:rPr>
        <w:t xml:space="preserve"> .当净现值大于零时，获利指数小于</w:t>
      </w:r>
      <w:r>
        <w:rPr>
          <w:color w:val="FF0000"/>
        </w:rPr>
        <w:t>1</w:t>
      </w:r>
      <w:r>
        <w:t xml:space="preserve"> B</w:t>
      </w:r>
      <w:r>
        <w:rPr>
          <w:spacing w:val="-1"/>
        </w:rPr>
        <w:t xml:space="preserve"> .当净现值大于零时，说明该方案可行</w:t>
      </w:r>
    </w:p>
    <w:p>
      <w:pPr>
        <w:pStyle w:val="ListParagraph"/>
        <w:numPr>
          <w:ilvl w:val="0"/>
          <w:numId w:val="76"/>
        </w:numPr>
        <w:tabs>
          <w:tab w:val="left" w:pos="3493"/>
        </w:tabs>
        <w:spacing w:before="0" w:after="0" w:line="396" w:lineRule="exact"/>
        <w:ind w:left="3492" w:right="0" w:hanging="317"/>
        <w:jc w:val="left"/>
        <w:rPr>
          <w:sz w:val="31"/>
        </w:rPr>
      </w:pPr>
      <w:r>
        <w:rPr>
          <w:spacing w:val="-2"/>
          <w:sz w:val="31"/>
        </w:rPr>
        <w:t>.当净现值为零时，说明此时的贴现率为内部报酬率</w:t>
      </w:r>
    </w:p>
    <w:p>
      <w:pPr>
        <w:pStyle w:val="ListParagraph"/>
        <w:numPr>
          <w:ilvl w:val="0"/>
          <w:numId w:val="76"/>
        </w:numPr>
        <w:tabs>
          <w:tab w:val="left" w:pos="3493"/>
          <w:tab w:val="left" w:pos="10420"/>
        </w:tabs>
        <w:spacing w:before="71" w:after="0" w:line="283" w:lineRule="auto"/>
        <w:ind w:left="2859" w:right="6923" w:firstLine="316"/>
        <w:jc w:val="left"/>
        <w:rPr>
          <w:sz w:val="31"/>
        </w:rPr>
      </w:pPr>
      <w:r>
        <w:rPr>
          <w:spacing w:val="-4"/>
          <w:sz w:val="31"/>
        </w:rPr>
        <w:t>.</w:t>
      </w:r>
      <w:r>
        <w:rPr>
          <w:sz w:val="31"/>
        </w:rPr>
        <w:t>净现值是未来总报酬的总现值与初始投资额现值之</w:t>
      </w:r>
      <w:r>
        <w:rPr>
          <w:spacing w:val="-16"/>
          <w:sz w:val="31"/>
        </w:rPr>
        <w:t>差</w:t>
      </w:r>
      <w:r>
        <w:rPr>
          <w:sz w:val="31"/>
        </w:rPr>
        <w:t>11、能使投资方案</w:t>
      </w:r>
      <w:r>
        <w:rPr>
          <w:spacing w:val="-14"/>
          <w:sz w:val="31"/>
        </w:rPr>
        <w:t>的</w:t>
      </w:r>
      <w:r>
        <w:rPr>
          <w:color w:val="FF0000"/>
          <w:sz w:val="31"/>
        </w:rPr>
        <w:t>净现值等于</w:t>
      </w:r>
      <w:r>
        <w:rPr>
          <w:color w:val="FF0000"/>
          <w:spacing w:val="-11"/>
          <w:sz w:val="31"/>
        </w:rPr>
        <w:t>零</w:t>
      </w:r>
      <w:r>
        <w:rPr>
          <w:sz w:val="31"/>
        </w:rPr>
        <w:t>的折现率，叫（</w:t>
        <w:tab/>
      </w:r>
      <w:r>
        <w:rPr>
          <w:spacing w:val="-159"/>
          <w:sz w:val="31"/>
        </w:rPr>
        <w:t>）</w:t>
      </w:r>
      <w:r>
        <w:rPr>
          <w:sz w:val="31"/>
        </w:rPr>
        <w:t>。</w:t>
      </w:r>
    </w:p>
    <w:p>
      <w:pPr>
        <w:pStyle w:val="ListParagraph"/>
        <w:numPr>
          <w:ilvl w:val="0"/>
          <w:numId w:val="75"/>
        </w:numPr>
        <w:tabs>
          <w:tab w:val="left" w:pos="3493"/>
        </w:tabs>
        <w:spacing w:before="0" w:after="0" w:line="396" w:lineRule="exact"/>
        <w:ind w:left="3492" w:right="0" w:hanging="317"/>
        <w:jc w:val="left"/>
        <w:rPr>
          <w:sz w:val="31"/>
        </w:rPr>
      </w:pPr>
      <w:r>
        <w:rPr>
          <w:spacing w:val="-2"/>
          <w:sz w:val="31"/>
        </w:rPr>
        <w:t>.净现值率</w:t>
      </w:r>
    </w:p>
    <w:p>
      <w:pPr>
        <w:pStyle w:val="ListParagraph"/>
        <w:numPr>
          <w:ilvl w:val="0"/>
          <w:numId w:val="75"/>
        </w:numPr>
        <w:tabs>
          <w:tab w:val="left" w:pos="3493"/>
        </w:tabs>
        <w:spacing w:before="70" w:after="0" w:line="240" w:lineRule="auto"/>
        <w:ind w:left="3492" w:right="0" w:hanging="317"/>
        <w:jc w:val="left"/>
        <w:rPr>
          <w:sz w:val="31"/>
        </w:rPr>
      </w:pPr>
      <w:r>
        <w:rPr>
          <w:spacing w:val="-2"/>
          <w:sz w:val="31"/>
        </w:rPr>
        <w:t>.资本成本率</w:t>
      </w:r>
    </w:p>
    <w:p>
      <w:pPr>
        <w:pStyle w:val="BodyText"/>
        <w:spacing w:before="2"/>
        <w:ind w:left="0"/>
        <w:rPr>
          <w:sz w:val="15"/>
        </w:rPr>
      </w:pPr>
    </w:p>
    <w:p>
      <w:pPr>
        <w:spacing w:before="75"/>
        <w:ind w:left="2700" w:right="0" w:firstLine="0"/>
        <w:jc w:val="left"/>
        <w:rPr>
          <w:sz w:val="18"/>
        </w:rPr>
      </w:pPr>
      <w:r>
        <w:rPr>
          <w:sz w:val="18"/>
        </w:rPr>
        <w:t>}</w:t>
      </w:r>
    </w:p>
    <w:p>
      <w:pPr>
        <w:pStyle w:val="ListParagraph"/>
        <w:numPr>
          <w:ilvl w:val="0"/>
          <w:numId w:val="75"/>
        </w:numPr>
        <w:tabs>
          <w:tab w:val="left" w:pos="3493"/>
        </w:tabs>
        <w:spacing w:before="40" w:after="0" w:line="283" w:lineRule="auto"/>
        <w:ind w:left="3176" w:right="12626" w:hanging="1"/>
        <w:jc w:val="left"/>
        <w:rPr>
          <w:color w:val="FF0000"/>
          <w:sz w:val="31"/>
        </w:rPr>
      </w:pPr>
      <w:r>
        <w:rPr>
          <w:color w:val="FF0000"/>
          <w:spacing w:val="-5"/>
          <w:sz w:val="31"/>
        </w:rPr>
        <w:t>.内部收益率</w:t>
      </w:r>
      <w:r>
        <w:rPr>
          <w:sz w:val="31"/>
        </w:rPr>
        <w:t>D</w:t>
      </w:r>
      <w:r>
        <w:rPr>
          <w:spacing w:val="1"/>
          <w:sz w:val="31"/>
        </w:rPr>
        <w:t xml:space="preserve"> .投资利润率</w:t>
      </w:r>
    </w:p>
    <w:p>
      <w:pPr>
        <w:pStyle w:val="BodyText"/>
        <w:tabs>
          <w:tab w:val="left" w:pos="5537"/>
        </w:tabs>
        <w:spacing w:line="283" w:lineRule="auto"/>
        <w:ind w:left="3175" w:right="3291" w:hanging="475"/>
      </w:pPr>
      <w:r>
        <w:rPr>
          <w:w w:val="102"/>
        </w:rPr>
        <w:t>1</w:t>
      </w:r>
      <w:r>
        <w:rPr>
          <w:spacing w:val="-1"/>
          <w:w w:val="102"/>
        </w:rPr>
        <w:t>2</w:t>
      </w:r>
      <w:r>
        <w:rPr>
          <w:w w:val="102"/>
        </w:rPr>
        <w:t>、通常按照（</w:t>
      </w:r>
      <w:r>
        <w:tab/>
      </w:r>
      <w:r>
        <w:rPr>
          <w:spacing w:val="-159"/>
          <w:w w:val="102"/>
        </w:rPr>
        <w:t>）</w:t>
      </w:r>
      <w:r>
        <w:rPr>
          <w:w w:val="102"/>
        </w:rPr>
        <w:t>，可将投资决策评价指标分为非折现评价指标和折现评价指标</w:t>
      </w:r>
      <w:r>
        <w:rPr>
          <w:spacing w:val="-17"/>
          <w:w w:val="102"/>
        </w:rPr>
        <w:t>。</w:t>
      </w:r>
      <w:r>
        <w:rPr>
          <w:w w:val="102"/>
        </w:rPr>
        <w:t xml:space="preserve"> </w:t>
      </w:r>
      <w:r>
        <w:rPr>
          <w:color w:val="FF0000"/>
        </w:rPr>
        <w:t>A</w:t>
      </w:r>
      <w:r>
        <w:rPr>
          <w:color w:val="FF0000"/>
          <w:spacing w:val="4"/>
        </w:rPr>
        <w:t xml:space="preserve"> </w:t>
      </w:r>
      <w:r>
        <w:rPr>
          <w:color w:val="FF0000"/>
          <w:spacing w:val="-4"/>
        </w:rPr>
        <w:t>.</w:t>
      </w:r>
      <w:r>
        <w:rPr>
          <w:color w:val="FF0000"/>
        </w:rPr>
        <w:t>是否考虑资金时间价值</w:t>
      </w:r>
    </w:p>
    <w:p>
      <w:pPr>
        <w:pStyle w:val="ListParagraph"/>
        <w:numPr>
          <w:ilvl w:val="0"/>
          <w:numId w:val="74"/>
        </w:numPr>
        <w:tabs>
          <w:tab w:val="left" w:pos="3493"/>
        </w:tabs>
        <w:spacing w:before="0" w:after="0" w:line="396" w:lineRule="exact"/>
        <w:ind w:left="3492" w:right="0" w:hanging="317"/>
        <w:jc w:val="left"/>
        <w:rPr>
          <w:sz w:val="31"/>
        </w:rPr>
      </w:pPr>
      <w:r>
        <w:rPr>
          <w:spacing w:val="-2"/>
          <w:sz w:val="31"/>
        </w:rPr>
        <w:t>.性质</w:t>
      </w:r>
    </w:p>
    <w:p>
      <w:pPr>
        <w:pStyle w:val="ListParagraph"/>
        <w:numPr>
          <w:ilvl w:val="0"/>
          <w:numId w:val="74"/>
        </w:numPr>
        <w:tabs>
          <w:tab w:val="left" w:pos="3493"/>
        </w:tabs>
        <w:spacing w:before="70" w:after="0" w:line="283" w:lineRule="auto"/>
        <w:ind w:left="3176" w:right="12944" w:firstLine="0"/>
        <w:jc w:val="left"/>
        <w:rPr>
          <w:sz w:val="31"/>
        </w:rPr>
      </w:pPr>
      <w:r>
        <w:rPr>
          <w:spacing w:val="-6"/>
          <w:sz w:val="31"/>
        </w:rPr>
        <w:t>.数量特征</w:t>
      </w:r>
      <w:r>
        <w:rPr>
          <w:sz w:val="31"/>
        </w:rPr>
        <w:t>D .重要性</w:t>
      </w:r>
    </w:p>
    <w:p>
      <w:pPr>
        <w:pStyle w:val="BodyText"/>
        <w:spacing w:line="396" w:lineRule="exact"/>
      </w:pPr>
      <w:r>
        <w:t>13、某投资项目原始投资额为 100 万元，使用寿命 10 年，已知该项目第 10 年的经营净现金</w:t>
      </w:r>
    </w:p>
    <w:p>
      <w:pPr>
        <w:spacing w:after="0" w:line="396" w:lineRule="exact"/>
        <w:sectPr>
          <w:headerReference w:type="default" r:id="rId48"/>
          <w:pgSz w:w="17860" w:h="25260"/>
          <w:pgMar w:top="1360" w:right="0" w:bottom="280" w:left="0" w:header="1160" w:footer="0"/>
          <w:pgNumType w:start="25"/>
          <w:cols w:space="708"/>
        </w:sectPr>
      </w:pPr>
    </w:p>
    <w:p>
      <w:pPr>
        <w:pStyle w:val="BodyText"/>
        <w:ind w:left="0"/>
        <w:rPr>
          <w:sz w:val="20"/>
        </w:rPr>
      </w:pPr>
    </w:p>
    <w:p>
      <w:pPr>
        <w:pStyle w:val="BodyText"/>
        <w:spacing w:before="5"/>
        <w:ind w:left="0"/>
        <w:rPr>
          <w:sz w:val="19"/>
        </w:rPr>
      </w:pPr>
    </w:p>
    <w:p>
      <w:pPr>
        <w:pStyle w:val="BodyText"/>
        <w:tabs>
          <w:tab w:val="left" w:pos="6168"/>
        </w:tabs>
        <w:spacing w:before="62" w:line="283" w:lineRule="auto"/>
        <w:ind w:right="2687"/>
      </w:pPr>
      <w:r>
        <w:t>流量为</w:t>
      </w:r>
      <w:r>
        <w:rPr>
          <w:spacing w:val="-1"/>
        </w:rPr>
        <w:t xml:space="preserve"> </w:t>
      </w:r>
      <w:r>
        <w:t>25</w:t>
      </w:r>
      <w:r>
        <w:rPr>
          <w:spacing w:val="-1"/>
        </w:rPr>
        <w:t xml:space="preserve"> </w:t>
      </w:r>
      <w:r>
        <w:t>万元，期满处置固定资产残值收入及回收流动资金</w:t>
      </w:r>
      <w:r>
        <w:rPr>
          <w:spacing w:val="12"/>
        </w:rPr>
        <w:t>共</w:t>
      </w:r>
      <w:r>
        <w:t>8</w:t>
      </w:r>
      <w:r>
        <w:rPr>
          <w:spacing w:val="8"/>
        </w:rPr>
        <w:t xml:space="preserve"> </w:t>
      </w:r>
      <w:r>
        <w:t>万元，则该投资项目</w:t>
      </w:r>
      <w:r>
        <w:rPr>
          <w:spacing w:val="29"/>
        </w:rPr>
        <w:t>第</w:t>
      </w:r>
      <w:r>
        <w:rPr>
          <w:spacing w:val="-8"/>
        </w:rPr>
        <w:t xml:space="preserve">10 </w:t>
      </w:r>
      <w:r>
        <w:t>年的净现金流量为（</w:t>
        <w:tab/>
        <w:t>）万元。</w:t>
      </w:r>
    </w:p>
    <w:p>
      <w:pPr>
        <w:pStyle w:val="BodyText"/>
        <w:spacing w:before="4"/>
        <w:ind w:left="0"/>
        <w:rPr>
          <w:sz w:val="17"/>
        </w:rPr>
      </w:pPr>
    </w:p>
    <w:tbl>
      <w:tblPr>
        <w:tblStyle w:val="TableNormal7"/>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8"/>
        <w:gridCol w:w="386"/>
        <w:gridCol w:w="605"/>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1"/>
          <w:jc w:val="left"/>
        </w:trPr>
        <w:tc>
          <w:tcPr>
            <w:tcW w:w="378" w:type="dxa"/>
          </w:tcPr>
          <w:p>
            <w:pPr>
              <w:pStyle w:val="TableParagraph"/>
              <w:spacing w:line="205" w:lineRule="exact"/>
              <w:ind w:left="50"/>
              <w:rPr>
                <w:sz w:val="18"/>
              </w:rPr>
            </w:pPr>
            <w:r>
              <w:rPr>
                <w:sz w:val="18"/>
              </w:rPr>
              <w:t>￥</w:t>
            </w:r>
          </w:p>
        </w:tc>
        <w:tc>
          <w:tcPr>
            <w:tcW w:w="991" w:type="dxa"/>
            <w:gridSpan w:val="2"/>
          </w:tcPr>
          <w:p>
            <w:pPr>
              <w:pStyle w:val="TableParagraph"/>
              <w:rPr>
                <w:rFonts w:ascii="Times New Roman"/>
                <w:sz w:val="16"/>
              </w:rPr>
            </w:pPr>
          </w:p>
        </w:tc>
      </w:tr>
      <w:tr>
        <w:tblPrEx>
          <w:tblW w:w="0" w:type="auto"/>
          <w:jc w:val="left"/>
          <w:tblInd w:w="2658" w:type="dxa"/>
          <w:tblLayout w:type="fixed"/>
          <w:tblCellMar>
            <w:top w:w="0" w:type="dxa"/>
            <w:left w:w="0" w:type="dxa"/>
            <w:bottom w:w="0" w:type="dxa"/>
            <w:right w:w="0" w:type="dxa"/>
          </w:tblCellMar>
          <w:tblLook w:val="01E0"/>
        </w:tblPrEx>
        <w:trPr>
          <w:trHeight w:val="444"/>
          <w:jc w:val="left"/>
        </w:trPr>
        <w:tc>
          <w:tcPr>
            <w:tcW w:w="378" w:type="dxa"/>
          </w:tcPr>
          <w:p>
            <w:pPr>
              <w:pStyle w:val="TableParagraph"/>
              <w:rPr>
                <w:rFonts w:ascii="Times New Roman"/>
                <w:sz w:val="30"/>
              </w:rPr>
            </w:pPr>
          </w:p>
        </w:tc>
        <w:tc>
          <w:tcPr>
            <w:tcW w:w="386" w:type="dxa"/>
          </w:tcPr>
          <w:p>
            <w:pPr>
              <w:pStyle w:val="TableParagraph"/>
              <w:spacing w:before="14"/>
              <w:ind w:right="78"/>
              <w:jc w:val="right"/>
              <w:rPr>
                <w:sz w:val="31"/>
              </w:rPr>
            </w:pPr>
            <w:r>
              <w:rPr>
                <w:w w:val="102"/>
                <w:sz w:val="31"/>
              </w:rPr>
              <w:t>A</w:t>
            </w:r>
          </w:p>
        </w:tc>
        <w:tc>
          <w:tcPr>
            <w:tcW w:w="605" w:type="dxa"/>
          </w:tcPr>
          <w:p>
            <w:pPr>
              <w:pStyle w:val="TableParagraph"/>
              <w:spacing w:before="14"/>
              <w:ind w:left="78"/>
              <w:rPr>
                <w:sz w:val="31"/>
              </w:rPr>
            </w:pPr>
            <w:r>
              <w:rPr>
                <w:sz w:val="31"/>
              </w:rPr>
              <w:t>.8</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378" w:type="dxa"/>
          </w:tcPr>
          <w:p>
            <w:pPr>
              <w:pStyle w:val="TableParagraph"/>
              <w:rPr>
                <w:rFonts w:ascii="Times New Roman"/>
                <w:sz w:val="30"/>
              </w:rPr>
            </w:pPr>
          </w:p>
        </w:tc>
        <w:tc>
          <w:tcPr>
            <w:tcW w:w="386" w:type="dxa"/>
          </w:tcPr>
          <w:p>
            <w:pPr>
              <w:pStyle w:val="TableParagraph"/>
              <w:spacing w:before="38"/>
              <w:ind w:right="78"/>
              <w:jc w:val="right"/>
              <w:rPr>
                <w:sz w:val="31"/>
              </w:rPr>
            </w:pPr>
            <w:r>
              <w:rPr>
                <w:w w:val="102"/>
                <w:sz w:val="31"/>
              </w:rPr>
              <w:t>B</w:t>
            </w:r>
          </w:p>
        </w:tc>
        <w:tc>
          <w:tcPr>
            <w:tcW w:w="605" w:type="dxa"/>
          </w:tcPr>
          <w:p>
            <w:pPr>
              <w:pStyle w:val="TableParagraph"/>
              <w:spacing w:before="38"/>
              <w:ind w:left="78"/>
              <w:rPr>
                <w:sz w:val="31"/>
              </w:rPr>
            </w:pPr>
            <w:r>
              <w:rPr>
                <w:sz w:val="31"/>
              </w:rPr>
              <w:t>.25</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378" w:type="dxa"/>
          </w:tcPr>
          <w:p>
            <w:pPr>
              <w:pStyle w:val="TableParagraph"/>
              <w:rPr>
                <w:rFonts w:ascii="Times New Roman"/>
                <w:sz w:val="30"/>
              </w:rPr>
            </w:pPr>
          </w:p>
        </w:tc>
        <w:tc>
          <w:tcPr>
            <w:tcW w:w="386" w:type="dxa"/>
          </w:tcPr>
          <w:p>
            <w:pPr>
              <w:pStyle w:val="TableParagraph"/>
              <w:spacing w:before="38"/>
              <w:ind w:right="78"/>
              <w:jc w:val="right"/>
              <w:rPr>
                <w:sz w:val="31"/>
              </w:rPr>
            </w:pPr>
            <w:r>
              <w:rPr>
                <w:w w:val="102"/>
                <w:sz w:val="31"/>
              </w:rPr>
              <w:t>C</w:t>
            </w:r>
          </w:p>
        </w:tc>
        <w:tc>
          <w:tcPr>
            <w:tcW w:w="605" w:type="dxa"/>
          </w:tcPr>
          <w:p>
            <w:pPr>
              <w:pStyle w:val="TableParagraph"/>
              <w:spacing w:before="38"/>
              <w:ind w:left="78"/>
              <w:rPr>
                <w:sz w:val="31"/>
              </w:rPr>
            </w:pPr>
            <w:r>
              <w:rPr>
                <w:sz w:val="31"/>
              </w:rPr>
              <w:t>.33</w:t>
            </w:r>
          </w:p>
        </w:tc>
      </w:tr>
      <w:tr>
        <w:tblPrEx>
          <w:tblW w:w="0" w:type="auto"/>
          <w:jc w:val="left"/>
          <w:tblInd w:w="2658" w:type="dxa"/>
          <w:tblLayout w:type="fixed"/>
          <w:tblCellMar>
            <w:top w:w="0" w:type="dxa"/>
            <w:left w:w="0" w:type="dxa"/>
            <w:bottom w:w="0" w:type="dxa"/>
            <w:right w:w="0" w:type="dxa"/>
          </w:tblCellMar>
          <w:tblLook w:val="01E0"/>
        </w:tblPrEx>
        <w:trPr>
          <w:trHeight w:val="392"/>
          <w:jc w:val="left"/>
        </w:trPr>
        <w:tc>
          <w:tcPr>
            <w:tcW w:w="378" w:type="dxa"/>
          </w:tcPr>
          <w:p>
            <w:pPr>
              <w:pStyle w:val="TableParagraph"/>
              <w:rPr>
                <w:rFonts w:ascii="Times New Roman"/>
                <w:sz w:val="30"/>
              </w:rPr>
            </w:pPr>
          </w:p>
        </w:tc>
        <w:tc>
          <w:tcPr>
            <w:tcW w:w="386" w:type="dxa"/>
          </w:tcPr>
          <w:p>
            <w:pPr>
              <w:pStyle w:val="TableParagraph"/>
              <w:spacing w:before="38" w:line="335" w:lineRule="exact"/>
              <w:ind w:right="78"/>
              <w:jc w:val="right"/>
              <w:rPr>
                <w:sz w:val="31"/>
              </w:rPr>
            </w:pPr>
            <w:r>
              <w:rPr>
                <w:w w:val="102"/>
                <w:sz w:val="31"/>
              </w:rPr>
              <w:t>D</w:t>
            </w:r>
          </w:p>
        </w:tc>
        <w:tc>
          <w:tcPr>
            <w:tcW w:w="605" w:type="dxa"/>
          </w:tcPr>
          <w:p>
            <w:pPr>
              <w:pStyle w:val="TableParagraph"/>
              <w:spacing w:before="38" w:line="335" w:lineRule="exact"/>
              <w:ind w:left="78"/>
              <w:rPr>
                <w:sz w:val="31"/>
              </w:rPr>
            </w:pPr>
            <w:r>
              <w:rPr>
                <w:sz w:val="31"/>
              </w:rPr>
              <w:t>.43</w:t>
            </w:r>
          </w:p>
        </w:tc>
      </w:tr>
    </w:tbl>
    <w:p>
      <w:pPr>
        <w:pStyle w:val="BodyText"/>
        <w:tabs>
          <w:tab w:val="left" w:pos="12159"/>
        </w:tabs>
        <w:spacing w:before="113" w:line="283" w:lineRule="auto"/>
        <w:ind w:left="3175" w:right="5226" w:hanging="475"/>
      </w:pPr>
      <w:r>
        <w:t>14、长期投资决策中，不宜作为折现率进行投资项目评价的是（</w:t>
        <w:tab/>
      </w:r>
      <w:r>
        <w:rPr>
          <w:spacing w:val="-162"/>
        </w:rPr>
        <w:t>）</w:t>
      </w:r>
      <w:r>
        <w:rPr>
          <w:spacing w:val="-17"/>
        </w:rPr>
        <w:t>。</w:t>
      </w:r>
      <w:r>
        <w:rPr>
          <w:color w:val="FF0000"/>
        </w:rPr>
        <w:t>A</w:t>
      </w:r>
      <w:r>
        <w:rPr>
          <w:color w:val="FF0000"/>
          <w:spacing w:val="4"/>
        </w:rPr>
        <w:t xml:space="preserve"> </w:t>
      </w:r>
      <w:r>
        <w:rPr>
          <w:color w:val="FF0000"/>
          <w:spacing w:val="-4"/>
        </w:rPr>
        <w:t>.</w:t>
      </w:r>
      <w:r>
        <w:rPr>
          <w:color w:val="FF0000"/>
        </w:rPr>
        <w:t>活期存款利率</w:t>
      </w:r>
    </w:p>
    <w:p>
      <w:pPr>
        <w:pStyle w:val="BodyText"/>
        <w:spacing w:line="283" w:lineRule="auto"/>
        <w:ind w:left="3176" w:right="11360"/>
      </w:pPr>
      <w:r>
        <w:t>B .投资项目的资金成本C .投资的机会成本</w:t>
      </w:r>
    </w:p>
    <w:p>
      <w:pPr>
        <w:pStyle w:val="BodyText"/>
        <w:spacing w:before="4"/>
        <w:ind w:left="0"/>
        <w:rPr>
          <w:sz w:val="9"/>
        </w:rPr>
      </w:pPr>
    </w:p>
    <w:p>
      <w:pPr>
        <w:spacing w:before="75"/>
        <w:ind w:left="2700" w:right="0" w:firstLine="0"/>
        <w:jc w:val="left"/>
        <w:rPr>
          <w:sz w:val="18"/>
        </w:rPr>
      </w:pPr>
      <w:r>
        <w:rPr>
          <w:sz w:val="18"/>
        </w:rPr>
        <w:t>—</w:t>
      </w:r>
    </w:p>
    <w:p>
      <w:pPr>
        <w:pStyle w:val="BodyText"/>
        <w:spacing w:before="41"/>
        <w:ind w:left="3176"/>
      </w:pPr>
      <w:r>
        <w:t>D .行业平均资金收益率</w:t>
      </w:r>
    </w:p>
    <w:p>
      <w:pPr>
        <w:pStyle w:val="BodyText"/>
        <w:spacing w:before="71" w:line="283" w:lineRule="auto"/>
        <w:ind w:right="2677"/>
        <w:jc w:val="both"/>
      </w:pPr>
      <w:r>
        <w:t>15</w:t>
      </w:r>
      <w:r>
        <w:rPr>
          <w:spacing w:val="1"/>
        </w:rPr>
        <w:t xml:space="preserve">、某企业准备上马一个固定资产投资项目，有效使用期为 </w:t>
      </w:r>
      <w:r>
        <w:t>4</w:t>
      </w:r>
      <w:r>
        <w:rPr>
          <w:spacing w:val="11"/>
        </w:rPr>
        <w:t xml:space="preserve"> 年，无残值，总共投资 </w:t>
      </w:r>
      <w:r>
        <w:t xml:space="preserve">120 </w:t>
      </w:r>
      <w:r>
        <w:rPr>
          <w:spacing w:val="-5"/>
        </w:rPr>
        <w:t>万元。其中一个方案在使用期内每年净利为</w:t>
      </w:r>
      <w:r>
        <w:t>20</w:t>
      </w:r>
      <w:r>
        <w:rPr>
          <w:spacing w:val="-8"/>
        </w:rPr>
        <w:t xml:space="preserve"> 万元，年折旧额 </w:t>
      </w:r>
      <w:r>
        <w:t>30</w:t>
      </w:r>
      <w:r>
        <w:rPr>
          <w:spacing w:val="-9"/>
        </w:rPr>
        <w:t xml:space="preserve"> 万元，该项目的投资回收</w:t>
      </w:r>
      <w:r>
        <w:t>期为（ ）年。</w:t>
      </w:r>
    </w:p>
    <w:p>
      <w:pPr>
        <w:pStyle w:val="ListParagraph"/>
        <w:numPr>
          <w:ilvl w:val="0"/>
          <w:numId w:val="121"/>
        </w:numPr>
        <w:tabs>
          <w:tab w:val="left" w:pos="3493"/>
        </w:tabs>
        <w:spacing w:before="0" w:after="0" w:line="395" w:lineRule="exact"/>
        <w:ind w:left="3492" w:right="0" w:hanging="317"/>
        <w:jc w:val="left"/>
        <w:rPr>
          <w:sz w:val="31"/>
        </w:rPr>
      </w:pPr>
      <w:r>
        <w:rPr>
          <w:sz w:val="31"/>
        </w:rPr>
        <w:t>.4</w:t>
      </w:r>
    </w:p>
    <w:p>
      <w:pPr>
        <w:pStyle w:val="ListParagraph"/>
        <w:numPr>
          <w:ilvl w:val="0"/>
          <w:numId w:val="121"/>
        </w:numPr>
        <w:tabs>
          <w:tab w:val="left" w:pos="3493"/>
        </w:tabs>
        <w:spacing w:before="71" w:after="0" w:line="240" w:lineRule="auto"/>
        <w:ind w:left="3492" w:right="0" w:hanging="317"/>
        <w:jc w:val="left"/>
        <w:rPr>
          <w:sz w:val="31"/>
        </w:rPr>
      </w:pPr>
      <w:r>
        <w:rPr>
          <w:sz w:val="31"/>
        </w:rPr>
        <w:t>.6</w:t>
      </w:r>
    </w:p>
    <w:p>
      <w:pPr>
        <w:pStyle w:val="ListParagraph"/>
        <w:numPr>
          <w:ilvl w:val="0"/>
          <w:numId w:val="121"/>
        </w:numPr>
        <w:tabs>
          <w:tab w:val="left" w:pos="3493"/>
        </w:tabs>
        <w:spacing w:before="71" w:after="0" w:line="240" w:lineRule="auto"/>
        <w:ind w:left="3492" w:right="0" w:hanging="317"/>
        <w:jc w:val="left"/>
        <w:rPr>
          <w:sz w:val="31"/>
        </w:rPr>
      </w:pPr>
      <w:r>
        <w:rPr>
          <w:w w:val="102"/>
          <w:sz w:val="31"/>
        </w:rPr>
        <w:t>.</w:t>
      </w:r>
    </w:p>
    <w:p>
      <w:pPr>
        <w:pStyle w:val="ListParagraph"/>
        <w:numPr>
          <w:ilvl w:val="0"/>
          <w:numId w:val="121"/>
        </w:numPr>
        <w:tabs>
          <w:tab w:val="left" w:pos="3493"/>
        </w:tabs>
        <w:spacing w:before="71" w:after="0" w:line="240" w:lineRule="auto"/>
        <w:ind w:left="3492" w:right="0" w:hanging="317"/>
        <w:jc w:val="left"/>
        <w:rPr>
          <w:sz w:val="31"/>
        </w:rPr>
      </w:pPr>
      <w:r>
        <w:rPr>
          <w:sz w:val="31"/>
        </w:rPr>
        <w:t>.3</w:t>
      </w:r>
    </w:p>
    <w:p>
      <w:pPr>
        <w:pStyle w:val="BodyText"/>
        <w:spacing w:before="71" w:line="283" w:lineRule="auto"/>
        <w:ind w:right="2659"/>
        <w:jc w:val="both"/>
      </w:pPr>
      <w:r>
        <w:t>16</w:t>
      </w:r>
      <w:r>
        <w:rPr>
          <w:spacing w:val="-1"/>
        </w:rPr>
        <w:t>、假定某项目的原始投资在建设期初全部投入，其预计的净现值率为</w:t>
      </w:r>
      <w:r>
        <w:t>15</w:t>
      </w:r>
      <w:r>
        <w:rPr>
          <w:spacing w:val="-2"/>
        </w:rPr>
        <w:t>%，则该项目的获</w:t>
      </w:r>
      <w:r>
        <w:t xml:space="preserve">利指数是（ </w:t>
      </w:r>
      <w:r>
        <w:rPr>
          <w:spacing w:val="-159"/>
        </w:rPr>
        <w:t>）</w:t>
      </w:r>
      <w:r>
        <w:t>。</w:t>
      </w:r>
    </w:p>
    <w:p>
      <w:pPr>
        <w:pStyle w:val="ListParagraph"/>
        <w:numPr>
          <w:ilvl w:val="0"/>
          <w:numId w:val="72"/>
        </w:numPr>
        <w:tabs>
          <w:tab w:val="left" w:pos="3493"/>
        </w:tabs>
        <w:spacing w:before="0" w:after="0" w:line="396" w:lineRule="exact"/>
        <w:ind w:left="3492" w:right="0" w:hanging="317"/>
        <w:jc w:val="left"/>
        <w:rPr>
          <w:sz w:val="31"/>
        </w:rPr>
      </w:pPr>
      <w:r>
        <w:rPr>
          <w:w w:val="102"/>
          <w:sz w:val="31"/>
        </w:rPr>
        <w:t>.</w:t>
      </w:r>
    </w:p>
    <w:p>
      <w:pPr>
        <w:pStyle w:val="BodyText"/>
        <w:ind w:left="0"/>
        <w:rPr>
          <w:sz w:val="15"/>
        </w:rPr>
      </w:pPr>
    </w:p>
    <w:p>
      <w:pPr>
        <w:spacing w:before="75"/>
        <w:ind w:left="2700" w:right="0" w:firstLine="0"/>
        <w:jc w:val="left"/>
        <w:rPr>
          <w:sz w:val="18"/>
        </w:rPr>
      </w:pPr>
      <w:r>
        <w:rPr>
          <w:sz w:val="18"/>
        </w:rPr>
        <w:t>…</w:t>
      </w:r>
    </w:p>
    <w:p>
      <w:pPr>
        <w:pStyle w:val="ListParagraph"/>
        <w:numPr>
          <w:ilvl w:val="0"/>
          <w:numId w:val="72"/>
        </w:numPr>
        <w:tabs>
          <w:tab w:val="left" w:pos="3493"/>
        </w:tabs>
        <w:spacing w:before="41" w:after="0" w:line="240" w:lineRule="auto"/>
        <w:ind w:left="3492" w:right="0" w:hanging="317"/>
        <w:jc w:val="left"/>
        <w:rPr>
          <w:sz w:val="31"/>
        </w:rPr>
      </w:pPr>
      <w:r>
        <w:rPr>
          <w:w w:val="102"/>
          <w:sz w:val="31"/>
        </w:rPr>
        <w:t>.</w:t>
      </w:r>
    </w:p>
    <w:p>
      <w:pPr>
        <w:pStyle w:val="ListParagraph"/>
        <w:numPr>
          <w:ilvl w:val="0"/>
          <w:numId w:val="72"/>
        </w:numPr>
        <w:tabs>
          <w:tab w:val="left" w:pos="3493"/>
        </w:tabs>
        <w:spacing w:before="71" w:after="0" w:line="240" w:lineRule="auto"/>
        <w:ind w:left="3492" w:right="0" w:hanging="317"/>
        <w:jc w:val="left"/>
        <w:rPr>
          <w:sz w:val="31"/>
        </w:rPr>
      </w:pPr>
      <w:r>
        <w:rPr>
          <w:w w:val="102"/>
          <w:sz w:val="31"/>
        </w:rPr>
        <w:t>.</w:t>
      </w:r>
    </w:p>
    <w:p>
      <w:pPr>
        <w:pStyle w:val="ListParagraph"/>
        <w:numPr>
          <w:ilvl w:val="0"/>
          <w:numId w:val="72"/>
        </w:numPr>
        <w:tabs>
          <w:tab w:val="left" w:pos="3493"/>
        </w:tabs>
        <w:spacing w:before="71" w:after="0" w:line="240" w:lineRule="auto"/>
        <w:ind w:left="3492" w:right="0" w:hanging="317"/>
        <w:jc w:val="left"/>
        <w:rPr>
          <w:sz w:val="31"/>
        </w:rPr>
      </w:pPr>
      <w:r>
        <w:rPr>
          <w:w w:val="102"/>
          <w:sz w:val="31"/>
        </w:rPr>
        <w:t>.</w:t>
      </w:r>
    </w:p>
    <w:p>
      <w:pPr>
        <w:pStyle w:val="BodyText"/>
        <w:tabs>
          <w:tab w:val="left" w:pos="8691"/>
        </w:tabs>
        <w:spacing w:before="71" w:line="283" w:lineRule="auto"/>
        <w:ind w:right="2660"/>
      </w:pPr>
      <w:r>
        <w:t>17</w:t>
      </w:r>
      <w:r>
        <w:rPr>
          <w:spacing w:val="-72"/>
        </w:rPr>
        <w:t>、</w:t>
      </w:r>
      <w:r>
        <w:t>营业现金流量是指投资项目投入使用后</w:t>
      </w:r>
      <w:r>
        <w:rPr>
          <w:spacing w:val="-104"/>
        </w:rPr>
        <w:t>，</w:t>
      </w:r>
      <w:r>
        <w:t>在其寿命周期内由于生产经营所带来的现金</w:t>
      </w:r>
      <w:r>
        <w:rPr>
          <w:spacing w:val="-16"/>
        </w:rPr>
        <w:t>流</w:t>
      </w:r>
      <w:r>
        <w:t>入和流出的数量。这里现金流出是指（</w:t>
        <w:tab/>
      </w:r>
      <w:r>
        <w:rPr>
          <w:spacing w:val="-162"/>
        </w:rPr>
        <w:t>）</w:t>
      </w:r>
      <w:r>
        <w:t>。</w:t>
      </w:r>
    </w:p>
    <w:p>
      <w:pPr>
        <w:pStyle w:val="BodyText"/>
        <w:spacing w:line="283" w:lineRule="auto"/>
        <w:ind w:left="3176" w:right="12309"/>
      </w:pPr>
      <w:r>
        <w:t>A .营业现金支出B .交纳的税金</w:t>
      </w:r>
    </w:p>
    <w:p>
      <w:pPr>
        <w:pStyle w:val="ListParagraph"/>
        <w:numPr>
          <w:ilvl w:val="0"/>
          <w:numId w:val="71"/>
        </w:numPr>
        <w:tabs>
          <w:tab w:val="left" w:pos="3493"/>
        </w:tabs>
        <w:spacing w:before="0" w:after="0" w:line="396" w:lineRule="exact"/>
        <w:ind w:left="3492" w:right="0" w:hanging="317"/>
        <w:jc w:val="left"/>
        <w:rPr>
          <w:sz w:val="31"/>
        </w:rPr>
      </w:pPr>
      <w:r>
        <w:rPr>
          <w:spacing w:val="-2"/>
          <w:sz w:val="31"/>
        </w:rPr>
        <w:t>.付现成本</w:t>
      </w:r>
    </w:p>
    <w:p>
      <w:pPr>
        <w:pStyle w:val="ListParagraph"/>
        <w:numPr>
          <w:ilvl w:val="0"/>
          <w:numId w:val="71"/>
        </w:numPr>
        <w:tabs>
          <w:tab w:val="left" w:pos="3493"/>
        </w:tabs>
        <w:spacing w:before="69" w:after="0" w:line="240" w:lineRule="auto"/>
        <w:ind w:left="3492" w:right="0" w:hanging="317"/>
        <w:jc w:val="left"/>
        <w:rPr>
          <w:color w:val="FF0000"/>
          <w:sz w:val="31"/>
        </w:rPr>
      </w:pPr>
      <w:r>
        <w:rPr>
          <w:color w:val="FF0000"/>
          <w:spacing w:val="-2"/>
          <w:sz w:val="31"/>
        </w:rPr>
        <w:t>.营业现金支出和交纳的税金</w:t>
      </w:r>
    </w:p>
    <w:p>
      <w:pPr>
        <w:spacing w:before="268"/>
        <w:ind w:left="2700" w:right="0" w:firstLine="0"/>
        <w:jc w:val="left"/>
        <w:rPr>
          <w:sz w:val="18"/>
        </w:rPr>
      </w:pPr>
      <w:r>
        <w:rPr>
          <w:sz w:val="18"/>
        </w:rPr>
        <w:t>(</w:t>
      </w:r>
    </w:p>
    <w:p>
      <w:pPr>
        <w:pStyle w:val="BodyText"/>
        <w:spacing w:before="40"/>
      </w:pPr>
      <w:r>
        <w:t>18、原始投资额不同特别是项目计算期不同的多方案比较决策，最适合采用的评价方法是</w:t>
      </w:r>
    </w:p>
    <w:p>
      <w:pPr>
        <w:pStyle w:val="BodyText"/>
        <w:tabs>
          <w:tab w:val="left" w:pos="3647"/>
        </w:tabs>
        <w:spacing w:before="72"/>
      </w:pPr>
      <w:r>
        <w:t>（</w:t>
        <w:tab/>
      </w:r>
      <w:r>
        <w:rPr>
          <w:spacing w:val="-159"/>
        </w:rPr>
        <w:t>）</w:t>
      </w:r>
      <w:r>
        <w:t>。</w:t>
      </w:r>
    </w:p>
    <w:p>
      <w:pPr>
        <w:pStyle w:val="ListParagraph"/>
        <w:numPr>
          <w:ilvl w:val="0"/>
          <w:numId w:val="70"/>
        </w:numPr>
        <w:tabs>
          <w:tab w:val="left" w:pos="3493"/>
        </w:tabs>
        <w:spacing w:before="71" w:after="0" w:line="240" w:lineRule="auto"/>
        <w:ind w:left="3492" w:right="0" w:hanging="317"/>
        <w:jc w:val="left"/>
        <w:rPr>
          <w:sz w:val="31"/>
        </w:rPr>
      </w:pPr>
      <w:r>
        <w:rPr>
          <w:spacing w:val="-2"/>
          <w:sz w:val="31"/>
        </w:rPr>
        <w:t>.获利指数法</w:t>
      </w:r>
    </w:p>
    <w:p>
      <w:pPr>
        <w:pStyle w:val="ListParagraph"/>
        <w:numPr>
          <w:ilvl w:val="0"/>
          <w:numId w:val="70"/>
        </w:numPr>
        <w:tabs>
          <w:tab w:val="left" w:pos="3493"/>
        </w:tabs>
        <w:spacing w:before="70" w:after="0" w:line="240" w:lineRule="auto"/>
        <w:ind w:left="3492" w:right="0" w:hanging="317"/>
        <w:jc w:val="left"/>
        <w:rPr>
          <w:sz w:val="31"/>
        </w:rPr>
      </w:pPr>
      <w:r>
        <w:rPr>
          <w:spacing w:val="-2"/>
          <w:sz w:val="31"/>
        </w:rPr>
        <w:t>.内部收益率法</w:t>
      </w:r>
    </w:p>
    <w:p>
      <w:pPr>
        <w:pStyle w:val="ListParagraph"/>
        <w:numPr>
          <w:ilvl w:val="0"/>
          <w:numId w:val="70"/>
        </w:numPr>
        <w:tabs>
          <w:tab w:val="left" w:pos="3493"/>
        </w:tabs>
        <w:spacing w:before="71" w:after="0" w:line="283" w:lineRule="auto"/>
        <w:ind w:left="3175" w:right="11042" w:firstLine="0"/>
        <w:jc w:val="left"/>
        <w:rPr>
          <w:sz w:val="31"/>
        </w:rPr>
      </w:pPr>
      <w:r>
        <w:rPr>
          <w:spacing w:val="-4"/>
          <w:sz w:val="31"/>
        </w:rPr>
        <w:t>.差额投资内部收益率法</w:t>
      </w:r>
      <w:r>
        <w:rPr>
          <w:color w:val="FF0000"/>
          <w:sz w:val="31"/>
        </w:rPr>
        <w:t>D .年等额净回收额法</w:t>
      </w:r>
    </w:p>
    <w:p>
      <w:pPr>
        <w:pStyle w:val="Heading2"/>
        <w:spacing w:line="396" w:lineRule="exact"/>
      </w:pPr>
      <w:r>
        <w:t>二、多项选择题</w:t>
      </w:r>
    </w:p>
    <w:p>
      <w:pPr>
        <w:pStyle w:val="BodyText"/>
        <w:tabs>
          <w:tab w:val="left" w:pos="12313"/>
        </w:tabs>
        <w:spacing w:before="71" w:line="283" w:lineRule="auto"/>
        <w:ind w:left="3176" w:right="5073" w:hanging="476"/>
      </w:pPr>
      <w:r>
        <w:t>1、在考虑所得税因素以后，能够计算出营业现金流量的公式有（</w:t>
        <w:tab/>
      </w:r>
      <w:r>
        <w:rPr>
          <w:spacing w:val="-162"/>
        </w:rPr>
        <w:t>）</w:t>
      </w:r>
      <w:r>
        <w:rPr>
          <w:spacing w:val="-18"/>
        </w:rPr>
        <w:t>。</w:t>
      </w:r>
      <w:r>
        <w:t>A</w:t>
      </w:r>
      <w:r>
        <w:rPr>
          <w:spacing w:val="10"/>
        </w:rPr>
        <w:t xml:space="preserve"> </w:t>
      </w:r>
      <w:r>
        <w:rPr>
          <w:spacing w:val="-4"/>
        </w:rPr>
        <w:t>.</w:t>
      </w:r>
      <w:r>
        <w:t>营业现金流</w:t>
      </w:r>
      <w:r>
        <w:rPr>
          <w:spacing w:val="-11"/>
        </w:rPr>
        <w:t>量</w:t>
      </w:r>
      <w:r>
        <w:t>=税后收入―税后成</w:t>
      </w:r>
      <w:r>
        <w:rPr>
          <w:spacing w:val="-18"/>
        </w:rPr>
        <w:t>本</w:t>
      </w:r>
      <w:r>
        <w:t>+税负减少</w:t>
      </w:r>
    </w:p>
    <w:p>
      <w:pPr>
        <w:spacing w:before="196"/>
        <w:ind w:left="2700" w:right="0" w:firstLine="0"/>
        <w:jc w:val="left"/>
        <w:rPr>
          <w:sz w:val="18"/>
        </w:rPr>
      </w:pPr>
      <w:r>
        <w:rPr>
          <w:sz w:val="18"/>
        </w:rPr>
        <w:t>(</w:t>
      </w:r>
    </w:p>
    <w:p>
      <w:pPr>
        <w:spacing w:after="0"/>
        <w:jc w:val="left"/>
        <w:rPr>
          <w:sz w:val="18"/>
        </w:rPr>
        <w:sectPr>
          <w:headerReference w:type="default" r:id="rId49"/>
          <w:pgSz w:w="17860" w:h="25260"/>
          <w:pgMar w:top="1360" w:right="0" w:bottom="280" w:left="0" w:header="1160" w:footer="0"/>
          <w:pgNumType w:start="26"/>
          <w:cols w:space="708"/>
        </w:sectPr>
      </w:pPr>
    </w:p>
    <w:p>
      <w:pPr>
        <w:pStyle w:val="BodyText"/>
        <w:ind w:left="0"/>
        <w:rPr>
          <w:sz w:val="20"/>
        </w:rPr>
      </w:pPr>
    </w:p>
    <w:p>
      <w:pPr>
        <w:pStyle w:val="BodyText"/>
        <w:spacing w:before="5"/>
        <w:ind w:left="0"/>
        <w:rPr>
          <w:sz w:val="19"/>
        </w:rPr>
      </w:pPr>
    </w:p>
    <w:p>
      <w:pPr>
        <w:pStyle w:val="BodyText"/>
        <w:spacing w:before="62" w:line="283" w:lineRule="auto"/>
        <w:ind w:left="3176" w:right="3957"/>
      </w:pPr>
      <w:r>
        <w:t>B  .营业现金流量=收入×（1―税率）―付现成本×（1―税率）＋折旧×税率C .营业现金流量=税后净利＋折旧</w:t>
      </w:r>
    </w:p>
    <w:p>
      <w:pPr>
        <w:pStyle w:val="ListParagraph"/>
        <w:numPr>
          <w:ilvl w:val="0"/>
          <w:numId w:val="69"/>
        </w:numPr>
        <w:tabs>
          <w:tab w:val="left" w:pos="3493"/>
        </w:tabs>
        <w:spacing w:before="0" w:after="0" w:line="396" w:lineRule="exact"/>
        <w:ind w:left="3492" w:right="0" w:hanging="317"/>
        <w:jc w:val="left"/>
        <w:rPr>
          <w:sz w:val="31"/>
        </w:rPr>
      </w:pPr>
      <w:r>
        <w:rPr>
          <w:spacing w:val="-4"/>
          <w:sz w:val="31"/>
        </w:rPr>
        <w:t>.营业现金流量=税后净利＋折旧―所得税</w:t>
      </w:r>
    </w:p>
    <w:p>
      <w:pPr>
        <w:pStyle w:val="ListParagraph"/>
        <w:numPr>
          <w:ilvl w:val="0"/>
          <w:numId w:val="69"/>
        </w:numPr>
        <w:tabs>
          <w:tab w:val="left" w:pos="3493"/>
          <w:tab w:val="left" w:pos="9477"/>
        </w:tabs>
        <w:spacing w:before="71" w:after="0" w:line="283" w:lineRule="auto"/>
        <w:ind w:left="2700" w:right="7908" w:firstLine="475"/>
        <w:jc w:val="left"/>
        <w:rPr>
          <w:sz w:val="31"/>
        </w:rPr>
      </w:pPr>
      <w:r>
        <w:rPr>
          <w:spacing w:val="-4"/>
          <w:sz w:val="31"/>
        </w:rPr>
        <w:t>.</w:t>
      </w:r>
      <w:r>
        <w:rPr>
          <w:sz w:val="31"/>
        </w:rPr>
        <w:t>营业现金流</w:t>
      </w:r>
      <w:r>
        <w:rPr>
          <w:spacing w:val="-11"/>
          <w:sz w:val="31"/>
        </w:rPr>
        <w:t>量</w:t>
      </w:r>
      <w:r>
        <w:rPr>
          <w:sz w:val="31"/>
        </w:rPr>
        <w:t>=营业收入―付现成本―所得税 2、对于同一投资方案，下列说法正确的是（</w:t>
        <w:tab/>
      </w:r>
      <w:r>
        <w:rPr>
          <w:spacing w:val="-162"/>
          <w:sz w:val="31"/>
        </w:rPr>
        <w:t>）</w:t>
      </w:r>
      <w:r>
        <w:rPr>
          <w:spacing w:val="-17"/>
          <w:sz w:val="31"/>
        </w:rPr>
        <w:t>。</w:t>
      </w:r>
    </w:p>
    <w:p>
      <w:pPr>
        <w:pStyle w:val="BodyText"/>
        <w:spacing w:line="283" w:lineRule="auto"/>
        <w:ind w:left="3176" w:right="10408"/>
      </w:pPr>
      <w:r>
        <w:t>A .资本成本越高，净现值越低B .资本成本越高，净现值越高</w:t>
      </w:r>
    </w:p>
    <w:p>
      <w:pPr>
        <w:pStyle w:val="ListParagraph"/>
        <w:numPr>
          <w:ilvl w:val="0"/>
          <w:numId w:val="68"/>
        </w:numPr>
        <w:tabs>
          <w:tab w:val="left" w:pos="3493"/>
        </w:tabs>
        <w:spacing w:before="0" w:after="0" w:line="396" w:lineRule="exact"/>
        <w:ind w:left="3492" w:right="0" w:hanging="317"/>
        <w:jc w:val="left"/>
        <w:rPr>
          <w:sz w:val="31"/>
        </w:rPr>
      </w:pPr>
      <w:r>
        <w:rPr>
          <w:spacing w:val="-2"/>
          <w:sz w:val="31"/>
        </w:rPr>
        <w:t>.资本成本相当于内部报酬率时，净现值为零</w:t>
      </w:r>
    </w:p>
    <w:p>
      <w:pPr>
        <w:pStyle w:val="BodyText"/>
        <w:spacing w:before="12"/>
        <w:ind w:left="0"/>
        <w:rPr>
          <w:sz w:val="14"/>
        </w:rPr>
      </w:pPr>
    </w:p>
    <w:p>
      <w:pPr>
        <w:spacing w:before="75"/>
        <w:ind w:left="2700" w:right="0" w:firstLine="0"/>
        <w:jc w:val="left"/>
        <w:rPr>
          <w:sz w:val="18"/>
        </w:rPr>
      </w:pPr>
      <w:r>
        <w:rPr>
          <w:sz w:val="18"/>
        </w:rPr>
        <w:t>》</w:t>
      </w:r>
    </w:p>
    <w:p>
      <w:pPr>
        <w:pStyle w:val="ListParagraph"/>
        <w:numPr>
          <w:ilvl w:val="0"/>
          <w:numId w:val="68"/>
        </w:numPr>
        <w:tabs>
          <w:tab w:val="left" w:pos="3493"/>
        </w:tabs>
        <w:spacing w:before="40" w:after="0" w:line="283" w:lineRule="auto"/>
        <w:ind w:left="3176" w:right="8192" w:firstLine="0"/>
        <w:jc w:val="left"/>
        <w:rPr>
          <w:sz w:val="31"/>
        </w:rPr>
      </w:pPr>
      <w:r>
        <w:rPr>
          <w:spacing w:val="-3"/>
          <w:sz w:val="31"/>
        </w:rPr>
        <w:t>.资本成本高于内部报酬率时，净现值小于零</w:t>
      </w:r>
      <w:r>
        <w:rPr>
          <w:sz w:val="31"/>
        </w:rPr>
        <w:t>E</w:t>
      </w:r>
      <w:r>
        <w:rPr>
          <w:spacing w:val="-1"/>
          <w:sz w:val="31"/>
        </w:rPr>
        <w:t xml:space="preserve"> .资本成本高于内部报酬率时，净现值大于零</w:t>
      </w:r>
    </w:p>
    <w:p>
      <w:pPr>
        <w:pStyle w:val="BodyText"/>
        <w:tabs>
          <w:tab w:val="left" w:pos="13888"/>
        </w:tabs>
        <w:spacing w:line="283" w:lineRule="auto"/>
        <w:ind w:left="3176" w:right="3494" w:hanging="476"/>
      </w:pPr>
      <w:r>
        <w:t>3、关于净现值、内部报酬率和获利指数这三种指标的比较的说法正确的是（</w:t>
        <w:tab/>
      </w:r>
      <w:r>
        <w:rPr>
          <w:spacing w:val="-159"/>
        </w:rPr>
        <w:t>）</w:t>
      </w:r>
      <w:r>
        <w:rPr>
          <w:spacing w:val="-17"/>
        </w:rPr>
        <w:t>。</w:t>
      </w:r>
      <w:r>
        <w:t>A</w:t>
      </w:r>
      <w:r>
        <w:rPr>
          <w:spacing w:val="15"/>
        </w:rPr>
        <w:t xml:space="preserve"> </w:t>
      </w:r>
      <w:r>
        <w:rPr>
          <w:spacing w:val="-4"/>
        </w:rPr>
        <w:t>.</w:t>
      </w:r>
      <w:r>
        <w:t>在多数情况下，运用净现值和内部报酬率得出的结论是相同的</w:t>
      </w:r>
    </w:p>
    <w:p>
      <w:pPr>
        <w:pStyle w:val="BodyText"/>
        <w:spacing w:line="283" w:lineRule="auto"/>
        <w:ind w:left="3176" w:right="6923"/>
      </w:pPr>
      <w:r>
        <w:t>B .在互斥选择决策中，净现值法有时会得出错误的结论C .在这三种方法中，净现值法是最好的评价方法</w:t>
      </w:r>
    </w:p>
    <w:p>
      <w:pPr>
        <w:pStyle w:val="BodyText"/>
        <w:spacing w:line="283" w:lineRule="auto"/>
        <w:ind w:left="3176" w:right="6923"/>
      </w:pPr>
      <w:r>
        <w:t>D .一般来说，内部报酬率法只能用于有资本限量的情况E .这三个指标在采纳与否决策中都能得出正确的结论</w:t>
      </w:r>
    </w:p>
    <w:p>
      <w:pPr>
        <w:spacing w:before="193"/>
        <w:ind w:left="2700" w:right="0" w:firstLine="0"/>
        <w:jc w:val="left"/>
        <w:rPr>
          <w:sz w:val="18"/>
        </w:rPr>
      </w:pPr>
      <w:r>
        <w:rPr>
          <w:sz w:val="18"/>
        </w:rPr>
        <w:t>&lt;</w:t>
      </w:r>
    </w:p>
    <w:p>
      <w:pPr>
        <w:pStyle w:val="BodyText"/>
        <w:tabs>
          <w:tab w:val="left" w:pos="13149"/>
        </w:tabs>
        <w:spacing w:before="40" w:line="283" w:lineRule="auto"/>
        <w:ind w:right="2652"/>
      </w:pPr>
      <w:r>
        <w:rPr>
          <w:w w:val="102"/>
        </w:rPr>
        <w:t>4、一般而言，净现值在项目投资决策中能够得出正确的结论。但如果（</w:t>
      </w:r>
      <w:r>
        <w:tab/>
      </w:r>
      <w:r>
        <w:rPr>
          <w:spacing w:val="-162"/>
          <w:w w:val="102"/>
        </w:rPr>
        <w:t>）</w:t>
      </w:r>
      <w:r>
        <w:rPr>
          <w:w w:val="102"/>
        </w:rPr>
        <w:t>，并进行方</w:t>
      </w:r>
      <w:r>
        <w:rPr>
          <w:spacing w:val="-18"/>
          <w:w w:val="102"/>
        </w:rPr>
        <w:t>案</w:t>
      </w:r>
      <w:r>
        <w:t>优选可能会得出错误的结论。</w:t>
      </w:r>
    </w:p>
    <w:p>
      <w:pPr>
        <w:pStyle w:val="BodyText"/>
        <w:spacing w:line="283" w:lineRule="auto"/>
        <w:ind w:left="3176" w:right="9458"/>
      </w:pPr>
      <w:r>
        <w:t>A .以行业平均资金收益率计算净现值B .以资金成本率计算净现值</w:t>
      </w:r>
    </w:p>
    <w:p>
      <w:pPr>
        <w:pStyle w:val="ListParagraph"/>
        <w:numPr>
          <w:ilvl w:val="0"/>
          <w:numId w:val="67"/>
        </w:numPr>
        <w:tabs>
          <w:tab w:val="left" w:pos="3493"/>
        </w:tabs>
        <w:spacing w:before="0" w:after="0" w:line="396" w:lineRule="exact"/>
        <w:ind w:left="3492" w:right="0" w:hanging="317"/>
        <w:jc w:val="left"/>
        <w:rPr>
          <w:sz w:val="31"/>
        </w:rPr>
      </w:pPr>
      <w:r>
        <w:rPr>
          <w:spacing w:val="-2"/>
          <w:sz w:val="31"/>
        </w:rPr>
        <w:t>.投资额不同，利用净现值</w:t>
      </w:r>
    </w:p>
    <w:p>
      <w:pPr>
        <w:pStyle w:val="ListParagraph"/>
        <w:numPr>
          <w:ilvl w:val="0"/>
          <w:numId w:val="67"/>
        </w:numPr>
        <w:tabs>
          <w:tab w:val="left" w:pos="3493"/>
        </w:tabs>
        <w:spacing w:before="70" w:after="0" w:line="240" w:lineRule="auto"/>
        <w:ind w:left="3492" w:right="0" w:hanging="317"/>
        <w:jc w:val="left"/>
        <w:rPr>
          <w:sz w:val="31"/>
        </w:rPr>
      </w:pPr>
      <w:r>
        <w:rPr>
          <w:spacing w:val="-2"/>
          <w:sz w:val="31"/>
        </w:rPr>
        <w:t>.项目计算期不同，利用净现值</w:t>
      </w:r>
    </w:p>
    <w:p>
      <w:pPr>
        <w:pStyle w:val="ListParagraph"/>
        <w:numPr>
          <w:ilvl w:val="0"/>
          <w:numId w:val="67"/>
        </w:numPr>
        <w:tabs>
          <w:tab w:val="left" w:pos="3493"/>
        </w:tabs>
        <w:spacing w:before="71" w:after="0" w:line="240" w:lineRule="auto"/>
        <w:ind w:left="3492" w:right="0" w:hanging="317"/>
        <w:jc w:val="left"/>
        <w:rPr>
          <w:sz w:val="31"/>
        </w:rPr>
      </w:pPr>
      <w:r>
        <w:rPr>
          <w:spacing w:val="-2"/>
          <w:sz w:val="31"/>
        </w:rPr>
        <w:t>.项目未来各期现金流量不同，利用净现值</w:t>
      </w:r>
    </w:p>
    <w:p>
      <w:pPr>
        <w:pStyle w:val="BodyText"/>
        <w:tabs>
          <w:tab w:val="left" w:pos="10737"/>
        </w:tabs>
        <w:spacing w:before="71"/>
      </w:pPr>
      <w:r>
        <w:t>5、不同的资产组合对企业报酬和风险的影响主要有（</w:t>
        <w:tab/>
      </w:r>
      <w:r>
        <w:rPr>
          <w:spacing w:val="-159"/>
        </w:rPr>
        <w:t>）</w:t>
      </w:r>
      <w:r>
        <w:t>。</w:t>
      </w:r>
    </w:p>
    <w:p>
      <w:pPr>
        <w:pStyle w:val="ListParagraph"/>
        <w:numPr>
          <w:ilvl w:val="0"/>
          <w:numId w:val="66"/>
        </w:numPr>
        <w:tabs>
          <w:tab w:val="left" w:pos="3493"/>
        </w:tabs>
        <w:spacing w:before="71" w:after="0" w:line="240" w:lineRule="auto"/>
        <w:ind w:left="3492" w:right="0" w:hanging="317"/>
        <w:jc w:val="left"/>
        <w:rPr>
          <w:sz w:val="31"/>
        </w:rPr>
      </w:pPr>
      <w:r>
        <w:rPr>
          <w:spacing w:val="-2"/>
          <w:sz w:val="31"/>
        </w:rPr>
        <w:t>.较多地投资于流动资产可以降低企业的风险，但会减少企业的赢利</w:t>
      </w:r>
    </w:p>
    <w:p>
      <w:pPr>
        <w:pStyle w:val="BodyText"/>
        <w:ind w:left="0"/>
        <w:rPr>
          <w:sz w:val="15"/>
        </w:rPr>
      </w:pPr>
    </w:p>
    <w:p>
      <w:pPr>
        <w:spacing w:before="75"/>
        <w:ind w:left="2700" w:right="0" w:firstLine="0"/>
        <w:jc w:val="left"/>
        <w:rPr>
          <w:sz w:val="18"/>
        </w:rPr>
      </w:pPr>
      <w:r>
        <w:rPr>
          <w:sz w:val="18"/>
        </w:rPr>
        <w:t>$</w:t>
      </w:r>
    </w:p>
    <w:p>
      <w:pPr>
        <w:pStyle w:val="ListParagraph"/>
        <w:numPr>
          <w:ilvl w:val="0"/>
          <w:numId w:val="66"/>
        </w:numPr>
        <w:tabs>
          <w:tab w:val="left" w:pos="3493"/>
        </w:tabs>
        <w:spacing w:before="41" w:after="0" w:line="283" w:lineRule="auto"/>
        <w:ind w:left="3176" w:right="4706" w:firstLine="0"/>
        <w:jc w:val="left"/>
        <w:rPr>
          <w:sz w:val="31"/>
        </w:rPr>
      </w:pPr>
      <w:r>
        <w:rPr>
          <w:spacing w:val="-3"/>
          <w:sz w:val="31"/>
        </w:rPr>
        <w:t xml:space="preserve">.流动资产投资过多，而固定资产又相对不足，会使企业生产能力减少 </w:t>
      </w:r>
      <w:r>
        <w:rPr>
          <w:sz w:val="31"/>
        </w:rPr>
        <w:t>C .如果企业的固定资产增加，会造成企业的风险增加，盈利减少</w:t>
      </w:r>
    </w:p>
    <w:p>
      <w:pPr>
        <w:pStyle w:val="BodyText"/>
        <w:spacing w:line="283" w:lineRule="auto"/>
        <w:ind w:left="3176" w:right="5656"/>
      </w:pPr>
      <w:r>
        <w:t>D  .如果企业的固定资产减少，会造成企业的风险增加，盈利减少E .企业采用比较冒险的资产组合，会使企业的投资报酬率上升</w:t>
      </w:r>
    </w:p>
    <w:p>
      <w:pPr>
        <w:pStyle w:val="BodyText"/>
        <w:tabs>
          <w:tab w:val="left" w:pos="9790"/>
        </w:tabs>
        <w:spacing w:line="283" w:lineRule="auto"/>
        <w:ind w:left="3176" w:right="7595" w:hanging="476"/>
      </w:pPr>
      <w:r>
        <w:t>6、进行最佳资本结构决策可以采用的方法有（</w:t>
        <w:tab/>
      </w:r>
      <w:r>
        <w:rPr>
          <w:spacing w:val="-162"/>
        </w:rPr>
        <w:t>）</w:t>
      </w:r>
      <w:r>
        <w:rPr>
          <w:spacing w:val="-17"/>
        </w:rPr>
        <w:t>。</w:t>
      </w:r>
      <w:r>
        <w:t>A</w:t>
      </w:r>
      <w:r>
        <w:rPr>
          <w:spacing w:val="3"/>
        </w:rPr>
        <w:t xml:space="preserve"> </w:t>
      </w:r>
      <w:r>
        <w:rPr>
          <w:spacing w:val="-4"/>
        </w:rPr>
        <w:t>.</w:t>
      </w:r>
      <w:r>
        <w:t>净现值法</w:t>
      </w:r>
    </w:p>
    <w:p>
      <w:pPr>
        <w:pStyle w:val="ListParagraph"/>
        <w:numPr>
          <w:ilvl w:val="0"/>
          <w:numId w:val="65"/>
        </w:numPr>
        <w:tabs>
          <w:tab w:val="left" w:pos="3493"/>
        </w:tabs>
        <w:spacing w:before="0" w:after="0" w:line="396" w:lineRule="exact"/>
        <w:ind w:left="3492" w:right="0" w:hanging="317"/>
        <w:jc w:val="left"/>
        <w:rPr>
          <w:sz w:val="31"/>
        </w:rPr>
      </w:pPr>
      <w:r>
        <w:rPr>
          <w:spacing w:val="-2"/>
          <w:sz w:val="31"/>
        </w:rPr>
        <w:t>.肯定当量法</w:t>
      </w:r>
    </w:p>
    <w:p>
      <w:pPr>
        <w:pStyle w:val="ListParagraph"/>
        <w:numPr>
          <w:ilvl w:val="0"/>
          <w:numId w:val="65"/>
        </w:numPr>
        <w:tabs>
          <w:tab w:val="left" w:pos="3493"/>
        </w:tabs>
        <w:spacing w:before="69" w:after="0" w:line="240" w:lineRule="auto"/>
        <w:ind w:left="3492" w:right="0" w:hanging="317"/>
        <w:jc w:val="left"/>
        <w:rPr>
          <w:sz w:val="31"/>
        </w:rPr>
      </w:pPr>
      <w:r>
        <w:rPr>
          <w:spacing w:val="-2"/>
          <w:sz w:val="31"/>
        </w:rPr>
        <w:t>.比较资本成本法</w:t>
      </w:r>
    </w:p>
    <w:p>
      <w:pPr>
        <w:pStyle w:val="BodyText"/>
        <w:spacing w:before="1"/>
        <w:ind w:left="0"/>
        <w:rPr>
          <w:sz w:val="15"/>
        </w:rPr>
      </w:pPr>
    </w:p>
    <w:p>
      <w:pPr>
        <w:spacing w:before="74"/>
        <w:ind w:left="2700" w:right="0" w:firstLine="0"/>
        <w:jc w:val="left"/>
        <w:rPr>
          <w:sz w:val="18"/>
        </w:rPr>
      </w:pPr>
      <w:r>
        <w:rPr>
          <w:sz w:val="18"/>
        </w:rPr>
        <w:t>#</w:t>
      </w:r>
    </w:p>
    <w:p>
      <w:pPr>
        <w:pStyle w:val="ListParagraph"/>
        <w:numPr>
          <w:ilvl w:val="0"/>
          <w:numId w:val="65"/>
        </w:numPr>
        <w:tabs>
          <w:tab w:val="left" w:pos="3493"/>
        </w:tabs>
        <w:spacing w:before="41" w:after="0" w:line="283" w:lineRule="auto"/>
        <w:ind w:left="3176" w:right="11992" w:firstLine="0"/>
        <w:jc w:val="left"/>
        <w:rPr>
          <w:sz w:val="31"/>
        </w:rPr>
      </w:pPr>
      <w:r>
        <w:rPr>
          <w:spacing w:val="-4"/>
          <w:sz w:val="31"/>
        </w:rPr>
        <w:t>.无差异点分析法</w:t>
      </w:r>
      <w:r>
        <w:rPr>
          <w:sz w:val="31"/>
        </w:rPr>
        <w:t>E .内含报酬率法</w:t>
      </w:r>
    </w:p>
    <w:p>
      <w:pPr>
        <w:pStyle w:val="BodyText"/>
        <w:tabs>
          <w:tab w:val="left" w:pos="11683"/>
        </w:tabs>
        <w:spacing w:line="283" w:lineRule="auto"/>
        <w:ind w:left="3176" w:right="5703" w:hanging="476"/>
      </w:pPr>
      <w:r>
        <w:t>7、对于资金成本在投资决策中的作用，下列描述正确的有（</w:t>
        <w:tab/>
      </w:r>
      <w:r>
        <w:rPr>
          <w:spacing w:val="-162"/>
        </w:rPr>
        <w:t>）</w:t>
      </w:r>
      <w:r>
        <w:rPr>
          <w:spacing w:val="-18"/>
        </w:rPr>
        <w:t>。</w:t>
      </w:r>
      <w:r>
        <w:t>A</w:t>
      </w:r>
      <w:r>
        <w:rPr>
          <w:spacing w:val="9"/>
        </w:rPr>
        <w:t xml:space="preserve"> </w:t>
      </w:r>
      <w:r>
        <w:rPr>
          <w:spacing w:val="-4"/>
        </w:rPr>
        <w:t>.</w:t>
      </w:r>
      <w:r>
        <w:t>资金成本是企业选择资金来源的基本依据</w:t>
      </w:r>
    </w:p>
    <w:p>
      <w:pPr>
        <w:pStyle w:val="ListParagraph"/>
        <w:numPr>
          <w:ilvl w:val="0"/>
          <w:numId w:val="64"/>
        </w:numPr>
        <w:tabs>
          <w:tab w:val="left" w:pos="3493"/>
        </w:tabs>
        <w:spacing w:before="0" w:after="0" w:line="396" w:lineRule="exact"/>
        <w:ind w:left="3492" w:right="0" w:hanging="317"/>
        <w:jc w:val="left"/>
        <w:rPr>
          <w:sz w:val="31"/>
        </w:rPr>
      </w:pPr>
      <w:r>
        <w:rPr>
          <w:spacing w:val="-2"/>
          <w:sz w:val="31"/>
        </w:rPr>
        <w:t>.在利用净现值指标进行决策时，常以资金成本作折现率</w:t>
      </w:r>
    </w:p>
    <w:p>
      <w:pPr>
        <w:pStyle w:val="ListParagraph"/>
        <w:numPr>
          <w:ilvl w:val="0"/>
          <w:numId w:val="64"/>
        </w:numPr>
        <w:tabs>
          <w:tab w:val="left" w:pos="3493"/>
        </w:tabs>
        <w:spacing w:before="69" w:after="0" w:line="240" w:lineRule="auto"/>
        <w:ind w:left="3492" w:right="0" w:hanging="317"/>
        <w:jc w:val="left"/>
        <w:rPr>
          <w:sz w:val="31"/>
        </w:rPr>
      </w:pPr>
      <w:r>
        <w:rPr>
          <w:spacing w:val="-2"/>
          <w:sz w:val="31"/>
        </w:rPr>
        <w:t>.只要投资项目的内部收益等于资金成本时，投资项目就是可行的</w:t>
      </w:r>
    </w:p>
    <w:p>
      <w:pPr>
        <w:pStyle w:val="ListParagraph"/>
        <w:numPr>
          <w:ilvl w:val="0"/>
          <w:numId w:val="64"/>
        </w:numPr>
        <w:tabs>
          <w:tab w:val="left" w:pos="3493"/>
        </w:tabs>
        <w:spacing w:before="71" w:after="0" w:line="240" w:lineRule="auto"/>
        <w:ind w:left="3492" w:right="0" w:hanging="317"/>
        <w:jc w:val="left"/>
        <w:rPr>
          <w:sz w:val="31"/>
        </w:rPr>
      </w:pPr>
      <w:r>
        <w:rPr>
          <w:spacing w:val="-2"/>
          <w:sz w:val="31"/>
        </w:rPr>
        <w:t>.在利用内部收益率指标进行决策时，一般以资金成本作为基准收益率</w:t>
      </w:r>
    </w:p>
    <w:p>
      <w:pPr>
        <w:spacing w:after="0" w:line="240" w:lineRule="auto"/>
        <w:jc w:val="left"/>
        <w:rPr>
          <w:sz w:val="31"/>
        </w:rPr>
        <w:sectPr>
          <w:headerReference w:type="default" r:id="rId50"/>
          <w:pgSz w:w="17860" w:h="25260"/>
          <w:pgMar w:top="1360" w:right="0" w:bottom="280" w:left="0" w:header="1160" w:footer="0"/>
          <w:pgNumType w:start="27"/>
          <w:cols w:space="708"/>
        </w:sectPr>
      </w:pPr>
    </w:p>
    <w:p>
      <w:pPr>
        <w:pStyle w:val="BodyText"/>
        <w:ind w:left="0"/>
        <w:rPr>
          <w:sz w:val="20"/>
        </w:rPr>
      </w:pPr>
    </w:p>
    <w:p>
      <w:pPr>
        <w:pStyle w:val="BodyText"/>
        <w:spacing w:before="5"/>
        <w:ind w:left="0"/>
        <w:rPr>
          <w:sz w:val="19"/>
        </w:rPr>
      </w:pPr>
    </w:p>
    <w:p>
      <w:pPr>
        <w:pStyle w:val="ListParagraph"/>
        <w:numPr>
          <w:ilvl w:val="0"/>
          <w:numId w:val="64"/>
        </w:numPr>
        <w:tabs>
          <w:tab w:val="left" w:pos="3493"/>
        </w:tabs>
        <w:spacing w:before="62" w:after="0" w:line="240" w:lineRule="auto"/>
        <w:ind w:left="3492" w:right="0" w:hanging="317"/>
        <w:jc w:val="left"/>
        <w:rPr>
          <w:sz w:val="31"/>
        </w:rPr>
      </w:pPr>
      <w:r>
        <w:rPr>
          <w:spacing w:val="-2"/>
          <w:sz w:val="31"/>
        </w:rPr>
        <w:t>.只要资本成本大于零即可</w:t>
      </w:r>
    </w:p>
    <w:p>
      <w:pPr>
        <w:spacing w:before="269"/>
        <w:ind w:left="2700" w:right="0" w:firstLine="0"/>
        <w:jc w:val="left"/>
        <w:rPr>
          <w:sz w:val="18"/>
        </w:rPr>
      </w:pPr>
      <w:r>
        <w:rPr>
          <w:sz w:val="18"/>
        </w:rPr>
        <w:t>|</w:t>
      </w:r>
    </w:p>
    <w:p>
      <w:pPr>
        <w:pStyle w:val="BodyText"/>
        <w:tabs>
          <w:tab w:val="left" w:pos="4748"/>
        </w:tabs>
        <w:spacing w:before="40" w:line="283" w:lineRule="auto"/>
        <w:ind w:left="3176" w:right="9623" w:hanging="476"/>
      </w:pPr>
      <w:r>
        <w:t>8、下列（</w:t>
        <w:tab/>
        <w:t>）投资项目为可行方案</w:t>
      </w:r>
      <w:r>
        <w:rPr>
          <w:spacing w:val="-17"/>
        </w:rPr>
        <w:t>。</w:t>
      </w:r>
      <w:r>
        <w:t>A</w:t>
      </w:r>
      <w:r>
        <w:rPr>
          <w:spacing w:val="8"/>
        </w:rPr>
        <w:t xml:space="preserve"> </w:t>
      </w:r>
      <w:r>
        <w:rPr>
          <w:spacing w:val="-4"/>
        </w:rPr>
        <w:t>.</w:t>
      </w:r>
      <w:r>
        <w:t>净现值大于零的项目</w:t>
      </w:r>
    </w:p>
    <w:p>
      <w:pPr>
        <w:pStyle w:val="BodyText"/>
        <w:spacing w:line="283" w:lineRule="auto"/>
        <w:ind w:left="3176" w:right="10408"/>
      </w:pPr>
      <w:r>
        <w:t>B .净现值率大于等于零的项目C</w:t>
      </w:r>
      <w:r>
        <w:rPr>
          <w:spacing w:val="-10"/>
        </w:rPr>
        <w:t xml:space="preserve"> .获利指数大于 </w:t>
      </w:r>
      <w:r>
        <w:t>1</w:t>
      </w:r>
      <w:r>
        <w:rPr>
          <w:spacing w:val="-18"/>
        </w:rPr>
        <w:t xml:space="preserve"> 的项目</w:t>
      </w:r>
    </w:p>
    <w:p>
      <w:pPr>
        <w:pStyle w:val="BodyText"/>
        <w:spacing w:line="283" w:lineRule="auto"/>
        <w:ind w:left="3176" w:right="10105"/>
      </w:pPr>
      <w:r>
        <w:t>D</w:t>
      </w:r>
      <w:r>
        <w:rPr>
          <w:spacing w:val="-5"/>
        </w:rPr>
        <w:t xml:space="preserve"> .内部收益率大于等于 </w:t>
      </w:r>
      <w:r>
        <w:t>1</w:t>
      </w:r>
      <w:r>
        <w:rPr>
          <w:spacing w:val="-18"/>
        </w:rPr>
        <w:t xml:space="preserve"> 的项目</w:t>
      </w:r>
      <w:r>
        <w:t>E</w:t>
      </w:r>
      <w:r>
        <w:rPr>
          <w:spacing w:val="-10"/>
        </w:rPr>
        <w:t xml:space="preserve"> .获利指数小于 </w:t>
      </w:r>
      <w:r>
        <w:t>1</w:t>
      </w:r>
      <w:r>
        <w:rPr>
          <w:spacing w:val="-18"/>
        </w:rPr>
        <w:t xml:space="preserve"> 的项目</w:t>
      </w:r>
    </w:p>
    <w:p>
      <w:pPr>
        <w:pStyle w:val="BodyText"/>
        <w:tabs>
          <w:tab w:val="left" w:pos="5696"/>
        </w:tabs>
        <w:spacing w:line="396" w:lineRule="exact"/>
      </w:pPr>
      <w:r>
        <w:t>9、净现值是指（</w:t>
        <w:tab/>
      </w:r>
      <w:r>
        <w:rPr>
          <w:spacing w:val="-159"/>
        </w:rPr>
        <w:t>）</w:t>
      </w:r>
      <w:r>
        <w:t>。</w:t>
      </w:r>
    </w:p>
    <w:p>
      <w:pPr>
        <w:pStyle w:val="ListParagraph"/>
        <w:numPr>
          <w:ilvl w:val="0"/>
          <w:numId w:val="63"/>
        </w:numPr>
        <w:tabs>
          <w:tab w:val="left" w:pos="3493"/>
        </w:tabs>
        <w:spacing w:before="68" w:after="0" w:line="240" w:lineRule="auto"/>
        <w:ind w:left="3492" w:right="0" w:hanging="317"/>
        <w:jc w:val="left"/>
        <w:rPr>
          <w:sz w:val="31"/>
        </w:rPr>
      </w:pPr>
      <w:r>
        <w:rPr>
          <w:spacing w:val="-2"/>
          <w:sz w:val="31"/>
        </w:rPr>
        <w:t>.投资项目未来期间的现金流入的总现值与现金流出的总现值的差</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63"/>
        </w:numPr>
        <w:tabs>
          <w:tab w:val="left" w:pos="3493"/>
        </w:tabs>
        <w:spacing w:before="40" w:after="0" w:line="240" w:lineRule="auto"/>
        <w:ind w:left="3492" w:right="0" w:hanging="317"/>
        <w:jc w:val="left"/>
        <w:rPr>
          <w:sz w:val="31"/>
        </w:rPr>
      </w:pPr>
      <w:r>
        <w:rPr>
          <w:spacing w:val="-2"/>
          <w:sz w:val="31"/>
        </w:rPr>
        <w:t>.投资项目未来期间的各年净现金流量现值的代数和</w:t>
      </w:r>
    </w:p>
    <w:p>
      <w:pPr>
        <w:pStyle w:val="ListParagraph"/>
        <w:numPr>
          <w:ilvl w:val="0"/>
          <w:numId w:val="63"/>
        </w:numPr>
        <w:tabs>
          <w:tab w:val="left" w:pos="3493"/>
        </w:tabs>
        <w:spacing w:before="72" w:after="0" w:line="240" w:lineRule="auto"/>
        <w:ind w:left="3492" w:right="0" w:hanging="317"/>
        <w:jc w:val="left"/>
        <w:rPr>
          <w:sz w:val="31"/>
        </w:rPr>
      </w:pPr>
      <w:r>
        <w:rPr>
          <w:spacing w:val="-2"/>
          <w:sz w:val="31"/>
        </w:rPr>
        <w:t>.项目投产后各年报酬的现值合计与投资现值合计的差</w:t>
      </w:r>
    </w:p>
    <w:p>
      <w:pPr>
        <w:pStyle w:val="ListParagraph"/>
        <w:numPr>
          <w:ilvl w:val="0"/>
          <w:numId w:val="63"/>
        </w:numPr>
        <w:tabs>
          <w:tab w:val="left" w:pos="3493"/>
        </w:tabs>
        <w:spacing w:before="71" w:after="0" w:line="240" w:lineRule="auto"/>
        <w:ind w:left="3492" w:right="0" w:hanging="317"/>
        <w:jc w:val="left"/>
        <w:rPr>
          <w:sz w:val="31"/>
        </w:rPr>
      </w:pPr>
      <w:r>
        <w:rPr>
          <w:spacing w:val="-2"/>
          <w:sz w:val="31"/>
        </w:rPr>
        <w:t>.投资项目未来期间的现金流入的总值与现金流出的总值的差</w:t>
      </w:r>
    </w:p>
    <w:p>
      <w:pPr>
        <w:pStyle w:val="ListParagraph"/>
        <w:numPr>
          <w:ilvl w:val="0"/>
          <w:numId w:val="63"/>
        </w:numPr>
        <w:tabs>
          <w:tab w:val="left" w:pos="3493"/>
        </w:tabs>
        <w:spacing w:before="70" w:after="0" w:line="240" w:lineRule="auto"/>
        <w:ind w:left="3492" w:right="0" w:hanging="317"/>
        <w:jc w:val="left"/>
        <w:rPr>
          <w:sz w:val="31"/>
        </w:rPr>
      </w:pPr>
      <w:r>
        <w:rPr>
          <w:spacing w:val="-2"/>
          <w:sz w:val="31"/>
        </w:rPr>
        <w:t>.项目运营期间与终结期间现金净流量现值与初始现金流量之差</w:t>
      </w:r>
    </w:p>
    <w:p>
      <w:pPr>
        <w:pStyle w:val="BodyText"/>
        <w:tabs>
          <w:tab w:val="left" w:pos="11842"/>
        </w:tabs>
        <w:spacing w:before="71"/>
      </w:pPr>
      <w:r>
        <w:t>10、下列关于评价投资项目的回收期法的说法中，正确的是（</w:t>
        <w:tab/>
      </w:r>
      <w:r>
        <w:rPr>
          <w:spacing w:val="-159"/>
        </w:rPr>
        <w:t>）</w:t>
      </w:r>
      <w:r>
        <w:t>。</w:t>
      </w:r>
    </w:p>
    <w:p>
      <w:pPr>
        <w:pStyle w:val="BodyText"/>
        <w:spacing w:before="71" w:line="283" w:lineRule="auto"/>
        <w:ind w:left="3176" w:right="5024"/>
      </w:pPr>
      <w:r>
        <w:t>A  .它是指以投资项目经营净现金流量抵偿原始投资额所需的全部时间B .它忽略了货币的时间价值</w:t>
      </w:r>
    </w:p>
    <w:p>
      <w:pPr>
        <w:pStyle w:val="ListParagraph"/>
        <w:numPr>
          <w:ilvl w:val="0"/>
          <w:numId w:val="62"/>
        </w:numPr>
        <w:tabs>
          <w:tab w:val="left" w:pos="3493"/>
        </w:tabs>
        <w:spacing w:before="0" w:after="0" w:line="396" w:lineRule="exact"/>
        <w:ind w:left="3492" w:right="0" w:hanging="317"/>
        <w:jc w:val="left"/>
        <w:rPr>
          <w:sz w:val="31"/>
        </w:rPr>
      </w:pPr>
      <w:r>
        <w:rPr>
          <w:spacing w:val="-2"/>
          <w:sz w:val="31"/>
        </w:rPr>
        <w:t>.它需要一个主观上确定的最长的可接受的投资回收期最为评价依据</w:t>
      </w:r>
    </w:p>
    <w:p>
      <w:pPr>
        <w:pStyle w:val="BodyText"/>
        <w:spacing w:before="1"/>
        <w:ind w:left="0"/>
        <w:rPr>
          <w:sz w:val="15"/>
        </w:rPr>
      </w:pPr>
    </w:p>
    <w:p>
      <w:pPr>
        <w:spacing w:before="75"/>
        <w:ind w:left="2700" w:right="0" w:firstLine="0"/>
        <w:jc w:val="left"/>
        <w:rPr>
          <w:sz w:val="18"/>
        </w:rPr>
      </w:pPr>
      <w:r>
        <w:rPr>
          <w:sz w:val="18"/>
        </w:rPr>
        <w:t>·</w:t>
      </w:r>
    </w:p>
    <w:p>
      <w:pPr>
        <w:pStyle w:val="ListParagraph"/>
        <w:numPr>
          <w:ilvl w:val="0"/>
          <w:numId w:val="62"/>
        </w:numPr>
        <w:tabs>
          <w:tab w:val="left" w:pos="3493"/>
        </w:tabs>
        <w:spacing w:before="40" w:after="0" w:line="283" w:lineRule="auto"/>
        <w:ind w:left="3176" w:right="10725" w:firstLine="0"/>
        <w:jc w:val="left"/>
        <w:rPr>
          <w:sz w:val="31"/>
        </w:rPr>
      </w:pPr>
      <w:r>
        <w:rPr>
          <w:spacing w:val="-4"/>
          <w:sz w:val="31"/>
        </w:rPr>
        <w:t>.它不能测度项目的盈利性</w:t>
      </w:r>
      <w:r>
        <w:rPr>
          <w:sz w:val="31"/>
        </w:rPr>
        <w:t>E</w:t>
      </w:r>
      <w:r>
        <w:rPr>
          <w:spacing w:val="1"/>
          <w:sz w:val="31"/>
        </w:rPr>
        <w:t xml:space="preserve"> .它不能测度项目的流动性</w:t>
      </w:r>
    </w:p>
    <w:p>
      <w:pPr>
        <w:pStyle w:val="BodyText"/>
        <w:tabs>
          <w:tab w:val="left" w:pos="9005"/>
        </w:tabs>
        <w:spacing w:line="283" w:lineRule="auto"/>
        <w:ind w:left="3176" w:right="8377" w:hanging="476"/>
      </w:pPr>
      <w:r>
        <w:t>11、固定资产按其经济用途，可以分为（</w:t>
        <w:tab/>
      </w:r>
      <w:r>
        <w:rPr>
          <w:spacing w:val="-159"/>
        </w:rPr>
        <w:t>）</w:t>
      </w:r>
      <w:r>
        <w:rPr>
          <w:spacing w:val="-17"/>
        </w:rPr>
        <w:t>。</w:t>
      </w:r>
      <w:r>
        <w:t>A</w:t>
      </w:r>
      <w:r>
        <w:rPr>
          <w:spacing w:val="5"/>
        </w:rPr>
        <w:t xml:space="preserve"> </w:t>
      </w:r>
      <w:r>
        <w:rPr>
          <w:spacing w:val="-4"/>
        </w:rPr>
        <w:t>.</w:t>
      </w:r>
      <w:r>
        <w:t>使用中的固定资产</w:t>
      </w:r>
    </w:p>
    <w:p>
      <w:pPr>
        <w:pStyle w:val="BodyText"/>
        <w:spacing w:line="283" w:lineRule="auto"/>
        <w:ind w:left="3176" w:right="11042"/>
      </w:pPr>
      <w:r>
        <w:t>B</w:t>
      </w:r>
      <w:r>
        <w:rPr>
          <w:spacing w:val="2"/>
        </w:rPr>
        <w:t xml:space="preserve"> .生产经营用的固定资产</w:t>
      </w:r>
      <w:r>
        <w:t>C .未使用的固定资产</w:t>
      </w:r>
    </w:p>
    <w:p>
      <w:pPr>
        <w:pStyle w:val="BodyText"/>
        <w:spacing w:line="283" w:lineRule="auto"/>
        <w:ind w:left="3176" w:right="11042"/>
      </w:pPr>
      <w:r>
        <w:t>D</w:t>
      </w:r>
      <w:r>
        <w:rPr>
          <w:spacing w:val="2"/>
        </w:rPr>
        <w:t xml:space="preserve"> .非生产经营用固定资产</w:t>
      </w:r>
      <w:r>
        <w:t>E .不需用的固定资产</w:t>
      </w:r>
    </w:p>
    <w:p>
      <w:pPr>
        <w:spacing w:before="192"/>
        <w:ind w:left="2700" w:right="0" w:firstLine="0"/>
        <w:jc w:val="left"/>
        <w:rPr>
          <w:sz w:val="18"/>
        </w:rPr>
      </w:pPr>
      <w:r>
        <w:rPr>
          <w:sz w:val="18"/>
        </w:rPr>
        <w:t>)</w:t>
      </w:r>
    </w:p>
    <w:p>
      <w:pPr>
        <w:pStyle w:val="BodyText"/>
        <w:spacing w:before="40" w:line="283" w:lineRule="auto"/>
        <w:ind w:left="3176" w:right="9324" w:hanging="476"/>
        <w:jc w:val="both"/>
      </w:pPr>
      <w:r>
        <w:t>12、固定资产的计价方法通常有（</w:t>
      </w:r>
      <w:r>
        <w:rPr>
          <w:spacing w:val="25"/>
        </w:rPr>
        <w:t xml:space="preserve">    </w:t>
      </w:r>
      <w:r>
        <w:rPr>
          <w:spacing w:val="-162"/>
        </w:rPr>
        <w:t>）</w:t>
      </w:r>
      <w:r>
        <w:rPr>
          <w:spacing w:val="-17"/>
        </w:rPr>
        <w:t>。</w:t>
      </w:r>
      <w:r>
        <w:t>A .原始价值</w:t>
      </w:r>
    </w:p>
    <w:p>
      <w:pPr>
        <w:pStyle w:val="BodyText"/>
        <w:spacing w:line="283" w:lineRule="auto"/>
        <w:ind w:left="3176" w:right="12944"/>
        <w:jc w:val="both"/>
      </w:pPr>
      <w:r>
        <w:t>B .重置价值C .折余价值D .残余价值E</w:t>
      </w:r>
      <w:r>
        <w:rPr>
          <w:spacing w:val="1"/>
        </w:rPr>
        <w:t xml:space="preserve"> .清理费用</w:t>
      </w:r>
    </w:p>
    <w:p>
      <w:pPr>
        <w:pStyle w:val="BodyText"/>
        <w:spacing w:line="283" w:lineRule="auto"/>
        <w:ind w:left="3176" w:right="7750" w:hanging="476"/>
        <w:jc w:val="both"/>
      </w:pPr>
      <w:r>
        <w:t>13、对于同一投资方案，下列说法正确的是（</w:t>
      </w:r>
      <w:r>
        <w:rPr>
          <w:spacing w:val="30"/>
        </w:rPr>
        <w:t xml:space="preserve">    </w:t>
      </w:r>
      <w:r>
        <w:rPr>
          <w:spacing w:val="-162"/>
        </w:rPr>
        <w:t>）</w:t>
      </w:r>
      <w:r>
        <w:rPr>
          <w:spacing w:val="-17"/>
        </w:rPr>
        <w:t>。</w:t>
      </w:r>
      <w:r>
        <w:t>A .资本成本越高，净现值越低</w:t>
      </w:r>
    </w:p>
    <w:p>
      <w:pPr>
        <w:pStyle w:val="BodyText"/>
        <w:spacing w:before="3"/>
        <w:ind w:left="0"/>
        <w:rPr>
          <w:sz w:val="9"/>
        </w:rPr>
      </w:pPr>
    </w:p>
    <w:p>
      <w:pPr>
        <w:spacing w:before="75"/>
        <w:ind w:left="2700" w:right="0" w:firstLine="0"/>
        <w:jc w:val="left"/>
        <w:rPr>
          <w:sz w:val="18"/>
        </w:rPr>
      </w:pPr>
      <w:r>
        <w:rPr>
          <w:sz w:val="18"/>
        </w:rPr>
        <w:t>、</w:t>
      </w:r>
    </w:p>
    <w:p>
      <w:pPr>
        <w:pStyle w:val="ListParagraph"/>
        <w:numPr>
          <w:ilvl w:val="0"/>
          <w:numId w:val="61"/>
        </w:numPr>
        <w:tabs>
          <w:tab w:val="left" w:pos="3493"/>
        </w:tabs>
        <w:spacing w:before="40" w:after="0" w:line="240" w:lineRule="auto"/>
        <w:ind w:left="3492" w:right="0" w:hanging="317"/>
        <w:jc w:val="both"/>
        <w:rPr>
          <w:sz w:val="31"/>
        </w:rPr>
      </w:pPr>
      <w:r>
        <w:rPr>
          <w:spacing w:val="-2"/>
          <w:sz w:val="31"/>
        </w:rPr>
        <w:t>.资本成本越高，净现值越高</w:t>
      </w:r>
    </w:p>
    <w:p>
      <w:pPr>
        <w:pStyle w:val="ListParagraph"/>
        <w:numPr>
          <w:ilvl w:val="0"/>
          <w:numId w:val="61"/>
        </w:numPr>
        <w:tabs>
          <w:tab w:val="left" w:pos="3493"/>
        </w:tabs>
        <w:spacing w:before="71" w:after="0" w:line="283" w:lineRule="auto"/>
        <w:ind w:left="3176" w:right="8192" w:firstLine="0"/>
        <w:jc w:val="both"/>
        <w:rPr>
          <w:sz w:val="31"/>
        </w:rPr>
      </w:pPr>
      <w:r>
        <w:rPr>
          <w:spacing w:val="-3"/>
          <w:sz w:val="31"/>
        </w:rPr>
        <w:t>.资本成本相当于内部报酬率时，净现值为零</w:t>
      </w:r>
      <w:r>
        <w:rPr>
          <w:sz w:val="31"/>
        </w:rPr>
        <w:t>D</w:t>
      </w:r>
      <w:r>
        <w:rPr>
          <w:spacing w:val="-1"/>
          <w:sz w:val="31"/>
        </w:rPr>
        <w:t xml:space="preserve"> .资本成本高于内部报酬率时，净现值小于零</w:t>
      </w:r>
      <w:r>
        <w:rPr>
          <w:sz w:val="31"/>
        </w:rPr>
        <w:t>E</w:t>
      </w:r>
      <w:r>
        <w:rPr>
          <w:spacing w:val="-1"/>
          <w:sz w:val="31"/>
        </w:rPr>
        <w:t xml:space="preserve"> .资本成本高于内部报酬率时，净现值大于零</w:t>
      </w:r>
    </w:p>
    <w:p>
      <w:pPr>
        <w:pStyle w:val="BodyText"/>
        <w:tabs>
          <w:tab w:val="left" w:pos="9321"/>
        </w:tabs>
        <w:spacing w:line="283" w:lineRule="auto"/>
        <w:ind w:left="3176" w:right="8064" w:hanging="476"/>
      </w:pPr>
      <w:r>
        <w:t>14、确定一个投资方案可行的必要条件是（</w:t>
        <w:tab/>
      </w:r>
      <w:r>
        <w:rPr>
          <w:spacing w:val="-162"/>
        </w:rPr>
        <w:t>）</w:t>
      </w:r>
      <w:r>
        <w:rPr>
          <w:spacing w:val="-17"/>
        </w:rPr>
        <w:t>。</w:t>
      </w:r>
      <w:r>
        <w:t>A</w:t>
      </w:r>
      <w:r>
        <w:rPr>
          <w:spacing w:val="4"/>
        </w:rPr>
        <w:t xml:space="preserve"> </w:t>
      </w:r>
      <w:r>
        <w:rPr>
          <w:spacing w:val="-4"/>
        </w:rPr>
        <w:t>.</w:t>
      </w:r>
      <w:r>
        <w:t>净现值大于零</w:t>
      </w:r>
    </w:p>
    <w:p>
      <w:pPr>
        <w:spacing w:after="0" w:line="283" w:lineRule="auto"/>
        <w:sectPr>
          <w:headerReference w:type="default" r:id="rId51"/>
          <w:pgSz w:w="17860" w:h="25260"/>
          <w:pgMar w:top="1360" w:right="0" w:bottom="280" w:left="0" w:header="1160" w:footer="0"/>
          <w:pgNumType w:start="28"/>
          <w:cols w:space="708"/>
        </w:sectPr>
      </w:pPr>
    </w:p>
    <w:p>
      <w:pPr>
        <w:pStyle w:val="BodyText"/>
        <w:ind w:left="0"/>
        <w:rPr>
          <w:sz w:val="20"/>
        </w:rPr>
      </w:pPr>
    </w:p>
    <w:p>
      <w:pPr>
        <w:pStyle w:val="BodyText"/>
        <w:spacing w:before="5"/>
        <w:ind w:left="0"/>
        <w:rPr>
          <w:sz w:val="19"/>
        </w:rPr>
      </w:pPr>
    </w:p>
    <w:p>
      <w:pPr>
        <w:pStyle w:val="BodyText"/>
        <w:spacing w:before="62" w:line="283" w:lineRule="auto"/>
        <w:ind w:left="3176" w:right="12003"/>
      </w:pPr>
      <w:r>
        <w:t>B</w:t>
      </w:r>
      <w:r>
        <w:rPr>
          <w:spacing w:val="-8"/>
        </w:rPr>
        <w:t xml:space="preserve"> .现值指数大于 </w:t>
      </w:r>
      <w:r>
        <w:t>1 C</w:t>
      </w:r>
      <w:r>
        <w:rPr>
          <w:spacing w:val="-8"/>
        </w:rPr>
        <w:t xml:space="preserve"> .回收期小于 </w:t>
      </w:r>
      <w:r>
        <w:t>1</w:t>
      </w:r>
      <w:r>
        <w:rPr>
          <w:spacing w:val="-43"/>
        </w:rPr>
        <w:t xml:space="preserve"> 年</w:t>
      </w:r>
    </w:p>
    <w:p>
      <w:pPr>
        <w:pStyle w:val="BodyText"/>
        <w:spacing w:before="6"/>
        <w:ind w:left="0"/>
        <w:rPr>
          <w:sz w:val="9"/>
        </w:rPr>
      </w:pPr>
    </w:p>
    <w:p>
      <w:pPr>
        <w:spacing w:before="75"/>
        <w:ind w:left="2700" w:right="0" w:firstLine="0"/>
        <w:jc w:val="left"/>
        <w:rPr>
          <w:sz w:val="18"/>
        </w:rPr>
      </w:pPr>
      <w:r>
        <w:rPr>
          <w:sz w:val="18"/>
        </w:rPr>
        <w:t>（</w:t>
      </w:r>
    </w:p>
    <w:p>
      <w:pPr>
        <w:pStyle w:val="BodyText"/>
        <w:spacing w:before="40" w:line="283" w:lineRule="auto"/>
        <w:ind w:left="3176" w:right="10725"/>
      </w:pPr>
      <w:r>
        <w:t>D .内部报酬率不低于贴现率E .内部报酬率大于 1</w:t>
      </w:r>
    </w:p>
    <w:p>
      <w:pPr>
        <w:pStyle w:val="Heading2"/>
        <w:spacing w:line="396" w:lineRule="exact"/>
      </w:pPr>
      <w:r>
        <w:t>三、判断题</w:t>
      </w:r>
    </w:p>
    <w:p>
      <w:pPr>
        <w:pStyle w:val="ListParagraph"/>
        <w:numPr>
          <w:ilvl w:val="0"/>
          <w:numId w:val="60"/>
        </w:numPr>
        <w:tabs>
          <w:tab w:val="left" w:pos="3019"/>
        </w:tabs>
        <w:spacing w:before="38" w:after="0" w:line="240" w:lineRule="auto"/>
        <w:ind w:left="3018" w:right="0" w:hanging="319"/>
        <w:jc w:val="left"/>
        <w:rPr>
          <w:sz w:val="31"/>
        </w:rPr>
      </w:pPr>
      <w:r>
        <w:rPr>
          <w:sz w:val="31"/>
        </w:rPr>
        <w:t>项目投资时垫支的流动资金在项目结束时要收回，因此不需要作为项目的现金流量考虑。</w:t>
      </w:r>
    </w:p>
    <w:p>
      <w:pPr>
        <w:pStyle w:val="ListParagraph"/>
        <w:numPr>
          <w:ilvl w:val="0"/>
          <w:numId w:val="60"/>
        </w:numPr>
        <w:tabs>
          <w:tab w:val="left" w:pos="3177"/>
        </w:tabs>
        <w:spacing w:before="42" w:after="0" w:line="240" w:lineRule="auto"/>
        <w:ind w:left="3177" w:right="0" w:hanging="477"/>
        <w:jc w:val="left"/>
        <w:rPr>
          <w:sz w:val="31"/>
        </w:rPr>
      </w:pPr>
      <w:r>
        <w:rPr>
          <w:sz w:val="31"/>
        </w:rPr>
        <w:t>投资回收期法没有考虑回收期满以后的现金流量。</w:t>
      </w:r>
    </w:p>
    <w:p>
      <w:pPr>
        <w:pStyle w:val="BodyText"/>
        <w:spacing w:before="71"/>
      </w:pPr>
      <w:r>
        <w:t>3、固定资产折旧是一项费用，因此是企业现金的流出量。</w:t>
      </w:r>
    </w:p>
    <w:p>
      <w:pPr>
        <w:pStyle w:val="BodyText"/>
        <w:spacing w:before="71"/>
      </w:pPr>
      <w:r>
        <w:t>4、在考虑所得税因素时，计算经营净现金流量的利润是指净利润。</w:t>
      </w:r>
    </w:p>
    <w:p>
      <w:pPr>
        <w:pStyle w:val="BodyText"/>
        <w:spacing w:before="71" w:line="283" w:lineRule="auto"/>
        <w:ind w:right="2584"/>
      </w:pPr>
      <w:r>
        <w:t>5、因为固定资产投资是用于购建固定资产的支出，所以固定资产原值一定等于固定资产投资。</w:t>
      </w:r>
    </w:p>
    <w:p>
      <w:pPr>
        <w:spacing w:before="195"/>
        <w:ind w:left="2700" w:right="0" w:firstLine="0"/>
        <w:jc w:val="left"/>
        <w:rPr>
          <w:sz w:val="18"/>
        </w:rPr>
      </w:pPr>
      <w:r>
        <w:rPr>
          <w:sz w:val="18"/>
        </w:rPr>
        <w:t>《</w:t>
      </w:r>
    </w:p>
    <w:p>
      <w:pPr>
        <w:pStyle w:val="BodyText"/>
        <w:spacing w:before="42"/>
      </w:pPr>
      <w:r>
        <w:t>6、如果某投资项目的获利指数大于0，说明该投资项目是可行的。</w:t>
      </w:r>
    </w:p>
    <w:p>
      <w:pPr>
        <w:pStyle w:val="BodyText"/>
        <w:spacing w:before="70" w:line="283" w:lineRule="auto"/>
        <w:ind w:right="2643"/>
      </w:pPr>
      <w:r>
        <w:t>7</w:t>
      </w:r>
      <w:r>
        <w:rPr>
          <w:spacing w:val="-1"/>
        </w:rPr>
        <w:t xml:space="preserve">、在投资决策中，财务管理应正确衡量投资收益和投资风险，努力寻求两者的最佳结合， </w:t>
      </w:r>
      <w:r>
        <w:t>以增加公司价值。</w:t>
      </w:r>
    </w:p>
    <w:p>
      <w:pPr>
        <w:pStyle w:val="BodyText"/>
        <w:spacing w:line="396" w:lineRule="exact"/>
      </w:pPr>
      <w:r>
        <w:t>8、折旧之所以对投资决策产生影响，是因为所得税的存在引起的。</w:t>
      </w:r>
    </w:p>
    <w:p>
      <w:pPr>
        <w:pStyle w:val="BodyText"/>
        <w:spacing w:before="71"/>
      </w:pPr>
      <w:r>
        <w:t>9、在投资项目决策中，只要投资方案的投资利润大于零，该方案就是可行方案。</w:t>
      </w:r>
    </w:p>
    <w:p>
      <w:pPr>
        <w:pStyle w:val="BodyText"/>
        <w:spacing w:before="71" w:line="283" w:lineRule="auto"/>
        <w:ind w:right="2657"/>
      </w:pPr>
      <w:r>
        <w:t>10</w:t>
      </w:r>
      <w:r>
        <w:rPr>
          <w:spacing w:val="-11"/>
        </w:rPr>
        <w:t>、在筹资额和利息</w:t>
      </w:r>
      <w:r>
        <w:t>（股息）</w:t>
      </w:r>
      <w:r>
        <w:rPr>
          <w:spacing w:val="-11"/>
        </w:rPr>
        <w:t>率相同时，企业借款筹资产生的财务杠杆作用与发行优先股产</w:t>
      </w:r>
      <w:r>
        <w:t>生的财务杠杆作用不同，其原因是借款利息和优先股税前股息并不相等。</w:t>
      </w:r>
    </w:p>
    <w:p>
      <w:pPr>
        <w:pStyle w:val="Heading2"/>
        <w:spacing w:line="396" w:lineRule="exact"/>
      </w:pPr>
      <w:r>
        <w:t>四、计算题</w:t>
      </w:r>
    </w:p>
    <w:p>
      <w:pPr>
        <w:pStyle w:val="BodyText"/>
        <w:spacing w:before="71" w:line="283" w:lineRule="auto"/>
        <w:ind w:right="2641"/>
        <w:jc w:val="both"/>
      </w:pPr>
      <w:r>
        <w:t>1</w:t>
      </w:r>
      <w:r>
        <w:rPr>
          <w:spacing w:val="-3"/>
        </w:rPr>
        <w:t xml:space="preserve">.神明纸品公司拟投资一项目，投资额为 </w:t>
      </w:r>
      <w:r>
        <w:t>1000</w:t>
      </w:r>
      <w:r>
        <w:rPr>
          <w:spacing w:val="-6"/>
        </w:rPr>
        <w:t xml:space="preserve"> 万元，使用寿命期 </w:t>
      </w:r>
      <w:r>
        <w:t>5</w:t>
      </w:r>
      <w:r>
        <w:rPr>
          <w:spacing w:val="-3"/>
        </w:rPr>
        <w:t xml:space="preserve"> 年，</w:t>
      </w:r>
      <w:r>
        <w:t>5</w:t>
      </w:r>
      <w:r>
        <w:rPr>
          <w:spacing w:val="-3"/>
        </w:rPr>
        <w:t xml:space="preserve"> 年中每年销售收</w:t>
      </w:r>
      <w:r>
        <w:rPr>
          <w:spacing w:val="-1"/>
        </w:rPr>
        <w:t xml:space="preserve">入为 </w:t>
      </w:r>
      <w:r>
        <w:t>800</w:t>
      </w:r>
      <w:r>
        <w:rPr>
          <w:spacing w:val="3"/>
        </w:rPr>
        <w:t xml:space="preserve"> 万元，付现成本为</w:t>
      </w:r>
      <w:r>
        <w:t>500</w:t>
      </w:r>
      <w:r>
        <w:rPr>
          <w:spacing w:val="2"/>
        </w:rPr>
        <w:t xml:space="preserve"> 万元，假定所得税税率</w:t>
      </w:r>
      <w:r>
        <w:t>20</w:t>
      </w:r>
      <w:r>
        <w:rPr>
          <w:spacing w:val="-1"/>
        </w:rPr>
        <w:t>%，固定资产残值不计，资金成本</w:t>
      </w:r>
      <w:r>
        <w:rPr>
          <w:w w:val="102"/>
        </w:rPr>
        <w:t>率为</w:t>
      </w:r>
      <w:r>
        <w:t xml:space="preserve"> </w:t>
      </w:r>
      <w:r>
        <w:rPr>
          <w:w w:val="102"/>
        </w:rPr>
        <w:t>10</w:t>
      </w:r>
      <w:r>
        <w:rPr>
          <w:spacing w:val="-2"/>
          <w:w w:val="102"/>
        </w:rPr>
        <w:t>%，试就该项目</w:t>
      </w:r>
      <w:r>
        <w:rPr>
          <w:spacing w:val="-7"/>
          <w:w w:val="102"/>
        </w:rPr>
        <w:t>（</w:t>
      </w:r>
      <w:r>
        <w:rPr>
          <w:spacing w:val="-4"/>
          <w:w w:val="102"/>
        </w:rPr>
        <w:t>1</w:t>
      </w:r>
      <w:r>
        <w:rPr>
          <w:w w:val="102"/>
        </w:rPr>
        <w:t>）计算该项目的年营业现金净流量</w:t>
      </w:r>
      <w:r>
        <w:rPr>
          <w:spacing w:val="-176"/>
          <w:w w:val="102"/>
        </w:rPr>
        <w:t>；</w:t>
      </w:r>
      <w:r>
        <w:rPr>
          <w:w w:val="102"/>
        </w:rPr>
        <w:t>（</w:t>
      </w:r>
      <w:r>
        <w:rPr>
          <w:spacing w:val="-4"/>
          <w:w w:val="102"/>
        </w:rPr>
        <w:t>2</w:t>
      </w:r>
      <w:r>
        <w:rPr>
          <w:w w:val="102"/>
        </w:rPr>
        <w:t>）</w:t>
      </w:r>
      <w:r>
        <w:rPr>
          <w:spacing w:val="-22"/>
          <w:w w:val="102"/>
        </w:rPr>
        <w:t>计算投资回收期；</w:t>
      </w:r>
      <w:r>
        <w:rPr>
          <w:w w:val="102"/>
        </w:rPr>
        <w:t>（3）</w:t>
      </w:r>
      <w:r>
        <w:rPr>
          <w:spacing w:val="11"/>
          <w:w w:val="102"/>
        </w:rPr>
        <w:t>计算该项目的</w:t>
      </w:r>
      <w:r>
        <w:rPr>
          <w:w w:val="102"/>
        </w:rPr>
        <w:t>NP</w:t>
      </w:r>
      <w:r>
        <w:rPr>
          <w:spacing w:val="-4"/>
          <w:w w:val="102"/>
        </w:rPr>
        <w:t>V</w:t>
      </w:r>
      <w:r>
        <w:rPr>
          <w:spacing w:val="-162"/>
          <w:w w:val="102"/>
        </w:rPr>
        <w:t>；</w:t>
      </w:r>
      <w:r>
        <w:rPr>
          <w:w w:val="102"/>
        </w:rPr>
        <w:t>（</w:t>
      </w:r>
      <w:r>
        <w:rPr>
          <w:spacing w:val="1"/>
          <w:w w:val="102"/>
        </w:rPr>
        <w:t>4</w:t>
      </w:r>
      <w:r>
        <w:rPr>
          <w:w w:val="102"/>
        </w:rPr>
        <w:t>）当资金成本率为</w:t>
      </w:r>
      <w:r>
        <w:rPr>
          <w:spacing w:val="-91"/>
        </w:rPr>
        <w:t xml:space="preserve"> </w:t>
      </w:r>
      <w:r>
        <w:rPr>
          <w:w w:val="102"/>
        </w:rPr>
        <w:t>15</w:t>
      </w:r>
      <w:r>
        <w:rPr>
          <w:spacing w:val="-2"/>
          <w:w w:val="102"/>
        </w:rPr>
        <w:t>%时，该项目投资是否可行</w:t>
      </w:r>
    </w:p>
    <w:p>
      <w:pPr>
        <w:pStyle w:val="BodyText"/>
        <w:spacing w:line="395" w:lineRule="exact"/>
      </w:pPr>
      <w:r>
        <w:t>附：可能会用到的系数表</w:t>
      </w:r>
    </w:p>
    <w:p>
      <w:pPr>
        <w:spacing w:before="268"/>
        <w:ind w:left="2700" w:right="0" w:firstLine="0"/>
        <w:jc w:val="left"/>
        <w:rPr>
          <w:sz w:val="18"/>
        </w:rPr>
      </w:pPr>
      <w:r>
        <w:rPr>
          <w:sz w:val="18"/>
        </w:rPr>
        <w:t>￥</w:t>
      </w:r>
    </w:p>
    <w:p>
      <w:pPr>
        <w:pStyle w:val="BodyText"/>
        <w:spacing w:before="40"/>
      </w:pPr>
      <w:r>
        <w:rPr>
          <w:spacing w:val="-1"/>
          <w:w w:val="102"/>
        </w:rPr>
        <w:t>（</w:t>
      </w:r>
      <w:r>
        <w:rPr>
          <w:w w:val="102"/>
        </w:rPr>
        <w:t>P/</w:t>
      </w:r>
      <w:r>
        <w:rPr>
          <w:spacing w:val="-4"/>
          <w:w w:val="102"/>
        </w:rPr>
        <w:t>A</w:t>
      </w:r>
      <w:r>
        <w:rPr>
          <w:w w:val="102"/>
        </w:rPr>
        <w:t>，10%,</w:t>
      </w:r>
      <w:r>
        <w:rPr>
          <w:spacing w:val="-4"/>
          <w:w w:val="102"/>
        </w:rPr>
        <w:t>5）</w:t>
      </w:r>
      <w:r>
        <w:rPr>
          <w:w w:val="102"/>
        </w:rPr>
        <w:t>=</w:t>
      </w:r>
      <w:r>
        <w:rPr>
          <w:spacing w:val="-159"/>
          <w:w w:val="102"/>
        </w:rPr>
        <w:t>；</w:t>
      </w:r>
      <w:r>
        <w:rPr>
          <w:w w:val="102"/>
        </w:rPr>
        <w:t>（Ｐ／Ａ</w:t>
      </w:r>
      <w:r>
        <w:rPr>
          <w:spacing w:val="-7"/>
          <w:w w:val="102"/>
        </w:rPr>
        <w:t>，</w:t>
      </w:r>
      <w:r>
        <w:rPr>
          <w:w w:val="102"/>
        </w:rPr>
        <w:t>1</w:t>
      </w:r>
      <w:r>
        <w:rPr>
          <w:spacing w:val="-4"/>
          <w:w w:val="102"/>
        </w:rPr>
        <w:t>5</w:t>
      </w:r>
      <w:r>
        <w:rPr>
          <w:w w:val="102"/>
        </w:rPr>
        <w:t>％</w:t>
      </w:r>
      <w:r>
        <w:rPr>
          <w:spacing w:val="-4"/>
          <w:w w:val="102"/>
        </w:rPr>
        <w:t>，</w:t>
      </w:r>
      <w:r>
        <w:rPr>
          <w:spacing w:val="-1"/>
          <w:w w:val="102"/>
        </w:rPr>
        <w:t>5</w:t>
      </w:r>
      <w:r>
        <w:rPr>
          <w:w w:val="102"/>
        </w:rPr>
        <w:t>）=</w:t>
      </w:r>
    </w:p>
    <w:p>
      <w:pPr>
        <w:pStyle w:val="BodyText"/>
        <w:spacing w:before="71"/>
      </w:pPr>
      <w:r>
        <w:rPr>
          <w:w w:val="102"/>
        </w:rPr>
        <w:t>（Ｐ</w:t>
      </w:r>
      <w:r>
        <w:rPr>
          <w:spacing w:val="-4"/>
          <w:w w:val="102"/>
        </w:rPr>
        <w:t>／</w:t>
      </w:r>
      <w:r>
        <w:rPr>
          <w:w w:val="102"/>
        </w:rPr>
        <w:t>F，1</w:t>
      </w:r>
      <w:r>
        <w:rPr>
          <w:spacing w:val="-4"/>
          <w:w w:val="102"/>
        </w:rPr>
        <w:t>0</w:t>
      </w:r>
      <w:r>
        <w:rPr>
          <w:w w:val="102"/>
        </w:rPr>
        <w:t>％</w:t>
      </w:r>
      <w:r>
        <w:rPr>
          <w:spacing w:val="-4"/>
          <w:w w:val="102"/>
        </w:rPr>
        <w:t>，</w:t>
      </w:r>
      <w:r>
        <w:rPr>
          <w:w w:val="102"/>
        </w:rPr>
        <w:t>5</w:t>
      </w:r>
      <w:r>
        <w:rPr>
          <w:spacing w:val="-4"/>
          <w:w w:val="102"/>
        </w:rPr>
        <w:t>）</w:t>
      </w:r>
      <w:r>
        <w:rPr>
          <w:w w:val="102"/>
        </w:rPr>
        <w:t>=</w:t>
      </w:r>
      <w:r>
        <w:rPr>
          <w:spacing w:val="-159"/>
          <w:w w:val="102"/>
        </w:rPr>
        <w:t>；</w:t>
      </w:r>
      <w:r>
        <w:rPr>
          <w:w w:val="102"/>
        </w:rPr>
        <w:t>（Ｐ</w:t>
      </w:r>
      <w:r>
        <w:rPr>
          <w:spacing w:val="-4"/>
          <w:w w:val="102"/>
        </w:rPr>
        <w:t>／F</w:t>
      </w:r>
      <w:r>
        <w:rPr>
          <w:w w:val="102"/>
        </w:rPr>
        <w:t>，1</w:t>
      </w:r>
      <w:r>
        <w:rPr>
          <w:spacing w:val="-4"/>
          <w:w w:val="102"/>
        </w:rPr>
        <w:t>5</w:t>
      </w:r>
      <w:r>
        <w:rPr>
          <w:w w:val="102"/>
        </w:rPr>
        <w:t>％，</w:t>
      </w:r>
      <w:r>
        <w:rPr>
          <w:spacing w:val="-4"/>
          <w:w w:val="102"/>
        </w:rPr>
        <w:t>5</w:t>
      </w:r>
      <w:r>
        <w:rPr>
          <w:spacing w:val="-1"/>
          <w:w w:val="102"/>
        </w:rPr>
        <w:t>）</w:t>
      </w:r>
      <w:r>
        <w:rPr>
          <w:w w:val="102"/>
        </w:rPr>
        <w:t>=</w:t>
      </w:r>
    </w:p>
    <w:p>
      <w:pPr>
        <w:pStyle w:val="BodyText"/>
        <w:spacing w:before="71" w:line="283" w:lineRule="auto"/>
        <w:ind w:right="2578"/>
      </w:pPr>
      <w:r>
        <w:t>2</w:t>
      </w:r>
      <w:r>
        <w:rPr>
          <w:spacing w:val="-188"/>
        </w:rPr>
        <w:t>、</w:t>
      </w:r>
      <w:r>
        <w:t>（</w:t>
      </w:r>
      <w:r>
        <w:rPr>
          <w:spacing w:val="-2"/>
        </w:rPr>
        <w:t>计算题)某公司原有设备一套，购置成本为</w:t>
      </w:r>
      <w:r>
        <w:t>150</w:t>
      </w:r>
      <w:r>
        <w:rPr>
          <w:spacing w:val="1"/>
        </w:rPr>
        <w:t xml:space="preserve"> 万元，预计使用</w:t>
      </w:r>
      <w:r>
        <w:t>10</w:t>
      </w:r>
      <w:r>
        <w:rPr>
          <w:spacing w:val="4"/>
        </w:rPr>
        <w:t xml:space="preserve"> 年，已使用</w:t>
      </w:r>
      <w:r>
        <w:t>5</w:t>
      </w:r>
      <w:r>
        <w:rPr>
          <w:spacing w:val="-5"/>
        </w:rPr>
        <w:t xml:space="preserve"> 年，预</w:t>
      </w:r>
      <w:r>
        <w:rPr>
          <w:spacing w:val="10"/>
        </w:rPr>
        <w:t xml:space="preserve">计残值为原值的 </w:t>
      </w:r>
      <w:r>
        <w:t>10</w:t>
      </w:r>
      <w:r>
        <w:rPr>
          <w:spacing w:val="-1"/>
        </w:rPr>
        <w:t>%，该公司用直线法计提折旧，现该公司拟购买新设备替换原设备，以提</w:t>
      </w:r>
      <w:r>
        <w:rPr>
          <w:spacing w:val="-6"/>
        </w:rPr>
        <w:t>高生产率，降低成本。新设备购置成本为</w:t>
      </w:r>
      <w:r>
        <w:t>200</w:t>
      </w:r>
      <w:r>
        <w:rPr>
          <w:spacing w:val="1"/>
        </w:rPr>
        <w:t xml:space="preserve"> 万元，使用年限为</w:t>
      </w:r>
      <w:r>
        <w:t>5</w:t>
      </w:r>
      <w:r>
        <w:rPr>
          <w:spacing w:val="-7"/>
        </w:rPr>
        <w:t xml:space="preserve"> 年，同样用直线法提取折</w:t>
      </w:r>
      <w:r>
        <w:rPr>
          <w:spacing w:val="-11"/>
        </w:rPr>
        <w:t xml:space="preserve">旧，预计残值为购置成本的 </w:t>
      </w:r>
      <w:r>
        <w:t>10</w:t>
      </w:r>
      <w:r>
        <w:rPr>
          <w:spacing w:val="2"/>
        </w:rPr>
        <w:t>%，使用新设备后公司每年的销售额可以从</w:t>
      </w:r>
      <w:r>
        <w:t>1 500</w:t>
      </w:r>
      <w:r>
        <w:rPr>
          <w:spacing w:val="-5"/>
        </w:rPr>
        <w:t xml:space="preserve"> 万元上升到</w:t>
      </w:r>
    </w:p>
    <w:p>
      <w:pPr>
        <w:pStyle w:val="BodyText"/>
        <w:spacing w:line="283" w:lineRule="auto"/>
        <w:ind w:right="2667"/>
      </w:pPr>
      <w:r>
        <w:t>1</w:t>
      </w:r>
      <w:r>
        <w:rPr>
          <w:spacing w:val="53"/>
        </w:rPr>
        <w:t xml:space="preserve"> </w:t>
      </w:r>
      <w:r>
        <w:t>650</w:t>
      </w:r>
      <w:r>
        <w:rPr>
          <w:spacing w:val="-15"/>
        </w:rPr>
        <w:t xml:space="preserve"> 万元，每年付现成本将从 </w:t>
      </w:r>
      <w:r>
        <w:t>1</w:t>
      </w:r>
      <w:r>
        <w:rPr>
          <w:spacing w:val="54"/>
        </w:rPr>
        <w:t xml:space="preserve"> </w:t>
      </w:r>
      <w:r>
        <w:t>100</w:t>
      </w:r>
      <w:r>
        <w:rPr>
          <w:spacing w:val="-23"/>
        </w:rPr>
        <w:t xml:space="preserve"> 万元上升到 </w:t>
      </w:r>
      <w:r>
        <w:t>1</w:t>
      </w:r>
      <w:r>
        <w:rPr>
          <w:spacing w:val="53"/>
        </w:rPr>
        <w:t xml:space="preserve"> </w:t>
      </w:r>
      <w:r>
        <w:t>150</w:t>
      </w:r>
      <w:r>
        <w:rPr>
          <w:spacing w:val="-11"/>
        </w:rPr>
        <w:t xml:space="preserve"> 万元，公司如购置新设备，旧设备</w:t>
      </w:r>
      <w:r>
        <w:rPr>
          <w:spacing w:val="-12"/>
        </w:rPr>
        <w:t xml:space="preserve">出售可得收入 </w:t>
      </w:r>
      <w:r>
        <w:t>100</w:t>
      </w:r>
      <w:r>
        <w:rPr>
          <w:spacing w:val="-15"/>
        </w:rPr>
        <w:t xml:space="preserve"> 万元，该企业的所得税税率为 </w:t>
      </w:r>
      <w:r>
        <w:t>33</w:t>
      </w:r>
      <w:r>
        <w:rPr>
          <w:spacing w:val="-11"/>
        </w:rPr>
        <w:t xml:space="preserve">%，资本成本为 </w:t>
      </w:r>
      <w:r>
        <w:t>10%。</w:t>
      </w:r>
    </w:p>
    <w:p>
      <w:pPr>
        <w:pStyle w:val="BodyText"/>
        <w:spacing w:line="397" w:lineRule="exact"/>
      </w:pPr>
      <w:r>
        <w:t>要求：通过计算说明该设备应否更新。</w:t>
      </w:r>
    </w:p>
    <w:p>
      <w:pPr>
        <w:pStyle w:val="BodyText"/>
        <w:spacing w:before="68"/>
      </w:pPr>
      <w:r>
        <w:t>3</w:t>
      </w:r>
      <w:r>
        <w:rPr>
          <w:spacing w:val="-159"/>
        </w:rPr>
        <w:t>、</w:t>
      </w:r>
      <w:r>
        <w:t>（</w:t>
      </w:r>
      <w:r>
        <w:rPr>
          <w:spacing w:val="-11"/>
        </w:rPr>
        <w:t xml:space="preserve">计算题)某公司现有资金 </w:t>
      </w:r>
      <w:r>
        <w:t>200</w:t>
      </w:r>
      <w:r>
        <w:rPr>
          <w:spacing w:val="-4"/>
        </w:rPr>
        <w:t xml:space="preserve"> 万元可用于以下投资方案</w:t>
      </w:r>
      <w:r>
        <w:t>A</w:t>
      </w:r>
      <w:r>
        <w:rPr>
          <w:spacing w:val="-51"/>
        </w:rPr>
        <w:t xml:space="preserve"> 或 </w:t>
      </w:r>
      <w:r>
        <w:t>B：</w:t>
      </w:r>
    </w:p>
    <w:p>
      <w:pPr>
        <w:pStyle w:val="BodyText"/>
        <w:spacing w:before="71"/>
      </w:pPr>
      <w:r>
        <w:t>A 方案：购入国库券（五年期，年利率14%，不计复利，到期一次支付本息）</w:t>
      </w:r>
    </w:p>
    <w:p>
      <w:pPr>
        <w:pStyle w:val="BodyText"/>
        <w:spacing w:before="70" w:line="283" w:lineRule="auto"/>
        <w:ind w:right="2674"/>
      </w:pPr>
      <w:r>
        <w:t>B</w:t>
      </w:r>
      <w:r>
        <w:rPr>
          <w:spacing w:val="1"/>
        </w:rPr>
        <w:t xml:space="preserve"> 方案：购买新设备，使用期五年，预计残值收入为设备总额的</w:t>
      </w:r>
      <w:r>
        <w:t>10</w:t>
      </w:r>
      <w:r>
        <w:rPr>
          <w:spacing w:val="-2"/>
        </w:rPr>
        <w:t xml:space="preserve">%，按直线法计提折旧； </w:t>
      </w:r>
      <w:r>
        <w:rPr>
          <w:spacing w:val="-7"/>
        </w:rPr>
        <w:t xml:space="preserve">设备交付使用后每年可以实现 </w:t>
      </w:r>
      <w:r>
        <w:t>24</w:t>
      </w:r>
      <w:r>
        <w:rPr>
          <w:spacing w:val="-10"/>
        </w:rPr>
        <w:t xml:space="preserve"> 万元的税前利润。</w:t>
      </w:r>
    </w:p>
    <w:p>
      <w:pPr>
        <w:pStyle w:val="BodyText"/>
        <w:spacing w:line="396" w:lineRule="exact"/>
      </w:pPr>
      <w:r>
        <w:rPr>
          <w:spacing w:val="-2"/>
        </w:rPr>
        <w:t xml:space="preserve">该企业的资金成本率为 </w:t>
      </w:r>
      <w:r>
        <w:t>10</w:t>
      </w:r>
      <w:r>
        <w:rPr>
          <w:spacing w:val="-3"/>
        </w:rPr>
        <w:t xml:space="preserve">%，适用所得税率为 </w:t>
      </w:r>
      <w:r>
        <w:t>30%。</w:t>
      </w:r>
    </w:p>
    <w:p>
      <w:pPr>
        <w:spacing w:before="268"/>
        <w:ind w:left="2700" w:right="0" w:firstLine="0"/>
        <w:jc w:val="left"/>
        <w:rPr>
          <w:sz w:val="18"/>
        </w:rPr>
      </w:pPr>
      <w:r>
        <w:rPr>
          <w:sz w:val="18"/>
        </w:rPr>
        <w:t>~</w:t>
      </w:r>
    </w:p>
    <w:p>
      <w:pPr>
        <w:pStyle w:val="BodyText"/>
        <w:spacing w:before="41"/>
      </w:pPr>
      <w:r>
        <w:rPr>
          <w:spacing w:val="-54"/>
          <w:w w:val="102"/>
        </w:rPr>
        <w:t>要求：</w:t>
      </w:r>
      <w:r>
        <w:rPr>
          <w:spacing w:val="-1"/>
          <w:w w:val="102"/>
        </w:rPr>
        <w:t>（</w:t>
      </w:r>
      <w:r>
        <w:rPr>
          <w:w w:val="102"/>
        </w:rPr>
        <w:t>1）计算投资方案</w:t>
      </w:r>
      <w:r>
        <w:rPr>
          <w:spacing w:val="-93"/>
        </w:rPr>
        <w:t xml:space="preserve"> </w:t>
      </w:r>
      <w:r>
        <w:rPr>
          <w:w w:val="102"/>
        </w:rPr>
        <w:t>A</w:t>
      </w:r>
      <w:r>
        <w:rPr>
          <w:spacing w:val="-76"/>
        </w:rPr>
        <w:t xml:space="preserve"> </w:t>
      </w:r>
      <w:r>
        <w:rPr>
          <w:w w:val="102"/>
        </w:rPr>
        <w:t>的净现值。</w:t>
      </w:r>
    </w:p>
    <w:p>
      <w:pPr>
        <w:pStyle w:val="ListParagraph"/>
        <w:numPr>
          <w:ilvl w:val="0"/>
          <w:numId w:val="59"/>
        </w:numPr>
        <w:tabs>
          <w:tab w:val="left" w:pos="3494"/>
        </w:tabs>
        <w:spacing w:before="70" w:after="0" w:line="240" w:lineRule="auto"/>
        <w:ind w:left="3493" w:right="0" w:hanging="794"/>
        <w:jc w:val="left"/>
        <w:rPr>
          <w:sz w:val="31"/>
        </w:rPr>
      </w:pPr>
      <w:r>
        <w:rPr>
          <w:spacing w:val="10"/>
          <w:sz w:val="31"/>
        </w:rPr>
        <w:t>计算投资方案</w:t>
      </w:r>
      <w:r>
        <w:rPr>
          <w:sz w:val="31"/>
        </w:rPr>
        <w:t>B</w:t>
      </w:r>
      <w:r>
        <w:rPr>
          <w:spacing w:val="-9"/>
          <w:sz w:val="31"/>
        </w:rPr>
        <w:t xml:space="preserve"> 各年的现金流量及净现值。</w:t>
      </w:r>
    </w:p>
    <w:p>
      <w:pPr>
        <w:spacing w:after="0" w:line="240" w:lineRule="auto"/>
        <w:jc w:val="left"/>
        <w:rPr>
          <w:sz w:val="31"/>
        </w:rPr>
        <w:sectPr>
          <w:headerReference w:type="default" r:id="rId52"/>
          <w:pgSz w:w="17860" w:h="25260"/>
          <w:pgMar w:top="1360" w:right="0" w:bottom="280" w:left="0" w:header="1160" w:footer="0"/>
          <w:pgNumType w:start="29"/>
          <w:cols w:space="708"/>
        </w:sectPr>
      </w:pPr>
    </w:p>
    <w:p>
      <w:pPr>
        <w:pStyle w:val="BodyText"/>
        <w:ind w:left="0"/>
        <w:rPr>
          <w:sz w:val="20"/>
        </w:rPr>
      </w:pPr>
    </w:p>
    <w:p>
      <w:pPr>
        <w:pStyle w:val="BodyText"/>
        <w:spacing w:before="5"/>
        <w:ind w:left="0"/>
        <w:rPr>
          <w:sz w:val="19"/>
        </w:rPr>
      </w:pPr>
    </w:p>
    <w:p>
      <w:pPr>
        <w:pStyle w:val="ListParagraph"/>
        <w:numPr>
          <w:ilvl w:val="0"/>
          <w:numId w:val="59"/>
        </w:numPr>
        <w:tabs>
          <w:tab w:val="left" w:pos="3494"/>
        </w:tabs>
        <w:spacing w:before="62" w:after="0" w:line="240" w:lineRule="auto"/>
        <w:ind w:left="3493" w:right="0" w:hanging="794"/>
        <w:jc w:val="left"/>
        <w:rPr>
          <w:sz w:val="31"/>
        </w:rPr>
      </w:pPr>
      <w:r>
        <w:rPr>
          <w:sz w:val="31"/>
        </w:rPr>
        <w:t>运用净现值法对上述投资方案进行选择。</w:t>
      </w:r>
    </w:p>
    <w:p>
      <w:pPr>
        <w:pStyle w:val="BodyText"/>
        <w:spacing w:before="71" w:line="283" w:lineRule="auto"/>
        <w:ind w:right="2687"/>
      </w:pPr>
      <w:r>
        <w:rPr>
          <w:spacing w:val="-17"/>
        </w:rPr>
        <w:t>已知：</w:t>
      </w:r>
      <w:r>
        <w:rPr>
          <w:spacing w:val="-51"/>
        </w:rPr>
        <w:t>5</w:t>
      </w:r>
      <w:r>
        <w:rPr>
          <w:spacing w:val="-14"/>
        </w:rPr>
        <w:t xml:space="preserve"> 年期利率 </w:t>
      </w:r>
      <w:r>
        <w:t>10</w:t>
      </w:r>
      <w:r>
        <w:rPr>
          <w:spacing w:val="-6"/>
        </w:rPr>
        <w:t>%的复利现值系数为；</w:t>
      </w:r>
      <w:r>
        <w:rPr>
          <w:spacing w:val="-56"/>
        </w:rPr>
        <w:t>4</w:t>
      </w:r>
      <w:r>
        <w:rPr>
          <w:spacing w:val="-15"/>
        </w:rPr>
        <w:t xml:space="preserve"> 年期利率 </w:t>
      </w:r>
      <w:r>
        <w:t>10%</w:t>
      </w:r>
      <w:r>
        <w:rPr>
          <w:spacing w:val="-7"/>
        </w:rPr>
        <w:t>的年金现值系数为；</w:t>
      </w:r>
      <w:r>
        <w:rPr>
          <w:spacing w:val="-58"/>
        </w:rPr>
        <w:t>5</w:t>
      </w:r>
      <w:r>
        <w:rPr>
          <w:spacing w:val="-13"/>
        </w:rPr>
        <w:t xml:space="preserve"> 年期利率 </w:t>
      </w:r>
      <w:r>
        <w:rPr>
          <w:spacing w:val="-4"/>
        </w:rPr>
        <w:t xml:space="preserve">10% </w:t>
      </w:r>
      <w:r>
        <w:t>的年金现值系数为。</w:t>
      </w:r>
    </w:p>
    <w:p>
      <w:pPr>
        <w:pStyle w:val="BodyText"/>
        <w:spacing w:line="283" w:lineRule="auto"/>
        <w:ind w:right="2529"/>
      </w:pPr>
      <w:r>
        <w:t>4</w:t>
      </w:r>
      <w:r>
        <w:rPr>
          <w:spacing w:val="-307"/>
        </w:rPr>
        <w:t>、</w:t>
      </w:r>
      <w:r>
        <w:rPr>
          <w:spacing w:val="-4"/>
        </w:rPr>
        <w:t>（</w:t>
      </w:r>
      <w:r>
        <w:rPr>
          <w:spacing w:val="-5"/>
        </w:rPr>
        <w:t xml:space="preserve">计算题)已知宏达公司拟于 </w:t>
      </w:r>
      <w:r>
        <w:t>2000</w:t>
      </w:r>
      <w:r>
        <w:rPr>
          <w:spacing w:val="-4"/>
        </w:rPr>
        <w:t xml:space="preserve"> 年初用自有资金购置设备一台</w:t>
      </w:r>
      <w:r>
        <w:rPr>
          <w:spacing w:val="-26"/>
        </w:rPr>
        <w:t xml:space="preserve">，需一次性投资 </w:t>
      </w:r>
      <w:r>
        <w:t>100</w:t>
      </w:r>
      <w:r>
        <w:rPr>
          <w:spacing w:val="-7"/>
        </w:rPr>
        <w:t xml:space="preserve"> 万元。</w:t>
      </w:r>
      <w:r>
        <w:rPr>
          <w:spacing w:val="-11"/>
        </w:rPr>
        <w:t xml:space="preserve">经测算，该设备使用寿命为 </w:t>
      </w:r>
      <w:r>
        <w:t>5</w:t>
      </w:r>
      <w:r>
        <w:rPr>
          <w:spacing w:val="-14"/>
        </w:rPr>
        <w:t xml:space="preserve"> 年，税法亦允许按 </w:t>
      </w:r>
      <w:r>
        <w:t>5</w:t>
      </w:r>
      <w:r>
        <w:rPr>
          <w:spacing w:val="-11"/>
        </w:rPr>
        <w:t xml:space="preserve"> 年计提折旧；设备投入运营后每年可新增</w:t>
      </w:r>
      <w:r>
        <w:rPr>
          <w:spacing w:val="-3"/>
        </w:rPr>
        <w:t xml:space="preserve">利润 </w:t>
      </w:r>
      <w:r>
        <w:t>20</w:t>
      </w:r>
      <w:r>
        <w:rPr>
          <w:spacing w:val="5"/>
        </w:rPr>
        <w:t xml:space="preserve"> 万元</w:t>
      </w:r>
      <w:r>
        <w:t>（净利润</w:t>
      </w:r>
      <w:r>
        <w:rPr>
          <w:spacing w:val="-169"/>
        </w:rPr>
        <w:t>）</w:t>
      </w:r>
      <w:r>
        <w:rPr>
          <w:spacing w:val="-2"/>
        </w:rPr>
        <w:t xml:space="preserve">。假定该设备接直线法折旧，预计的净残值率为 </w:t>
      </w:r>
      <w:r>
        <w:t>5%；不考虑建设安装期和公司所得税。</w:t>
      </w:r>
    </w:p>
    <w:p>
      <w:pPr>
        <w:pStyle w:val="BodyText"/>
        <w:spacing w:line="394" w:lineRule="exact"/>
      </w:pPr>
      <w:r>
        <w:rPr>
          <w:spacing w:val="-54"/>
          <w:w w:val="102"/>
        </w:rPr>
        <w:t>要求：</w:t>
      </w:r>
      <w:r>
        <w:rPr>
          <w:spacing w:val="-1"/>
          <w:w w:val="102"/>
        </w:rPr>
        <w:t>（</w:t>
      </w:r>
      <w:r>
        <w:rPr>
          <w:w w:val="102"/>
        </w:rPr>
        <w:t>1）计算使用期内各年净现金流量。</w:t>
      </w:r>
    </w:p>
    <w:p>
      <w:pPr>
        <w:pStyle w:val="ListParagraph"/>
        <w:numPr>
          <w:ilvl w:val="0"/>
          <w:numId w:val="58"/>
        </w:numPr>
        <w:tabs>
          <w:tab w:val="left" w:pos="3494"/>
        </w:tabs>
        <w:spacing w:before="70" w:after="0" w:line="240" w:lineRule="auto"/>
        <w:ind w:left="3493" w:right="0" w:hanging="794"/>
        <w:jc w:val="left"/>
        <w:rPr>
          <w:sz w:val="31"/>
        </w:rPr>
      </w:pPr>
      <w:r>
        <w:rPr>
          <w:sz w:val="31"/>
        </w:rPr>
        <w:t>计算该设备的静态投资回收期。</w:t>
      </w:r>
    </w:p>
    <w:p>
      <w:pPr>
        <w:pStyle w:val="ListParagraph"/>
        <w:numPr>
          <w:ilvl w:val="0"/>
          <w:numId w:val="58"/>
        </w:numPr>
        <w:tabs>
          <w:tab w:val="left" w:pos="3494"/>
        </w:tabs>
        <w:spacing w:before="71" w:after="0" w:line="240" w:lineRule="auto"/>
        <w:ind w:left="3493" w:right="0" w:hanging="794"/>
        <w:jc w:val="left"/>
        <w:rPr>
          <w:sz w:val="31"/>
        </w:rPr>
      </w:pPr>
      <w:r>
        <w:rPr>
          <w:sz w:val="31"/>
        </w:rPr>
        <w:t>计算该投资项目的投资利润率。</w:t>
      </w:r>
    </w:p>
    <w:p>
      <w:pPr>
        <w:spacing w:before="268"/>
        <w:ind w:left="2700" w:right="0" w:firstLine="0"/>
        <w:jc w:val="left"/>
        <w:rPr>
          <w:sz w:val="18"/>
        </w:rPr>
      </w:pPr>
      <w:r>
        <w:rPr>
          <w:sz w:val="18"/>
        </w:rPr>
        <w:t>*</w:t>
      </w:r>
    </w:p>
    <w:p>
      <w:pPr>
        <w:pStyle w:val="ListParagraph"/>
        <w:numPr>
          <w:ilvl w:val="0"/>
          <w:numId w:val="58"/>
        </w:numPr>
        <w:tabs>
          <w:tab w:val="left" w:pos="3494"/>
        </w:tabs>
        <w:spacing w:before="40" w:after="0" w:line="240" w:lineRule="auto"/>
        <w:ind w:left="3493" w:right="0" w:hanging="794"/>
        <w:jc w:val="left"/>
        <w:rPr>
          <w:sz w:val="31"/>
        </w:rPr>
      </w:pPr>
      <w:r>
        <w:rPr>
          <w:spacing w:val="-21"/>
          <w:sz w:val="31"/>
        </w:rPr>
        <w:t xml:space="preserve">如果以 </w:t>
      </w:r>
      <w:r>
        <w:rPr>
          <w:sz w:val="31"/>
        </w:rPr>
        <w:t>10%作为折现率，计算其净现值。</w:t>
      </w:r>
    </w:p>
    <w:p>
      <w:pPr>
        <w:pStyle w:val="BodyText"/>
        <w:spacing w:before="72" w:line="283" w:lineRule="auto"/>
        <w:ind w:right="2687"/>
      </w:pPr>
      <w:r>
        <w:rPr>
          <w:spacing w:val="-17"/>
        </w:rPr>
        <w:t>已知：</w:t>
      </w:r>
      <w:r>
        <w:rPr>
          <w:spacing w:val="-51"/>
        </w:rPr>
        <w:t>5</w:t>
      </w:r>
      <w:r>
        <w:rPr>
          <w:spacing w:val="-14"/>
        </w:rPr>
        <w:t xml:space="preserve"> 年期利率 </w:t>
      </w:r>
      <w:r>
        <w:t>10</w:t>
      </w:r>
      <w:r>
        <w:rPr>
          <w:spacing w:val="-6"/>
        </w:rPr>
        <w:t>%的复利现值系数为；</w:t>
      </w:r>
      <w:r>
        <w:rPr>
          <w:spacing w:val="-56"/>
        </w:rPr>
        <w:t>4</w:t>
      </w:r>
      <w:r>
        <w:rPr>
          <w:spacing w:val="-15"/>
        </w:rPr>
        <w:t xml:space="preserve"> 年期利率 </w:t>
      </w:r>
      <w:r>
        <w:t>10%</w:t>
      </w:r>
      <w:r>
        <w:rPr>
          <w:spacing w:val="-7"/>
        </w:rPr>
        <w:t>的年金现值系数为；</w:t>
      </w:r>
      <w:r>
        <w:rPr>
          <w:spacing w:val="-58"/>
        </w:rPr>
        <w:t>5</w:t>
      </w:r>
      <w:r>
        <w:rPr>
          <w:spacing w:val="-13"/>
        </w:rPr>
        <w:t xml:space="preserve"> 年期利率 </w:t>
      </w:r>
      <w:r>
        <w:rPr>
          <w:spacing w:val="-4"/>
        </w:rPr>
        <w:t xml:space="preserve">10% </w:t>
      </w:r>
      <w:r>
        <w:t>的年金现值系数为。</w:t>
      </w:r>
    </w:p>
    <w:p>
      <w:pPr>
        <w:pStyle w:val="BodyText"/>
        <w:tabs>
          <w:tab w:val="left" w:pos="6168"/>
          <w:tab w:val="left" w:pos="8691"/>
        </w:tabs>
        <w:spacing w:line="283" w:lineRule="auto"/>
        <w:ind w:right="2529"/>
      </w:pPr>
      <w:r>
        <w:t>5</w:t>
      </w:r>
      <w:r>
        <w:rPr>
          <w:spacing w:val="-159"/>
        </w:rPr>
        <w:t>、</w:t>
      </w:r>
      <w:r>
        <w:t>（计算</w:t>
      </w:r>
      <w:r>
        <w:rPr>
          <w:spacing w:val="-8"/>
        </w:rPr>
        <w:t>题</w:t>
      </w:r>
      <w:r>
        <w:t>)某企业投资</w:t>
      </w:r>
      <w:r>
        <w:rPr>
          <w:spacing w:val="-53"/>
        </w:rPr>
        <w:t xml:space="preserve"> </w:t>
      </w:r>
      <w:r>
        <w:t>15</w:t>
      </w:r>
      <w:r>
        <w:rPr>
          <w:spacing w:val="78"/>
        </w:rPr>
        <w:t xml:space="preserve"> </w:t>
      </w:r>
      <w:r>
        <w:t>500</w:t>
      </w:r>
      <w:r>
        <w:rPr>
          <w:spacing w:val="-48"/>
        </w:rPr>
        <w:t xml:space="preserve"> </w:t>
      </w:r>
      <w:r>
        <w:t>元购入一台设备，该设备预计残值</w:t>
      </w:r>
      <w:r>
        <w:rPr>
          <w:spacing w:val="54"/>
        </w:rPr>
        <w:t>为</w:t>
      </w:r>
      <w:r>
        <w:t>500</w:t>
      </w:r>
      <w:r>
        <w:rPr>
          <w:spacing w:val="-45"/>
        </w:rPr>
        <w:t xml:space="preserve"> </w:t>
      </w:r>
      <w:r>
        <w:t>元，可使用</w:t>
      </w:r>
      <w:r>
        <w:rPr>
          <w:spacing w:val="-47"/>
        </w:rPr>
        <w:t xml:space="preserve"> </w:t>
      </w:r>
      <w:r>
        <w:t>3</w:t>
      </w:r>
      <w:r>
        <w:rPr>
          <w:spacing w:val="-44"/>
        </w:rPr>
        <w:t xml:space="preserve"> </w:t>
      </w:r>
      <w:r>
        <w:t>年， 折旧按直线法计算（会计政策与税法一致</w:t>
      </w:r>
      <w:r>
        <w:rPr>
          <w:spacing w:val="-187"/>
        </w:rPr>
        <w:t>）</w:t>
      </w:r>
      <w:r>
        <w:t>。设备投产后每年销售收入增加额分别</w:t>
      </w:r>
      <w:r>
        <w:rPr>
          <w:spacing w:val="48"/>
        </w:rPr>
        <w:t>为</w:t>
      </w:r>
      <w:r>
        <w:t>10</w:t>
      </w:r>
      <w:r>
        <w:rPr>
          <w:spacing w:val="60"/>
        </w:rPr>
        <w:t xml:space="preserve"> </w:t>
      </w:r>
      <w:r>
        <w:t>000 元、20</w:t>
      </w:r>
      <w:r>
        <w:rPr>
          <w:spacing w:val="40"/>
        </w:rPr>
        <w:t xml:space="preserve"> </w:t>
      </w:r>
      <w:r>
        <w:t>000</w:t>
      </w:r>
      <w:r>
        <w:rPr>
          <w:spacing w:val="-101"/>
        </w:rPr>
        <w:t xml:space="preserve"> </w:t>
      </w:r>
      <w:r>
        <w:t>元</w:t>
      </w:r>
      <w:r>
        <w:rPr>
          <w:spacing w:val="-4"/>
        </w:rPr>
        <w:t>、</w:t>
      </w:r>
      <w:r>
        <w:t>15</w:t>
      </w:r>
      <w:r>
        <w:rPr>
          <w:spacing w:val="41"/>
        </w:rPr>
        <w:t xml:space="preserve"> </w:t>
      </w:r>
      <w:r>
        <w:t>000</w:t>
      </w:r>
      <w:r>
        <w:rPr>
          <w:spacing w:val="-97"/>
        </w:rPr>
        <w:t xml:space="preserve"> </w:t>
      </w:r>
      <w:r>
        <w:t>元，除折旧外的费用增加额分别</w:t>
      </w:r>
      <w:r>
        <w:rPr>
          <w:spacing w:val="54"/>
        </w:rPr>
        <w:t>为</w:t>
      </w:r>
      <w:r>
        <w:t>4</w:t>
      </w:r>
      <w:r>
        <w:rPr>
          <w:spacing w:val="41"/>
        </w:rPr>
        <w:t xml:space="preserve"> </w:t>
      </w:r>
      <w:r>
        <w:t>000</w:t>
      </w:r>
      <w:r>
        <w:rPr>
          <w:spacing w:val="-98"/>
        </w:rPr>
        <w:t xml:space="preserve"> </w:t>
      </w:r>
      <w:r>
        <w:t>元</w:t>
      </w:r>
      <w:r>
        <w:rPr>
          <w:spacing w:val="-4"/>
        </w:rPr>
        <w:t>、</w:t>
      </w:r>
      <w:r>
        <w:t>12</w:t>
      </w:r>
      <w:r>
        <w:rPr>
          <w:spacing w:val="41"/>
        </w:rPr>
        <w:t xml:space="preserve"> </w:t>
      </w:r>
      <w:r>
        <w:t>000</w:t>
      </w:r>
      <w:r>
        <w:rPr>
          <w:spacing w:val="-101"/>
        </w:rPr>
        <w:t xml:space="preserve"> </w:t>
      </w:r>
      <w:r>
        <w:t>元、5</w:t>
      </w:r>
      <w:r>
        <w:rPr>
          <w:spacing w:val="41"/>
        </w:rPr>
        <w:t xml:space="preserve"> </w:t>
      </w:r>
      <w:r>
        <w:t>000</w:t>
      </w:r>
      <w:r>
        <w:rPr>
          <w:spacing w:val="-102"/>
        </w:rPr>
        <w:t xml:space="preserve"> </w:t>
      </w:r>
      <w:r>
        <w:t>元</w:t>
      </w:r>
      <w:r>
        <w:rPr>
          <w:spacing w:val="-11"/>
        </w:rPr>
        <w:t>。</w:t>
      </w:r>
      <w:r>
        <w:t>企业适用的所得税率为</w:t>
      </w:r>
      <w:r>
        <w:rPr>
          <w:spacing w:val="-54"/>
        </w:rPr>
        <w:t xml:space="preserve"> </w:t>
      </w:r>
      <w:r>
        <w:t>40%，要求的最低投资报酬率为</w:t>
      </w:r>
      <w:r>
        <w:rPr>
          <w:spacing w:val="-65"/>
        </w:rPr>
        <w:t xml:space="preserve"> </w:t>
      </w:r>
      <w:r>
        <w:t>10%，目前年税后利润为</w:t>
      </w:r>
      <w:r>
        <w:rPr>
          <w:spacing w:val="-53"/>
        </w:rPr>
        <w:t xml:space="preserve"> </w:t>
      </w:r>
      <w:r>
        <w:t>20</w:t>
      </w:r>
      <w:r>
        <w:rPr>
          <w:spacing w:val="91"/>
        </w:rPr>
        <w:t xml:space="preserve"> </w:t>
      </w:r>
      <w:r>
        <w:t>000</w:t>
      </w:r>
      <w:r>
        <w:rPr>
          <w:spacing w:val="-42"/>
        </w:rPr>
        <w:t xml:space="preserve"> </w:t>
      </w:r>
      <w:r>
        <w:t>元。</w:t>
      </w:r>
      <w:r>
        <w:rPr>
          <w:w w:val="102"/>
        </w:rPr>
        <w:t>[已知</w:t>
      </w:r>
      <w:r>
        <w:rPr>
          <w:spacing w:val="-162"/>
          <w:w w:val="102"/>
        </w:rPr>
        <w:t>：</w:t>
      </w:r>
      <w:r>
        <w:rPr>
          <w:spacing w:val="-1"/>
          <w:w w:val="102"/>
        </w:rPr>
        <w:t>（</w:t>
      </w:r>
      <w:r>
        <w:rPr>
          <w:w w:val="102"/>
        </w:rPr>
        <w:t>F/P,10%,</w:t>
      </w:r>
      <w:r>
        <w:rPr>
          <w:spacing w:val="-11"/>
          <w:w w:val="102"/>
        </w:rPr>
        <w:t>1</w:t>
      </w:r>
      <w:r>
        <w:rPr>
          <w:w w:val="102"/>
        </w:rPr>
        <w:t>）=</w:t>
      </w:r>
      <w:r>
        <w:tab/>
      </w:r>
      <w:r>
        <w:rPr>
          <w:w w:val="102"/>
        </w:rPr>
        <w:t>（F/P,10%,</w:t>
      </w:r>
      <w:r>
        <w:rPr>
          <w:spacing w:val="-8"/>
          <w:w w:val="102"/>
        </w:rPr>
        <w:t>2</w:t>
      </w:r>
      <w:r>
        <w:rPr>
          <w:w w:val="102"/>
        </w:rPr>
        <w:t>）=</w:t>
      </w:r>
      <w:r>
        <w:tab/>
      </w:r>
      <w:r>
        <w:rPr>
          <w:spacing w:val="-4"/>
          <w:w w:val="102"/>
        </w:rPr>
        <w:t>（</w:t>
      </w:r>
      <w:r>
        <w:rPr>
          <w:w w:val="102"/>
        </w:rPr>
        <w:t>F/P,10%,</w:t>
      </w:r>
      <w:r>
        <w:rPr>
          <w:spacing w:val="-7"/>
          <w:w w:val="102"/>
        </w:rPr>
        <w:t>3</w:t>
      </w:r>
      <w:r>
        <w:rPr>
          <w:spacing w:val="-4"/>
          <w:w w:val="102"/>
        </w:rPr>
        <w:t>）</w:t>
      </w:r>
      <w:r>
        <w:rPr>
          <w:w w:val="102"/>
        </w:rPr>
        <w:t>=]</w:t>
      </w:r>
    </w:p>
    <w:p>
      <w:pPr>
        <w:pStyle w:val="BodyText"/>
        <w:spacing w:line="394" w:lineRule="exact"/>
      </w:pPr>
      <w:r>
        <w:rPr>
          <w:spacing w:val="-54"/>
          <w:w w:val="102"/>
        </w:rPr>
        <w:t>要求：</w:t>
      </w:r>
      <w:r>
        <w:rPr>
          <w:spacing w:val="-1"/>
          <w:w w:val="102"/>
        </w:rPr>
        <w:t>（</w:t>
      </w:r>
      <w:r>
        <w:rPr>
          <w:w w:val="102"/>
        </w:rPr>
        <w:t>1）</w:t>
      </w:r>
      <w:r>
        <w:rPr>
          <w:spacing w:val="3"/>
          <w:w w:val="102"/>
        </w:rPr>
        <w:t>假设企业经营无其他变化，预测未来</w:t>
      </w:r>
      <w:r>
        <w:rPr>
          <w:w w:val="102"/>
        </w:rPr>
        <w:t>3</w:t>
      </w:r>
      <w:r>
        <w:rPr>
          <w:spacing w:val="-79"/>
        </w:rPr>
        <w:t xml:space="preserve"> </w:t>
      </w:r>
      <w:r>
        <w:rPr>
          <w:w w:val="102"/>
        </w:rPr>
        <w:t>年每年的税后利润。</w:t>
      </w:r>
    </w:p>
    <w:p>
      <w:pPr>
        <w:pStyle w:val="BodyText"/>
        <w:spacing w:before="69"/>
      </w:pPr>
      <w:r>
        <w:t>（2）计算该投资方案的净现值。</w:t>
      </w:r>
    </w:p>
    <w:p>
      <w:pPr>
        <w:pStyle w:val="BodyText"/>
        <w:spacing w:before="71" w:line="283" w:lineRule="auto"/>
        <w:ind w:right="2630" w:firstLine="475"/>
        <w:jc w:val="both"/>
      </w:pPr>
      <w:r>
        <w:t>6</w:t>
      </w:r>
      <w:r>
        <w:rPr>
          <w:spacing w:val="-177"/>
        </w:rPr>
        <w:t>、</w:t>
      </w:r>
      <w:r>
        <w:t>（</w:t>
      </w:r>
      <w:r>
        <w:rPr>
          <w:spacing w:val="-2"/>
        </w:rPr>
        <w:t>计算题)某公司决定进行一项投资，投资期为</w:t>
      </w:r>
      <w:r>
        <w:t>3</w:t>
      </w:r>
      <w:r>
        <w:rPr>
          <w:spacing w:val="3"/>
        </w:rPr>
        <w:t xml:space="preserve"> 年。每年年初投资</w:t>
      </w:r>
      <w:r>
        <w:t>2 000</w:t>
      </w:r>
      <w:r>
        <w:rPr>
          <w:spacing w:val="-3"/>
        </w:rPr>
        <w:t xml:space="preserve"> 万元，第四</w:t>
      </w:r>
      <w:r>
        <w:rPr>
          <w:spacing w:val="-1"/>
        </w:rPr>
        <w:t>年年初开始投产，投产时需垫支</w:t>
      </w:r>
      <w:r>
        <w:t>500</w:t>
      </w:r>
      <w:r>
        <w:rPr>
          <w:spacing w:val="-1"/>
        </w:rPr>
        <w:t xml:space="preserve"> 万元营运资金，项目寿命期为</w:t>
      </w:r>
      <w:r>
        <w:t>5</w:t>
      </w:r>
      <w:r>
        <w:rPr>
          <w:spacing w:val="-6"/>
        </w:rPr>
        <w:t xml:space="preserve"> 年，</w:t>
      </w:r>
      <w:r>
        <w:rPr>
          <w:spacing w:val="-13"/>
        </w:rPr>
        <w:t>5</w:t>
      </w:r>
      <w:r>
        <w:rPr>
          <w:spacing w:val="-2"/>
        </w:rPr>
        <w:t xml:space="preserve"> 年中会使企业每</w:t>
      </w:r>
      <w:r>
        <w:rPr>
          <w:spacing w:val="-10"/>
        </w:rPr>
        <w:t xml:space="preserve">年增加销售收入 </w:t>
      </w:r>
      <w:r>
        <w:t>3</w:t>
      </w:r>
      <w:r>
        <w:rPr>
          <w:spacing w:val="63"/>
        </w:rPr>
        <w:t xml:space="preserve"> </w:t>
      </w:r>
      <w:r>
        <w:t>600</w:t>
      </w:r>
      <w:r>
        <w:rPr>
          <w:spacing w:val="-13"/>
        </w:rPr>
        <w:t xml:space="preserve"> 万元，每年增加付现成本 </w:t>
      </w:r>
      <w:r>
        <w:t>1</w:t>
      </w:r>
      <w:r>
        <w:rPr>
          <w:spacing w:val="63"/>
        </w:rPr>
        <w:t xml:space="preserve"> </w:t>
      </w:r>
      <w:r>
        <w:t>200</w:t>
      </w:r>
      <w:r>
        <w:rPr>
          <w:spacing w:val="-13"/>
        </w:rPr>
        <w:t xml:space="preserve"> 万元，假设该企业所得税率为 </w:t>
      </w:r>
      <w:r>
        <w:rPr>
          <w:spacing w:val="-6"/>
        </w:rPr>
        <w:t xml:space="preserve">30%， </w:t>
      </w:r>
      <w:r>
        <w:rPr>
          <w:spacing w:val="-14"/>
        </w:rPr>
        <w:t xml:space="preserve">资本成本为 </w:t>
      </w:r>
      <w:r>
        <w:t>10%，固定资产无残值，项目结束时收回垫支营运资金。</w:t>
      </w:r>
    </w:p>
    <w:p>
      <w:pPr>
        <w:pStyle w:val="BodyText"/>
        <w:spacing w:line="395" w:lineRule="exact"/>
      </w:pPr>
      <w:r>
        <w:t>要求：计算该项目投资回收期、净现值。</w:t>
      </w:r>
    </w:p>
    <w:p>
      <w:pPr>
        <w:spacing w:before="268"/>
        <w:ind w:left="2700" w:right="0" w:firstLine="0"/>
        <w:jc w:val="left"/>
        <w:rPr>
          <w:sz w:val="18"/>
        </w:rPr>
      </w:pPr>
      <w:r>
        <w:rPr>
          <w:sz w:val="18"/>
        </w:rPr>
        <w:t>；</w:t>
      </w:r>
    </w:p>
    <w:p>
      <w:pPr>
        <w:pStyle w:val="BodyText"/>
        <w:ind w:left="0"/>
        <w:rPr>
          <w:sz w:val="18"/>
        </w:rPr>
      </w:pPr>
    </w:p>
    <w:p>
      <w:pPr>
        <w:pStyle w:val="BodyText"/>
        <w:spacing w:before="8"/>
        <w:ind w:left="0"/>
        <w:rPr>
          <w:sz w:val="21"/>
        </w:rPr>
      </w:pPr>
    </w:p>
    <w:p>
      <w:pPr>
        <w:pStyle w:val="Heading2"/>
        <w:tabs>
          <w:tab w:val="left" w:pos="3967"/>
        </w:tabs>
        <w:spacing w:line="283" w:lineRule="auto"/>
        <w:ind w:right="11990"/>
      </w:pPr>
      <w:r>
        <w:t>第八章</w:t>
        <w:tab/>
        <w:t>对外投资管</w:t>
      </w:r>
      <w:r>
        <w:rPr>
          <w:spacing w:val="-19"/>
        </w:rPr>
        <w:t>理</w:t>
      </w:r>
      <w:r>
        <w:t>一、单项选择题</w:t>
      </w:r>
    </w:p>
    <w:p>
      <w:pPr>
        <w:pStyle w:val="ListParagraph"/>
        <w:numPr>
          <w:ilvl w:val="0"/>
          <w:numId w:val="57"/>
        </w:numPr>
        <w:tabs>
          <w:tab w:val="left" w:pos="3177"/>
          <w:tab w:val="left" w:pos="6639"/>
        </w:tabs>
        <w:spacing w:before="0" w:after="0" w:line="396" w:lineRule="exact"/>
        <w:ind w:left="3177" w:right="0" w:hanging="477"/>
        <w:jc w:val="left"/>
        <w:rPr>
          <w:sz w:val="31"/>
        </w:rPr>
      </w:pPr>
      <w:r>
        <w:rPr>
          <w:sz w:val="31"/>
        </w:rPr>
        <w:t>企业投资净收益是指（</w:t>
        <w:tab/>
      </w:r>
      <w:r>
        <w:rPr>
          <w:spacing w:val="-159"/>
          <w:sz w:val="31"/>
        </w:rPr>
        <w:t>）</w:t>
      </w:r>
      <w:r>
        <w:rPr>
          <w:sz w:val="31"/>
        </w:rPr>
        <w:t>。</w:t>
      </w:r>
    </w:p>
    <w:p>
      <w:pPr>
        <w:pStyle w:val="BodyText"/>
        <w:tabs>
          <w:tab w:val="left" w:pos="8529"/>
        </w:tabs>
        <w:spacing w:before="71"/>
      </w:pPr>
      <w:r>
        <w:t>A．股利和债券利息收入</w:t>
        <w:tab/>
        <w:t>B．投资分得的利润</w:t>
      </w:r>
    </w:p>
    <w:p>
      <w:pPr>
        <w:pStyle w:val="BodyText"/>
        <w:tabs>
          <w:tab w:val="left" w:pos="8529"/>
          <w:tab w:val="left" w:pos="10261"/>
        </w:tabs>
        <w:spacing w:before="71" w:line="283" w:lineRule="auto"/>
        <w:ind w:right="4735"/>
      </w:pPr>
      <w:r>
        <w:t>C．长期投资的增加额</w:t>
        <w:tab/>
      </w:r>
      <w:r>
        <w:rPr>
          <w:color w:val="FF0000"/>
        </w:rPr>
        <w:t>D．投资收益减投资损失后的余</w:t>
      </w:r>
      <w:r>
        <w:rPr>
          <w:color w:val="FF0000"/>
          <w:spacing w:val="-19"/>
        </w:rPr>
        <w:t>额</w:t>
      </w:r>
      <w:r>
        <w:t>2、如果投资组合中包括了全部的股票，则投资人（</w:t>
        <w:tab/>
        <w:t>）</w:t>
      </w:r>
    </w:p>
    <w:p>
      <w:pPr>
        <w:pStyle w:val="BodyText"/>
        <w:tabs>
          <w:tab w:val="left" w:pos="8629"/>
        </w:tabs>
        <w:spacing w:line="396" w:lineRule="exact"/>
      </w:pPr>
      <w:r>
        <w:rPr>
          <w:color w:val="FF0000"/>
        </w:rPr>
        <w:t>A</w:t>
      </w:r>
      <w:r>
        <w:rPr>
          <w:color w:val="FF0000"/>
          <w:spacing w:val="-62"/>
        </w:rPr>
        <w:t xml:space="preserve"> </w:t>
      </w:r>
      <w:r>
        <w:rPr>
          <w:color w:val="FF0000"/>
        </w:rPr>
        <w:t>只承担市场风险</w:t>
        <w:tab/>
      </w:r>
      <w:r>
        <w:t>B</w:t>
      </w:r>
      <w:r>
        <w:rPr>
          <w:spacing w:val="-101"/>
        </w:rPr>
        <w:t xml:space="preserve"> </w:t>
      </w:r>
      <w:r>
        <w:t>只承担特有风险</w:t>
      </w:r>
    </w:p>
    <w:p>
      <w:pPr>
        <w:spacing w:before="269"/>
        <w:ind w:left="2700" w:right="0" w:firstLine="0"/>
        <w:jc w:val="left"/>
        <w:rPr>
          <w:sz w:val="18"/>
        </w:rPr>
      </w:pPr>
      <w:r>
        <w:rPr>
          <w:sz w:val="18"/>
        </w:rPr>
        <w:t>—</w:t>
      </w:r>
    </w:p>
    <w:p>
      <w:pPr>
        <w:pStyle w:val="BodyText"/>
        <w:tabs>
          <w:tab w:val="left" w:pos="6639"/>
          <w:tab w:val="left" w:pos="8626"/>
        </w:tabs>
        <w:spacing w:before="40" w:line="283" w:lineRule="auto"/>
        <w:ind w:right="6798"/>
      </w:pPr>
      <w:r>
        <w:t>C</w:t>
      </w:r>
      <w:r>
        <w:rPr>
          <w:spacing w:val="-60"/>
        </w:rPr>
        <w:t xml:space="preserve"> </w:t>
      </w:r>
      <w:r>
        <w:t>只承担非系统风险</w:t>
        <w:tab/>
        <w:tab/>
        <w:t>D</w:t>
      </w:r>
      <w:r>
        <w:rPr>
          <w:spacing w:val="-59"/>
        </w:rPr>
        <w:t xml:space="preserve"> </w:t>
      </w:r>
      <w:r>
        <w:t>不承担系统风</w:t>
      </w:r>
      <w:r>
        <w:rPr>
          <w:spacing w:val="-19"/>
        </w:rPr>
        <w:t>险</w:t>
      </w:r>
      <w:r>
        <w:t>3．债券投资的特点是（</w:t>
        <w:tab/>
      </w:r>
      <w:r>
        <w:rPr>
          <w:spacing w:val="-159"/>
        </w:rPr>
        <w:t>）</w:t>
      </w:r>
      <w:r>
        <w:t xml:space="preserve">。                       A．债券投资者有权参与企业的经营决策                B．债券投资的风险高于股票投资                      </w:t>
      </w:r>
      <w:r>
        <w:rPr>
          <w:color w:val="FF0000"/>
        </w:rPr>
        <w:t xml:space="preserve">C．债券投资比直接投资的变现能力强                  </w:t>
      </w:r>
      <w:r>
        <w:t>D．债券投资的期限较长</w:t>
      </w:r>
    </w:p>
    <w:p>
      <w:pPr>
        <w:pStyle w:val="BodyText"/>
        <w:tabs>
          <w:tab w:val="left" w:pos="9332"/>
          <w:tab w:val="left" w:pos="12313"/>
        </w:tabs>
        <w:spacing w:line="283" w:lineRule="auto"/>
        <w:ind w:right="4895"/>
      </w:pPr>
      <w:r>
        <w:t>4．在进行股票投资分析时，下列分析方法属于技术分析法的是（</w:t>
        <w:tab/>
      </w:r>
      <w:r>
        <w:rPr>
          <w:spacing w:val="-162"/>
        </w:rPr>
        <w:t>）</w:t>
      </w:r>
      <w:r>
        <w:t>。A．对宏观经济形势的分析</w:t>
        <w:tab/>
      </w:r>
      <w:r>
        <w:rPr>
          <w:spacing w:val="-7"/>
        </w:rPr>
        <w:t>B．</w:t>
      </w:r>
      <w:r>
        <w:t>对公司财务状况的分</w:t>
      </w:r>
      <w:r>
        <w:rPr>
          <w:spacing w:val="-17"/>
        </w:rPr>
        <w:t>析</w:t>
      </w:r>
    </w:p>
    <w:p>
      <w:pPr>
        <w:spacing w:after="0" w:line="283" w:lineRule="auto"/>
        <w:sectPr>
          <w:headerReference w:type="default" r:id="rId53"/>
          <w:pgSz w:w="17860" w:h="25260"/>
          <w:pgMar w:top="1360" w:right="0" w:bottom="280" w:left="0" w:header="1160" w:footer="0"/>
          <w:pgNumType w:start="30"/>
          <w:cols w:space="708"/>
        </w:sectPr>
      </w:pPr>
    </w:p>
    <w:p>
      <w:pPr>
        <w:pStyle w:val="BodyText"/>
        <w:ind w:left="0"/>
        <w:rPr>
          <w:sz w:val="20"/>
        </w:rPr>
      </w:pPr>
    </w:p>
    <w:p>
      <w:pPr>
        <w:pStyle w:val="BodyText"/>
        <w:ind w:left="0"/>
        <w:rPr>
          <w:sz w:val="20"/>
        </w:rPr>
      </w:pPr>
    </w:p>
    <w:p>
      <w:pPr>
        <w:pStyle w:val="BodyText"/>
        <w:spacing w:before="8"/>
        <w:ind w:left="0"/>
        <w:rPr>
          <w:sz w:val="19"/>
        </w:rPr>
      </w:pPr>
    </w:p>
    <w:p>
      <w:pPr>
        <w:spacing w:before="0"/>
        <w:ind w:left="2700" w:right="0" w:firstLine="0"/>
        <w:jc w:val="left"/>
        <w:rPr>
          <w:sz w:val="18"/>
        </w:rPr>
      </w:pPr>
      <w:r>
        <w:rPr>
          <w:sz w:val="18"/>
        </w:rPr>
        <w:t>@</w:t>
      </w:r>
    </w:p>
    <w:p>
      <w:pPr>
        <w:pStyle w:val="BodyText"/>
        <w:tabs>
          <w:tab w:val="left" w:pos="9332"/>
        </w:tabs>
        <w:spacing w:before="41"/>
      </w:pPr>
      <w:r>
        <w:rPr>
          <w:color w:val="FF0000"/>
        </w:rPr>
        <w:t>C．利用波浪理论进行波浪分析</w:t>
        <w:tab/>
      </w:r>
      <w:r>
        <w:rPr>
          <w:spacing w:val="-7"/>
        </w:rPr>
        <w:t>D．</w:t>
      </w:r>
      <w:r>
        <w:t>对公司经营状况的分析</w:t>
      </w:r>
    </w:p>
    <w:p>
      <w:pPr>
        <w:pStyle w:val="BodyText"/>
        <w:spacing w:before="6"/>
        <w:ind w:left="0"/>
        <w:rPr>
          <w:sz w:val="8"/>
        </w:rPr>
      </w:pPr>
    </w:p>
    <w:tbl>
      <w:tblPr>
        <w:tblStyle w:val="TableNormal8"/>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15"/>
        <w:gridCol w:w="1173"/>
        <w:gridCol w:w="2503"/>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4315" w:type="dxa"/>
          </w:tcPr>
          <w:p>
            <w:pPr>
              <w:pStyle w:val="TableParagraph"/>
              <w:spacing w:line="359" w:lineRule="exact"/>
              <w:ind w:left="50"/>
              <w:rPr>
                <w:b/>
                <w:sz w:val="31"/>
              </w:rPr>
            </w:pPr>
            <w:r>
              <w:rPr>
                <w:b/>
                <w:sz w:val="31"/>
              </w:rPr>
              <w:t>二、多项选择题</w:t>
            </w:r>
          </w:p>
        </w:tc>
        <w:tc>
          <w:tcPr>
            <w:tcW w:w="1173" w:type="dxa"/>
          </w:tcPr>
          <w:p>
            <w:pPr>
              <w:pStyle w:val="TableParagraph"/>
              <w:rPr>
                <w:rFonts w:ascii="Times New Roman"/>
                <w:sz w:val="30"/>
              </w:rPr>
            </w:pPr>
          </w:p>
        </w:tc>
        <w:tc>
          <w:tcPr>
            <w:tcW w:w="2503" w:type="dxa"/>
            <w:vMerge w:val="restart"/>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4315" w:type="dxa"/>
          </w:tcPr>
          <w:p>
            <w:pPr>
              <w:pStyle w:val="TableParagraph"/>
              <w:spacing w:before="38"/>
              <w:ind w:left="50"/>
              <w:rPr>
                <w:sz w:val="31"/>
              </w:rPr>
            </w:pPr>
            <w:r>
              <w:rPr>
                <w:sz w:val="31"/>
              </w:rPr>
              <w:t>1．短期有价证券的特点有（</w:t>
            </w:r>
          </w:p>
        </w:tc>
        <w:tc>
          <w:tcPr>
            <w:tcW w:w="1173" w:type="dxa"/>
          </w:tcPr>
          <w:p>
            <w:pPr>
              <w:pStyle w:val="TableParagraph"/>
              <w:spacing w:before="38"/>
              <w:ind w:left="304"/>
              <w:rPr>
                <w:sz w:val="31"/>
              </w:rPr>
            </w:pPr>
            <w:r>
              <w:rPr>
                <w:spacing w:val="-159"/>
                <w:sz w:val="31"/>
              </w:rPr>
              <w:t>）</w:t>
            </w:r>
            <w:r>
              <w:rPr>
                <w:sz w:val="31"/>
              </w:rPr>
              <w:t>。</w:t>
            </w:r>
          </w:p>
        </w:tc>
        <w:tc>
          <w:tcPr>
            <w:tcW w:w="2503" w:type="dxa"/>
            <w:vMerge/>
            <w:tcBorders>
              <w:top w:val="nil"/>
            </w:tcBorders>
          </w:tcPr>
          <w:p>
            <w:pPr>
              <w:rPr>
                <w:sz w:val="2"/>
                <w:szCs w:val="2"/>
              </w:rPr>
            </w:pP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4315" w:type="dxa"/>
          </w:tcPr>
          <w:p>
            <w:pPr>
              <w:pStyle w:val="TableParagraph"/>
              <w:spacing w:before="38"/>
              <w:ind w:left="50"/>
              <w:rPr>
                <w:sz w:val="31"/>
              </w:rPr>
            </w:pPr>
            <w:r>
              <w:rPr>
                <w:sz w:val="31"/>
              </w:rPr>
              <w:t>A．变现性强</w:t>
            </w:r>
          </w:p>
        </w:tc>
        <w:tc>
          <w:tcPr>
            <w:tcW w:w="1173" w:type="dxa"/>
          </w:tcPr>
          <w:p>
            <w:pPr>
              <w:pStyle w:val="TableParagraph"/>
              <w:rPr>
                <w:rFonts w:ascii="Times New Roman"/>
                <w:sz w:val="30"/>
              </w:rPr>
            </w:pPr>
          </w:p>
        </w:tc>
        <w:tc>
          <w:tcPr>
            <w:tcW w:w="2503" w:type="dxa"/>
          </w:tcPr>
          <w:p>
            <w:pPr>
              <w:pStyle w:val="TableParagraph"/>
              <w:spacing w:before="38"/>
              <w:ind w:right="50"/>
              <w:jc w:val="right"/>
              <w:rPr>
                <w:sz w:val="31"/>
              </w:rPr>
            </w:pPr>
            <w:r>
              <w:rPr>
                <w:sz w:val="31"/>
              </w:rPr>
              <w:t>B．偿还期明确</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4315" w:type="dxa"/>
          </w:tcPr>
          <w:p>
            <w:pPr>
              <w:pStyle w:val="TableParagraph"/>
              <w:spacing w:before="38"/>
              <w:ind w:left="50"/>
              <w:rPr>
                <w:sz w:val="31"/>
              </w:rPr>
            </w:pPr>
            <w:r>
              <w:rPr>
                <w:sz w:val="31"/>
              </w:rPr>
              <w:t>C．有一定的风险性</w:t>
            </w:r>
          </w:p>
        </w:tc>
        <w:tc>
          <w:tcPr>
            <w:tcW w:w="1173" w:type="dxa"/>
          </w:tcPr>
          <w:p>
            <w:pPr>
              <w:pStyle w:val="TableParagraph"/>
              <w:rPr>
                <w:rFonts w:ascii="Times New Roman"/>
                <w:sz w:val="30"/>
              </w:rPr>
            </w:pPr>
          </w:p>
        </w:tc>
        <w:tc>
          <w:tcPr>
            <w:tcW w:w="2503" w:type="dxa"/>
          </w:tcPr>
          <w:p>
            <w:pPr>
              <w:pStyle w:val="TableParagraph"/>
              <w:spacing w:before="38"/>
              <w:ind w:right="50"/>
              <w:jc w:val="right"/>
              <w:rPr>
                <w:sz w:val="31"/>
              </w:rPr>
            </w:pPr>
            <w:r>
              <w:rPr>
                <w:sz w:val="31"/>
              </w:rPr>
              <w:t>D．免征所得额</w:t>
            </w:r>
          </w:p>
        </w:tc>
      </w:tr>
      <w:tr>
        <w:tblPrEx>
          <w:tblW w:w="0" w:type="auto"/>
          <w:jc w:val="left"/>
          <w:tblInd w:w="2658" w:type="dxa"/>
          <w:tblLayout w:type="fixed"/>
          <w:tblCellMar>
            <w:top w:w="0" w:type="dxa"/>
            <w:left w:w="0" w:type="dxa"/>
            <w:bottom w:w="0" w:type="dxa"/>
            <w:right w:w="0" w:type="dxa"/>
          </w:tblCellMar>
          <w:tblLook w:val="01E0"/>
        </w:tblPrEx>
        <w:trPr>
          <w:trHeight w:val="392"/>
          <w:jc w:val="left"/>
        </w:trPr>
        <w:tc>
          <w:tcPr>
            <w:tcW w:w="4315" w:type="dxa"/>
          </w:tcPr>
          <w:p>
            <w:pPr>
              <w:pStyle w:val="TableParagraph"/>
              <w:spacing w:before="38" w:line="335" w:lineRule="exact"/>
              <w:ind w:left="50"/>
              <w:rPr>
                <w:sz w:val="31"/>
              </w:rPr>
            </w:pPr>
            <w:r>
              <w:rPr>
                <w:sz w:val="31"/>
              </w:rPr>
              <w:t>E．价格有一定的波动性</w:t>
            </w:r>
          </w:p>
        </w:tc>
        <w:tc>
          <w:tcPr>
            <w:tcW w:w="1173" w:type="dxa"/>
          </w:tcPr>
          <w:p>
            <w:pPr>
              <w:pStyle w:val="TableParagraph"/>
              <w:rPr>
                <w:rFonts w:ascii="Times New Roman"/>
                <w:sz w:val="30"/>
              </w:rPr>
            </w:pPr>
          </w:p>
        </w:tc>
        <w:tc>
          <w:tcPr>
            <w:tcW w:w="2503" w:type="dxa"/>
          </w:tcPr>
          <w:p>
            <w:pPr>
              <w:pStyle w:val="TableParagraph"/>
              <w:rPr>
                <w:rFonts w:ascii="Times New Roman"/>
                <w:sz w:val="30"/>
              </w:rPr>
            </w:pPr>
          </w:p>
        </w:tc>
      </w:tr>
    </w:tbl>
    <w:p>
      <w:pPr>
        <w:pStyle w:val="BodyText"/>
        <w:tabs>
          <w:tab w:val="left" w:pos="8529"/>
          <w:tab w:val="left" w:pos="9332"/>
          <w:tab w:val="left" w:pos="10103"/>
        </w:tabs>
        <w:spacing w:before="113" w:line="446" w:lineRule="auto"/>
        <w:ind w:right="7278"/>
      </w:pPr>
      <w:r>
        <w:t>2．计算特定项目按风险调整贴现率时，涉及到（</w:t>
        <w:tab/>
      </w:r>
      <w:r>
        <w:rPr>
          <w:spacing w:val="-159"/>
        </w:rPr>
        <w:t>）</w:t>
      </w:r>
      <w:r>
        <w:rPr>
          <w:spacing w:val="-16"/>
        </w:rPr>
        <w:t>。</w:t>
      </w:r>
      <w:r>
        <w:t>A．无风险报酬率</w:t>
        <w:tab/>
        <w:t>B．</w:t>
        <w:tab/>
        <w:t>系数</w:t>
      </w:r>
    </w:p>
    <w:p>
      <w:pPr>
        <w:spacing w:before="124"/>
        <w:ind w:left="2700" w:right="0" w:firstLine="0"/>
        <w:jc w:val="left"/>
        <w:rPr>
          <w:sz w:val="18"/>
        </w:rPr>
      </w:pPr>
      <w:r>
        <w:rPr>
          <w:sz w:val="18"/>
        </w:rPr>
        <w:t>、</w:t>
      </w:r>
    </w:p>
    <w:p>
      <w:pPr>
        <w:pStyle w:val="BodyText"/>
        <w:tabs>
          <w:tab w:val="left" w:pos="8529"/>
          <w:tab w:val="left" w:pos="11053"/>
        </w:tabs>
        <w:spacing w:before="40" w:line="283" w:lineRule="auto"/>
        <w:ind w:right="6333"/>
      </w:pPr>
      <w:r>
        <w:t>C．特定项目的风险报酬系数</w:t>
        <w:tab/>
        <w:t>D．约当系数      E．特定项目的标准离差率                               3．企业从事短期有价证券投资所关心的因素是证券的（</w:t>
        <w:tab/>
      </w:r>
      <w:r>
        <w:rPr>
          <w:spacing w:val="-162"/>
        </w:rPr>
        <w:t>）</w:t>
      </w:r>
      <w:r>
        <w:rPr>
          <w:spacing w:val="-18"/>
        </w:rPr>
        <w:t>。</w:t>
      </w:r>
      <w:r>
        <w:t>A．安全性</w:t>
        <w:tab/>
        <w:t>B．稳健性</w:t>
      </w:r>
    </w:p>
    <w:p>
      <w:pPr>
        <w:pStyle w:val="BodyText"/>
        <w:tabs>
          <w:tab w:val="left" w:pos="8529"/>
        </w:tabs>
        <w:spacing w:line="395" w:lineRule="exact"/>
      </w:pPr>
      <w:r>
        <w:t>C．变现性</w:t>
        <w:tab/>
        <w:t>D．风险性</w:t>
      </w:r>
    </w:p>
    <w:p>
      <w:pPr>
        <w:pStyle w:val="BodyText"/>
        <w:tabs>
          <w:tab w:val="left" w:pos="8529"/>
        </w:tabs>
        <w:spacing w:before="71" w:line="283" w:lineRule="auto"/>
        <w:ind w:right="8852"/>
      </w:pPr>
      <w:r>
        <w:t>E． 收 益 性                          4．下列各项投资属于流动资产的是（</w:t>
        <w:tab/>
      </w:r>
      <w:r>
        <w:rPr>
          <w:spacing w:val="-159"/>
        </w:rPr>
        <w:t>）</w:t>
      </w:r>
      <w:r>
        <w:rPr>
          <w:spacing w:val="-16"/>
        </w:rPr>
        <w:t>。</w:t>
      </w:r>
    </w:p>
    <w:p>
      <w:pPr>
        <w:pStyle w:val="BodyText"/>
        <w:tabs>
          <w:tab w:val="left" w:pos="8371"/>
        </w:tabs>
        <w:spacing w:line="396" w:lineRule="exact"/>
      </w:pPr>
      <w:r>
        <w:t>A．现金</w:t>
        <w:tab/>
        <w:t>B．机器设备</w:t>
      </w:r>
    </w:p>
    <w:p>
      <w:pPr>
        <w:pStyle w:val="BodyText"/>
        <w:spacing w:before="11"/>
        <w:ind w:left="0"/>
        <w:rPr>
          <w:sz w:val="22"/>
        </w:rPr>
      </w:pPr>
    </w:p>
    <w:tbl>
      <w:tblPr>
        <w:tblStyle w:val="TableNormal8"/>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15"/>
        <w:gridCol w:w="1094"/>
        <w:gridCol w:w="2423"/>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1"/>
          <w:jc w:val="left"/>
        </w:trPr>
        <w:tc>
          <w:tcPr>
            <w:tcW w:w="4315" w:type="dxa"/>
          </w:tcPr>
          <w:p>
            <w:pPr>
              <w:pStyle w:val="TableParagraph"/>
              <w:spacing w:line="205" w:lineRule="exact"/>
              <w:ind w:left="50"/>
              <w:rPr>
                <w:sz w:val="18"/>
              </w:rPr>
            </w:pPr>
            <w:r>
              <w:rPr>
                <w:sz w:val="18"/>
              </w:rPr>
              <w:t>【</w:t>
            </w:r>
          </w:p>
        </w:tc>
        <w:tc>
          <w:tcPr>
            <w:tcW w:w="3517" w:type="dxa"/>
            <w:gridSpan w:val="2"/>
          </w:tcPr>
          <w:p>
            <w:pPr>
              <w:pStyle w:val="TableParagraph"/>
              <w:rPr>
                <w:rFonts w:ascii="Times New Roman"/>
                <w:sz w:val="16"/>
              </w:rPr>
            </w:pPr>
          </w:p>
        </w:tc>
      </w:tr>
      <w:tr>
        <w:tblPrEx>
          <w:tblW w:w="0" w:type="auto"/>
          <w:jc w:val="left"/>
          <w:tblInd w:w="2658" w:type="dxa"/>
          <w:tblLayout w:type="fixed"/>
          <w:tblCellMar>
            <w:top w:w="0" w:type="dxa"/>
            <w:left w:w="0" w:type="dxa"/>
            <w:bottom w:w="0" w:type="dxa"/>
            <w:right w:w="0" w:type="dxa"/>
          </w:tblCellMar>
          <w:tblLook w:val="01E0"/>
        </w:tblPrEx>
        <w:trPr>
          <w:trHeight w:val="444"/>
          <w:jc w:val="left"/>
        </w:trPr>
        <w:tc>
          <w:tcPr>
            <w:tcW w:w="4315" w:type="dxa"/>
          </w:tcPr>
          <w:p>
            <w:pPr>
              <w:pStyle w:val="TableParagraph"/>
              <w:spacing w:before="14"/>
              <w:ind w:left="50"/>
              <w:rPr>
                <w:sz w:val="31"/>
              </w:rPr>
            </w:pPr>
            <w:r>
              <w:rPr>
                <w:sz w:val="31"/>
              </w:rPr>
              <w:t>C．预收账款</w:t>
            </w:r>
          </w:p>
        </w:tc>
        <w:tc>
          <w:tcPr>
            <w:tcW w:w="1094" w:type="dxa"/>
          </w:tcPr>
          <w:p>
            <w:pPr>
              <w:pStyle w:val="TableParagraph"/>
              <w:rPr>
                <w:rFonts w:ascii="Times New Roman"/>
                <w:sz w:val="30"/>
              </w:rPr>
            </w:pPr>
          </w:p>
        </w:tc>
        <w:tc>
          <w:tcPr>
            <w:tcW w:w="2423" w:type="dxa"/>
          </w:tcPr>
          <w:p>
            <w:pPr>
              <w:pStyle w:val="TableParagraph"/>
              <w:spacing w:before="14"/>
              <w:ind w:left="311"/>
              <w:rPr>
                <w:sz w:val="31"/>
              </w:rPr>
            </w:pPr>
            <w:r>
              <w:rPr>
                <w:sz w:val="31"/>
              </w:rPr>
              <w:t>D．存货</w:t>
            </w:r>
          </w:p>
        </w:tc>
      </w:tr>
      <w:tr>
        <w:tblPrEx>
          <w:tblW w:w="0" w:type="auto"/>
          <w:jc w:val="left"/>
          <w:tblInd w:w="2658" w:type="dxa"/>
          <w:tblLayout w:type="fixed"/>
          <w:tblCellMar>
            <w:top w:w="0" w:type="dxa"/>
            <w:left w:w="0" w:type="dxa"/>
            <w:bottom w:w="0" w:type="dxa"/>
            <w:right w:w="0" w:type="dxa"/>
          </w:tblCellMar>
          <w:tblLook w:val="01E0"/>
        </w:tblPrEx>
        <w:trPr>
          <w:trHeight w:val="467"/>
          <w:jc w:val="left"/>
        </w:trPr>
        <w:tc>
          <w:tcPr>
            <w:tcW w:w="4315" w:type="dxa"/>
          </w:tcPr>
          <w:p>
            <w:pPr>
              <w:pStyle w:val="TableParagraph"/>
              <w:spacing w:before="38"/>
              <w:ind w:left="50"/>
              <w:rPr>
                <w:sz w:val="31"/>
              </w:rPr>
            </w:pPr>
            <w:r>
              <w:rPr>
                <w:sz w:val="31"/>
              </w:rPr>
              <w:t>E．无形资产</w:t>
            </w:r>
          </w:p>
        </w:tc>
        <w:tc>
          <w:tcPr>
            <w:tcW w:w="1094" w:type="dxa"/>
          </w:tcPr>
          <w:p>
            <w:pPr>
              <w:pStyle w:val="TableParagraph"/>
              <w:rPr>
                <w:rFonts w:ascii="Times New Roman"/>
                <w:sz w:val="30"/>
              </w:rPr>
            </w:pPr>
          </w:p>
        </w:tc>
        <w:tc>
          <w:tcPr>
            <w:tcW w:w="2423" w:type="dxa"/>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4315" w:type="dxa"/>
          </w:tcPr>
          <w:p>
            <w:pPr>
              <w:pStyle w:val="TableParagraph"/>
              <w:spacing w:before="38"/>
              <w:ind w:left="50"/>
              <w:rPr>
                <w:sz w:val="31"/>
              </w:rPr>
            </w:pPr>
            <w:r>
              <w:rPr>
                <w:sz w:val="31"/>
              </w:rPr>
              <w:t>5．对外投资的原则主要有（</w:t>
            </w:r>
          </w:p>
        </w:tc>
        <w:tc>
          <w:tcPr>
            <w:tcW w:w="1094" w:type="dxa"/>
          </w:tcPr>
          <w:p>
            <w:pPr>
              <w:pStyle w:val="TableParagraph"/>
              <w:spacing w:before="38"/>
              <w:ind w:left="304"/>
              <w:rPr>
                <w:sz w:val="31"/>
              </w:rPr>
            </w:pPr>
            <w:r>
              <w:rPr>
                <w:spacing w:val="-159"/>
                <w:sz w:val="31"/>
              </w:rPr>
              <w:t>）</w:t>
            </w:r>
            <w:r>
              <w:rPr>
                <w:sz w:val="31"/>
              </w:rPr>
              <w:t>。</w:t>
            </w:r>
          </w:p>
        </w:tc>
        <w:tc>
          <w:tcPr>
            <w:tcW w:w="2423" w:type="dxa"/>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4315" w:type="dxa"/>
          </w:tcPr>
          <w:p>
            <w:pPr>
              <w:pStyle w:val="TableParagraph"/>
              <w:spacing w:before="38"/>
              <w:ind w:left="50"/>
              <w:rPr>
                <w:sz w:val="31"/>
              </w:rPr>
            </w:pPr>
            <w:r>
              <w:rPr>
                <w:sz w:val="31"/>
              </w:rPr>
              <w:t>A．平衡性原则</w:t>
            </w:r>
          </w:p>
        </w:tc>
        <w:tc>
          <w:tcPr>
            <w:tcW w:w="1094" w:type="dxa"/>
          </w:tcPr>
          <w:p>
            <w:pPr>
              <w:pStyle w:val="TableParagraph"/>
              <w:rPr>
                <w:rFonts w:ascii="Times New Roman"/>
                <w:sz w:val="30"/>
              </w:rPr>
            </w:pPr>
          </w:p>
        </w:tc>
        <w:tc>
          <w:tcPr>
            <w:tcW w:w="2423" w:type="dxa"/>
          </w:tcPr>
          <w:p>
            <w:pPr>
              <w:pStyle w:val="TableParagraph"/>
              <w:spacing w:before="38"/>
              <w:ind w:left="311"/>
              <w:rPr>
                <w:sz w:val="31"/>
              </w:rPr>
            </w:pPr>
            <w:r>
              <w:rPr>
                <w:sz w:val="31"/>
              </w:rPr>
              <w:t>B．效益性原则</w:t>
            </w:r>
          </w:p>
        </w:tc>
      </w:tr>
      <w:tr>
        <w:tblPrEx>
          <w:tblW w:w="0" w:type="auto"/>
          <w:jc w:val="left"/>
          <w:tblInd w:w="2658" w:type="dxa"/>
          <w:tblLayout w:type="fixed"/>
          <w:tblCellMar>
            <w:top w:w="0" w:type="dxa"/>
            <w:left w:w="0" w:type="dxa"/>
            <w:bottom w:w="0" w:type="dxa"/>
            <w:right w:w="0" w:type="dxa"/>
          </w:tblCellMar>
          <w:tblLook w:val="01E0"/>
        </w:tblPrEx>
        <w:trPr>
          <w:trHeight w:val="468"/>
          <w:jc w:val="left"/>
        </w:trPr>
        <w:tc>
          <w:tcPr>
            <w:tcW w:w="4315" w:type="dxa"/>
          </w:tcPr>
          <w:p>
            <w:pPr>
              <w:pStyle w:val="TableParagraph"/>
              <w:spacing w:before="38"/>
              <w:ind w:left="50"/>
              <w:rPr>
                <w:sz w:val="31"/>
              </w:rPr>
            </w:pPr>
            <w:r>
              <w:rPr>
                <w:sz w:val="31"/>
              </w:rPr>
              <w:t>C．安全性原则</w:t>
            </w:r>
          </w:p>
        </w:tc>
        <w:tc>
          <w:tcPr>
            <w:tcW w:w="1094" w:type="dxa"/>
          </w:tcPr>
          <w:p>
            <w:pPr>
              <w:pStyle w:val="TableParagraph"/>
              <w:rPr>
                <w:rFonts w:ascii="Times New Roman"/>
                <w:sz w:val="30"/>
              </w:rPr>
            </w:pPr>
          </w:p>
        </w:tc>
        <w:tc>
          <w:tcPr>
            <w:tcW w:w="2423" w:type="dxa"/>
          </w:tcPr>
          <w:p>
            <w:pPr>
              <w:pStyle w:val="TableParagraph"/>
              <w:spacing w:before="38"/>
              <w:ind w:left="311"/>
              <w:rPr>
                <w:sz w:val="31"/>
              </w:rPr>
            </w:pPr>
            <w:r>
              <w:rPr>
                <w:sz w:val="31"/>
              </w:rPr>
              <w:t>D．流动性原则</w:t>
            </w:r>
          </w:p>
        </w:tc>
      </w:tr>
      <w:tr>
        <w:tblPrEx>
          <w:tblW w:w="0" w:type="auto"/>
          <w:jc w:val="left"/>
          <w:tblInd w:w="2658" w:type="dxa"/>
          <w:tblLayout w:type="fixed"/>
          <w:tblCellMar>
            <w:top w:w="0" w:type="dxa"/>
            <w:left w:w="0" w:type="dxa"/>
            <w:bottom w:w="0" w:type="dxa"/>
            <w:right w:w="0" w:type="dxa"/>
          </w:tblCellMar>
          <w:tblLook w:val="01E0"/>
        </w:tblPrEx>
        <w:trPr>
          <w:trHeight w:val="392"/>
          <w:jc w:val="left"/>
        </w:trPr>
        <w:tc>
          <w:tcPr>
            <w:tcW w:w="4315" w:type="dxa"/>
          </w:tcPr>
          <w:p>
            <w:pPr>
              <w:pStyle w:val="TableParagraph"/>
              <w:spacing w:before="38" w:line="335" w:lineRule="exact"/>
              <w:ind w:left="50"/>
              <w:rPr>
                <w:sz w:val="31"/>
              </w:rPr>
            </w:pPr>
            <w:r>
              <w:rPr>
                <w:sz w:val="31"/>
              </w:rPr>
              <w:t>E．整体性原则</w:t>
            </w:r>
          </w:p>
        </w:tc>
        <w:tc>
          <w:tcPr>
            <w:tcW w:w="1094" w:type="dxa"/>
          </w:tcPr>
          <w:p>
            <w:pPr>
              <w:pStyle w:val="TableParagraph"/>
              <w:rPr>
                <w:rFonts w:ascii="Times New Roman"/>
                <w:sz w:val="30"/>
              </w:rPr>
            </w:pPr>
          </w:p>
        </w:tc>
        <w:tc>
          <w:tcPr>
            <w:tcW w:w="2423" w:type="dxa"/>
          </w:tcPr>
          <w:p>
            <w:pPr>
              <w:pStyle w:val="TableParagraph"/>
              <w:rPr>
                <w:rFonts w:ascii="Times New Roman"/>
                <w:sz w:val="30"/>
              </w:rPr>
            </w:pPr>
          </w:p>
        </w:tc>
      </w:tr>
    </w:tbl>
    <w:p>
      <w:pPr>
        <w:pStyle w:val="BodyText"/>
        <w:tabs>
          <w:tab w:val="left" w:pos="8371"/>
          <w:tab w:val="left" w:pos="8529"/>
        </w:tabs>
        <w:spacing w:before="113" w:line="283" w:lineRule="auto"/>
        <w:ind w:right="6159"/>
      </w:pPr>
      <w:r>
        <w:t>6．对外直接投资应当考虑的因素有（</w:t>
        <w:tab/>
        <w:tab/>
      </w:r>
      <w:r>
        <w:rPr>
          <w:spacing w:val="-159"/>
        </w:rPr>
        <w:t>）</w:t>
      </w:r>
      <w:r>
        <w:t>。               A．企业的资产利用情况</w:t>
        <w:tab/>
        <w:t>B．企业的偿还债务能</w:t>
      </w:r>
      <w:r>
        <w:rPr>
          <w:spacing w:val="-16"/>
        </w:rPr>
        <w:t>力</w:t>
      </w:r>
    </w:p>
    <w:p>
      <w:pPr>
        <w:spacing w:before="196"/>
        <w:ind w:left="2700" w:right="0" w:firstLine="0"/>
        <w:jc w:val="left"/>
        <w:rPr>
          <w:sz w:val="18"/>
        </w:rPr>
      </w:pPr>
      <w:r>
        <w:rPr>
          <w:sz w:val="18"/>
        </w:rPr>
        <w:t>]</w:t>
      </w:r>
    </w:p>
    <w:p>
      <w:pPr>
        <w:pStyle w:val="BodyText"/>
        <w:tabs>
          <w:tab w:val="left" w:pos="8371"/>
          <w:tab w:val="left" w:pos="9001"/>
          <w:tab w:val="left" w:pos="9477"/>
        </w:tabs>
        <w:spacing w:before="40" w:line="283" w:lineRule="auto"/>
        <w:ind w:right="6163"/>
      </w:pPr>
      <w:r>
        <w:t>C．企业的整体经营目标</w:t>
        <w:tab/>
        <w:tab/>
        <w:t>D．投资对象的收</w:t>
      </w:r>
      <w:r>
        <w:rPr>
          <w:spacing w:val="-17"/>
        </w:rPr>
        <w:t>益</w:t>
      </w:r>
      <w:r>
        <w:t>E．投资对象的风险                                       7．下列各项因素会影响债券市场价格的有（</w:t>
        <w:tab/>
        <w:tab/>
      </w:r>
      <w:r>
        <w:rPr>
          <w:spacing w:val="-162"/>
        </w:rPr>
        <w:t>）</w:t>
      </w:r>
      <w:r>
        <w:t>。         A．通货膨胀</w:t>
        <w:tab/>
        <w:t>B．利率变化</w:t>
      </w:r>
    </w:p>
    <w:p>
      <w:pPr>
        <w:pStyle w:val="BodyText"/>
        <w:tabs>
          <w:tab w:val="left" w:pos="8371"/>
        </w:tabs>
        <w:spacing w:line="283" w:lineRule="auto"/>
        <w:ind w:right="6476"/>
      </w:pPr>
      <w:r>
        <w:t>C．公司财务状况变化</w:t>
        <w:tab/>
        <w:t>D．国家金融政策变</w:t>
      </w:r>
      <w:r>
        <w:rPr>
          <w:spacing w:val="-17"/>
        </w:rPr>
        <w:t>化</w:t>
      </w:r>
      <w:r>
        <w:t>E．经济发展周期</w:t>
      </w:r>
    </w:p>
    <w:p>
      <w:pPr>
        <w:spacing w:before="0" w:line="283" w:lineRule="auto"/>
        <w:ind w:left="2700" w:right="8662" w:firstLine="0"/>
        <w:jc w:val="left"/>
        <w:rPr>
          <w:sz w:val="31"/>
        </w:rPr>
      </w:pPr>
      <w:r>
        <w:rPr>
          <w:b/>
          <w:sz w:val="31"/>
        </w:rPr>
        <w:t xml:space="preserve">三、判断题                             </w:t>
      </w:r>
      <w:r>
        <w:rPr>
          <w:sz w:val="31"/>
        </w:rPr>
        <w:t>1．</w:t>
      </w:r>
      <w:r>
        <w:rPr>
          <w:spacing w:val="-1"/>
          <w:sz w:val="31"/>
        </w:rPr>
        <w:t>系统性风险不能通过证券投资组合来消减。</w:t>
      </w:r>
    </w:p>
    <w:p>
      <w:pPr>
        <w:pStyle w:val="BodyText"/>
        <w:spacing w:before="2"/>
        <w:ind w:left="0"/>
        <w:rPr>
          <w:sz w:val="36"/>
        </w:rPr>
      </w:pPr>
    </w:p>
    <w:p>
      <w:pPr>
        <w:pStyle w:val="BodyText"/>
        <w:spacing w:line="283" w:lineRule="auto"/>
        <w:ind w:right="2643"/>
      </w:pPr>
      <w:r>
        <w:t>2．</w:t>
      </w:r>
      <w:r>
        <w:rPr>
          <w:spacing w:val="-1"/>
        </w:rPr>
        <w:t>对外直接投资是指企业直接把现金、实物资产、无形资产等投向其他企业或与其他企业</w:t>
      </w:r>
      <w:r>
        <w:t>共同投资兴建新企业。                                                          3．</w:t>
      </w:r>
      <w:r>
        <w:rPr>
          <w:spacing w:val="-1"/>
        </w:rPr>
        <w:t>证券投资既可以随时出售转变为现金，用于偿还债务，保持了资产的流动性，又可以增</w:t>
      </w:r>
      <w:r>
        <w:t>加企业的收益。</w:t>
      </w:r>
    </w:p>
    <w:p>
      <w:pPr>
        <w:pStyle w:val="ListParagraph"/>
        <w:numPr>
          <w:ilvl w:val="0"/>
          <w:numId w:val="56"/>
        </w:numPr>
        <w:tabs>
          <w:tab w:val="left" w:pos="3177"/>
        </w:tabs>
        <w:spacing w:before="0" w:after="0" w:line="394" w:lineRule="exact"/>
        <w:ind w:left="3177" w:right="0" w:hanging="477"/>
        <w:jc w:val="left"/>
        <w:rPr>
          <w:sz w:val="31"/>
        </w:rPr>
      </w:pPr>
      <w:r>
        <w:rPr>
          <w:sz w:val="31"/>
        </w:rPr>
        <w:t>证券投资的变现能力比直接投资强。</w:t>
      </w:r>
    </w:p>
    <w:p>
      <w:pPr>
        <w:pStyle w:val="ListParagraph"/>
        <w:numPr>
          <w:ilvl w:val="0"/>
          <w:numId w:val="56"/>
        </w:numPr>
        <w:tabs>
          <w:tab w:val="left" w:pos="3177"/>
        </w:tabs>
        <w:spacing w:before="71" w:after="0" w:line="240" w:lineRule="auto"/>
        <w:ind w:left="3177" w:right="0" w:hanging="477"/>
        <w:jc w:val="left"/>
        <w:rPr>
          <w:sz w:val="31"/>
        </w:rPr>
      </w:pPr>
      <w:r>
        <w:rPr>
          <w:sz w:val="31"/>
        </w:rPr>
        <w:t>对外直接投资通常具有投资期限较长、耗资较多、变现能力较强等特点。</w:t>
      </w:r>
    </w:p>
    <w:p>
      <w:pPr>
        <w:spacing w:after="0" w:line="240" w:lineRule="auto"/>
        <w:jc w:val="left"/>
        <w:rPr>
          <w:sz w:val="31"/>
        </w:rPr>
        <w:sectPr>
          <w:headerReference w:type="default" r:id="rId54"/>
          <w:pgSz w:w="17860" w:h="25260"/>
          <w:pgMar w:top="1360" w:right="0" w:bottom="280" w:left="0" w:header="1160" w:footer="0"/>
          <w:pgNumType w:start="31"/>
          <w:cols w:space="708"/>
        </w:sectPr>
      </w:pPr>
    </w:p>
    <w:p>
      <w:pPr>
        <w:pStyle w:val="BodyText"/>
        <w:ind w:left="0"/>
        <w:rPr>
          <w:sz w:val="20"/>
        </w:rPr>
      </w:pPr>
    </w:p>
    <w:p>
      <w:pPr>
        <w:pStyle w:val="BodyText"/>
        <w:spacing w:before="5"/>
        <w:ind w:left="0"/>
        <w:rPr>
          <w:sz w:val="19"/>
        </w:rPr>
      </w:pPr>
    </w:p>
    <w:p>
      <w:pPr>
        <w:pStyle w:val="ListParagraph"/>
        <w:numPr>
          <w:ilvl w:val="0"/>
          <w:numId w:val="56"/>
        </w:numPr>
        <w:tabs>
          <w:tab w:val="left" w:pos="3177"/>
        </w:tabs>
        <w:spacing w:before="62" w:after="0" w:line="240" w:lineRule="auto"/>
        <w:ind w:left="3177" w:right="0" w:hanging="477"/>
        <w:jc w:val="left"/>
        <w:rPr>
          <w:sz w:val="31"/>
        </w:rPr>
      </w:pPr>
      <w:r>
        <w:rPr>
          <w:sz w:val="31"/>
        </w:rPr>
        <w:t>短期证券投资可以作为现金的替代品。</w:t>
      </w:r>
    </w:p>
    <w:p>
      <w:pPr>
        <w:pStyle w:val="ListParagraph"/>
        <w:numPr>
          <w:ilvl w:val="0"/>
          <w:numId w:val="56"/>
        </w:numPr>
        <w:tabs>
          <w:tab w:val="left" w:pos="3177"/>
        </w:tabs>
        <w:spacing w:before="71" w:after="0" w:line="240" w:lineRule="auto"/>
        <w:ind w:left="3177" w:right="0" w:hanging="477"/>
        <w:jc w:val="left"/>
        <w:rPr>
          <w:sz w:val="31"/>
        </w:rPr>
      </w:pPr>
      <w:r>
        <w:rPr>
          <w:sz w:val="31"/>
        </w:rPr>
        <w:t>如果市场利率上升，就会导致债券的市场价格上升。</w:t>
      </w:r>
    </w:p>
    <w:p>
      <w:pPr>
        <w:pStyle w:val="ListParagraph"/>
        <w:numPr>
          <w:ilvl w:val="0"/>
          <w:numId w:val="56"/>
        </w:numPr>
        <w:tabs>
          <w:tab w:val="left" w:pos="3177"/>
        </w:tabs>
        <w:spacing w:before="71" w:after="0" w:line="283" w:lineRule="auto"/>
        <w:ind w:left="2700" w:right="2643" w:firstLine="0"/>
        <w:jc w:val="left"/>
        <w:rPr>
          <w:sz w:val="31"/>
        </w:rPr>
      </w:pPr>
      <w:r>
        <w:rPr>
          <w:spacing w:val="-1"/>
          <w:sz w:val="31"/>
        </w:rPr>
        <w:t>由于债券投资只能按债券的票面利率得到固定的利息，所以公司的盈利状况不会影响该</w:t>
      </w:r>
      <w:r>
        <w:rPr>
          <w:sz w:val="31"/>
        </w:rPr>
        <w:t>公司债券的市场价格，但会影响该公司股票的价格。                                9．政府债券是以国家财政为担保的，一般可以看作是无违约风险的债券。</w:t>
      </w:r>
    </w:p>
    <w:p>
      <w:pPr>
        <w:spacing w:before="195"/>
        <w:ind w:left="2700" w:right="0" w:firstLine="0"/>
        <w:jc w:val="left"/>
        <w:rPr>
          <w:sz w:val="18"/>
        </w:rPr>
      </w:pPr>
      <w:r>
        <w:rPr>
          <w:sz w:val="18"/>
        </w:rPr>
        <w:t>]</w:t>
      </w:r>
    </w:p>
    <w:p>
      <w:pPr>
        <w:pStyle w:val="BodyText"/>
        <w:spacing w:before="41" w:line="283" w:lineRule="auto"/>
        <w:ind w:right="3435"/>
        <w:rPr>
          <w:b/>
        </w:rPr>
      </w:pPr>
      <w:r>
        <w:t>10．在通货膨胀情况下，固定收益证券要比变动收益证券承受更大的通货膨胀风险。</w:t>
      </w:r>
      <w:r>
        <w:rPr>
          <w:b/>
        </w:rPr>
        <w:t>四、计算与核算题</w:t>
      </w:r>
    </w:p>
    <w:p>
      <w:pPr>
        <w:pStyle w:val="ListParagraph"/>
        <w:numPr>
          <w:ilvl w:val="0"/>
          <w:numId w:val="55"/>
        </w:numPr>
        <w:tabs>
          <w:tab w:val="left" w:pos="3177"/>
        </w:tabs>
        <w:spacing w:before="0" w:after="0" w:line="283" w:lineRule="auto"/>
        <w:ind w:left="2700" w:right="2677" w:firstLine="0"/>
        <w:jc w:val="left"/>
        <w:rPr>
          <w:sz w:val="31"/>
        </w:rPr>
      </w:pPr>
      <w:r>
        <w:rPr>
          <w:spacing w:val="3"/>
          <w:sz w:val="31"/>
        </w:rPr>
        <w:t>长江公司发行公司债券，面值为</w:t>
      </w:r>
      <w:r>
        <w:rPr>
          <w:sz w:val="31"/>
        </w:rPr>
        <w:t>1</w:t>
      </w:r>
      <w:r>
        <w:rPr>
          <w:spacing w:val="31"/>
          <w:sz w:val="31"/>
        </w:rPr>
        <w:t xml:space="preserve"> </w:t>
      </w:r>
      <w:r>
        <w:rPr>
          <w:sz w:val="31"/>
        </w:rPr>
        <w:t>000</w:t>
      </w:r>
      <w:r>
        <w:rPr>
          <w:spacing w:val="-5"/>
          <w:sz w:val="31"/>
        </w:rPr>
        <w:t xml:space="preserve"> 元，票面利率为年利率 </w:t>
      </w:r>
      <w:r>
        <w:rPr>
          <w:sz w:val="31"/>
        </w:rPr>
        <w:t>6</w:t>
      </w:r>
      <w:r>
        <w:rPr>
          <w:spacing w:val="-2"/>
          <w:sz w:val="31"/>
        </w:rPr>
        <w:t>%，每年计息一次，期限</w:t>
      </w:r>
      <w:r>
        <w:rPr>
          <w:spacing w:val="-37"/>
          <w:sz w:val="31"/>
        </w:rPr>
        <w:t xml:space="preserve">为 </w:t>
      </w:r>
      <w:r>
        <w:rPr>
          <w:sz w:val="31"/>
        </w:rPr>
        <w:t>5</w:t>
      </w:r>
      <w:r>
        <w:rPr>
          <w:spacing w:val="-7"/>
          <w:sz w:val="31"/>
        </w:rPr>
        <w:t xml:space="preserve"> 年，到期一次还本付息。已知市场利率为</w:t>
      </w:r>
      <w:r>
        <w:rPr>
          <w:sz w:val="31"/>
        </w:rPr>
        <w:t>8%。</w:t>
      </w:r>
    </w:p>
    <w:p>
      <w:pPr>
        <w:pStyle w:val="BodyText"/>
        <w:spacing w:line="396" w:lineRule="exact"/>
      </w:pPr>
      <w:r>
        <w:t>要求：计算长江公司该债券的价值。</w:t>
      </w:r>
    </w:p>
    <w:p>
      <w:pPr>
        <w:pStyle w:val="ListParagraph"/>
        <w:numPr>
          <w:ilvl w:val="0"/>
          <w:numId w:val="55"/>
        </w:numPr>
        <w:tabs>
          <w:tab w:val="left" w:pos="3336"/>
        </w:tabs>
        <w:spacing w:before="69" w:after="0" w:line="283" w:lineRule="auto"/>
        <w:ind w:left="2700" w:right="2670" w:firstLine="158"/>
        <w:jc w:val="left"/>
        <w:rPr>
          <w:sz w:val="31"/>
        </w:rPr>
      </w:pPr>
      <w:r>
        <w:rPr>
          <w:spacing w:val="-8"/>
          <w:sz w:val="31"/>
        </w:rPr>
        <w:t xml:space="preserve">某债券面值为 </w:t>
      </w:r>
      <w:r>
        <w:rPr>
          <w:sz w:val="31"/>
        </w:rPr>
        <w:t>1</w:t>
      </w:r>
      <w:r>
        <w:rPr>
          <w:spacing w:val="-14"/>
          <w:sz w:val="31"/>
        </w:rPr>
        <w:t xml:space="preserve"> </w:t>
      </w:r>
      <w:r>
        <w:rPr>
          <w:sz w:val="31"/>
        </w:rPr>
        <w:t>000</w:t>
      </w:r>
      <w:r>
        <w:rPr>
          <w:spacing w:val="-12"/>
          <w:sz w:val="31"/>
        </w:rPr>
        <w:t xml:space="preserve"> 元，票面利率为 </w:t>
      </w:r>
      <w:r>
        <w:rPr>
          <w:sz w:val="31"/>
        </w:rPr>
        <w:t>8</w:t>
      </w:r>
      <w:r>
        <w:rPr>
          <w:spacing w:val="-8"/>
          <w:sz w:val="31"/>
        </w:rPr>
        <w:t xml:space="preserve">%，期限为 </w:t>
      </w:r>
      <w:r>
        <w:rPr>
          <w:sz w:val="31"/>
        </w:rPr>
        <w:t>10</w:t>
      </w:r>
      <w:r>
        <w:rPr>
          <w:spacing w:val="-8"/>
          <w:sz w:val="31"/>
        </w:rPr>
        <w:t xml:space="preserve"> 年，刚刚支付了第四年的利息。某</w:t>
      </w:r>
      <w:r>
        <w:rPr>
          <w:spacing w:val="2"/>
          <w:sz w:val="31"/>
        </w:rPr>
        <w:t>企业要对这种债券进行投资，目前的市场利率为</w:t>
      </w:r>
      <w:r>
        <w:rPr>
          <w:sz w:val="31"/>
        </w:rPr>
        <w:t>10%，问债券价格多少时才能进行投资。</w:t>
      </w:r>
    </w:p>
    <w:p>
      <w:pPr>
        <w:pStyle w:val="BodyText"/>
        <w:ind w:left="0"/>
        <w:rPr>
          <w:sz w:val="32"/>
        </w:rPr>
      </w:pPr>
    </w:p>
    <w:p>
      <w:pPr>
        <w:pStyle w:val="BodyText"/>
        <w:ind w:left="0"/>
        <w:rPr>
          <w:sz w:val="32"/>
        </w:rPr>
      </w:pPr>
    </w:p>
    <w:p>
      <w:pPr>
        <w:pStyle w:val="Heading2"/>
        <w:tabs>
          <w:tab w:val="left" w:pos="4126"/>
        </w:tabs>
        <w:spacing w:before="231"/>
      </w:pPr>
      <w:r>
        <w:t>第九章</w:t>
        <w:tab/>
        <w:t>流动资产管理</w:t>
      </w:r>
    </w:p>
    <w:p>
      <w:pPr>
        <w:pStyle w:val="BodyText"/>
        <w:spacing w:before="2"/>
        <w:ind w:left="0"/>
        <w:rPr>
          <w:b/>
          <w:sz w:val="30"/>
        </w:rPr>
      </w:pPr>
    </w:p>
    <w:p>
      <w:pPr>
        <w:spacing w:before="0"/>
        <w:ind w:left="2700" w:right="0" w:firstLine="0"/>
        <w:jc w:val="left"/>
        <w:rPr>
          <w:b/>
          <w:sz w:val="18"/>
        </w:rPr>
      </w:pPr>
      <w:r>
        <w:rPr>
          <w:b/>
          <w:w w:val="99"/>
          <w:sz w:val="18"/>
        </w:rPr>
        <w:t>。</w:t>
      </w:r>
    </w:p>
    <w:p>
      <w:pPr>
        <w:pStyle w:val="Heading2"/>
        <w:spacing w:before="40"/>
      </w:pPr>
      <w:r>
        <w:t>一、单选题</w:t>
      </w:r>
    </w:p>
    <w:p>
      <w:pPr>
        <w:pStyle w:val="ListParagraph"/>
        <w:numPr>
          <w:ilvl w:val="0"/>
          <w:numId w:val="54"/>
        </w:numPr>
        <w:tabs>
          <w:tab w:val="left" w:pos="3176"/>
        </w:tabs>
        <w:spacing w:before="71" w:after="0" w:line="283" w:lineRule="auto"/>
        <w:ind w:left="3172" w:right="7750" w:hanging="472"/>
        <w:jc w:val="left"/>
        <w:rPr>
          <w:sz w:val="31"/>
        </w:rPr>
      </w:pPr>
      <w:r>
        <w:rPr>
          <w:sz w:val="31"/>
        </w:rPr>
        <w:t>下列各项中，不属于信用条件构成要素的是（</w:t>
      </w:r>
      <w:r>
        <w:rPr>
          <w:spacing w:val="96"/>
          <w:sz w:val="31"/>
        </w:rPr>
        <w:t xml:space="preserve"> </w:t>
      </w:r>
      <w:r>
        <w:rPr>
          <w:spacing w:val="-162"/>
          <w:sz w:val="31"/>
        </w:rPr>
        <w:t>）</w:t>
      </w:r>
      <w:r>
        <w:rPr>
          <w:spacing w:val="-16"/>
          <w:sz w:val="31"/>
        </w:rPr>
        <w:t>。</w:t>
      </w:r>
      <w:r>
        <w:rPr>
          <w:sz w:val="31"/>
        </w:rPr>
        <w:t>A</w:t>
      </w:r>
      <w:r>
        <w:rPr>
          <w:spacing w:val="-16"/>
          <w:sz w:val="31"/>
        </w:rPr>
        <w:t xml:space="preserve"> 信用期限</w:t>
      </w:r>
    </w:p>
    <w:p>
      <w:pPr>
        <w:pStyle w:val="BodyText"/>
        <w:spacing w:line="283" w:lineRule="auto"/>
        <w:ind w:left="3172" w:right="12179"/>
      </w:pPr>
      <w:r>
        <w:t>B 现金折扣（率） C 现金折扣期限</w:t>
      </w:r>
    </w:p>
    <w:p>
      <w:pPr>
        <w:pStyle w:val="BodyText"/>
        <w:spacing w:line="396" w:lineRule="exact"/>
        <w:ind w:left="3172"/>
      </w:pPr>
      <w:r>
        <w:rPr>
          <w:color w:val="FF0000"/>
        </w:rPr>
        <w:t>D 商业折扣</w:t>
      </w:r>
    </w:p>
    <w:p>
      <w:pPr>
        <w:pStyle w:val="ListParagraph"/>
        <w:numPr>
          <w:ilvl w:val="0"/>
          <w:numId w:val="54"/>
        </w:numPr>
        <w:tabs>
          <w:tab w:val="left" w:pos="3177"/>
        </w:tabs>
        <w:spacing w:before="38" w:after="0" w:line="244" w:lineRule="auto"/>
        <w:ind w:left="3172" w:right="2687" w:hanging="472"/>
        <w:jc w:val="left"/>
        <w:rPr>
          <w:sz w:val="31"/>
        </w:rPr>
      </w:pPr>
      <w:r>
        <w:rPr>
          <w:sz w:val="31"/>
        </w:rPr>
        <w:t>某企业规定的信用条件是“3/10</w:t>
      </w:r>
      <w:r>
        <w:rPr>
          <w:spacing w:val="-29"/>
          <w:sz w:val="31"/>
        </w:rPr>
        <w:t>、</w:t>
      </w:r>
      <w:r>
        <w:rPr>
          <w:sz w:val="31"/>
        </w:rPr>
        <w:t>1/30、n/45”，客户从该企业购入原价为 10000</w:t>
      </w:r>
      <w:r>
        <w:rPr>
          <w:spacing w:val="13"/>
          <w:sz w:val="31"/>
        </w:rPr>
        <w:t xml:space="preserve"> 元的</w:t>
      </w:r>
      <w:r>
        <w:rPr>
          <w:spacing w:val="-12"/>
          <w:sz w:val="31"/>
        </w:rPr>
        <w:t xml:space="preserve">货款，并于第 </w:t>
      </w:r>
      <w:r>
        <w:rPr>
          <w:sz w:val="31"/>
        </w:rPr>
        <w:t>25</w:t>
      </w:r>
      <w:r>
        <w:rPr>
          <w:spacing w:val="-9"/>
          <w:sz w:val="31"/>
        </w:rPr>
        <w:t xml:space="preserve"> 天付款，则该客户实际支付的款额为</w:t>
      </w:r>
      <w:r>
        <w:rPr>
          <w:sz w:val="31"/>
        </w:rPr>
        <w:t>（</w:t>
      </w:r>
      <w:r>
        <w:rPr>
          <w:spacing w:val="-22"/>
          <w:sz w:val="31"/>
        </w:rPr>
        <w:t xml:space="preserve"> </w:t>
      </w:r>
      <w:r>
        <w:rPr>
          <w:sz w:val="31"/>
        </w:rPr>
        <w:t>）。</w:t>
      </w:r>
    </w:p>
    <w:p>
      <w:pPr>
        <w:pStyle w:val="BodyText"/>
        <w:spacing w:before="7"/>
        <w:ind w:left="3352"/>
      </w:pPr>
      <w:r>
        <w:t>A 1000</w:t>
      </w:r>
      <w:r>
        <w:rPr>
          <w:spacing w:val="-27"/>
        </w:rPr>
        <w:t xml:space="preserve"> 元</w:t>
      </w:r>
    </w:p>
    <w:p>
      <w:pPr>
        <w:spacing w:before="124" w:line="175" w:lineRule="exact"/>
        <w:ind w:left="3150" w:right="0" w:firstLine="0"/>
        <w:jc w:val="left"/>
        <w:rPr>
          <w:sz w:val="18"/>
        </w:rPr>
      </w:pPr>
      <w:r>
        <w:rPr>
          <w:sz w:val="18"/>
        </w:rPr>
        <w:t>;</w:t>
      </w:r>
    </w:p>
    <w:p>
      <w:pPr>
        <w:pStyle w:val="BodyText"/>
        <w:spacing w:line="342" w:lineRule="exact"/>
        <w:ind w:left="3352"/>
      </w:pPr>
      <w:r>
        <w:t>B 7700</w:t>
      </w:r>
      <w:r>
        <w:rPr>
          <w:spacing w:val="-27"/>
        </w:rPr>
        <w:t xml:space="preserve"> 元</w:t>
      </w:r>
    </w:p>
    <w:p>
      <w:pPr>
        <w:pStyle w:val="BodyText"/>
        <w:spacing w:before="13" w:line="244" w:lineRule="auto"/>
        <w:ind w:left="3352" w:right="13162"/>
      </w:pPr>
      <w:r>
        <w:t>C 9000</w:t>
      </w:r>
      <w:r>
        <w:rPr>
          <w:spacing w:val="-36"/>
        </w:rPr>
        <w:t xml:space="preserve"> 元</w:t>
      </w:r>
      <w:r>
        <w:t>D 9900</w:t>
      </w:r>
      <w:r>
        <w:rPr>
          <w:spacing w:val="-35"/>
        </w:rPr>
        <w:t xml:space="preserve"> 元</w:t>
      </w:r>
    </w:p>
    <w:p>
      <w:pPr>
        <w:pStyle w:val="ListParagraph"/>
        <w:numPr>
          <w:ilvl w:val="0"/>
          <w:numId w:val="54"/>
        </w:numPr>
        <w:tabs>
          <w:tab w:val="left" w:pos="3019"/>
          <w:tab w:val="left" w:pos="3827"/>
          <w:tab w:val="left" w:pos="6322"/>
        </w:tabs>
        <w:spacing w:before="7" w:after="0" w:line="244" w:lineRule="auto"/>
        <w:ind w:left="3352" w:right="10267" w:hanging="652"/>
        <w:jc w:val="left"/>
        <w:rPr>
          <w:sz w:val="31"/>
        </w:rPr>
      </w:pPr>
      <w:r>
        <w:rPr>
          <w:sz w:val="31"/>
        </w:rPr>
        <w:t>流动资产投资具有（</w:t>
        <w:tab/>
        <w:t>）特点</w:t>
      </w:r>
      <w:r>
        <w:rPr>
          <w:spacing w:val="-17"/>
          <w:sz w:val="31"/>
        </w:rPr>
        <w:t>。</w:t>
      </w:r>
      <w:r>
        <w:rPr>
          <w:sz w:val="31"/>
        </w:rPr>
        <w:t>A</w:t>
        <w:tab/>
        <w:t>获利能力高，风险较大</w:t>
      </w:r>
    </w:p>
    <w:p>
      <w:pPr>
        <w:pStyle w:val="BodyText"/>
        <w:tabs>
          <w:tab w:val="left" w:pos="3827"/>
        </w:tabs>
        <w:spacing w:before="7" w:line="244" w:lineRule="auto"/>
        <w:ind w:left="3352" w:right="10862"/>
      </w:pPr>
      <w:r>
        <w:t>B</w:t>
        <w:tab/>
        <w:t>获利能力低，风险较</w:t>
      </w:r>
      <w:r>
        <w:rPr>
          <w:spacing w:val="-18"/>
        </w:rPr>
        <w:t>大</w:t>
      </w:r>
      <w:r>
        <w:t>C</w:t>
        <w:tab/>
        <w:t>获利能力高，风险小</w:t>
      </w:r>
    </w:p>
    <w:p>
      <w:pPr>
        <w:pStyle w:val="BodyText"/>
        <w:tabs>
          <w:tab w:val="left" w:pos="3827"/>
        </w:tabs>
        <w:spacing w:before="7"/>
        <w:ind w:left="3352"/>
      </w:pPr>
      <w:r>
        <w:rPr>
          <w:color w:val="FF0000"/>
        </w:rPr>
        <w:t>D</w:t>
        <w:tab/>
        <w:t>获利能力低，风险小</w:t>
      </w:r>
    </w:p>
    <w:p>
      <w:pPr>
        <w:spacing w:before="124" w:line="175" w:lineRule="exact"/>
        <w:ind w:left="2700" w:right="0" w:firstLine="0"/>
        <w:jc w:val="left"/>
        <w:rPr>
          <w:sz w:val="18"/>
        </w:rPr>
      </w:pPr>
      <w:r>
        <w:rPr>
          <w:sz w:val="18"/>
        </w:rPr>
        <w:t>；</w:t>
      </w:r>
    </w:p>
    <w:p>
      <w:pPr>
        <w:pStyle w:val="ListParagraph"/>
        <w:numPr>
          <w:ilvl w:val="0"/>
          <w:numId w:val="54"/>
        </w:numPr>
        <w:tabs>
          <w:tab w:val="left" w:pos="3019"/>
          <w:tab w:val="left" w:pos="9948"/>
        </w:tabs>
        <w:spacing w:before="0" w:after="0" w:line="342" w:lineRule="exact"/>
        <w:ind w:left="3018" w:right="0" w:hanging="319"/>
        <w:jc w:val="left"/>
        <w:rPr>
          <w:sz w:val="31"/>
        </w:rPr>
      </w:pPr>
      <w:r>
        <w:rPr>
          <w:sz w:val="31"/>
        </w:rPr>
        <w:t>下列不属于影响应收账款机会成本的因素是（</w:t>
        <w:tab/>
        <w:t>）</w:t>
      </w:r>
    </w:p>
    <w:p>
      <w:pPr>
        <w:pStyle w:val="BodyText"/>
        <w:spacing w:before="10"/>
        <w:ind w:left="3352"/>
      </w:pPr>
      <w:r>
        <w:t>A</w:t>
      </w:r>
      <w:r>
        <w:rPr>
          <w:spacing w:val="5"/>
        </w:rPr>
        <w:t xml:space="preserve"> 变动成本率</w:t>
      </w:r>
    </w:p>
    <w:p>
      <w:pPr>
        <w:pStyle w:val="BodyText"/>
        <w:spacing w:before="13" w:line="244" w:lineRule="auto"/>
        <w:ind w:left="3352" w:right="11654"/>
      </w:pPr>
      <w:r>
        <w:t>B</w:t>
      </w:r>
      <w:r>
        <w:rPr>
          <w:spacing w:val="2"/>
        </w:rPr>
        <w:t xml:space="preserve"> 应收账款周转天数</w:t>
      </w:r>
      <w:r>
        <w:t>C 资金成本率</w:t>
      </w:r>
    </w:p>
    <w:p>
      <w:pPr>
        <w:pStyle w:val="BodyText"/>
        <w:spacing w:before="7"/>
        <w:ind w:left="3352"/>
      </w:pPr>
      <w:r>
        <w:rPr>
          <w:color w:val="FF0000"/>
        </w:rPr>
        <w:t>D 应付账款余额</w:t>
      </w:r>
    </w:p>
    <w:p>
      <w:pPr>
        <w:pStyle w:val="BodyText"/>
        <w:tabs>
          <w:tab w:val="left" w:pos="6013"/>
        </w:tabs>
        <w:spacing w:before="42"/>
      </w:pPr>
      <w:r>
        <w:t>5、经济批量是指（</w:t>
        <w:tab/>
      </w:r>
      <w:r>
        <w:rPr>
          <w:spacing w:val="-162"/>
        </w:rPr>
        <w:t>）</w:t>
      </w:r>
      <w:r>
        <w:t>。</w:t>
      </w:r>
    </w:p>
    <w:p>
      <w:pPr>
        <w:pStyle w:val="BodyText"/>
        <w:spacing w:before="71" w:line="283" w:lineRule="auto"/>
        <w:ind w:left="3176" w:right="10725"/>
      </w:pPr>
      <w:r>
        <w:t>A .采购成本最低的采购批量B .订货成本最低的采购批量</w:t>
      </w:r>
    </w:p>
    <w:p>
      <w:pPr>
        <w:pStyle w:val="BodyText"/>
        <w:spacing w:before="6"/>
        <w:ind w:left="0"/>
        <w:rPr>
          <w:sz w:val="9"/>
        </w:rPr>
      </w:pPr>
    </w:p>
    <w:p>
      <w:pPr>
        <w:spacing w:before="74"/>
        <w:ind w:left="2700" w:right="0" w:firstLine="0"/>
        <w:jc w:val="left"/>
        <w:rPr>
          <w:sz w:val="18"/>
        </w:rPr>
      </w:pPr>
      <w:r>
        <w:rPr>
          <w:sz w:val="18"/>
        </w:rPr>
        <w:t>~</w:t>
      </w:r>
    </w:p>
    <w:p>
      <w:pPr>
        <w:pStyle w:val="ListParagraph"/>
        <w:numPr>
          <w:ilvl w:val="0"/>
          <w:numId w:val="53"/>
        </w:numPr>
        <w:tabs>
          <w:tab w:val="left" w:pos="3493"/>
        </w:tabs>
        <w:spacing w:before="41" w:after="0" w:line="240" w:lineRule="auto"/>
        <w:ind w:left="3492" w:right="0" w:hanging="317"/>
        <w:jc w:val="left"/>
        <w:rPr>
          <w:sz w:val="31"/>
        </w:rPr>
      </w:pPr>
      <w:r>
        <w:rPr>
          <w:spacing w:val="-2"/>
          <w:sz w:val="31"/>
        </w:rPr>
        <w:t>.储存成本最低的采购批量</w:t>
      </w:r>
    </w:p>
    <w:p>
      <w:pPr>
        <w:pStyle w:val="ListParagraph"/>
        <w:numPr>
          <w:ilvl w:val="0"/>
          <w:numId w:val="53"/>
        </w:numPr>
        <w:tabs>
          <w:tab w:val="left" w:pos="3493"/>
        </w:tabs>
        <w:spacing w:before="70" w:after="0" w:line="240" w:lineRule="auto"/>
        <w:ind w:left="3492" w:right="0" w:hanging="318"/>
        <w:jc w:val="left"/>
        <w:rPr>
          <w:color w:val="FF0000"/>
          <w:sz w:val="31"/>
        </w:rPr>
      </w:pPr>
      <w:r>
        <w:rPr>
          <w:color w:val="FF0000"/>
          <w:spacing w:val="-2"/>
          <w:sz w:val="31"/>
        </w:rPr>
        <w:t>.存货总成本最低的采购批量</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https://d.book118.com/666042232130010101</w:t>
        </w:r>
      </w:hyperlink>
    </w:p>
    <w:p>
      <w:pPr>
        <w:spacing w:after="0" w:line="240" w:lineRule="auto"/>
        <w:jc w:val="left"/>
        <w:rPr>
          <w:sz w:val="31"/>
        </w:rPr>
      </w:pPr>
    </w:p>
    <w:sectPr>
      <w:headerReference w:type="default" r:id="rId56"/>
      <w:pgSz w:w="17860" w:h="25260"/>
      <w:pgMar w:top="1360" w:right="0" w:bottom="280" w:left="0" w:header="1160" w:footer="0"/>
      <w:pgNumType w:start="3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47161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16115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239975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99757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32992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992185"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4397262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72622"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245749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574999"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870377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03774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377300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730010"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82228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281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8260736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073655"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61998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9886"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4883920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839208"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731252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12526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417928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92817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7217179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71798"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539486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94866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2493128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31286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564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8239178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391782"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541090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10901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42841409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414092"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1025430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43025"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7233807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338072"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255384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538418"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5120590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205904"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039724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97242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000562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05628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638785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878537"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172720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272021"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223647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364716"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2916918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169184"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2388474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847403" name="image2.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457D8"/>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
    <w:nsid w:val="01CC322A"/>
    <w:multiLevelType w:val="hybridMultilevel"/>
    <w:tmpl w:val="00000000"/>
    <w:lvl w:ilvl="0">
      <w:start w:val="1"/>
      <w:numFmt w:val="decimal"/>
      <w:lvlText w:val="%1."/>
      <w:lvlJc w:val="left"/>
      <w:pPr>
        <w:ind w:left="3176" w:hanging="476"/>
        <w:jc w:val="left"/>
      </w:pPr>
      <w:rPr>
        <w:rFonts w:ascii="宋体" w:eastAsia="宋体" w:hAnsi="宋体" w:cs="宋体" w:hint="default"/>
        <w:w w:val="102"/>
        <w:sz w:val="31"/>
        <w:szCs w:val="31"/>
      </w:rPr>
    </w:lvl>
    <w:lvl w:ilvl="1">
      <w:start w:val="0"/>
      <w:numFmt w:val="bullet"/>
      <w:lvlText w:val="•"/>
      <w:lvlJc w:val="left"/>
      <w:pPr>
        <w:ind w:left="4647" w:hanging="476"/>
      </w:pPr>
      <w:rPr>
        <w:rFonts w:hint="default"/>
      </w:rPr>
    </w:lvl>
    <w:lvl w:ilvl="2">
      <w:start w:val="0"/>
      <w:numFmt w:val="bullet"/>
      <w:lvlText w:val="•"/>
      <w:lvlJc w:val="left"/>
      <w:pPr>
        <w:ind w:left="6115" w:hanging="476"/>
      </w:pPr>
      <w:rPr>
        <w:rFonts w:hint="default"/>
      </w:rPr>
    </w:lvl>
    <w:lvl w:ilvl="3">
      <w:start w:val="0"/>
      <w:numFmt w:val="bullet"/>
      <w:lvlText w:val="•"/>
      <w:lvlJc w:val="left"/>
      <w:pPr>
        <w:ind w:left="7583" w:hanging="476"/>
      </w:pPr>
      <w:rPr>
        <w:rFonts w:hint="default"/>
      </w:rPr>
    </w:lvl>
    <w:lvl w:ilvl="4">
      <w:start w:val="0"/>
      <w:numFmt w:val="bullet"/>
      <w:lvlText w:val="•"/>
      <w:lvlJc w:val="left"/>
      <w:pPr>
        <w:ind w:left="9051" w:hanging="476"/>
      </w:pPr>
      <w:rPr>
        <w:rFonts w:hint="default"/>
      </w:rPr>
    </w:lvl>
    <w:lvl w:ilvl="5">
      <w:start w:val="0"/>
      <w:numFmt w:val="bullet"/>
      <w:lvlText w:val="•"/>
      <w:lvlJc w:val="left"/>
      <w:pPr>
        <w:ind w:left="10519" w:hanging="476"/>
      </w:pPr>
      <w:rPr>
        <w:rFonts w:hint="default"/>
      </w:rPr>
    </w:lvl>
    <w:lvl w:ilvl="6">
      <w:start w:val="0"/>
      <w:numFmt w:val="bullet"/>
      <w:lvlText w:val="•"/>
      <w:lvlJc w:val="left"/>
      <w:pPr>
        <w:ind w:left="11987" w:hanging="476"/>
      </w:pPr>
      <w:rPr>
        <w:rFonts w:hint="default"/>
      </w:rPr>
    </w:lvl>
    <w:lvl w:ilvl="7">
      <w:start w:val="0"/>
      <w:numFmt w:val="bullet"/>
      <w:lvlText w:val="•"/>
      <w:lvlJc w:val="left"/>
      <w:pPr>
        <w:ind w:left="13455" w:hanging="476"/>
      </w:pPr>
      <w:rPr>
        <w:rFonts w:hint="default"/>
      </w:rPr>
    </w:lvl>
    <w:lvl w:ilvl="8">
      <w:start w:val="0"/>
      <w:numFmt w:val="bullet"/>
      <w:lvlText w:val="•"/>
      <w:lvlJc w:val="left"/>
      <w:pPr>
        <w:ind w:left="14923" w:hanging="476"/>
      </w:pPr>
      <w:rPr>
        <w:rFonts w:hint="default"/>
      </w:rPr>
    </w:lvl>
  </w:abstractNum>
  <w:abstractNum w:abstractNumId="2">
    <w:nsid w:val="04DF9A3A"/>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3">
    <w:nsid w:val="04F1EED2"/>
    <w:multiLevelType w:val="hybridMultilevel"/>
    <w:tmpl w:val="00000000"/>
    <w:lvl w:ilvl="0">
      <w:start w:val="10"/>
      <w:numFmt w:val="decimal"/>
      <w:lvlText w:val="%1."/>
      <w:lvlJc w:val="left"/>
      <w:pPr>
        <w:ind w:left="3489" w:hanging="789"/>
        <w:jc w:val="left"/>
      </w:pPr>
      <w:rPr>
        <w:rFonts w:ascii="宋体" w:eastAsia="宋体" w:hAnsi="宋体" w:cs="宋体" w:hint="default"/>
        <w:spacing w:val="-1"/>
        <w:w w:val="102"/>
        <w:sz w:val="31"/>
        <w:szCs w:val="31"/>
      </w:rPr>
    </w:lvl>
    <w:lvl w:ilvl="1">
      <w:start w:val="1"/>
      <w:numFmt w:val="decimal"/>
      <w:lvlText w:val="%2."/>
      <w:lvlJc w:val="left"/>
      <w:pPr>
        <w:ind w:left="3985" w:hanging="634"/>
        <w:jc w:val="left"/>
      </w:pPr>
      <w:rPr>
        <w:rFonts w:ascii="宋体" w:eastAsia="宋体" w:hAnsi="宋体" w:cs="宋体" w:hint="default"/>
        <w:w w:val="102"/>
        <w:sz w:val="31"/>
        <w:szCs w:val="31"/>
      </w:rPr>
    </w:lvl>
    <w:lvl w:ilvl="2">
      <w:start w:val="0"/>
      <w:numFmt w:val="bullet"/>
      <w:lvlText w:val="•"/>
      <w:lvlJc w:val="left"/>
      <w:pPr>
        <w:ind w:left="5522" w:hanging="634"/>
      </w:pPr>
      <w:rPr>
        <w:rFonts w:hint="default"/>
      </w:rPr>
    </w:lvl>
    <w:lvl w:ilvl="3">
      <w:start w:val="0"/>
      <w:numFmt w:val="bullet"/>
      <w:lvlText w:val="•"/>
      <w:lvlJc w:val="left"/>
      <w:pPr>
        <w:ind w:left="7064" w:hanging="634"/>
      </w:pPr>
      <w:rPr>
        <w:rFonts w:hint="default"/>
      </w:rPr>
    </w:lvl>
    <w:lvl w:ilvl="4">
      <w:start w:val="0"/>
      <w:numFmt w:val="bullet"/>
      <w:lvlText w:val="•"/>
      <w:lvlJc w:val="left"/>
      <w:pPr>
        <w:ind w:left="8606" w:hanging="634"/>
      </w:pPr>
      <w:rPr>
        <w:rFonts w:hint="default"/>
      </w:rPr>
    </w:lvl>
    <w:lvl w:ilvl="5">
      <w:start w:val="0"/>
      <w:numFmt w:val="bullet"/>
      <w:lvlText w:val="•"/>
      <w:lvlJc w:val="left"/>
      <w:pPr>
        <w:ind w:left="10148" w:hanging="634"/>
      </w:pPr>
      <w:rPr>
        <w:rFonts w:hint="default"/>
      </w:rPr>
    </w:lvl>
    <w:lvl w:ilvl="6">
      <w:start w:val="0"/>
      <w:numFmt w:val="bullet"/>
      <w:lvlText w:val="•"/>
      <w:lvlJc w:val="left"/>
      <w:pPr>
        <w:ind w:left="11690" w:hanging="634"/>
      </w:pPr>
      <w:rPr>
        <w:rFonts w:hint="default"/>
      </w:rPr>
    </w:lvl>
    <w:lvl w:ilvl="7">
      <w:start w:val="0"/>
      <w:numFmt w:val="bullet"/>
      <w:lvlText w:val="•"/>
      <w:lvlJc w:val="left"/>
      <w:pPr>
        <w:ind w:left="13233" w:hanging="634"/>
      </w:pPr>
      <w:rPr>
        <w:rFonts w:hint="default"/>
      </w:rPr>
    </w:lvl>
    <w:lvl w:ilvl="8">
      <w:start w:val="0"/>
      <w:numFmt w:val="bullet"/>
      <w:lvlText w:val="•"/>
      <w:lvlJc w:val="left"/>
      <w:pPr>
        <w:ind w:left="14775" w:hanging="634"/>
      </w:pPr>
      <w:rPr>
        <w:rFonts w:hint="default"/>
      </w:rPr>
    </w:lvl>
  </w:abstractNum>
  <w:abstractNum w:abstractNumId="4">
    <w:nsid w:val="06985615"/>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5">
    <w:nsid w:val="06FD4D35"/>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
    <w:nsid w:val="07E57703"/>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7">
    <w:nsid w:val="096B7337"/>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8">
    <w:nsid w:val="098DD536"/>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9">
    <w:nsid w:val="0AB842DB"/>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0">
    <w:nsid w:val="0C6CB75B"/>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1">
    <w:nsid w:val="0C760E55"/>
    <w:multiLevelType w:val="hybridMultilevel"/>
    <w:tmpl w:val="00000000"/>
    <w:lvl w:ilvl="0">
      <w:start w:val="1"/>
      <w:numFmt w:val="decimal"/>
      <w:lvlText w:val="%1."/>
      <w:lvlJc w:val="left"/>
      <w:pPr>
        <w:ind w:left="2700" w:hanging="477"/>
        <w:jc w:val="left"/>
      </w:pPr>
      <w:rPr>
        <w:rFonts w:ascii="宋体" w:eastAsia="宋体" w:hAnsi="宋体" w:cs="宋体" w:hint="default"/>
        <w:w w:val="102"/>
        <w:sz w:val="29"/>
        <w:szCs w:val="29"/>
      </w:rPr>
    </w:lvl>
    <w:lvl w:ilvl="1">
      <w:start w:val="0"/>
      <w:numFmt w:val="bullet"/>
      <w:lvlText w:val="•"/>
      <w:lvlJc w:val="left"/>
      <w:pPr>
        <w:ind w:left="4215" w:hanging="477"/>
      </w:pPr>
      <w:rPr>
        <w:rFonts w:hint="default"/>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12">
    <w:nsid w:val="0D0BE189"/>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13">
    <w:nsid w:val="0F163201"/>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4">
    <w:nsid w:val="0F8F6900"/>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5">
    <w:nsid w:val="11C743DB"/>
    <w:multiLevelType w:val="hybridMultilevel"/>
    <w:tmpl w:val="00000000"/>
    <w:lvl w:ilvl="0">
      <w:start w:val="3"/>
      <w:numFmt w:val="upperLetter"/>
      <w:lvlText w:val="%1"/>
      <w:lvlJc w:val="left"/>
      <w:pPr>
        <w:ind w:left="2700" w:hanging="317"/>
        <w:jc w:val="left"/>
      </w:pPr>
      <w:rPr>
        <w:rFonts w:ascii="宋体" w:eastAsia="宋体" w:hAnsi="宋体" w:cs="宋体" w:hint="default"/>
        <w:w w:val="102"/>
        <w:sz w:val="31"/>
        <w:szCs w:val="31"/>
      </w:rPr>
    </w:lvl>
    <w:lvl w:ilvl="1">
      <w:start w:val="0"/>
      <w:numFmt w:val="bullet"/>
      <w:lvlText w:val="•"/>
      <w:lvlJc w:val="left"/>
      <w:pPr>
        <w:ind w:left="4215" w:hanging="317"/>
      </w:pPr>
      <w:rPr>
        <w:rFonts w:hint="default"/>
      </w:rPr>
    </w:lvl>
    <w:lvl w:ilvl="2">
      <w:start w:val="0"/>
      <w:numFmt w:val="bullet"/>
      <w:lvlText w:val="•"/>
      <w:lvlJc w:val="left"/>
      <w:pPr>
        <w:ind w:left="5731" w:hanging="317"/>
      </w:pPr>
      <w:rPr>
        <w:rFonts w:hint="default"/>
      </w:rPr>
    </w:lvl>
    <w:lvl w:ilvl="3">
      <w:start w:val="0"/>
      <w:numFmt w:val="bullet"/>
      <w:lvlText w:val="•"/>
      <w:lvlJc w:val="left"/>
      <w:pPr>
        <w:ind w:left="7247" w:hanging="317"/>
      </w:pPr>
      <w:rPr>
        <w:rFonts w:hint="default"/>
      </w:rPr>
    </w:lvl>
    <w:lvl w:ilvl="4">
      <w:start w:val="0"/>
      <w:numFmt w:val="bullet"/>
      <w:lvlText w:val="•"/>
      <w:lvlJc w:val="left"/>
      <w:pPr>
        <w:ind w:left="8763" w:hanging="317"/>
      </w:pPr>
      <w:rPr>
        <w:rFonts w:hint="default"/>
      </w:rPr>
    </w:lvl>
    <w:lvl w:ilvl="5">
      <w:start w:val="0"/>
      <w:numFmt w:val="bullet"/>
      <w:lvlText w:val="•"/>
      <w:lvlJc w:val="left"/>
      <w:pPr>
        <w:ind w:left="10279" w:hanging="317"/>
      </w:pPr>
      <w:rPr>
        <w:rFonts w:hint="default"/>
      </w:rPr>
    </w:lvl>
    <w:lvl w:ilvl="6">
      <w:start w:val="0"/>
      <w:numFmt w:val="bullet"/>
      <w:lvlText w:val="•"/>
      <w:lvlJc w:val="left"/>
      <w:pPr>
        <w:ind w:left="11795" w:hanging="317"/>
      </w:pPr>
      <w:rPr>
        <w:rFonts w:hint="default"/>
      </w:rPr>
    </w:lvl>
    <w:lvl w:ilvl="7">
      <w:start w:val="0"/>
      <w:numFmt w:val="bullet"/>
      <w:lvlText w:val="•"/>
      <w:lvlJc w:val="left"/>
      <w:pPr>
        <w:ind w:left="13311" w:hanging="317"/>
      </w:pPr>
      <w:rPr>
        <w:rFonts w:hint="default"/>
      </w:rPr>
    </w:lvl>
    <w:lvl w:ilvl="8">
      <w:start w:val="0"/>
      <w:numFmt w:val="bullet"/>
      <w:lvlText w:val="•"/>
      <w:lvlJc w:val="left"/>
      <w:pPr>
        <w:ind w:left="14827" w:hanging="317"/>
      </w:pPr>
      <w:rPr>
        <w:rFonts w:hint="default"/>
      </w:rPr>
    </w:lvl>
  </w:abstractNum>
  <w:abstractNum w:abstractNumId="16">
    <w:nsid w:val="12574C2A"/>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7">
    <w:nsid w:val="14B5598C"/>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8">
    <w:nsid w:val="1671DA2C"/>
    <w:multiLevelType w:val="hybridMultilevel"/>
    <w:tmpl w:val="00000000"/>
    <w:lvl w:ilvl="0">
      <w:start w:val="2"/>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19">
    <w:nsid w:val="17441026"/>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0">
    <w:nsid w:val="17797D40"/>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21">
    <w:nsid w:val="17A804BC"/>
    <w:multiLevelType w:val="hybridMultilevel"/>
    <w:tmpl w:val="00000000"/>
    <w:lvl w:ilvl="0">
      <w:start w:val="2"/>
      <w:numFmt w:val="decimal"/>
      <w:lvlText w:val="%1."/>
      <w:lvlJc w:val="left"/>
      <w:pPr>
        <w:ind w:left="2700" w:hanging="318"/>
        <w:jc w:val="left"/>
      </w:pPr>
      <w:rPr>
        <w:rFonts w:ascii="宋体" w:eastAsia="宋体" w:hAnsi="宋体" w:cs="宋体" w:hint="default"/>
        <w:spacing w:val="-1"/>
        <w:w w:val="102"/>
        <w:sz w:val="29"/>
        <w:szCs w:val="29"/>
      </w:rPr>
    </w:lvl>
    <w:lvl w:ilvl="1">
      <w:start w:val="0"/>
      <w:numFmt w:val="bullet"/>
      <w:lvlText w:val="•"/>
      <w:lvlJc w:val="left"/>
      <w:pPr>
        <w:ind w:left="4215" w:hanging="318"/>
      </w:pPr>
      <w:rPr>
        <w:rFonts w:hint="default"/>
      </w:rPr>
    </w:lvl>
    <w:lvl w:ilvl="2">
      <w:start w:val="0"/>
      <w:numFmt w:val="bullet"/>
      <w:lvlText w:val="•"/>
      <w:lvlJc w:val="left"/>
      <w:pPr>
        <w:ind w:left="5731" w:hanging="318"/>
      </w:pPr>
      <w:rPr>
        <w:rFonts w:hint="default"/>
      </w:rPr>
    </w:lvl>
    <w:lvl w:ilvl="3">
      <w:start w:val="0"/>
      <w:numFmt w:val="bullet"/>
      <w:lvlText w:val="•"/>
      <w:lvlJc w:val="left"/>
      <w:pPr>
        <w:ind w:left="7247" w:hanging="318"/>
      </w:pPr>
      <w:rPr>
        <w:rFonts w:hint="default"/>
      </w:rPr>
    </w:lvl>
    <w:lvl w:ilvl="4">
      <w:start w:val="0"/>
      <w:numFmt w:val="bullet"/>
      <w:lvlText w:val="•"/>
      <w:lvlJc w:val="left"/>
      <w:pPr>
        <w:ind w:left="8763" w:hanging="318"/>
      </w:pPr>
      <w:rPr>
        <w:rFonts w:hint="default"/>
      </w:rPr>
    </w:lvl>
    <w:lvl w:ilvl="5">
      <w:start w:val="0"/>
      <w:numFmt w:val="bullet"/>
      <w:lvlText w:val="•"/>
      <w:lvlJc w:val="left"/>
      <w:pPr>
        <w:ind w:left="10279" w:hanging="318"/>
      </w:pPr>
      <w:rPr>
        <w:rFonts w:hint="default"/>
      </w:rPr>
    </w:lvl>
    <w:lvl w:ilvl="6">
      <w:start w:val="0"/>
      <w:numFmt w:val="bullet"/>
      <w:lvlText w:val="•"/>
      <w:lvlJc w:val="left"/>
      <w:pPr>
        <w:ind w:left="11795" w:hanging="318"/>
      </w:pPr>
      <w:rPr>
        <w:rFonts w:hint="default"/>
      </w:rPr>
    </w:lvl>
    <w:lvl w:ilvl="7">
      <w:start w:val="0"/>
      <w:numFmt w:val="bullet"/>
      <w:lvlText w:val="•"/>
      <w:lvlJc w:val="left"/>
      <w:pPr>
        <w:ind w:left="13311" w:hanging="318"/>
      </w:pPr>
      <w:rPr>
        <w:rFonts w:hint="default"/>
      </w:rPr>
    </w:lvl>
    <w:lvl w:ilvl="8">
      <w:start w:val="0"/>
      <w:numFmt w:val="bullet"/>
      <w:lvlText w:val="•"/>
      <w:lvlJc w:val="left"/>
      <w:pPr>
        <w:ind w:left="14827" w:hanging="318"/>
      </w:pPr>
      <w:rPr>
        <w:rFonts w:hint="default"/>
      </w:rPr>
    </w:lvl>
  </w:abstractNum>
  <w:abstractNum w:abstractNumId="22">
    <w:nsid w:val="18D008F9"/>
    <w:multiLevelType w:val="hybridMultilevel"/>
    <w:tmpl w:val="00000000"/>
    <w:lvl w:ilvl="0">
      <w:start w:val="1"/>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23">
    <w:nsid w:val="1C159589"/>
    <w:multiLevelType w:val="hybridMultilevel"/>
    <w:tmpl w:val="00000000"/>
    <w:lvl w:ilvl="0">
      <w:start w:val="2"/>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24">
    <w:nsid w:val="1C50013A"/>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25">
    <w:nsid w:val="1C6819F5"/>
    <w:multiLevelType w:val="hybridMultilevel"/>
    <w:tmpl w:val="00000000"/>
    <w:lvl w:ilvl="0">
      <w:start w:val="1"/>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26">
    <w:nsid w:val="1DC21EC2"/>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27">
    <w:nsid w:val="1E220EC1"/>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28">
    <w:nsid w:val="1E3E4DC9"/>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9">
    <w:nsid w:val="214B3BC9"/>
    <w:multiLevelType w:val="hybridMultilevel"/>
    <w:tmpl w:val="00000000"/>
    <w:lvl w:ilvl="0">
      <w:start w:val="3"/>
      <w:numFmt w:val="decimal"/>
      <w:lvlText w:val="%1."/>
      <w:lvlJc w:val="left"/>
      <w:pPr>
        <w:ind w:left="3175" w:hanging="475"/>
        <w:jc w:val="left"/>
      </w:pPr>
      <w:rPr>
        <w:rFonts w:ascii="宋体" w:eastAsia="宋体" w:hAnsi="宋体" w:cs="宋体" w:hint="default"/>
        <w:w w:val="102"/>
        <w:sz w:val="31"/>
        <w:szCs w:val="31"/>
      </w:rPr>
    </w:lvl>
    <w:lvl w:ilvl="1">
      <w:start w:val="0"/>
      <w:numFmt w:val="bullet"/>
      <w:lvlText w:val="•"/>
      <w:lvlJc w:val="left"/>
      <w:pPr>
        <w:ind w:left="4647" w:hanging="475"/>
      </w:pPr>
      <w:rPr>
        <w:rFonts w:hint="default"/>
      </w:rPr>
    </w:lvl>
    <w:lvl w:ilvl="2">
      <w:start w:val="0"/>
      <w:numFmt w:val="bullet"/>
      <w:lvlText w:val="•"/>
      <w:lvlJc w:val="left"/>
      <w:pPr>
        <w:ind w:left="6115" w:hanging="475"/>
      </w:pPr>
      <w:rPr>
        <w:rFonts w:hint="default"/>
      </w:rPr>
    </w:lvl>
    <w:lvl w:ilvl="3">
      <w:start w:val="0"/>
      <w:numFmt w:val="bullet"/>
      <w:lvlText w:val="•"/>
      <w:lvlJc w:val="left"/>
      <w:pPr>
        <w:ind w:left="7583" w:hanging="475"/>
      </w:pPr>
      <w:rPr>
        <w:rFonts w:hint="default"/>
      </w:rPr>
    </w:lvl>
    <w:lvl w:ilvl="4">
      <w:start w:val="0"/>
      <w:numFmt w:val="bullet"/>
      <w:lvlText w:val="•"/>
      <w:lvlJc w:val="left"/>
      <w:pPr>
        <w:ind w:left="9051" w:hanging="475"/>
      </w:pPr>
      <w:rPr>
        <w:rFonts w:hint="default"/>
      </w:rPr>
    </w:lvl>
    <w:lvl w:ilvl="5">
      <w:start w:val="0"/>
      <w:numFmt w:val="bullet"/>
      <w:lvlText w:val="•"/>
      <w:lvlJc w:val="left"/>
      <w:pPr>
        <w:ind w:left="10519" w:hanging="475"/>
      </w:pPr>
      <w:rPr>
        <w:rFonts w:hint="default"/>
      </w:rPr>
    </w:lvl>
    <w:lvl w:ilvl="6">
      <w:start w:val="0"/>
      <w:numFmt w:val="bullet"/>
      <w:lvlText w:val="•"/>
      <w:lvlJc w:val="left"/>
      <w:pPr>
        <w:ind w:left="11987" w:hanging="475"/>
      </w:pPr>
      <w:rPr>
        <w:rFonts w:hint="default"/>
      </w:rPr>
    </w:lvl>
    <w:lvl w:ilvl="7">
      <w:start w:val="0"/>
      <w:numFmt w:val="bullet"/>
      <w:lvlText w:val="•"/>
      <w:lvlJc w:val="left"/>
      <w:pPr>
        <w:ind w:left="13455" w:hanging="475"/>
      </w:pPr>
      <w:rPr>
        <w:rFonts w:hint="default"/>
      </w:rPr>
    </w:lvl>
    <w:lvl w:ilvl="8">
      <w:start w:val="0"/>
      <w:numFmt w:val="bullet"/>
      <w:lvlText w:val="•"/>
      <w:lvlJc w:val="left"/>
      <w:pPr>
        <w:ind w:left="14923" w:hanging="475"/>
      </w:pPr>
      <w:rPr>
        <w:rFonts w:hint="default"/>
      </w:rPr>
    </w:lvl>
  </w:abstractNum>
  <w:abstractNum w:abstractNumId="30">
    <w:nsid w:val="21F5AB85"/>
    <w:multiLevelType w:val="hybridMultilevel"/>
    <w:tmpl w:val="00000000"/>
    <w:lvl w:ilvl="0">
      <w:start w:val="1"/>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31">
    <w:nsid w:val="25A07BFE"/>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600" w:hanging="317"/>
      </w:pPr>
      <w:rPr>
        <w:rFonts w:hint="default"/>
      </w:rPr>
    </w:lvl>
    <w:lvl w:ilvl="2">
      <w:start w:val="0"/>
      <w:numFmt w:val="bullet"/>
      <w:lvlText w:val="•"/>
      <w:lvlJc w:val="left"/>
      <w:pPr>
        <w:ind w:left="6073" w:hanging="317"/>
      </w:pPr>
      <w:rPr>
        <w:rFonts w:hint="default"/>
      </w:rPr>
    </w:lvl>
    <w:lvl w:ilvl="3">
      <w:start w:val="0"/>
      <w:numFmt w:val="bullet"/>
      <w:lvlText w:val="•"/>
      <w:lvlJc w:val="left"/>
      <w:pPr>
        <w:ind w:left="7546" w:hanging="317"/>
      </w:pPr>
      <w:rPr>
        <w:rFonts w:hint="default"/>
      </w:rPr>
    </w:lvl>
    <w:lvl w:ilvl="4">
      <w:start w:val="0"/>
      <w:numFmt w:val="bullet"/>
      <w:lvlText w:val="•"/>
      <w:lvlJc w:val="left"/>
      <w:pPr>
        <w:ind w:left="9019" w:hanging="317"/>
      </w:pPr>
      <w:rPr>
        <w:rFonts w:hint="default"/>
      </w:rPr>
    </w:lvl>
    <w:lvl w:ilvl="5">
      <w:start w:val="0"/>
      <w:numFmt w:val="bullet"/>
      <w:lvlText w:val="•"/>
      <w:lvlJc w:val="left"/>
      <w:pPr>
        <w:ind w:left="10493" w:hanging="317"/>
      </w:pPr>
      <w:rPr>
        <w:rFonts w:hint="default"/>
      </w:rPr>
    </w:lvl>
    <w:lvl w:ilvl="6">
      <w:start w:val="0"/>
      <w:numFmt w:val="bullet"/>
      <w:lvlText w:val="•"/>
      <w:lvlJc w:val="left"/>
      <w:pPr>
        <w:ind w:left="11966" w:hanging="317"/>
      </w:pPr>
      <w:rPr>
        <w:rFonts w:hint="default"/>
      </w:rPr>
    </w:lvl>
    <w:lvl w:ilvl="7">
      <w:start w:val="0"/>
      <w:numFmt w:val="bullet"/>
      <w:lvlText w:val="•"/>
      <w:lvlJc w:val="left"/>
      <w:pPr>
        <w:ind w:left="13439" w:hanging="317"/>
      </w:pPr>
      <w:rPr>
        <w:rFonts w:hint="default"/>
      </w:rPr>
    </w:lvl>
    <w:lvl w:ilvl="8">
      <w:start w:val="0"/>
      <w:numFmt w:val="bullet"/>
      <w:lvlText w:val="•"/>
      <w:lvlJc w:val="left"/>
      <w:pPr>
        <w:ind w:left="14913" w:hanging="317"/>
      </w:pPr>
      <w:rPr>
        <w:rFonts w:hint="default"/>
      </w:rPr>
    </w:lvl>
  </w:abstractNum>
  <w:abstractNum w:abstractNumId="32">
    <w:nsid w:val="2763B409"/>
    <w:multiLevelType w:val="hybridMultilevel"/>
    <w:tmpl w:val="00000000"/>
    <w:lvl w:ilvl="0">
      <w:start w:val="6"/>
      <w:numFmt w:val="decimal"/>
      <w:lvlText w:val="%1."/>
      <w:lvlJc w:val="left"/>
      <w:pPr>
        <w:ind w:left="3018" w:hanging="318"/>
        <w:jc w:val="left"/>
      </w:pPr>
      <w:rPr>
        <w:rFonts w:ascii="宋体" w:eastAsia="宋体" w:hAnsi="宋体" w:cs="宋体" w:hint="default"/>
        <w:spacing w:val="-1"/>
        <w:w w:val="102"/>
        <w:sz w:val="29"/>
        <w:szCs w:val="29"/>
      </w:rPr>
    </w:lvl>
    <w:lvl w:ilvl="1">
      <w:start w:val="1"/>
      <w:numFmt w:val="decimal"/>
      <w:lvlText w:val="%2."/>
      <w:lvlJc w:val="left"/>
      <w:pPr>
        <w:ind w:left="3198" w:hanging="318"/>
        <w:jc w:val="left"/>
      </w:pPr>
      <w:rPr>
        <w:rFonts w:ascii="宋体" w:eastAsia="宋体" w:hAnsi="宋体" w:cs="宋体" w:hint="default"/>
        <w:spacing w:val="-1"/>
        <w:w w:val="102"/>
        <w:sz w:val="29"/>
        <w:szCs w:val="29"/>
      </w:rPr>
    </w:lvl>
    <w:lvl w:ilvl="2">
      <w:start w:val="1"/>
      <w:numFmt w:val="decimal"/>
      <w:lvlText w:val="%3."/>
      <w:lvlJc w:val="left"/>
      <w:pPr>
        <w:ind w:left="3522" w:hanging="318"/>
        <w:jc w:val="left"/>
      </w:pPr>
      <w:rPr>
        <w:rFonts w:ascii="宋体" w:eastAsia="宋体" w:hAnsi="宋体" w:cs="宋体" w:hint="default"/>
        <w:w w:val="102"/>
        <w:sz w:val="29"/>
        <w:szCs w:val="29"/>
      </w:rPr>
    </w:lvl>
    <w:lvl w:ilvl="3">
      <w:start w:val="0"/>
      <w:numFmt w:val="bullet"/>
      <w:lvlText w:val="•"/>
      <w:lvlJc w:val="left"/>
      <w:pPr>
        <w:ind w:left="3813" w:hanging="318"/>
      </w:pPr>
      <w:rPr>
        <w:rFonts w:hint="default"/>
      </w:rPr>
    </w:lvl>
    <w:lvl w:ilvl="4">
      <w:start w:val="0"/>
      <w:numFmt w:val="bullet"/>
      <w:lvlText w:val="•"/>
      <w:lvlJc w:val="left"/>
      <w:pPr>
        <w:ind w:left="4107" w:hanging="318"/>
      </w:pPr>
      <w:rPr>
        <w:rFonts w:hint="default"/>
      </w:rPr>
    </w:lvl>
    <w:lvl w:ilvl="5">
      <w:start w:val="0"/>
      <w:numFmt w:val="bullet"/>
      <w:lvlText w:val="•"/>
      <w:lvlJc w:val="left"/>
      <w:pPr>
        <w:ind w:left="4400" w:hanging="318"/>
      </w:pPr>
      <w:rPr>
        <w:rFonts w:hint="default"/>
      </w:rPr>
    </w:lvl>
    <w:lvl w:ilvl="6">
      <w:start w:val="0"/>
      <w:numFmt w:val="bullet"/>
      <w:lvlText w:val="•"/>
      <w:lvlJc w:val="left"/>
      <w:pPr>
        <w:ind w:left="4694" w:hanging="318"/>
      </w:pPr>
      <w:rPr>
        <w:rFonts w:hint="default"/>
      </w:rPr>
    </w:lvl>
    <w:lvl w:ilvl="7">
      <w:start w:val="0"/>
      <w:numFmt w:val="bullet"/>
      <w:lvlText w:val="•"/>
      <w:lvlJc w:val="left"/>
      <w:pPr>
        <w:ind w:left="4987" w:hanging="318"/>
      </w:pPr>
      <w:rPr>
        <w:rFonts w:hint="default"/>
      </w:rPr>
    </w:lvl>
    <w:lvl w:ilvl="8">
      <w:start w:val="0"/>
      <w:numFmt w:val="bullet"/>
      <w:lvlText w:val="•"/>
      <w:lvlJc w:val="left"/>
      <w:pPr>
        <w:ind w:left="5281" w:hanging="318"/>
      </w:pPr>
      <w:rPr>
        <w:rFonts w:hint="default"/>
      </w:rPr>
    </w:lvl>
  </w:abstractNum>
  <w:abstractNum w:abstractNumId="33">
    <w:nsid w:val="27806408"/>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4">
    <w:nsid w:val="29ED51B4"/>
    <w:multiLevelType w:val="hybridMultilevel"/>
    <w:tmpl w:val="00000000"/>
    <w:lvl w:ilvl="0">
      <w:start w:val="1"/>
      <w:numFmt w:val="upperLetter"/>
      <w:lvlText w:val="%1"/>
      <w:lvlJc w:val="left"/>
      <w:pPr>
        <w:ind w:left="3176" w:hanging="317"/>
        <w:jc w:val="left"/>
      </w:pPr>
      <w:rPr>
        <w:rFonts w:ascii="宋体" w:eastAsia="宋体" w:hAnsi="宋体" w:cs="宋体" w:hint="default"/>
        <w:w w:val="102"/>
        <w:sz w:val="31"/>
        <w:szCs w:val="31"/>
      </w:rPr>
    </w:lvl>
    <w:lvl w:ilvl="1">
      <w:start w:val="0"/>
      <w:numFmt w:val="bullet"/>
      <w:lvlText w:val="•"/>
      <w:lvlJc w:val="left"/>
      <w:pPr>
        <w:ind w:left="4647" w:hanging="317"/>
      </w:pPr>
      <w:rPr>
        <w:rFonts w:hint="default"/>
      </w:rPr>
    </w:lvl>
    <w:lvl w:ilvl="2">
      <w:start w:val="0"/>
      <w:numFmt w:val="bullet"/>
      <w:lvlText w:val="•"/>
      <w:lvlJc w:val="left"/>
      <w:pPr>
        <w:ind w:left="6115" w:hanging="317"/>
      </w:pPr>
      <w:rPr>
        <w:rFonts w:hint="default"/>
      </w:rPr>
    </w:lvl>
    <w:lvl w:ilvl="3">
      <w:start w:val="0"/>
      <w:numFmt w:val="bullet"/>
      <w:lvlText w:val="•"/>
      <w:lvlJc w:val="left"/>
      <w:pPr>
        <w:ind w:left="7583" w:hanging="317"/>
      </w:pPr>
      <w:rPr>
        <w:rFonts w:hint="default"/>
      </w:rPr>
    </w:lvl>
    <w:lvl w:ilvl="4">
      <w:start w:val="0"/>
      <w:numFmt w:val="bullet"/>
      <w:lvlText w:val="•"/>
      <w:lvlJc w:val="left"/>
      <w:pPr>
        <w:ind w:left="9051" w:hanging="317"/>
      </w:pPr>
      <w:rPr>
        <w:rFonts w:hint="default"/>
      </w:rPr>
    </w:lvl>
    <w:lvl w:ilvl="5">
      <w:start w:val="0"/>
      <w:numFmt w:val="bullet"/>
      <w:lvlText w:val="•"/>
      <w:lvlJc w:val="left"/>
      <w:pPr>
        <w:ind w:left="10519" w:hanging="317"/>
      </w:pPr>
      <w:rPr>
        <w:rFonts w:hint="default"/>
      </w:rPr>
    </w:lvl>
    <w:lvl w:ilvl="6">
      <w:start w:val="0"/>
      <w:numFmt w:val="bullet"/>
      <w:lvlText w:val="•"/>
      <w:lvlJc w:val="left"/>
      <w:pPr>
        <w:ind w:left="11987" w:hanging="317"/>
      </w:pPr>
      <w:rPr>
        <w:rFonts w:hint="default"/>
      </w:rPr>
    </w:lvl>
    <w:lvl w:ilvl="7">
      <w:start w:val="0"/>
      <w:numFmt w:val="bullet"/>
      <w:lvlText w:val="•"/>
      <w:lvlJc w:val="left"/>
      <w:pPr>
        <w:ind w:left="13455" w:hanging="317"/>
      </w:pPr>
      <w:rPr>
        <w:rFonts w:hint="default"/>
      </w:rPr>
    </w:lvl>
    <w:lvl w:ilvl="8">
      <w:start w:val="0"/>
      <w:numFmt w:val="bullet"/>
      <w:lvlText w:val="•"/>
      <w:lvlJc w:val="left"/>
      <w:pPr>
        <w:ind w:left="14923" w:hanging="317"/>
      </w:pPr>
      <w:rPr>
        <w:rFonts w:hint="default"/>
      </w:rPr>
    </w:lvl>
  </w:abstractNum>
  <w:abstractNum w:abstractNumId="35">
    <w:nsid w:val="2B3DDCC3"/>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36">
    <w:nsid w:val="2BAED5EE"/>
    <w:multiLevelType w:val="hybridMultilevel"/>
    <w:tmpl w:val="00000000"/>
    <w:lvl w:ilvl="0">
      <w:start w:val="4"/>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37">
    <w:nsid w:val="2C98CCAB"/>
    <w:multiLevelType w:val="hybridMultilevel"/>
    <w:tmpl w:val="00000000"/>
    <w:lvl w:ilvl="0">
      <w:start w:val="1"/>
      <w:numFmt w:val="decimal"/>
      <w:lvlText w:val="%1."/>
      <w:lvlJc w:val="left"/>
      <w:pPr>
        <w:ind w:left="3330" w:hanging="477"/>
        <w:jc w:val="left"/>
      </w:pPr>
      <w:rPr>
        <w:rFonts w:ascii="宋体" w:eastAsia="宋体" w:hAnsi="宋体" w:cs="宋体" w:hint="default"/>
        <w:w w:val="102"/>
        <w:sz w:val="29"/>
        <w:szCs w:val="29"/>
      </w:rPr>
    </w:lvl>
    <w:lvl w:ilvl="1">
      <w:start w:val="0"/>
      <w:numFmt w:val="bullet"/>
      <w:lvlText w:val="•"/>
      <w:lvlJc w:val="left"/>
      <w:pPr>
        <w:ind w:left="3340" w:hanging="477"/>
      </w:pPr>
      <w:rPr>
        <w:rFonts w:hint="default"/>
      </w:rPr>
    </w:lvl>
    <w:lvl w:ilvl="2">
      <w:start w:val="0"/>
      <w:numFmt w:val="bullet"/>
      <w:lvlText w:val="•"/>
      <w:lvlJc w:val="left"/>
      <w:pPr>
        <w:ind w:left="3500" w:hanging="477"/>
      </w:pPr>
      <w:rPr>
        <w:rFonts w:hint="default"/>
      </w:rPr>
    </w:lvl>
    <w:lvl w:ilvl="3">
      <w:start w:val="0"/>
      <w:numFmt w:val="bullet"/>
      <w:lvlText w:val="•"/>
      <w:lvlJc w:val="left"/>
      <w:pPr>
        <w:ind w:left="5294" w:hanging="477"/>
      </w:pPr>
      <w:rPr>
        <w:rFonts w:hint="default"/>
      </w:rPr>
    </w:lvl>
    <w:lvl w:ilvl="4">
      <w:start w:val="0"/>
      <w:numFmt w:val="bullet"/>
      <w:lvlText w:val="•"/>
      <w:lvlJc w:val="left"/>
      <w:pPr>
        <w:ind w:left="7089" w:hanging="477"/>
      </w:pPr>
      <w:rPr>
        <w:rFonts w:hint="default"/>
      </w:rPr>
    </w:lvl>
    <w:lvl w:ilvl="5">
      <w:start w:val="0"/>
      <w:numFmt w:val="bullet"/>
      <w:lvlText w:val="•"/>
      <w:lvlJc w:val="left"/>
      <w:pPr>
        <w:ind w:left="8884" w:hanging="477"/>
      </w:pPr>
      <w:rPr>
        <w:rFonts w:hint="default"/>
      </w:rPr>
    </w:lvl>
    <w:lvl w:ilvl="6">
      <w:start w:val="0"/>
      <w:numFmt w:val="bullet"/>
      <w:lvlText w:val="•"/>
      <w:lvlJc w:val="left"/>
      <w:pPr>
        <w:ind w:left="10679" w:hanging="477"/>
      </w:pPr>
      <w:rPr>
        <w:rFonts w:hint="default"/>
      </w:rPr>
    </w:lvl>
    <w:lvl w:ilvl="7">
      <w:start w:val="0"/>
      <w:numFmt w:val="bullet"/>
      <w:lvlText w:val="•"/>
      <w:lvlJc w:val="left"/>
      <w:pPr>
        <w:ind w:left="12474" w:hanging="477"/>
      </w:pPr>
      <w:rPr>
        <w:rFonts w:hint="default"/>
      </w:rPr>
    </w:lvl>
    <w:lvl w:ilvl="8">
      <w:start w:val="0"/>
      <w:numFmt w:val="bullet"/>
      <w:lvlText w:val="•"/>
      <w:lvlJc w:val="left"/>
      <w:pPr>
        <w:ind w:left="14269" w:hanging="477"/>
      </w:pPr>
      <w:rPr>
        <w:rFonts w:hint="default"/>
      </w:rPr>
    </w:lvl>
  </w:abstractNum>
  <w:abstractNum w:abstractNumId="38">
    <w:nsid w:val="2CE68F48"/>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39">
    <w:nsid w:val="2D08C1F1"/>
    <w:multiLevelType w:val="hybridMultilevel"/>
    <w:tmpl w:val="00000000"/>
    <w:lvl w:ilvl="0">
      <w:start w:val="1"/>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40">
    <w:nsid w:val="2EDA4D72"/>
    <w:multiLevelType w:val="hybridMultilevel"/>
    <w:tmpl w:val="00000000"/>
    <w:lvl w:ilvl="0">
      <w:start w:val="1"/>
      <w:numFmt w:val="decimal"/>
      <w:lvlText w:val="（%1）"/>
      <w:lvlJc w:val="left"/>
      <w:pPr>
        <w:ind w:left="3731" w:hanging="793"/>
        <w:jc w:val="right"/>
      </w:pPr>
      <w:rPr>
        <w:rFonts w:ascii="宋体" w:eastAsia="宋体" w:hAnsi="宋体" w:cs="宋体" w:hint="default"/>
        <w:spacing w:val="-1"/>
        <w:w w:val="102"/>
        <w:sz w:val="29"/>
        <w:szCs w:val="29"/>
      </w:rPr>
    </w:lvl>
    <w:lvl w:ilvl="1">
      <w:start w:val="0"/>
      <w:numFmt w:val="bullet"/>
      <w:lvlText w:val="•"/>
      <w:lvlJc w:val="left"/>
      <w:pPr>
        <w:ind w:left="3740" w:hanging="793"/>
      </w:pPr>
      <w:rPr>
        <w:rFonts w:hint="default"/>
      </w:rPr>
    </w:lvl>
    <w:lvl w:ilvl="2">
      <w:start w:val="0"/>
      <w:numFmt w:val="bullet"/>
      <w:lvlText w:val="•"/>
      <w:lvlJc w:val="left"/>
      <w:pPr>
        <w:ind w:left="5308" w:hanging="793"/>
      </w:pPr>
      <w:rPr>
        <w:rFonts w:hint="default"/>
      </w:rPr>
    </w:lvl>
    <w:lvl w:ilvl="3">
      <w:start w:val="0"/>
      <w:numFmt w:val="bullet"/>
      <w:lvlText w:val="•"/>
      <w:lvlJc w:val="left"/>
      <w:pPr>
        <w:ind w:left="6877" w:hanging="793"/>
      </w:pPr>
      <w:rPr>
        <w:rFonts w:hint="default"/>
      </w:rPr>
    </w:lvl>
    <w:lvl w:ilvl="4">
      <w:start w:val="0"/>
      <w:numFmt w:val="bullet"/>
      <w:lvlText w:val="•"/>
      <w:lvlJc w:val="left"/>
      <w:pPr>
        <w:ind w:left="8446" w:hanging="793"/>
      </w:pPr>
      <w:rPr>
        <w:rFonts w:hint="default"/>
      </w:rPr>
    </w:lvl>
    <w:lvl w:ilvl="5">
      <w:start w:val="0"/>
      <w:numFmt w:val="bullet"/>
      <w:lvlText w:val="•"/>
      <w:lvlJc w:val="left"/>
      <w:pPr>
        <w:ind w:left="10015" w:hanging="793"/>
      </w:pPr>
      <w:rPr>
        <w:rFonts w:hint="default"/>
      </w:rPr>
    </w:lvl>
    <w:lvl w:ilvl="6">
      <w:start w:val="0"/>
      <w:numFmt w:val="bullet"/>
      <w:lvlText w:val="•"/>
      <w:lvlJc w:val="left"/>
      <w:pPr>
        <w:ind w:left="11584" w:hanging="793"/>
      </w:pPr>
      <w:rPr>
        <w:rFonts w:hint="default"/>
      </w:rPr>
    </w:lvl>
    <w:lvl w:ilvl="7">
      <w:start w:val="0"/>
      <w:numFmt w:val="bullet"/>
      <w:lvlText w:val="•"/>
      <w:lvlJc w:val="left"/>
      <w:pPr>
        <w:ind w:left="13153" w:hanging="793"/>
      </w:pPr>
      <w:rPr>
        <w:rFonts w:hint="default"/>
      </w:rPr>
    </w:lvl>
    <w:lvl w:ilvl="8">
      <w:start w:val="0"/>
      <w:numFmt w:val="bullet"/>
      <w:lvlText w:val="•"/>
      <w:lvlJc w:val="left"/>
      <w:pPr>
        <w:ind w:left="14721" w:hanging="793"/>
      </w:pPr>
      <w:rPr>
        <w:rFonts w:hint="default"/>
      </w:rPr>
    </w:lvl>
  </w:abstractNum>
  <w:abstractNum w:abstractNumId="41">
    <w:nsid w:val="3034B4BE"/>
    <w:multiLevelType w:val="hybridMultilevel"/>
    <w:tmpl w:val="00000000"/>
    <w:lvl w:ilvl="0">
      <w:start w:val="1"/>
      <w:numFmt w:val="decimal"/>
      <w:lvlText w:val="%1."/>
      <w:lvlJc w:val="left"/>
      <w:pPr>
        <w:ind w:left="3489" w:hanging="475"/>
        <w:jc w:val="left"/>
      </w:pPr>
      <w:rPr>
        <w:rFonts w:ascii="宋体" w:eastAsia="宋体" w:hAnsi="宋体" w:cs="宋体" w:hint="default"/>
        <w:w w:val="102"/>
        <w:sz w:val="31"/>
        <w:szCs w:val="31"/>
      </w:rPr>
    </w:lvl>
    <w:lvl w:ilvl="1">
      <w:start w:val="0"/>
      <w:numFmt w:val="bullet"/>
      <w:lvlText w:val="•"/>
      <w:lvlJc w:val="left"/>
      <w:pPr>
        <w:ind w:left="3500" w:hanging="475"/>
      </w:pPr>
      <w:rPr>
        <w:rFonts w:hint="default"/>
      </w:rPr>
    </w:lvl>
    <w:lvl w:ilvl="2">
      <w:start w:val="0"/>
      <w:numFmt w:val="bullet"/>
      <w:lvlText w:val="•"/>
      <w:lvlJc w:val="left"/>
      <w:pPr>
        <w:ind w:left="5095" w:hanging="475"/>
      </w:pPr>
      <w:rPr>
        <w:rFonts w:hint="default"/>
      </w:rPr>
    </w:lvl>
    <w:lvl w:ilvl="3">
      <w:start w:val="0"/>
      <w:numFmt w:val="bullet"/>
      <w:lvlText w:val="•"/>
      <w:lvlJc w:val="left"/>
      <w:pPr>
        <w:ind w:left="6691" w:hanging="475"/>
      </w:pPr>
      <w:rPr>
        <w:rFonts w:hint="default"/>
      </w:rPr>
    </w:lvl>
    <w:lvl w:ilvl="4">
      <w:start w:val="0"/>
      <w:numFmt w:val="bullet"/>
      <w:lvlText w:val="•"/>
      <w:lvlJc w:val="left"/>
      <w:pPr>
        <w:ind w:left="8286" w:hanging="475"/>
      </w:pPr>
      <w:rPr>
        <w:rFonts w:hint="default"/>
      </w:rPr>
    </w:lvl>
    <w:lvl w:ilvl="5">
      <w:start w:val="0"/>
      <w:numFmt w:val="bullet"/>
      <w:lvlText w:val="•"/>
      <w:lvlJc w:val="left"/>
      <w:pPr>
        <w:ind w:left="9882" w:hanging="475"/>
      </w:pPr>
      <w:rPr>
        <w:rFonts w:hint="default"/>
      </w:rPr>
    </w:lvl>
    <w:lvl w:ilvl="6">
      <w:start w:val="0"/>
      <w:numFmt w:val="bullet"/>
      <w:lvlText w:val="•"/>
      <w:lvlJc w:val="left"/>
      <w:pPr>
        <w:ind w:left="11477" w:hanging="475"/>
      </w:pPr>
      <w:rPr>
        <w:rFonts w:hint="default"/>
      </w:rPr>
    </w:lvl>
    <w:lvl w:ilvl="7">
      <w:start w:val="0"/>
      <w:numFmt w:val="bullet"/>
      <w:lvlText w:val="•"/>
      <w:lvlJc w:val="left"/>
      <w:pPr>
        <w:ind w:left="13073" w:hanging="475"/>
      </w:pPr>
      <w:rPr>
        <w:rFonts w:hint="default"/>
      </w:rPr>
    </w:lvl>
    <w:lvl w:ilvl="8">
      <w:start w:val="0"/>
      <w:numFmt w:val="bullet"/>
      <w:lvlText w:val="•"/>
      <w:lvlJc w:val="left"/>
      <w:pPr>
        <w:ind w:left="14668" w:hanging="475"/>
      </w:pPr>
      <w:rPr>
        <w:rFonts w:hint="default"/>
      </w:rPr>
    </w:lvl>
  </w:abstractNum>
  <w:abstractNum w:abstractNumId="42">
    <w:nsid w:val="3071B003"/>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1"/>
      <w:numFmt w:val="upperLetter"/>
      <w:lvlText w:val="%2"/>
      <w:lvlJc w:val="left"/>
      <w:pPr>
        <w:ind w:left="3492" w:hanging="317"/>
        <w:jc w:val="left"/>
      </w:pPr>
      <w:rPr>
        <w:rFonts w:hint="default"/>
        <w:w w:val="102"/>
      </w:rPr>
    </w:lvl>
    <w:lvl w:ilvl="2">
      <w:start w:val="0"/>
      <w:numFmt w:val="bullet"/>
      <w:lvlText w:val="•"/>
      <w:lvlJc w:val="left"/>
      <w:pPr>
        <w:ind w:left="5095" w:hanging="317"/>
      </w:pPr>
      <w:rPr>
        <w:rFonts w:hint="default"/>
      </w:rPr>
    </w:lvl>
    <w:lvl w:ilvl="3">
      <w:start w:val="0"/>
      <w:numFmt w:val="bullet"/>
      <w:lvlText w:val="•"/>
      <w:lvlJc w:val="left"/>
      <w:pPr>
        <w:ind w:left="6691" w:hanging="317"/>
      </w:pPr>
      <w:rPr>
        <w:rFonts w:hint="default"/>
      </w:rPr>
    </w:lvl>
    <w:lvl w:ilvl="4">
      <w:start w:val="0"/>
      <w:numFmt w:val="bullet"/>
      <w:lvlText w:val="•"/>
      <w:lvlJc w:val="left"/>
      <w:pPr>
        <w:ind w:left="8286" w:hanging="317"/>
      </w:pPr>
      <w:rPr>
        <w:rFonts w:hint="default"/>
      </w:rPr>
    </w:lvl>
    <w:lvl w:ilvl="5">
      <w:start w:val="0"/>
      <w:numFmt w:val="bullet"/>
      <w:lvlText w:val="•"/>
      <w:lvlJc w:val="left"/>
      <w:pPr>
        <w:ind w:left="9882" w:hanging="317"/>
      </w:pPr>
      <w:rPr>
        <w:rFonts w:hint="default"/>
      </w:rPr>
    </w:lvl>
    <w:lvl w:ilvl="6">
      <w:start w:val="0"/>
      <w:numFmt w:val="bullet"/>
      <w:lvlText w:val="•"/>
      <w:lvlJc w:val="left"/>
      <w:pPr>
        <w:ind w:left="11477" w:hanging="317"/>
      </w:pPr>
      <w:rPr>
        <w:rFonts w:hint="default"/>
      </w:rPr>
    </w:lvl>
    <w:lvl w:ilvl="7">
      <w:start w:val="0"/>
      <w:numFmt w:val="bullet"/>
      <w:lvlText w:val="•"/>
      <w:lvlJc w:val="left"/>
      <w:pPr>
        <w:ind w:left="13073" w:hanging="317"/>
      </w:pPr>
      <w:rPr>
        <w:rFonts w:hint="default"/>
      </w:rPr>
    </w:lvl>
    <w:lvl w:ilvl="8">
      <w:start w:val="0"/>
      <w:numFmt w:val="bullet"/>
      <w:lvlText w:val="•"/>
      <w:lvlJc w:val="left"/>
      <w:pPr>
        <w:ind w:left="14668" w:hanging="317"/>
      </w:pPr>
      <w:rPr>
        <w:rFonts w:hint="default"/>
      </w:rPr>
    </w:lvl>
  </w:abstractNum>
  <w:abstractNum w:abstractNumId="43">
    <w:nsid w:val="34A81B92"/>
    <w:multiLevelType w:val="hybridMultilevel"/>
    <w:tmpl w:val="00000000"/>
    <w:lvl w:ilvl="0">
      <w:start w:val="1"/>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44">
    <w:nsid w:val="36659C72"/>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45">
    <w:nsid w:val="3A4E8022"/>
    <w:multiLevelType w:val="hybridMultilevel"/>
    <w:tmpl w:val="00000000"/>
    <w:lvl w:ilvl="0">
      <w:start w:val="1"/>
      <w:numFmt w:val="decimal"/>
      <w:lvlText w:val="%1."/>
      <w:lvlJc w:val="left"/>
      <w:pPr>
        <w:ind w:left="3172" w:hanging="477"/>
        <w:jc w:val="left"/>
      </w:pPr>
      <w:rPr>
        <w:rFonts w:ascii="宋体" w:eastAsia="宋体" w:hAnsi="宋体" w:cs="宋体" w:hint="default"/>
        <w:w w:val="102"/>
        <w:sz w:val="29"/>
        <w:szCs w:val="29"/>
      </w:rPr>
    </w:lvl>
    <w:lvl w:ilvl="1">
      <w:start w:val="0"/>
      <w:numFmt w:val="bullet"/>
      <w:lvlText w:val="•"/>
      <w:lvlJc w:val="left"/>
      <w:pPr>
        <w:ind w:left="3640" w:hanging="477"/>
      </w:pPr>
      <w:rPr>
        <w:rFonts w:hint="default"/>
      </w:rPr>
    </w:lvl>
    <w:lvl w:ilvl="2">
      <w:start w:val="0"/>
      <w:numFmt w:val="bullet"/>
      <w:lvlText w:val="•"/>
      <w:lvlJc w:val="left"/>
      <w:pPr>
        <w:ind w:left="5219" w:hanging="477"/>
      </w:pPr>
      <w:rPr>
        <w:rFonts w:hint="default"/>
      </w:rPr>
    </w:lvl>
    <w:lvl w:ilvl="3">
      <w:start w:val="0"/>
      <w:numFmt w:val="bullet"/>
      <w:lvlText w:val="•"/>
      <w:lvlJc w:val="left"/>
      <w:pPr>
        <w:ind w:left="6799" w:hanging="477"/>
      </w:pPr>
      <w:rPr>
        <w:rFonts w:hint="default"/>
      </w:rPr>
    </w:lvl>
    <w:lvl w:ilvl="4">
      <w:start w:val="0"/>
      <w:numFmt w:val="bullet"/>
      <w:lvlText w:val="•"/>
      <w:lvlJc w:val="left"/>
      <w:pPr>
        <w:ind w:left="8379" w:hanging="477"/>
      </w:pPr>
      <w:rPr>
        <w:rFonts w:hint="default"/>
      </w:rPr>
    </w:lvl>
    <w:lvl w:ilvl="5">
      <w:start w:val="0"/>
      <w:numFmt w:val="bullet"/>
      <w:lvlText w:val="•"/>
      <w:lvlJc w:val="left"/>
      <w:pPr>
        <w:ind w:left="9959" w:hanging="477"/>
      </w:pPr>
      <w:rPr>
        <w:rFonts w:hint="default"/>
      </w:rPr>
    </w:lvl>
    <w:lvl w:ilvl="6">
      <w:start w:val="0"/>
      <w:numFmt w:val="bullet"/>
      <w:lvlText w:val="•"/>
      <w:lvlJc w:val="left"/>
      <w:pPr>
        <w:ind w:left="11539" w:hanging="477"/>
      </w:pPr>
      <w:rPr>
        <w:rFonts w:hint="default"/>
      </w:rPr>
    </w:lvl>
    <w:lvl w:ilvl="7">
      <w:start w:val="0"/>
      <w:numFmt w:val="bullet"/>
      <w:lvlText w:val="•"/>
      <w:lvlJc w:val="left"/>
      <w:pPr>
        <w:ind w:left="13119" w:hanging="477"/>
      </w:pPr>
      <w:rPr>
        <w:rFonts w:hint="default"/>
      </w:rPr>
    </w:lvl>
    <w:lvl w:ilvl="8">
      <w:start w:val="0"/>
      <w:numFmt w:val="bullet"/>
      <w:lvlText w:val="•"/>
      <w:lvlJc w:val="left"/>
      <w:pPr>
        <w:ind w:left="14699" w:hanging="477"/>
      </w:pPr>
      <w:rPr>
        <w:rFonts w:hint="default"/>
      </w:rPr>
    </w:lvl>
  </w:abstractNum>
  <w:abstractNum w:abstractNumId="46">
    <w:nsid w:val="3A91FC89"/>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47">
    <w:nsid w:val="3BAC8241"/>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48">
    <w:nsid w:val="3CD7F076"/>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49">
    <w:nsid w:val="3D75CF80"/>
    <w:multiLevelType w:val="hybridMultilevel"/>
    <w:tmpl w:val="00000000"/>
    <w:lvl w:ilvl="0">
      <w:start w:val="5"/>
      <w:numFmt w:val="decimal"/>
      <w:lvlText w:val="%1."/>
      <w:lvlJc w:val="left"/>
      <w:pPr>
        <w:ind w:left="3017"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50">
    <w:nsid w:val="3D92F14B"/>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1"/>
      <w:numFmt w:val="upperLetter"/>
      <w:lvlText w:val="%2"/>
      <w:lvlJc w:val="left"/>
      <w:pPr>
        <w:ind w:left="3492" w:hanging="317"/>
        <w:jc w:val="left"/>
      </w:pPr>
      <w:rPr>
        <w:rFonts w:ascii="宋体" w:eastAsia="宋体" w:hAnsi="宋体" w:cs="宋体" w:hint="default"/>
        <w:w w:val="102"/>
        <w:sz w:val="31"/>
        <w:szCs w:val="31"/>
      </w:rPr>
    </w:lvl>
    <w:lvl w:ilvl="2">
      <w:start w:val="0"/>
      <w:numFmt w:val="bullet"/>
      <w:lvlText w:val="•"/>
      <w:lvlJc w:val="left"/>
      <w:pPr>
        <w:ind w:left="5095" w:hanging="317"/>
      </w:pPr>
      <w:rPr>
        <w:rFonts w:hint="default"/>
      </w:rPr>
    </w:lvl>
    <w:lvl w:ilvl="3">
      <w:start w:val="0"/>
      <w:numFmt w:val="bullet"/>
      <w:lvlText w:val="•"/>
      <w:lvlJc w:val="left"/>
      <w:pPr>
        <w:ind w:left="6691" w:hanging="317"/>
      </w:pPr>
      <w:rPr>
        <w:rFonts w:hint="default"/>
      </w:rPr>
    </w:lvl>
    <w:lvl w:ilvl="4">
      <w:start w:val="0"/>
      <w:numFmt w:val="bullet"/>
      <w:lvlText w:val="•"/>
      <w:lvlJc w:val="left"/>
      <w:pPr>
        <w:ind w:left="8286" w:hanging="317"/>
      </w:pPr>
      <w:rPr>
        <w:rFonts w:hint="default"/>
      </w:rPr>
    </w:lvl>
    <w:lvl w:ilvl="5">
      <w:start w:val="0"/>
      <w:numFmt w:val="bullet"/>
      <w:lvlText w:val="•"/>
      <w:lvlJc w:val="left"/>
      <w:pPr>
        <w:ind w:left="9882" w:hanging="317"/>
      </w:pPr>
      <w:rPr>
        <w:rFonts w:hint="default"/>
      </w:rPr>
    </w:lvl>
    <w:lvl w:ilvl="6">
      <w:start w:val="0"/>
      <w:numFmt w:val="bullet"/>
      <w:lvlText w:val="•"/>
      <w:lvlJc w:val="left"/>
      <w:pPr>
        <w:ind w:left="11477" w:hanging="317"/>
      </w:pPr>
      <w:rPr>
        <w:rFonts w:hint="default"/>
      </w:rPr>
    </w:lvl>
    <w:lvl w:ilvl="7">
      <w:start w:val="0"/>
      <w:numFmt w:val="bullet"/>
      <w:lvlText w:val="•"/>
      <w:lvlJc w:val="left"/>
      <w:pPr>
        <w:ind w:left="13073" w:hanging="317"/>
      </w:pPr>
      <w:rPr>
        <w:rFonts w:hint="default"/>
      </w:rPr>
    </w:lvl>
    <w:lvl w:ilvl="8">
      <w:start w:val="0"/>
      <w:numFmt w:val="bullet"/>
      <w:lvlText w:val="•"/>
      <w:lvlJc w:val="left"/>
      <w:pPr>
        <w:ind w:left="14668" w:hanging="317"/>
      </w:pPr>
      <w:rPr>
        <w:rFonts w:hint="default"/>
      </w:rPr>
    </w:lvl>
  </w:abstractNum>
  <w:abstractNum w:abstractNumId="51">
    <w:nsid w:val="3DA1BA9C"/>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52">
    <w:nsid w:val="400EF74F"/>
    <w:multiLevelType w:val="hybridMultilevel"/>
    <w:tmpl w:val="00000000"/>
    <w:lvl w:ilvl="0">
      <w:start w:val="1"/>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53">
    <w:nsid w:val="4363308A"/>
    <w:multiLevelType w:val="hybridMultilevel"/>
    <w:tmpl w:val="00000000"/>
    <w:lvl w:ilvl="0">
      <w:start w:val="1"/>
      <w:numFmt w:val="decimal"/>
      <w:lvlText w:val="%1."/>
      <w:lvlJc w:val="left"/>
      <w:pPr>
        <w:ind w:left="3175" w:hanging="475"/>
        <w:jc w:val="left"/>
      </w:pPr>
      <w:rPr>
        <w:rFonts w:ascii="宋体" w:eastAsia="宋体" w:hAnsi="宋体" w:cs="宋体" w:hint="default"/>
        <w:w w:val="102"/>
        <w:sz w:val="31"/>
        <w:szCs w:val="31"/>
      </w:rPr>
    </w:lvl>
    <w:lvl w:ilvl="1">
      <w:start w:val="1"/>
      <w:numFmt w:val="decimal"/>
      <w:lvlText w:val="(%2)"/>
      <w:lvlJc w:val="left"/>
      <w:pPr>
        <w:ind w:left="3330" w:hanging="477"/>
        <w:jc w:val="left"/>
      </w:pPr>
      <w:rPr>
        <w:rFonts w:ascii="宋体" w:eastAsia="宋体" w:hAnsi="宋体" w:cs="宋体" w:hint="default"/>
        <w:w w:val="102"/>
        <w:sz w:val="29"/>
        <w:szCs w:val="29"/>
      </w:rPr>
    </w:lvl>
    <w:lvl w:ilvl="2">
      <w:start w:val="0"/>
      <w:numFmt w:val="bullet"/>
      <w:lvlText w:val="•"/>
      <w:lvlJc w:val="left"/>
      <w:pPr>
        <w:ind w:left="4953" w:hanging="477"/>
      </w:pPr>
      <w:rPr>
        <w:rFonts w:hint="default"/>
      </w:rPr>
    </w:lvl>
    <w:lvl w:ilvl="3">
      <w:start w:val="0"/>
      <w:numFmt w:val="bullet"/>
      <w:lvlText w:val="•"/>
      <w:lvlJc w:val="left"/>
      <w:pPr>
        <w:ind w:left="6566" w:hanging="477"/>
      </w:pPr>
      <w:rPr>
        <w:rFonts w:hint="default"/>
      </w:rPr>
    </w:lvl>
    <w:lvl w:ilvl="4">
      <w:start w:val="0"/>
      <w:numFmt w:val="bullet"/>
      <w:lvlText w:val="•"/>
      <w:lvlJc w:val="left"/>
      <w:pPr>
        <w:ind w:left="8179" w:hanging="477"/>
      </w:pPr>
      <w:rPr>
        <w:rFonts w:hint="default"/>
      </w:rPr>
    </w:lvl>
    <w:lvl w:ilvl="5">
      <w:start w:val="0"/>
      <w:numFmt w:val="bullet"/>
      <w:lvlText w:val="•"/>
      <w:lvlJc w:val="left"/>
      <w:pPr>
        <w:ind w:left="9793" w:hanging="477"/>
      </w:pPr>
      <w:rPr>
        <w:rFonts w:hint="default"/>
      </w:rPr>
    </w:lvl>
    <w:lvl w:ilvl="6">
      <w:start w:val="0"/>
      <w:numFmt w:val="bullet"/>
      <w:lvlText w:val="•"/>
      <w:lvlJc w:val="left"/>
      <w:pPr>
        <w:ind w:left="11406" w:hanging="477"/>
      </w:pPr>
      <w:rPr>
        <w:rFonts w:hint="default"/>
      </w:rPr>
    </w:lvl>
    <w:lvl w:ilvl="7">
      <w:start w:val="0"/>
      <w:numFmt w:val="bullet"/>
      <w:lvlText w:val="•"/>
      <w:lvlJc w:val="left"/>
      <w:pPr>
        <w:ind w:left="13019" w:hanging="477"/>
      </w:pPr>
      <w:rPr>
        <w:rFonts w:hint="default"/>
      </w:rPr>
    </w:lvl>
    <w:lvl w:ilvl="8">
      <w:start w:val="0"/>
      <w:numFmt w:val="bullet"/>
      <w:lvlText w:val="•"/>
      <w:lvlJc w:val="left"/>
      <w:pPr>
        <w:ind w:left="14633" w:hanging="477"/>
      </w:pPr>
      <w:rPr>
        <w:rFonts w:hint="default"/>
      </w:rPr>
    </w:lvl>
  </w:abstractNum>
  <w:abstractNum w:abstractNumId="54">
    <w:nsid w:val="43D3FFAB"/>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55">
    <w:nsid w:val="44A456B0"/>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56">
    <w:nsid w:val="45AB805D"/>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3640" w:hanging="477"/>
      </w:pPr>
      <w:rPr>
        <w:rFonts w:hint="default"/>
      </w:rPr>
    </w:lvl>
    <w:lvl w:ilvl="2">
      <w:start w:val="0"/>
      <w:numFmt w:val="bullet"/>
      <w:lvlText w:val="•"/>
      <w:lvlJc w:val="left"/>
      <w:pPr>
        <w:ind w:left="5219" w:hanging="477"/>
      </w:pPr>
      <w:rPr>
        <w:rFonts w:hint="default"/>
      </w:rPr>
    </w:lvl>
    <w:lvl w:ilvl="3">
      <w:start w:val="0"/>
      <w:numFmt w:val="bullet"/>
      <w:lvlText w:val="•"/>
      <w:lvlJc w:val="left"/>
      <w:pPr>
        <w:ind w:left="6799" w:hanging="477"/>
      </w:pPr>
      <w:rPr>
        <w:rFonts w:hint="default"/>
      </w:rPr>
    </w:lvl>
    <w:lvl w:ilvl="4">
      <w:start w:val="0"/>
      <w:numFmt w:val="bullet"/>
      <w:lvlText w:val="•"/>
      <w:lvlJc w:val="left"/>
      <w:pPr>
        <w:ind w:left="8379" w:hanging="477"/>
      </w:pPr>
      <w:rPr>
        <w:rFonts w:hint="default"/>
      </w:rPr>
    </w:lvl>
    <w:lvl w:ilvl="5">
      <w:start w:val="0"/>
      <w:numFmt w:val="bullet"/>
      <w:lvlText w:val="•"/>
      <w:lvlJc w:val="left"/>
      <w:pPr>
        <w:ind w:left="9959" w:hanging="477"/>
      </w:pPr>
      <w:rPr>
        <w:rFonts w:hint="default"/>
      </w:rPr>
    </w:lvl>
    <w:lvl w:ilvl="6">
      <w:start w:val="0"/>
      <w:numFmt w:val="bullet"/>
      <w:lvlText w:val="•"/>
      <w:lvlJc w:val="left"/>
      <w:pPr>
        <w:ind w:left="11539" w:hanging="477"/>
      </w:pPr>
      <w:rPr>
        <w:rFonts w:hint="default"/>
      </w:rPr>
    </w:lvl>
    <w:lvl w:ilvl="7">
      <w:start w:val="0"/>
      <w:numFmt w:val="bullet"/>
      <w:lvlText w:val="•"/>
      <w:lvlJc w:val="left"/>
      <w:pPr>
        <w:ind w:left="13119" w:hanging="477"/>
      </w:pPr>
      <w:rPr>
        <w:rFonts w:hint="default"/>
      </w:rPr>
    </w:lvl>
    <w:lvl w:ilvl="8">
      <w:start w:val="0"/>
      <w:numFmt w:val="bullet"/>
      <w:lvlText w:val="•"/>
      <w:lvlJc w:val="left"/>
      <w:pPr>
        <w:ind w:left="14699" w:hanging="477"/>
      </w:pPr>
      <w:rPr>
        <w:rFonts w:hint="default"/>
      </w:rPr>
    </w:lvl>
  </w:abstractNum>
  <w:abstractNum w:abstractNumId="57">
    <w:nsid w:val="46C400E5"/>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58">
    <w:nsid w:val="46F1A88A"/>
    <w:multiLevelType w:val="hybridMultilevel"/>
    <w:tmpl w:val="00000000"/>
    <w:lvl w:ilvl="0">
      <w:start w:val="2"/>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59">
    <w:nsid w:val="473559B8"/>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0">
    <w:nsid w:val="48165D48"/>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61">
    <w:nsid w:val="4943E08C"/>
    <w:multiLevelType w:val="hybridMultilevel"/>
    <w:tmpl w:val="00000000"/>
    <w:lvl w:ilvl="0">
      <w:start w:val="1"/>
      <w:numFmt w:val="decimal"/>
      <w:lvlText w:val="%1."/>
      <w:lvlJc w:val="left"/>
      <w:pPr>
        <w:ind w:left="2700" w:hanging="318"/>
        <w:jc w:val="left"/>
      </w:pPr>
      <w:rPr>
        <w:rFonts w:ascii="宋体" w:eastAsia="宋体" w:hAnsi="宋体" w:cs="宋体" w:hint="default"/>
        <w:spacing w:val="-1"/>
        <w:w w:val="102"/>
        <w:sz w:val="29"/>
        <w:szCs w:val="29"/>
      </w:rPr>
    </w:lvl>
    <w:lvl w:ilvl="1">
      <w:start w:val="4"/>
      <w:numFmt w:val="decimal"/>
      <w:lvlText w:val="%2."/>
      <w:lvlJc w:val="left"/>
      <w:pPr>
        <w:ind w:left="2700" w:hanging="477"/>
        <w:jc w:val="left"/>
      </w:pPr>
      <w:rPr>
        <w:rFonts w:ascii="宋体" w:eastAsia="宋体" w:hAnsi="宋体" w:cs="宋体" w:hint="default"/>
        <w:spacing w:val="-94"/>
        <w:w w:val="102"/>
        <w:sz w:val="29"/>
        <w:szCs w:val="29"/>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62">
    <w:nsid w:val="4B3E807A"/>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3">
    <w:nsid w:val="4B9DA126"/>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4">
    <w:nsid w:val="4C2E3FDB"/>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65">
    <w:nsid w:val="4C7056FE"/>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6">
    <w:nsid w:val="4DD49A3F"/>
    <w:multiLevelType w:val="hybridMultilevel"/>
    <w:tmpl w:val="00000000"/>
    <w:lvl w:ilvl="0">
      <w:start w:val="4"/>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7">
    <w:nsid w:val="4FA43C19"/>
    <w:multiLevelType w:val="hybridMultilevel"/>
    <w:tmpl w:val="00000000"/>
    <w:lvl w:ilvl="0">
      <w:start w:val="3"/>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8">
    <w:nsid w:val="4FB0AF7B"/>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69">
    <w:nsid w:val="50149959"/>
    <w:multiLevelType w:val="hybridMultilevel"/>
    <w:tmpl w:val="00000000"/>
    <w:lvl w:ilvl="0">
      <w:start w:val="1"/>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70">
    <w:nsid w:val="5133FFD7"/>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71">
    <w:nsid w:val="52050D74"/>
    <w:multiLevelType w:val="hybridMultilevel"/>
    <w:tmpl w:val="00000000"/>
    <w:lvl w:ilvl="0">
      <w:start w:val="2"/>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72">
    <w:nsid w:val="53017B4C"/>
    <w:multiLevelType w:val="hybridMultilevel"/>
    <w:tmpl w:val="00000000"/>
    <w:lvl w:ilvl="0">
      <w:start w:val="1"/>
      <w:numFmt w:val="decimal"/>
      <w:lvlText w:val="%1."/>
      <w:lvlJc w:val="left"/>
      <w:pPr>
        <w:ind w:left="3172" w:hanging="475"/>
        <w:jc w:val="left"/>
      </w:pPr>
      <w:rPr>
        <w:rFonts w:ascii="宋体" w:eastAsia="宋体" w:hAnsi="宋体" w:cs="宋体" w:hint="default"/>
        <w:w w:val="102"/>
        <w:sz w:val="31"/>
        <w:szCs w:val="31"/>
      </w:rPr>
    </w:lvl>
    <w:lvl w:ilvl="1">
      <w:start w:val="0"/>
      <w:numFmt w:val="bullet"/>
      <w:lvlText w:val="•"/>
      <w:lvlJc w:val="left"/>
      <w:pPr>
        <w:ind w:left="4647" w:hanging="475"/>
      </w:pPr>
      <w:rPr>
        <w:rFonts w:hint="default"/>
      </w:rPr>
    </w:lvl>
    <w:lvl w:ilvl="2">
      <w:start w:val="0"/>
      <w:numFmt w:val="bullet"/>
      <w:lvlText w:val="•"/>
      <w:lvlJc w:val="left"/>
      <w:pPr>
        <w:ind w:left="6115" w:hanging="475"/>
      </w:pPr>
      <w:rPr>
        <w:rFonts w:hint="default"/>
      </w:rPr>
    </w:lvl>
    <w:lvl w:ilvl="3">
      <w:start w:val="0"/>
      <w:numFmt w:val="bullet"/>
      <w:lvlText w:val="•"/>
      <w:lvlJc w:val="left"/>
      <w:pPr>
        <w:ind w:left="7583" w:hanging="475"/>
      </w:pPr>
      <w:rPr>
        <w:rFonts w:hint="default"/>
      </w:rPr>
    </w:lvl>
    <w:lvl w:ilvl="4">
      <w:start w:val="0"/>
      <w:numFmt w:val="bullet"/>
      <w:lvlText w:val="•"/>
      <w:lvlJc w:val="left"/>
      <w:pPr>
        <w:ind w:left="9051" w:hanging="475"/>
      </w:pPr>
      <w:rPr>
        <w:rFonts w:hint="default"/>
      </w:rPr>
    </w:lvl>
    <w:lvl w:ilvl="5">
      <w:start w:val="0"/>
      <w:numFmt w:val="bullet"/>
      <w:lvlText w:val="•"/>
      <w:lvlJc w:val="left"/>
      <w:pPr>
        <w:ind w:left="10519" w:hanging="475"/>
      </w:pPr>
      <w:rPr>
        <w:rFonts w:hint="default"/>
      </w:rPr>
    </w:lvl>
    <w:lvl w:ilvl="6">
      <w:start w:val="0"/>
      <w:numFmt w:val="bullet"/>
      <w:lvlText w:val="•"/>
      <w:lvlJc w:val="left"/>
      <w:pPr>
        <w:ind w:left="11987" w:hanging="475"/>
      </w:pPr>
      <w:rPr>
        <w:rFonts w:hint="default"/>
      </w:rPr>
    </w:lvl>
    <w:lvl w:ilvl="7">
      <w:start w:val="0"/>
      <w:numFmt w:val="bullet"/>
      <w:lvlText w:val="•"/>
      <w:lvlJc w:val="left"/>
      <w:pPr>
        <w:ind w:left="13455" w:hanging="475"/>
      </w:pPr>
      <w:rPr>
        <w:rFonts w:hint="default"/>
      </w:rPr>
    </w:lvl>
    <w:lvl w:ilvl="8">
      <w:start w:val="0"/>
      <w:numFmt w:val="bullet"/>
      <w:lvlText w:val="•"/>
      <w:lvlJc w:val="left"/>
      <w:pPr>
        <w:ind w:left="14923" w:hanging="475"/>
      </w:pPr>
      <w:rPr>
        <w:rFonts w:hint="default"/>
      </w:rPr>
    </w:lvl>
  </w:abstractNum>
  <w:abstractNum w:abstractNumId="73">
    <w:nsid w:val="5311AC7F"/>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74">
    <w:nsid w:val="54437F44"/>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75">
    <w:nsid w:val="5496CF91"/>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76">
    <w:nsid w:val="549CA6FF"/>
    <w:multiLevelType w:val="hybridMultilevel"/>
    <w:tmpl w:val="00000000"/>
    <w:lvl w:ilvl="0">
      <w:start w:val="2"/>
      <w:numFmt w:val="upperLetter"/>
      <w:lvlText w:val="%1."/>
      <w:lvlJc w:val="left"/>
      <w:pPr>
        <w:ind w:left="3810" w:hanging="318"/>
        <w:jc w:val="left"/>
      </w:pPr>
      <w:rPr>
        <w:rFonts w:hint="default"/>
        <w:spacing w:val="-4"/>
        <w:w w:val="102"/>
      </w:rPr>
    </w:lvl>
    <w:lvl w:ilvl="1">
      <w:start w:val="0"/>
      <w:numFmt w:val="bullet"/>
      <w:lvlText w:val="•"/>
      <w:lvlJc w:val="left"/>
      <w:pPr>
        <w:ind w:left="3800" w:hanging="318"/>
      </w:pPr>
      <w:rPr>
        <w:rFonts w:hint="default"/>
      </w:rPr>
    </w:lvl>
    <w:lvl w:ilvl="2">
      <w:start w:val="0"/>
      <w:numFmt w:val="bullet"/>
      <w:lvlText w:val="•"/>
      <w:lvlJc w:val="left"/>
      <w:pPr>
        <w:ind w:left="3820" w:hanging="318"/>
      </w:pPr>
      <w:rPr>
        <w:rFonts w:hint="default"/>
      </w:rPr>
    </w:lvl>
    <w:lvl w:ilvl="3">
      <w:start w:val="0"/>
      <w:numFmt w:val="bullet"/>
      <w:lvlText w:val="•"/>
      <w:lvlJc w:val="left"/>
      <w:pPr>
        <w:ind w:left="5574" w:hanging="318"/>
      </w:pPr>
      <w:rPr>
        <w:rFonts w:hint="default"/>
      </w:rPr>
    </w:lvl>
    <w:lvl w:ilvl="4">
      <w:start w:val="0"/>
      <w:numFmt w:val="bullet"/>
      <w:lvlText w:val="•"/>
      <w:lvlJc w:val="left"/>
      <w:pPr>
        <w:ind w:left="7329" w:hanging="318"/>
      </w:pPr>
      <w:rPr>
        <w:rFonts w:hint="default"/>
      </w:rPr>
    </w:lvl>
    <w:lvl w:ilvl="5">
      <w:start w:val="0"/>
      <w:numFmt w:val="bullet"/>
      <w:lvlText w:val="•"/>
      <w:lvlJc w:val="left"/>
      <w:pPr>
        <w:ind w:left="9084" w:hanging="318"/>
      </w:pPr>
      <w:rPr>
        <w:rFonts w:hint="default"/>
      </w:rPr>
    </w:lvl>
    <w:lvl w:ilvl="6">
      <w:start w:val="0"/>
      <w:numFmt w:val="bullet"/>
      <w:lvlText w:val="•"/>
      <w:lvlJc w:val="left"/>
      <w:pPr>
        <w:ind w:left="10839" w:hanging="318"/>
      </w:pPr>
      <w:rPr>
        <w:rFonts w:hint="default"/>
      </w:rPr>
    </w:lvl>
    <w:lvl w:ilvl="7">
      <w:start w:val="0"/>
      <w:numFmt w:val="bullet"/>
      <w:lvlText w:val="•"/>
      <w:lvlJc w:val="left"/>
      <w:pPr>
        <w:ind w:left="12594" w:hanging="318"/>
      </w:pPr>
      <w:rPr>
        <w:rFonts w:hint="default"/>
      </w:rPr>
    </w:lvl>
    <w:lvl w:ilvl="8">
      <w:start w:val="0"/>
      <w:numFmt w:val="bullet"/>
      <w:lvlText w:val="•"/>
      <w:lvlJc w:val="left"/>
      <w:pPr>
        <w:ind w:left="14349" w:hanging="318"/>
      </w:pPr>
      <w:rPr>
        <w:rFonts w:hint="default"/>
      </w:rPr>
    </w:lvl>
  </w:abstractNum>
  <w:abstractNum w:abstractNumId="77">
    <w:nsid w:val="5565A900"/>
    <w:multiLevelType w:val="hybridMultilevel"/>
    <w:tmpl w:val="00000000"/>
    <w:lvl w:ilvl="0">
      <w:start w:val="1"/>
      <w:numFmt w:val="decimal"/>
      <w:lvlText w:val="%1."/>
      <w:lvlJc w:val="left"/>
      <w:pPr>
        <w:ind w:left="2700" w:hanging="477"/>
        <w:jc w:val="right"/>
      </w:pPr>
      <w:rPr>
        <w:rFonts w:ascii="宋体" w:eastAsia="宋体" w:hAnsi="宋体" w:cs="宋体" w:hint="default"/>
        <w:w w:val="102"/>
        <w:sz w:val="29"/>
        <w:szCs w:val="29"/>
      </w:rPr>
    </w:lvl>
    <w:lvl w:ilvl="1">
      <w:start w:val="0"/>
      <w:numFmt w:val="bullet"/>
      <w:lvlText w:val="•"/>
      <w:lvlJc w:val="left"/>
      <w:pPr>
        <w:ind w:left="4215" w:hanging="477"/>
      </w:pPr>
      <w:rPr>
        <w:rFonts w:hint="default"/>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78">
    <w:nsid w:val="57EA0A41"/>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79">
    <w:nsid w:val="5A6FB0C3"/>
    <w:multiLevelType w:val="hybridMultilevel"/>
    <w:tmpl w:val="00000000"/>
    <w:lvl w:ilvl="0">
      <w:start w:val="4"/>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80">
    <w:nsid w:val="5AA6935A"/>
    <w:multiLevelType w:val="hybridMultilevel"/>
    <w:tmpl w:val="00000000"/>
    <w:lvl w:ilvl="0">
      <w:start w:val="1"/>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3960" w:hanging="634"/>
      </w:pPr>
      <w:rPr>
        <w:rFonts w:hint="default"/>
      </w:rPr>
    </w:lvl>
    <w:lvl w:ilvl="2">
      <w:start w:val="0"/>
      <w:numFmt w:val="bullet"/>
      <w:lvlText w:val="•"/>
      <w:lvlJc w:val="left"/>
      <w:pPr>
        <w:ind w:left="5504" w:hanging="634"/>
      </w:pPr>
      <w:rPr>
        <w:rFonts w:hint="default"/>
      </w:rPr>
    </w:lvl>
    <w:lvl w:ilvl="3">
      <w:start w:val="0"/>
      <w:numFmt w:val="bullet"/>
      <w:lvlText w:val="•"/>
      <w:lvlJc w:val="left"/>
      <w:pPr>
        <w:ind w:left="7048" w:hanging="634"/>
      </w:pPr>
      <w:rPr>
        <w:rFonts w:hint="default"/>
      </w:rPr>
    </w:lvl>
    <w:lvl w:ilvl="4">
      <w:start w:val="0"/>
      <w:numFmt w:val="bullet"/>
      <w:lvlText w:val="•"/>
      <w:lvlJc w:val="left"/>
      <w:pPr>
        <w:ind w:left="8593" w:hanging="634"/>
      </w:pPr>
      <w:rPr>
        <w:rFonts w:hint="default"/>
      </w:rPr>
    </w:lvl>
    <w:lvl w:ilvl="5">
      <w:start w:val="0"/>
      <w:numFmt w:val="bullet"/>
      <w:lvlText w:val="•"/>
      <w:lvlJc w:val="left"/>
      <w:pPr>
        <w:ind w:left="10137" w:hanging="634"/>
      </w:pPr>
      <w:rPr>
        <w:rFonts w:hint="default"/>
      </w:rPr>
    </w:lvl>
    <w:lvl w:ilvl="6">
      <w:start w:val="0"/>
      <w:numFmt w:val="bullet"/>
      <w:lvlText w:val="•"/>
      <w:lvlJc w:val="left"/>
      <w:pPr>
        <w:ind w:left="11682" w:hanging="634"/>
      </w:pPr>
      <w:rPr>
        <w:rFonts w:hint="default"/>
      </w:rPr>
    </w:lvl>
    <w:lvl w:ilvl="7">
      <w:start w:val="0"/>
      <w:numFmt w:val="bullet"/>
      <w:lvlText w:val="•"/>
      <w:lvlJc w:val="left"/>
      <w:pPr>
        <w:ind w:left="13226" w:hanging="634"/>
      </w:pPr>
      <w:rPr>
        <w:rFonts w:hint="default"/>
      </w:rPr>
    </w:lvl>
    <w:lvl w:ilvl="8">
      <w:start w:val="0"/>
      <w:numFmt w:val="bullet"/>
      <w:lvlText w:val="•"/>
      <w:lvlJc w:val="left"/>
      <w:pPr>
        <w:ind w:left="14770" w:hanging="634"/>
      </w:pPr>
      <w:rPr>
        <w:rFonts w:hint="default"/>
      </w:rPr>
    </w:lvl>
  </w:abstractNum>
  <w:abstractNum w:abstractNumId="81">
    <w:nsid w:val="5B27BECD"/>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82">
    <w:nsid w:val="5B9365DD"/>
    <w:multiLevelType w:val="hybridMultilevel"/>
    <w:tmpl w:val="00000000"/>
    <w:lvl w:ilvl="0">
      <w:start w:val="1"/>
      <w:numFmt w:val="upperLetter"/>
      <w:lvlText w:val="%1."/>
      <w:lvlJc w:val="left"/>
      <w:pPr>
        <w:ind w:left="3666" w:hanging="318"/>
        <w:jc w:val="left"/>
      </w:pPr>
      <w:rPr>
        <w:rFonts w:ascii="宋体" w:eastAsia="宋体" w:hAnsi="宋体" w:cs="宋体" w:hint="default"/>
        <w:w w:val="102"/>
        <w:sz w:val="29"/>
        <w:szCs w:val="29"/>
      </w:rPr>
    </w:lvl>
    <w:lvl w:ilvl="1">
      <w:start w:val="0"/>
      <w:numFmt w:val="bullet"/>
      <w:lvlText w:val="•"/>
      <w:lvlJc w:val="left"/>
      <w:pPr>
        <w:ind w:left="5079" w:hanging="318"/>
      </w:pPr>
      <w:rPr>
        <w:rFonts w:hint="default"/>
      </w:rPr>
    </w:lvl>
    <w:lvl w:ilvl="2">
      <w:start w:val="0"/>
      <w:numFmt w:val="bullet"/>
      <w:lvlText w:val="•"/>
      <w:lvlJc w:val="left"/>
      <w:pPr>
        <w:ind w:left="6499" w:hanging="318"/>
      </w:pPr>
      <w:rPr>
        <w:rFonts w:hint="default"/>
      </w:rPr>
    </w:lvl>
    <w:lvl w:ilvl="3">
      <w:start w:val="0"/>
      <w:numFmt w:val="bullet"/>
      <w:lvlText w:val="•"/>
      <w:lvlJc w:val="left"/>
      <w:pPr>
        <w:ind w:left="7919" w:hanging="318"/>
      </w:pPr>
      <w:rPr>
        <w:rFonts w:hint="default"/>
      </w:rPr>
    </w:lvl>
    <w:lvl w:ilvl="4">
      <w:start w:val="0"/>
      <w:numFmt w:val="bullet"/>
      <w:lvlText w:val="•"/>
      <w:lvlJc w:val="left"/>
      <w:pPr>
        <w:ind w:left="9339" w:hanging="318"/>
      </w:pPr>
      <w:rPr>
        <w:rFonts w:hint="default"/>
      </w:rPr>
    </w:lvl>
    <w:lvl w:ilvl="5">
      <w:start w:val="0"/>
      <w:numFmt w:val="bullet"/>
      <w:lvlText w:val="•"/>
      <w:lvlJc w:val="left"/>
      <w:pPr>
        <w:ind w:left="10759" w:hanging="318"/>
      </w:pPr>
      <w:rPr>
        <w:rFonts w:hint="default"/>
      </w:rPr>
    </w:lvl>
    <w:lvl w:ilvl="6">
      <w:start w:val="0"/>
      <w:numFmt w:val="bullet"/>
      <w:lvlText w:val="•"/>
      <w:lvlJc w:val="left"/>
      <w:pPr>
        <w:ind w:left="12179" w:hanging="318"/>
      </w:pPr>
      <w:rPr>
        <w:rFonts w:hint="default"/>
      </w:rPr>
    </w:lvl>
    <w:lvl w:ilvl="7">
      <w:start w:val="0"/>
      <w:numFmt w:val="bullet"/>
      <w:lvlText w:val="•"/>
      <w:lvlJc w:val="left"/>
      <w:pPr>
        <w:ind w:left="13599" w:hanging="318"/>
      </w:pPr>
      <w:rPr>
        <w:rFonts w:hint="default"/>
      </w:rPr>
    </w:lvl>
    <w:lvl w:ilvl="8">
      <w:start w:val="0"/>
      <w:numFmt w:val="bullet"/>
      <w:lvlText w:val="•"/>
      <w:lvlJc w:val="left"/>
      <w:pPr>
        <w:ind w:left="15019" w:hanging="318"/>
      </w:pPr>
      <w:rPr>
        <w:rFonts w:hint="default"/>
      </w:rPr>
    </w:lvl>
  </w:abstractNum>
  <w:abstractNum w:abstractNumId="83">
    <w:nsid w:val="5BA6753E"/>
    <w:multiLevelType w:val="hybridMultilevel"/>
    <w:tmpl w:val="00000000"/>
    <w:lvl w:ilvl="0">
      <w:start w:val="4"/>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84">
    <w:nsid w:val="5C33A51C"/>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85">
    <w:nsid w:val="5F399910"/>
    <w:multiLevelType w:val="hybridMultilevel"/>
    <w:tmpl w:val="00000000"/>
    <w:lvl w:ilvl="0">
      <w:start w:val="4"/>
      <w:numFmt w:val="decimal"/>
      <w:lvlText w:val="%1."/>
      <w:lvlJc w:val="left"/>
      <w:pPr>
        <w:ind w:left="3177" w:hanging="477"/>
        <w:jc w:val="left"/>
      </w:pPr>
      <w:rPr>
        <w:rFonts w:ascii="宋体" w:eastAsia="宋体" w:hAnsi="宋体" w:cs="宋体" w:hint="default"/>
        <w:w w:val="102"/>
        <w:sz w:val="29"/>
        <w:szCs w:val="29"/>
      </w:rPr>
    </w:lvl>
    <w:lvl w:ilvl="1">
      <w:start w:val="1"/>
      <w:numFmt w:val="upperLetter"/>
      <w:lvlText w:val="%2."/>
      <w:lvlJc w:val="left"/>
      <w:pPr>
        <w:ind w:left="3647" w:hanging="630"/>
        <w:jc w:val="left"/>
      </w:pPr>
      <w:rPr>
        <w:rFonts w:ascii="宋体" w:eastAsia="宋体" w:hAnsi="宋体" w:cs="宋体" w:hint="default"/>
        <w:spacing w:val="-1"/>
        <w:w w:val="102"/>
        <w:sz w:val="31"/>
        <w:szCs w:val="31"/>
      </w:rPr>
    </w:lvl>
    <w:lvl w:ilvl="2">
      <w:start w:val="0"/>
      <w:numFmt w:val="bullet"/>
      <w:lvlText w:val="•"/>
      <w:lvlJc w:val="left"/>
      <w:pPr>
        <w:ind w:left="3660" w:hanging="630"/>
      </w:pPr>
      <w:rPr>
        <w:rFonts w:hint="default"/>
      </w:rPr>
    </w:lvl>
    <w:lvl w:ilvl="3">
      <w:start w:val="0"/>
      <w:numFmt w:val="bullet"/>
      <w:lvlText w:val="•"/>
      <w:lvlJc w:val="left"/>
      <w:pPr>
        <w:ind w:left="5434" w:hanging="630"/>
      </w:pPr>
      <w:rPr>
        <w:rFonts w:hint="default"/>
      </w:rPr>
    </w:lvl>
    <w:lvl w:ilvl="4">
      <w:start w:val="0"/>
      <w:numFmt w:val="bullet"/>
      <w:lvlText w:val="•"/>
      <w:lvlJc w:val="left"/>
      <w:pPr>
        <w:ind w:left="7209" w:hanging="630"/>
      </w:pPr>
      <w:rPr>
        <w:rFonts w:hint="default"/>
      </w:rPr>
    </w:lvl>
    <w:lvl w:ilvl="5">
      <w:start w:val="0"/>
      <w:numFmt w:val="bullet"/>
      <w:lvlText w:val="•"/>
      <w:lvlJc w:val="left"/>
      <w:pPr>
        <w:ind w:left="8984" w:hanging="630"/>
      </w:pPr>
      <w:rPr>
        <w:rFonts w:hint="default"/>
      </w:rPr>
    </w:lvl>
    <w:lvl w:ilvl="6">
      <w:start w:val="0"/>
      <w:numFmt w:val="bullet"/>
      <w:lvlText w:val="•"/>
      <w:lvlJc w:val="left"/>
      <w:pPr>
        <w:ind w:left="10759" w:hanging="630"/>
      </w:pPr>
      <w:rPr>
        <w:rFonts w:hint="default"/>
      </w:rPr>
    </w:lvl>
    <w:lvl w:ilvl="7">
      <w:start w:val="0"/>
      <w:numFmt w:val="bullet"/>
      <w:lvlText w:val="•"/>
      <w:lvlJc w:val="left"/>
      <w:pPr>
        <w:ind w:left="12534" w:hanging="630"/>
      </w:pPr>
      <w:rPr>
        <w:rFonts w:hint="default"/>
      </w:rPr>
    </w:lvl>
    <w:lvl w:ilvl="8">
      <w:start w:val="0"/>
      <w:numFmt w:val="bullet"/>
      <w:lvlText w:val="•"/>
      <w:lvlJc w:val="left"/>
      <w:pPr>
        <w:ind w:left="14309" w:hanging="630"/>
      </w:pPr>
      <w:rPr>
        <w:rFonts w:hint="default"/>
      </w:rPr>
    </w:lvl>
  </w:abstractNum>
  <w:abstractNum w:abstractNumId="86">
    <w:nsid w:val="5FCE14C5"/>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87">
    <w:nsid w:val="60AF4069"/>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88">
    <w:nsid w:val="60CFE312"/>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89">
    <w:nsid w:val="611BA029"/>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90">
    <w:nsid w:val="613821CA"/>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91">
    <w:nsid w:val="6190EC36"/>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92">
    <w:nsid w:val="63A4EE81"/>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93">
    <w:nsid w:val="64B68109"/>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94">
    <w:nsid w:val="67930724"/>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95">
    <w:nsid w:val="67D745B6"/>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96">
    <w:nsid w:val="69CD18DC"/>
    <w:multiLevelType w:val="hybridMultilevel"/>
    <w:tmpl w:val="00000000"/>
    <w:lvl w:ilvl="0">
      <w:start w:val="2"/>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97">
    <w:nsid w:val="6A390FED"/>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98">
    <w:nsid w:val="6D304411"/>
    <w:multiLevelType w:val="hybridMultilevel"/>
    <w:tmpl w:val="00000000"/>
    <w:lvl w:ilvl="0">
      <w:start w:val="5"/>
      <w:numFmt w:val="decimal"/>
      <w:lvlText w:val="%1."/>
      <w:lvlJc w:val="left"/>
      <w:pPr>
        <w:ind w:left="3176" w:hanging="476"/>
        <w:jc w:val="left"/>
      </w:pPr>
      <w:rPr>
        <w:rFonts w:ascii="宋体" w:eastAsia="宋体" w:hAnsi="宋体" w:cs="宋体" w:hint="default"/>
        <w:w w:val="102"/>
        <w:sz w:val="31"/>
        <w:szCs w:val="31"/>
      </w:rPr>
    </w:lvl>
    <w:lvl w:ilvl="1">
      <w:start w:val="1"/>
      <w:numFmt w:val="decimal"/>
      <w:lvlText w:val="%2."/>
      <w:lvlJc w:val="left"/>
      <w:pPr>
        <w:ind w:left="3535" w:hanging="476"/>
        <w:jc w:val="left"/>
      </w:pPr>
      <w:rPr>
        <w:rFonts w:ascii="宋体" w:eastAsia="宋体" w:hAnsi="宋体" w:cs="宋体" w:hint="default"/>
        <w:w w:val="102"/>
        <w:sz w:val="31"/>
        <w:szCs w:val="31"/>
      </w:rPr>
    </w:lvl>
    <w:lvl w:ilvl="2">
      <w:start w:val="0"/>
      <w:numFmt w:val="bullet"/>
      <w:lvlText w:val="•"/>
      <w:lvlJc w:val="left"/>
      <w:pPr>
        <w:ind w:left="5131" w:hanging="476"/>
      </w:pPr>
      <w:rPr>
        <w:rFonts w:hint="default"/>
      </w:rPr>
    </w:lvl>
    <w:lvl w:ilvl="3">
      <w:start w:val="0"/>
      <w:numFmt w:val="bullet"/>
      <w:lvlText w:val="•"/>
      <w:lvlJc w:val="left"/>
      <w:pPr>
        <w:ind w:left="6722" w:hanging="476"/>
      </w:pPr>
      <w:rPr>
        <w:rFonts w:hint="default"/>
      </w:rPr>
    </w:lvl>
    <w:lvl w:ilvl="4">
      <w:start w:val="0"/>
      <w:numFmt w:val="bullet"/>
      <w:lvlText w:val="•"/>
      <w:lvlJc w:val="left"/>
      <w:pPr>
        <w:ind w:left="8313" w:hanging="476"/>
      </w:pPr>
      <w:rPr>
        <w:rFonts w:hint="default"/>
      </w:rPr>
    </w:lvl>
    <w:lvl w:ilvl="5">
      <w:start w:val="0"/>
      <w:numFmt w:val="bullet"/>
      <w:lvlText w:val="•"/>
      <w:lvlJc w:val="left"/>
      <w:pPr>
        <w:ind w:left="9904" w:hanging="476"/>
      </w:pPr>
      <w:rPr>
        <w:rFonts w:hint="default"/>
      </w:rPr>
    </w:lvl>
    <w:lvl w:ilvl="6">
      <w:start w:val="0"/>
      <w:numFmt w:val="bullet"/>
      <w:lvlText w:val="•"/>
      <w:lvlJc w:val="left"/>
      <w:pPr>
        <w:ind w:left="11495" w:hanging="476"/>
      </w:pPr>
      <w:rPr>
        <w:rFonts w:hint="default"/>
      </w:rPr>
    </w:lvl>
    <w:lvl w:ilvl="7">
      <w:start w:val="0"/>
      <w:numFmt w:val="bullet"/>
      <w:lvlText w:val="•"/>
      <w:lvlJc w:val="left"/>
      <w:pPr>
        <w:ind w:left="13086" w:hanging="476"/>
      </w:pPr>
      <w:rPr>
        <w:rFonts w:hint="default"/>
      </w:rPr>
    </w:lvl>
    <w:lvl w:ilvl="8">
      <w:start w:val="0"/>
      <w:numFmt w:val="bullet"/>
      <w:lvlText w:val="•"/>
      <w:lvlJc w:val="left"/>
      <w:pPr>
        <w:ind w:left="14677" w:hanging="476"/>
      </w:pPr>
      <w:rPr>
        <w:rFonts w:hint="default"/>
      </w:rPr>
    </w:lvl>
  </w:abstractNum>
  <w:abstractNum w:abstractNumId="99">
    <w:nsid w:val="6D530C12"/>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100">
    <w:nsid w:val="6D6613BF"/>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3286" w:hanging="793"/>
      </w:pPr>
      <w:rPr>
        <w:rFonts w:hint="default"/>
      </w:rPr>
    </w:lvl>
    <w:lvl w:ilvl="2">
      <w:start w:val="0"/>
      <w:numFmt w:val="bullet"/>
      <w:lvlText w:val="•"/>
      <w:lvlJc w:val="left"/>
      <w:pPr>
        <w:ind w:left="3872" w:hanging="793"/>
      </w:pPr>
      <w:rPr>
        <w:rFonts w:hint="default"/>
      </w:rPr>
    </w:lvl>
    <w:lvl w:ilvl="3">
      <w:start w:val="0"/>
      <w:numFmt w:val="bullet"/>
      <w:lvlText w:val="•"/>
      <w:lvlJc w:val="left"/>
      <w:pPr>
        <w:ind w:left="4458" w:hanging="793"/>
      </w:pPr>
      <w:rPr>
        <w:rFonts w:hint="default"/>
      </w:rPr>
    </w:lvl>
    <w:lvl w:ilvl="4">
      <w:start w:val="0"/>
      <w:numFmt w:val="bullet"/>
      <w:lvlText w:val="•"/>
      <w:lvlJc w:val="left"/>
      <w:pPr>
        <w:ind w:left="5044" w:hanging="793"/>
      </w:pPr>
      <w:rPr>
        <w:rFonts w:hint="default"/>
      </w:rPr>
    </w:lvl>
    <w:lvl w:ilvl="5">
      <w:start w:val="0"/>
      <w:numFmt w:val="bullet"/>
      <w:lvlText w:val="•"/>
      <w:lvlJc w:val="left"/>
      <w:pPr>
        <w:ind w:left="5630" w:hanging="793"/>
      </w:pPr>
      <w:rPr>
        <w:rFonts w:hint="default"/>
      </w:rPr>
    </w:lvl>
    <w:lvl w:ilvl="6">
      <w:start w:val="0"/>
      <w:numFmt w:val="bullet"/>
      <w:lvlText w:val="•"/>
      <w:lvlJc w:val="left"/>
      <w:pPr>
        <w:ind w:left="6216" w:hanging="793"/>
      </w:pPr>
      <w:rPr>
        <w:rFonts w:hint="default"/>
      </w:rPr>
    </w:lvl>
    <w:lvl w:ilvl="7">
      <w:start w:val="0"/>
      <w:numFmt w:val="bullet"/>
      <w:lvlText w:val="•"/>
      <w:lvlJc w:val="left"/>
      <w:pPr>
        <w:ind w:left="6802" w:hanging="793"/>
      </w:pPr>
      <w:rPr>
        <w:rFonts w:hint="default"/>
      </w:rPr>
    </w:lvl>
    <w:lvl w:ilvl="8">
      <w:start w:val="0"/>
      <w:numFmt w:val="bullet"/>
      <w:lvlText w:val="•"/>
      <w:lvlJc w:val="left"/>
      <w:pPr>
        <w:ind w:left="7389" w:hanging="793"/>
      </w:pPr>
      <w:rPr>
        <w:rFonts w:hint="default"/>
      </w:rPr>
    </w:lvl>
  </w:abstractNum>
  <w:abstractNum w:abstractNumId="101">
    <w:nsid w:val="6DCB5195"/>
    <w:multiLevelType w:val="hybridMultilevel"/>
    <w:tmpl w:val="00000000"/>
    <w:lvl w:ilvl="0">
      <w:start w:val="3"/>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102">
    <w:nsid w:val="6E4218F9"/>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03">
    <w:nsid w:val="6F21181C"/>
    <w:multiLevelType w:val="hybridMultilevel"/>
    <w:tmpl w:val="00000000"/>
    <w:lvl w:ilvl="0">
      <w:start w:val="3"/>
      <w:numFmt w:val="upperLetter"/>
      <w:lvlText w:val="%1"/>
      <w:lvlJc w:val="left"/>
      <w:pPr>
        <w:ind w:left="3492" w:hanging="317"/>
        <w:jc w:val="left"/>
      </w:pPr>
      <w:rPr>
        <w:rFonts w:hint="default"/>
        <w:w w:val="102"/>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04">
    <w:nsid w:val="71C11F7D"/>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05">
    <w:nsid w:val="73B5CF2D"/>
    <w:multiLevelType w:val="hybridMultilevel"/>
    <w:tmpl w:val="00000000"/>
    <w:lvl w:ilvl="0">
      <w:start w:val="1"/>
      <w:numFmt w:val="upperLetter"/>
      <w:lvlText w:val="%1"/>
      <w:lvlJc w:val="left"/>
      <w:pPr>
        <w:ind w:left="3176" w:hanging="317"/>
        <w:jc w:val="left"/>
      </w:pPr>
      <w:rPr>
        <w:rFonts w:hint="default"/>
        <w:w w:val="102"/>
      </w:rPr>
    </w:lvl>
    <w:lvl w:ilvl="1">
      <w:start w:val="0"/>
      <w:numFmt w:val="bullet"/>
      <w:lvlText w:val="•"/>
      <w:lvlJc w:val="left"/>
      <w:pPr>
        <w:ind w:left="4647" w:hanging="317"/>
      </w:pPr>
      <w:rPr>
        <w:rFonts w:hint="default"/>
      </w:rPr>
    </w:lvl>
    <w:lvl w:ilvl="2">
      <w:start w:val="0"/>
      <w:numFmt w:val="bullet"/>
      <w:lvlText w:val="•"/>
      <w:lvlJc w:val="left"/>
      <w:pPr>
        <w:ind w:left="6115" w:hanging="317"/>
      </w:pPr>
      <w:rPr>
        <w:rFonts w:hint="default"/>
      </w:rPr>
    </w:lvl>
    <w:lvl w:ilvl="3">
      <w:start w:val="0"/>
      <w:numFmt w:val="bullet"/>
      <w:lvlText w:val="•"/>
      <w:lvlJc w:val="left"/>
      <w:pPr>
        <w:ind w:left="7583" w:hanging="317"/>
      </w:pPr>
      <w:rPr>
        <w:rFonts w:hint="default"/>
      </w:rPr>
    </w:lvl>
    <w:lvl w:ilvl="4">
      <w:start w:val="0"/>
      <w:numFmt w:val="bullet"/>
      <w:lvlText w:val="•"/>
      <w:lvlJc w:val="left"/>
      <w:pPr>
        <w:ind w:left="9051" w:hanging="317"/>
      </w:pPr>
      <w:rPr>
        <w:rFonts w:hint="default"/>
      </w:rPr>
    </w:lvl>
    <w:lvl w:ilvl="5">
      <w:start w:val="0"/>
      <w:numFmt w:val="bullet"/>
      <w:lvlText w:val="•"/>
      <w:lvlJc w:val="left"/>
      <w:pPr>
        <w:ind w:left="10519" w:hanging="317"/>
      </w:pPr>
      <w:rPr>
        <w:rFonts w:hint="default"/>
      </w:rPr>
    </w:lvl>
    <w:lvl w:ilvl="6">
      <w:start w:val="0"/>
      <w:numFmt w:val="bullet"/>
      <w:lvlText w:val="•"/>
      <w:lvlJc w:val="left"/>
      <w:pPr>
        <w:ind w:left="11987" w:hanging="317"/>
      </w:pPr>
      <w:rPr>
        <w:rFonts w:hint="default"/>
      </w:rPr>
    </w:lvl>
    <w:lvl w:ilvl="7">
      <w:start w:val="0"/>
      <w:numFmt w:val="bullet"/>
      <w:lvlText w:val="•"/>
      <w:lvlJc w:val="left"/>
      <w:pPr>
        <w:ind w:left="13455" w:hanging="317"/>
      </w:pPr>
      <w:rPr>
        <w:rFonts w:hint="default"/>
      </w:rPr>
    </w:lvl>
    <w:lvl w:ilvl="8">
      <w:start w:val="0"/>
      <w:numFmt w:val="bullet"/>
      <w:lvlText w:val="•"/>
      <w:lvlJc w:val="left"/>
      <w:pPr>
        <w:ind w:left="14923" w:hanging="317"/>
      </w:pPr>
      <w:rPr>
        <w:rFonts w:hint="default"/>
      </w:rPr>
    </w:lvl>
  </w:abstractNum>
  <w:abstractNum w:abstractNumId="106">
    <w:nsid w:val="75104FAF"/>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1"/>
      <w:numFmt w:val="decimal"/>
      <w:lvlText w:val="(%2)"/>
      <w:lvlJc w:val="left"/>
      <w:pPr>
        <w:ind w:left="3960" w:hanging="540"/>
        <w:jc w:val="left"/>
      </w:pPr>
      <w:rPr>
        <w:rFonts w:ascii="宋体" w:eastAsia="宋体" w:hAnsi="宋体" w:cs="宋体" w:hint="default"/>
        <w:w w:val="102"/>
        <w:sz w:val="31"/>
        <w:szCs w:val="31"/>
      </w:rPr>
    </w:lvl>
    <w:lvl w:ilvl="2">
      <w:start w:val="0"/>
      <w:numFmt w:val="bullet"/>
      <w:lvlText w:val="•"/>
      <w:lvlJc w:val="left"/>
      <w:pPr>
        <w:ind w:left="5504" w:hanging="540"/>
      </w:pPr>
      <w:rPr>
        <w:rFonts w:hint="default"/>
      </w:rPr>
    </w:lvl>
    <w:lvl w:ilvl="3">
      <w:start w:val="0"/>
      <w:numFmt w:val="bullet"/>
      <w:lvlText w:val="•"/>
      <w:lvlJc w:val="left"/>
      <w:pPr>
        <w:ind w:left="7048" w:hanging="540"/>
      </w:pPr>
      <w:rPr>
        <w:rFonts w:hint="default"/>
      </w:rPr>
    </w:lvl>
    <w:lvl w:ilvl="4">
      <w:start w:val="0"/>
      <w:numFmt w:val="bullet"/>
      <w:lvlText w:val="•"/>
      <w:lvlJc w:val="left"/>
      <w:pPr>
        <w:ind w:left="8593" w:hanging="540"/>
      </w:pPr>
      <w:rPr>
        <w:rFonts w:hint="default"/>
      </w:rPr>
    </w:lvl>
    <w:lvl w:ilvl="5">
      <w:start w:val="0"/>
      <w:numFmt w:val="bullet"/>
      <w:lvlText w:val="•"/>
      <w:lvlJc w:val="left"/>
      <w:pPr>
        <w:ind w:left="10137" w:hanging="540"/>
      </w:pPr>
      <w:rPr>
        <w:rFonts w:hint="default"/>
      </w:rPr>
    </w:lvl>
    <w:lvl w:ilvl="6">
      <w:start w:val="0"/>
      <w:numFmt w:val="bullet"/>
      <w:lvlText w:val="•"/>
      <w:lvlJc w:val="left"/>
      <w:pPr>
        <w:ind w:left="11682" w:hanging="540"/>
      </w:pPr>
      <w:rPr>
        <w:rFonts w:hint="default"/>
      </w:rPr>
    </w:lvl>
    <w:lvl w:ilvl="7">
      <w:start w:val="0"/>
      <w:numFmt w:val="bullet"/>
      <w:lvlText w:val="•"/>
      <w:lvlJc w:val="left"/>
      <w:pPr>
        <w:ind w:left="13226" w:hanging="540"/>
      </w:pPr>
      <w:rPr>
        <w:rFonts w:hint="default"/>
      </w:rPr>
    </w:lvl>
    <w:lvl w:ilvl="8">
      <w:start w:val="0"/>
      <w:numFmt w:val="bullet"/>
      <w:lvlText w:val="•"/>
      <w:lvlJc w:val="left"/>
      <w:pPr>
        <w:ind w:left="14770" w:hanging="540"/>
      </w:pPr>
      <w:rPr>
        <w:rFonts w:hint="default"/>
      </w:rPr>
    </w:lvl>
  </w:abstractNum>
  <w:abstractNum w:abstractNumId="107">
    <w:nsid w:val="752F1104"/>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08">
    <w:nsid w:val="7720823C"/>
    <w:multiLevelType w:val="hybridMultilevel"/>
    <w:tmpl w:val="00000000"/>
    <w:lvl w:ilvl="0">
      <w:start w:val="2"/>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09">
    <w:nsid w:val="780AA7A1"/>
    <w:multiLevelType w:val="hybridMultilevel"/>
    <w:tmpl w:val="00000000"/>
    <w:lvl w:ilvl="0">
      <w:start w:val="3"/>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10">
    <w:nsid w:val="798989CA"/>
    <w:multiLevelType w:val="hybridMultilevel"/>
    <w:tmpl w:val="00000000"/>
    <w:lvl w:ilvl="0">
      <w:start w:val="1"/>
      <w:numFmt w:val="decimal"/>
      <w:lvlText w:val="%1."/>
      <w:lvlJc w:val="left"/>
      <w:pPr>
        <w:ind w:left="3018" w:hanging="318"/>
        <w:jc w:val="lef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111">
    <w:nsid w:val="7A0A620B"/>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12">
    <w:nsid w:val="7B07DB3E"/>
    <w:multiLevelType w:val="hybridMultilevel"/>
    <w:tmpl w:val="00000000"/>
    <w:lvl w:ilvl="0">
      <w:start w:val="1"/>
      <w:numFmt w:val="upperLetter"/>
      <w:lvlText w:val="%1."/>
      <w:lvlJc w:val="left"/>
      <w:pPr>
        <w:ind w:left="3017" w:hanging="318"/>
        <w:jc w:val="right"/>
      </w:pPr>
      <w:rPr>
        <w:rFonts w:ascii="宋体" w:eastAsia="宋体" w:hAnsi="宋体" w:cs="宋体" w:hint="default"/>
        <w:spacing w:val="-1"/>
        <w:w w:val="102"/>
        <w:sz w:val="29"/>
        <w:szCs w:val="29"/>
      </w:rPr>
    </w:lvl>
    <w:lvl w:ilvl="1">
      <w:start w:val="0"/>
      <w:numFmt w:val="bullet"/>
      <w:lvlText w:val="•"/>
      <w:lvlJc w:val="left"/>
      <w:pPr>
        <w:ind w:left="4503" w:hanging="318"/>
      </w:pPr>
      <w:rPr>
        <w:rFonts w:hint="default"/>
      </w:rPr>
    </w:lvl>
    <w:lvl w:ilvl="2">
      <w:start w:val="0"/>
      <w:numFmt w:val="bullet"/>
      <w:lvlText w:val="•"/>
      <w:lvlJc w:val="left"/>
      <w:pPr>
        <w:ind w:left="5987" w:hanging="318"/>
      </w:pPr>
      <w:rPr>
        <w:rFonts w:hint="default"/>
      </w:rPr>
    </w:lvl>
    <w:lvl w:ilvl="3">
      <w:start w:val="0"/>
      <w:numFmt w:val="bullet"/>
      <w:lvlText w:val="•"/>
      <w:lvlJc w:val="left"/>
      <w:pPr>
        <w:ind w:left="7471" w:hanging="318"/>
      </w:pPr>
      <w:rPr>
        <w:rFonts w:hint="default"/>
      </w:rPr>
    </w:lvl>
    <w:lvl w:ilvl="4">
      <w:start w:val="0"/>
      <w:numFmt w:val="bullet"/>
      <w:lvlText w:val="•"/>
      <w:lvlJc w:val="left"/>
      <w:pPr>
        <w:ind w:left="8955" w:hanging="318"/>
      </w:pPr>
      <w:rPr>
        <w:rFonts w:hint="default"/>
      </w:rPr>
    </w:lvl>
    <w:lvl w:ilvl="5">
      <w:start w:val="0"/>
      <w:numFmt w:val="bullet"/>
      <w:lvlText w:val="•"/>
      <w:lvlJc w:val="left"/>
      <w:pPr>
        <w:ind w:left="10439" w:hanging="318"/>
      </w:pPr>
      <w:rPr>
        <w:rFonts w:hint="default"/>
      </w:rPr>
    </w:lvl>
    <w:lvl w:ilvl="6">
      <w:start w:val="0"/>
      <w:numFmt w:val="bullet"/>
      <w:lvlText w:val="•"/>
      <w:lvlJc w:val="left"/>
      <w:pPr>
        <w:ind w:left="11923" w:hanging="318"/>
      </w:pPr>
      <w:rPr>
        <w:rFonts w:hint="default"/>
      </w:rPr>
    </w:lvl>
    <w:lvl w:ilvl="7">
      <w:start w:val="0"/>
      <w:numFmt w:val="bullet"/>
      <w:lvlText w:val="•"/>
      <w:lvlJc w:val="left"/>
      <w:pPr>
        <w:ind w:left="13407" w:hanging="318"/>
      </w:pPr>
      <w:rPr>
        <w:rFonts w:hint="default"/>
      </w:rPr>
    </w:lvl>
    <w:lvl w:ilvl="8">
      <w:start w:val="0"/>
      <w:numFmt w:val="bullet"/>
      <w:lvlText w:val="•"/>
      <w:lvlJc w:val="left"/>
      <w:pPr>
        <w:ind w:left="14891" w:hanging="318"/>
      </w:pPr>
      <w:rPr>
        <w:rFonts w:hint="default"/>
      </w:rPr>
    </w:lvl>
  </w:abstractNum>
  <w:abstractNum w:abstractNumId="113">
    <w:nsid w:val="7BD83E4C"/>
    <w:multiLevelType w:val="hybridMultilevel"/>
    <w:tmpl w:val="00000000"/>
    <w:lvl w:ilvl="0">
      <w:start w:val="4"/>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14">
    <w:nsid w:val="7C462D57"/>
    <w:multiLevelType w:val="hybridMultilevel"/>
    <w:tmpl w:val="00000000"/>
    <w:lvl w:ilvl="0">
      <w:start w:val="1"/>
      <w:numFmt w:val="decimal"/>
      <w:lvlText w:val="%1."/>
      <w:lvlJc w:val="left"/>
      <w:pPr>
        <w:ind w:left="3334" w:hanging="634"/>
        <w:jc w:val="left"/>
      </w:pPr>
      <w:rPr>
        <w:rFonts w:ascii="宋体" w:eastAsia="宋体" w:hAnsi="宋体" w:cs="宋体" w:hint="default"/>
        <w:w w:val="102"/>
        <w:sz w:val="31"/>
        <w:szCs w:val="31"/>
      </w:rPr>
    </w:lvl>
    <w:lvl w:ilvl="1">
      <w:start w:val="1"/>
      <w:numFmt w:val="decimal"/>
      <w:lvlText w:val="%2."/>
      <w:lvlJc w:val="left"/>
      <w:pPr>
        <w:ind w:left="2700" w:hanging="634"/>
        <w:jc w:val="left"/>
      </w:pPr>
      <w:rPr>
        <w:rFonts w:ascii="宋体" w:eastAsia="宋体" w:hAnsi="宋体" w:cs="宋体" w:hint="default"/>
        <w:w w:val="102"/>
        <w:sz w:val="31"/>
        <w:szCs w:val="31"/>
      </w:rPr>
    </w:lvl>
    <w:lvl w:ilvl="2">
      <w:start w:val="0"/>
      <w:numFmt w:val="bullet"/>
      <w:lvlText w:val="•"/>
      <w:lvlJc w:val="left"/>
      <w:pPr>
        <w:ind w:left="4953" w:hanging="634"/>
      </w:pPr>
      <w:rPr>
        <w:rFonts w:hint="default"/>
      </w:rPr>
    </w:lvl>
    <w:lvl w:ilvl="3">
      <w:start w:val="0"/>
      <w:numFmt w:val="bullet"/>
      <w:lvlText w:val="•"/>
      <w:lvlJc w:val="left"/>
      <w:pPr>
        <w:ind w:left="6566" w:hanging="634"/>
      </w:pPr>
      <w:rPr>
        <w:rFonts w:hint="default"/>
      </w:rPr>
    </w:lvl>
    <w:lvl w:ilvl="4">
      <w:start w:val="0"/>
      <w:numFmt w:val="bullet"/>
      <w:lvlText w:val="•"/>
      <w:lvlJc w:val="left"/>
      <w:pPr>
        <w:ind w:left="8179" w:hanging="634"/>
      </w:pPr>
      <w:rPr>
        <w:rFonts w:hint="default"/>
      </w:rPr>
    </w:lvl>
    <w:lvl w:ilvl="5">
      <w:start w:val="0"/>
      <w:numFmt w:val="bullet"/>
      <w:lvlText w:val="•"/>
      <w:lvlJc w:val="left"/>
      <w:pPr>
        <w:ind w:left="9793" w:hanging="634"/>
      </w:pPr>
      <w:rPr>
        <w:rFonts w:hint="default"/>
      </w:rPr>
    </w:lvl>
    <w:lvl w:ilvl="6">
      <w:start w:val="0"/>
      <w:numFmt w:val="bullet"/>
      <w:lvlText w:val="•"/>
      <w:lvlJc w:val="left"/>
      <w:pPr>
        <w:ind w:left="11406" w:hanging="634"/>
      </w:pPr>
      <w:rPr>
        <w:rFonts w:hint="default"/>
      </w:rPr>
    </w:lvl>
    <w:lvl w:ilvl="7">
      <w:start w:val="0"/>
      <w:numFmt w:val="bullet"/>
      <w:lvlText w:val="•"/>
      <w:lvlJc w:val="left"/>
      <w:pPr>
        <w:ind w:left="13019" w:hanging="634"/>
      </w:pPr>
      <w:rPr>
        <w:rFonts w:hint="default"/>
      </w:rPr>
    </w:lvl>
    <w:lvl w:ilvl="8">
      <w:start w:val="0"/>
      <w:numFmt w:val="bullet"/>
      <w:lvlText w:val="•"/>
      <w:lvlJc w:val="left"/>
      <w:pPr>
        <w:ind w:left="14633" w:hanging="634"/>
      </w:pPr>
      <w:rPr>
        <w:rFonts w:hint="default"/>
      </w:rPr>
    </w:lvl>
  </w:abstractNum>
  <w:abstractNum w:abstractNumId="115">
    <w:nsid w:val="7CB67EB8"/>
    <w:multiLevelType w:val="hybridMultilevel"/>
    <w:tmpl w:val="00000000"/>
    <w:lvl w:ilvl="0">
      <w:start w:val="4"/>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16">
    <w:nsid w:val="7D2E4A5B"/>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17">
    <w:nsid w:val="7ED014BA"/>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18">
    <w:nsid w:val="7F5027BB"/>
    <w:multiLevelType w:val="hybridMultilevel"/>
    <w:tmpl w:val="00000000"/>
    <w:lvl w:ilvl="0">
      <w:start w:val="2"/>
      <w:numFmt w:val="upperLetter"/>
      <w:lvlText w:val="%1"/>
      <w:lvlJc w:val="left"/>
      <w:pPr>
        <w:ind w:left="3492" w:hanging="317"/>
        <w:jc w:val="left"/>
      </w:pPr>
      <w:rPr>
        <w:rFonts w:ascii="宋体" w:eastAsia="宋体" w:hAnsi="宋体" w:cs="宋体" w:hint="default"/>
        <w:color w:val="FF0000"/>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19">
    <w:nsid w:val="7F59A9B7"/>
    <w:multiLevelType w:val="hybridMultilevel"/>
    <w:tmpl w:val="00000000"/>
    <w:lvl w:ilvl="0">
      <w:start w:val="1"/>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abstractNum w:abstractNumId="120">
    <w:nsid w:val="7F65696E"/>
    <w:multiLevelType w:val="hybridMultilevel"/>
    <w:tmpl w:val="00000000"/>
    <w:lvl w:ilvl="0">
      <w:start w:val="4"/>
      <w:numFmt w:val="upperLetter"/>
      <w:lvlText w:val="%1"/>
      <w:lvlJc w:val="left"/>
      <w:pPr>
        <w:ind w:left="3492" w:hanging="317"/>
        <w:jc w:val="left"/>
      </w:pPr>
      <w:rPr>
        <w:rFonts w:ascii="宋体" w:eastAsia="宋体" w:hAnsi="宋体" w:cs="宋体" w:hint="default"/>
        <w:w w:val="102"/>
        <w:sz w:val="31"/>
        <w:szCs w:val="31"/>
      </w:rPr>
    </w:lvl>
    <w:lvl w:ilvl="1">
      <w:start w:val="0"/>
      <w:numFmt w:val="bullet"/>
      <w:lvlText w:val="•"/>
      <w:lvlJc w:val="left"/>
      <w:pPr>
        <w:ind w:left="4935" w:hanging="317"/>
      </w:pPr>
      <w:rPr>
        <w:rFonts w:hint="default"/>
      </w:rPr>
    </w:lvl>
    <w:lvl w:ilvl="2">
      <w:start w:val="0"/>
      <w:numFmt w:val="bullet"/>
      <w:lvlText w:val="•"/>
      <w:lvlJc w:val="left"/>
      <w:pPr>
        <w:ind w:left="6371" w:hanging="317"/>
      </w:pPr>
      <w:rPr>
        <w:rFonts w:hint="default"/>
      </w:rPr>
    </w:lvl>
    <w:lvl w:ilvl="3">
      <w:start w:val="0"/>
      <w:numFmt w:val="bullet"/>
      <w:lvlText w:val="•"/>
      <w:lvlJc w:val="left"/>
      <w:pPr>
        <w:ind w:left="7807" w:hanging="317"/>
      </w:pPr>
      <w:rPr>
        <w:rFonts w:hint="default"/>
      </w:rPr>
    </w:lvl>
    <w:lvl w:ilvl="4">
      <w:start w:val="0"/>
      <w:numFmt w:val="bullet"/>
      <w:lvlText w:val="•"/>
      <w:lvlJc w:val="left"/>
      <w:pPr>
        <w:ind w:left="9243" w:hanging="317"/>
      </w:pPr>
      <w:rPr>
        <w:rFonts w:hint="default"/>
      </w:rPr>
    </w:lvl>
    <w:lvl w:ilvl="5">
      <w:start w:val="0"/>
      <w:numFmt w:val="bullet"/>
      <w:lvlText w:val="•"/>
      <w:lvlJc w:val="left"/>
      <w:pPr>
        <w:ind w:left="10679" w:hanging="317"/>
      </w:pPr>
      <w:rPr>
        <w:rFonts w:hint="default"/>
      </w:rPr>
    </w:lvl>
    <w:lvl w:ilvl="6">
      <w:start w:val="0"/>
      <w:numFmt w:val="bullet"/>
      <w:lvlText w:val="•"/>
      <w:lvlJc w:val="left"/>
      <w:pPr>
        <w:ind w:left="12115" w:hanging="317"/>
      </w:pPr>
      <w:rPr>
        <w:rFonts w:hint="default"/>
      </w:rPr>
    </w:lvl>
    <w:lvl w:ilvl="7">
      <w:start w:val="0"/>
      <w:numFmt w:val="bullet"/>
      <w:lvlText w:val="•"/>
      <w:lvlJc w:val="left"/>
      <w:pPr>
        <w:ind w:left="13551" w:hanging="317"/>
      </w:pPr>
      <w:rPr>
        <w:rFonts w:hint="default"/>
      </w:rPr>
    </w:lvl>
    <w:lvl w:ilvl="8">
      <w:start w:val="0"/>
      <w:numFmt w:val="bullet"/>
      <w:lvlText w:val="•"/>
      <w:lvlJc w:val="left"/>
      <w:pPr>
        <w:ind w:left="14987" w:hanging="317"/>
      </w:pPr>
      <w:rPr>
        <w:rFonts w:hint="default"/>
      </w:rPr>
    </w:lvl>
  </w:abstractNum>
  <w:num w:numId="1">
    <w:abstractNumId w:val="76"/>
  </w:num>
  <w:num w:numId="2">
    <w:abstractNumId w:val="35"/>
  </w:num>
  <w:num w:numId="3">
    <w:abstractNumId w:val="19"/>
  </w:num>
  <w:num w:numId="4">
    <w:abstractNumId w:val="14"/>
  </w:num>
  <w:num w:numId="5">
    <w:abstractNumId w:val="114"/>
  </w:num>
  <w:num w:numId="6">
    <w:abstractNumId w:val="116"/>
  </w:num>
  <w:num w:numId="7">
    <w:abstractNumId w:val="71"/>
  </w:num>
  <w:num w:numId="8">
    <w:abstractNumId w:val="25"/>
  </w:num>
  <w:num w:numId="9">
    <w:abstractNumId w:val="39"/>
  </w:num>
  <w:num w:numId="10">
    <w:abstractNumId w:val="101"/>
  </w:num>
  <w:num w:numId="11">
    <w:abstractNumId w:val="107"/>
  </w:num>
  <w:num w:numId="12">
    <w:abstractNumId w:val="3"/>
  </w:num>
  <w:num w:numId="13">
    <w:abstractNumId w:val="1"/>
  </w:num>
  <w:num w:numId="14">
    <w:abstractNumId w:val="98"/>
  </w:num>
  <w:num w:numId="15">
    <w:abstractNumId w:val="28"/>
  </w:num>
  <w:num w:numId="16">
    <w:abstractNumId w:val="32"/>
  </w:num>
  <w:num w:numId="17">
    <w:abstractNumId w:val="8"/>
  </w:num>
  <w:num w:numId="18">
    <w:abstractNumId w:val="29"/>
  </w:num>
  <w:num w:numId="19">
    <w:abstractNumId w:val="33"/>
  </w:num>
  <w:num w:numId="20">
    <w:abstractNumId w:val="100"/>
  </w:num>
  <w:num w:numId="21">
    <w:abstractNumId w:val="30"/>
  </w:num>
  <w:num w:numId="22">
    <w:abstractNumId w:val="80"/>
  </w:num>
  <w:num w:numId="23">
    <w:abstractNumId w:val="64"/>
  </w:num>
  <w:num w:numId="24">
    <w:abstractNumId w:val="60"/>
  </w:num>
  <w:num w:numId="25">
    <w:abstractNumId w:val="11"/>
  </w:num>
  <w:num w:numId="26">
    <w:abstractNumId w:val="7"/>
  </w:num>
  <w:num w:numId="27">
    <w:abstractNumId w:val="34"/>
  </w:num>
  <w:num w:numId="28">
    <w:abstractNumId w:val="65"/>
  </w:num>
  <w:num w:numId="29">
    <w:abstractNumId w:val="56"/>
  </w:num>
  <w:num w:numId="30">
    <w:abstractNumId w:val="44"/>
  </w:num>
  <w:num w:numId="31">
    <w:abstractNumId w:val="53"/>
  </w:num>
  <w:num w:numId="32">
    <w:abstractNumId w:val="120"/>
  </w:num>
  <w:num w:numId="33">
    <w:abstractNumId w:val="16"/>
  </w:num>
  <w:num w:numId="34">
    <w:abstractNumId w:val="75"/>
  </w:num>
  <w:num w:numId="35">
    <w:abstractNumId w:val="94"/>
  </w:num>
  <w:num w:numId="36">
    <w:abstractNumId w:val="47"/>
  </w:num>
  <w:num w:numId="37">
    <w:abstractNumId w:val="87"/>
  </w:num>
  <w:num w:numId="38">
    <w:abstractNumId w:val="17"/>
  </w:num>
  <w:num w:numId="39">
    <w:abstractNumId w:val="37"/>
  </w:num>
  <w:num w:numId="40">
    <w:abstractNumId w:val="31"/>
  </w:num>
  <w:num w:numId="41">
    <w:abstractNumId w:val="95"/>
  </w:num>
  <w:num w:numId="42">
    <w:abstractNumId w:val="111"/>
  </w:num>
  <w:num w:numId="43">
    <w:abstractNumId w:val="21"/>
  </w:num>
  <w:num w:numId="44">
    <w:abstractNumId w:val="92"/>
  </w:num>
  <w:num w:numId="45">
    <w:abstractNumId w:val="0"/>
  </w:num>
  <w:num w:numId="46">
    <w:abstractNumId w:val="113"/>
  </w:num>
  <w:num w:numId="47">
    <w:abstractNumId w:val="23"/>
  </w:num>
  <w:num w:numId="48">
    <w:abstractNumId w:val="105"/>
  </w:num>
  <w:num w:numId="49">
    <w:abstractNumId w:val="102"/>
  </w:num>
  <w:num w:numId="50">
    <w:abstractNumId w:val="27"/>
  </w:num>
  <w:num w:numId="51">
    <w:abstractNumId w:val="24"/>
  </w:num>
  <w:num w:numId="52">
    <w:abstractNumId w:val="58"/>
  </w:num>
  <w:num w:numId="53">
    <w:abstractNumId w:val="103"/>
  </w:num>
  <w:num w:numId="54">
    <w:abstractNumId w:val="72"/>
  </w:num>
  <w:num w:numId="55">
    <w:abstractNumId w:val="77"/>
  </w:num>
  <w:num w:numId="56">
    <w:abstractNumId w:val="79"/>
  </w:num>
  <w:num w:numId="57">
    <w:abstractNumId w:val="12"/>
  </w:num>
  <w:num w:numId="58">
    <w:abstractNumId w:val="117"/>
  </w:num>
  <w:num w:numId="59">
    <w:abstractNumId w:val="104"/>
  </w:num>
  <w:num w:numId="60">
    <w:abstractNumId w:val="99"/>
  </w:num>
  <w:num w:numId="61">
    <w:abstractNumId w:val="91"/>
  </w:num>
  <w:num w:numId="62">
    <w:abstractNumId w:val="9"/>
  </w:num>
  <w:num w:numId="63">
    <w:abstractNumId w:val="62"/>
  </w:num>
  <w:num w:numId="64">
    <w:abstractNumId w:val="4"/>
  </w:num>
  <w:num w:numId="65">
    <w:abstractNumId w:val="59"/>
  </w:num>
  <w:num w:numId="66">
    <w:abstractNumId w:val="89"/>
  </w:num>
  <w:num w:numId="67">
    <w:abstractNumId w:val="70"/>
  </w:num>
  <w:num w:numId="68">
    <w:abstractNumId w:val="51"/>
  </w:num>
  <w:num w:numId="69">
    <w:abstractNumId w:val="66"/>
  </w:num>
  <w:num w:numId="70">
    <w:abstractNumId w:val="86"/>
  </w:num>
  <w:num w:numId="71">
    <w:abstractNumId w:val="67"/>
  </w:num>
  <w:num w:numId="72">
    <w:abstractNumId w:val="73"/>
  </w:num>
  <w:num w:numId="73">
    <w:abstractNumId w:val="97"/>
  </w:num>
  <w:num w:numId="74">
    <w:abstractNumId w:val="81"/>
  </w:num>
  <w:num w:numId="75">
    <w:abstractNumId w:val="22"/>
  </w:num>
  <w:num w:numId="76">
    <w:abstractNumId w:val="68"/>
  </w:num>
  <w:num w:numId="77">
    <w:abstractNumId w:val="69"/>
  </w:num>
  <w:num w:numId="78">
    <w:abstractNumId w:val="52"/>
  </w:num>
  <w:num w:numId="79">
    <w:abstractNumId w:val="42"/>
  </w:num>
  <w:num w:numId="80">
    <w:abstractNumId w:val="54"/>
  </w:num>
  <w:num w:numId="81">
    <w:abstractNumId w:val="106"/>
  </w:num>
  <w:num w:numId="82">
    <w:abstractNumId w:val="96"/>
  </w:num>
  <w:num w:numId="83">
    <w:abstractNumId w:val="10"/>
  </w:num>
  <w:num w:numId="84">
    <w:abstractNumId w:val="5"/>
  </w:num>
  <w:num w:numId="85">
    <w:abstractNumId w:val="41"/>
  </w:num>
  <w:num w:numId="86">
    <w:abstractNumId w:val="110"/>
  </w:num>
  <w:num w:numId="87">
    <w:abstractNumId w:val="115"/>
  </w:num>
  <w:num w:numId="88">
    <w:abstractNumId w:val="2"/>
  </w:num>
  <w:num w:numId="89">
    <w:abstractNumId w:val="83"/>
  </w:num>
  <w:num w:numId="90">
    <w:abstractNumId w:val="63"/>
  </w:num>
  <w:num w:numId="91">
    <w:abstractNumId w:val="50"/>
  </w:num>
  <w:num w:numId="92">
    <w:abstractNumId w:val="49"/>
  </w:num>
  <w:num w:numId="93">
    <w:abstractNumId w:val="109"/>
  </w:num>
  <w:num w:numId="94">
    <w:abstractNumId w:val="74"/>
  </w:num>
  <w:num w:numId="95">
    <w:abstractNumId w:val="40"/>
  </w:num>
  <w:num w:numId="96">
    <w:abstractNumId w:val="6"/>
  </w:num>
  <w:num w:numId="97">
    <w:abstractNumId w:val="48"/>
  </w:num>
  <w:num w:numId="98">
    <w:abstractNumId w:val="93"/>
  </w:num>
  <w:num w:numId="99">
    <w:abstractNumId w:val="112"/>
  </w:num>
  <w:num w:numId="100">
    <w:abstractNumId w:val="108"/>
  </w:num>
  <w:num w:numId="101">
    <w:abstractNumId w:val="78"/>
  </w:num>
  <w:num w:numId="102">
    <w:abstractNumId w:val="61"/>
  </w:num>
  <w:num w:numId="103">
    <w:abstractNumId w:val="90"/>
  </w:num>
  <w:num w:numId="104">
    <w:abstractNumId w:val="15"/>
  </w:num>
  <w:num w:numId="105">
    <w:abstractNumId w:val="36"/>
  </w:num>
  <w:num w:numId="106">
    <w:abstractNumId w:val="55"/>
  </w:num>
  <w:num w:numId="107">
    <w:abstractNumId w:val="26"/>
  </w:num>
  <w:num w:numId="108">
    <w:abstractNumId w:val="57"/>
  </w:num>
  <w:num w:numId="109">
    <w:abstractNumId w:val="119"/>
  </w:num>
  <w:num w:numId="110">
    <w:abstractNumId w:val="84"/>
  </w:num>
  <w:num w:numId="111">
    <w:abstractNumId w:val="43"/>
  </w:num>
  <w:num w:numId="112">
    <w:abstractNumId w:val="118"/>
  </w:num>
  <w:num w:numId="113">
    <w:abstractNumId w:val="45"/>
  </w:num>
  <w:num w:numId="114">
    <w:abstractNumId w:val="82"/>
  </w:num>
  <w:num w:numId="115">
    <w:abstractNumId w:val="20"/>
  </w:num>
  <w:num w:numId="116">
    <w:abstractNumId w:val="18"/>
  </w:num>
  <w:num w:numId="117">
    <w:abstractNumId w:val="85"/>
  </w:num>
  <w:num w:numId="118">
    <w:abstractNumId w:val="38"/>
  </w:num>
  <w:num w:numId="119">
    <w:abstractNumId w:val="46"/>
  </w:num>
  <w:num w:numId="120">
    <w:abstractNumId w:val="13"/>
  </w:num>
  <w:num w:numId="121">
    <w:abstractNumId w:val="8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335" w:lineRule="exact"/>
      <w:ind w:left="332"/>
      <w:outlineLvl w:val="0"/>
    </w:pPr>
    <w:rPr>
      <w:rFonts w:ascii="Arial" w:eastAsia="Arial" w:hAnsi="Arial" w:cs="Arial"/>
      <w:sz w:val="35"/>
      <w:szCs w:val="35"/>
    </w:rPr>
  </w:style>
  <w:style w:type="paragraph" w:styleId="Heading2">
    <w:name w:val="heading 2"/>
    <w:basedOn w:val="Normal"/>
    <w:uiPriority w:val="1"/>
    <w:qFormat/>
    <w:pPr>
      <w:ind w:left="2700"/>
      <w:outlineLvl w:val="1"/>
    </w:pPr>
    <w:rPr>
      <w:rFonts w:ascii="宋体" w:eastAsia="宋体" w:hAnsi="宋体" w:cs="宋体"/>
      <w:b/>
      <w:bCs/>
      <w:sz w:val="31"/>
      <w:szCs w:val="31"/>
    </w:rPr>
  </w:style>
  <w:style w:type="paragraph" w:styleId="Heading3">
    <w:name w:val="heading 3"/>
    <w:basedOn w:val="Normal"/>
    <w:uiPriority w:val="1"/>
    <w:qFormat/>
    <w:pPr>
      <w:spacing w:before="40"/>
      <w:ind w:left="2700"/>
      <w:outlineLvl w:val="2"/>
    </w:pPr>
    <w:rPr>
      <w:rFonts w:ascii="宋体" w:eastAsia="宋体" w:hAnsi="宋体" w:cs="宋体"/>
      <w:b/>
      <w:bCs/>
      <w:i/>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00"/>
    </w:pPr>
    <w:rPr>
      <w:rFonts w:ascii="宋体" w:eastAsia="宋体" w:hAnsi="宋体" w:cs="宋体"/>
      <w:sz w:val="31"/>
      <w:szCs w:val="31"/>
    </w:rPr>
  </w:style>
  <w:style w:type="paragraph" w:styleId="ListParagraph">
    <w:name w:val="List Paragraph"/>
    <w:basedOn w:val="Normal"/>
    <w:uiPriority w:val="1"/>
    <w:qFormat/>
    <w:pPr>
      <w:spacing w:before="71"/>
      <w:ind w:left="3492" w:hanging="31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eader" Target="header1.xml" /><Relationship Id="rId19" Type="http://schemas.openxmlformats.org/officeDocument/2006/relationships/header" Target="header2.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header" Target="header4.xml" /><Relationship Id="rId22" Type="http://schemas.openxmlformats.org/officeDocument/2006/relationships/header" Target="header5.xml" /><Relationship Id="rId23" Type="http://schemas.openxmlformats.org/officeDocument/2006/relationships/image" Target="media/image16.png" /><Relationship Id="rId24" Type="http://schemas.openxmlformats.org/officeDocument/2006/relationships/header" Target="header6.xml"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header" Target="header10.xml" /><Relationship Id="rId32" Type="http://schemas.openxmlformats.org/officeDocument/2006/relationships/header" Target="header11.xml" /><Relationship Id="rId33" Type="http://schemas.openxmlformats.org/officeDocument/2006/relationships/image" Target="media/image20.png" /><Relationship Id="rId34" Type="http://schemas.openxmlformats.org/officeDocument/2006/relationships/header" Target="header12.xml"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header" Target="head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header" Target="header19.xml" /><Relationship Id="rId42" Type="http://schemas.openxmlformats.org/officeDocument/2006/relationships/image" Target="media/image21.png" /><Relationship Id="rId43" Type="http://schemas.openxmlformats.org/officeDocument/2006/relationships/header" Target="header20.xml" /><Relationship Id="rId44" Type="http://schemas.openxmlformats.org/officeDocument/2006/relationships/header" Target="header21.xml" /><Relationship Id="rId45" Type="http://schemas.openxmlformats.org/officeDocument/2006/relationships/image" Target="media/image22.png"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header" Target="header24.xml" /><Relationship Id="rId49" Type="http://schemas.openxmlformats.org/officeDocument/2006/relationships/header" Target="header25.xml" /><Relationship Id="rId5" Type="http://schemas.openxmlformats.org/officeDocument/2006/relationships/image" Target="media/image2.png" /><Relationship Id="rId50" Type="http://schemas.openxmlformats.org/officeDocument/2006/relationships/header" Target="header26.xml" /><Relationship Id="rId51" Type="http://schemas.openxmlformats.org/officeDocument/2006/relationships/header" Target="header27.xml" /><Relationship Id="rId52" Type="http://schemas.openxmlformats.org/officeDocument/2006/relationships/header" Target="header28.xml" /><Relationship Id="rId53" Type="http://schemas.openxmlformats.org/officeDocument/2006/relationships/header" Target="header29.xml" /><Relationship Id="rId54" Type="http://schemas.openxmlformats.org/officeDocument/2006/relationships/header" Target="header30.xml" /><Relationship Id="rId55" Type="http://schemas.openxmlformats.org/officeDocument/2006/relationships/hyperlink" Target="https://d.book118.com/666042232130010101" TargetMode="External" /><Relationship Id="rId56" Type="http://schemas.openxmlformats.org/officeDocument/2006/relationships/header" Target="header31.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15.png" /></Relationships>
</file>

<file path=word/_rels/header2.xml.rels><?xml version="1.0" encoding="utf-8" standalone="yes"?><Relationships xmlns="http://schemas.openxmlformats.org/package/2006/relationships"><Relationship Id="rId1" Type="http://schemas.openxmlformats.org/officeDocument/2006/relationships/image" Target="media/image15.png" /></Relationships>
</file>

<file path=word/_rels/header3.xml.rels><?xml version="1.0" encoding="utf-8" standalone="yes"?><Relationships xmlns="http://schemas.openxmlformats.org/package/2006/relationships"><Relationship Id="rId1" Type="http://schemas.openxmlformats.org/officeDocument/2006/relationships/image" Target="media/image15.png" /></Relationships>
</file>

<file path=word/_rels/header4.xml.rels><?xml version="1.0" encoding="utf-8" standalone="yes"?><Relationships xmlns="http://schemas.openxmlformats.org/package/2006/relationships"><Relationship Id="rId1" Type="http://schemas.openxmlformats.org/officeDocument/2006/relationships/image" Target="media/image15.png" /></Relationships>
</file>

<file path=word/_rels/header5.xml.rels><?xml version="1.0" encoding="utf-8" standalone="yes"?><Relationships xmlns="http://schemas.openxmlformats.org/package/2006/relationships"><Relationship Id="rId1" Type="http://schemas.openxmlformats.org/officeDocument/2006/relationships/image" Target="media/image15.png" /></Relationships>
</file>

<file path=word/_rels/header6.xml.rels><?xml version="1.0" encoding="utf-8" standalone="yes"?><Relationships xmlns="http://schemas.openxmlformats.org/package/2006/relationships"><Relationship Id="rId1" Type="http://schemas.openxmlformats.org/officeDocument/2006/relationships/image" Target="media/image15.png" /></Relationships>
</file>

<file path=word/_rels/header7.xml.rels><?xml version="1.0" encoding="utf-8" standalone="yes"?><Relationships xmlns="http://schemas.openxmlformats.org/package/2006/relationships"><Relationship Id="rId1" Type="http://schemas.openxmlformats.org/officeDocument/2006/relationships/image" Target="media/image15.png" /></Relationships>
</file>

<file path=word/_rels/header8.xml.rels><?xml version="1.0" encoding="utf-8" standalone="yes"?><Relationships xmlns="http://schemas.openxmlformats.org/package/2006/relationships"><Relationship Id="rId1" Type="http://schemas.openxmlformats.org/officeDocument/2006/relationships/image" Target="media/image15.png" /></Relationships>
</file>

<file path=word/_rels/header9.xml.rels><?xml version="1.0" encoding="utf-8" standalone="yes"?><Relationships xmlns="http://schemas.openxmlformats.org/package/2006/relationships"><Relationship Id="rId1" Type="http://schemas.openxmlformats.org/officeDocument/2006/relationships/image" Target="media/image15.png" /></Relationships>
</file>

<file path=word/_rels/header10.xml.rels><?xml version="1.0" encoding="utf-8" standalone="yes"?><Relationships xmlns="http://schemas.openxmlformats.org/package/2006/relationships"><Relationship Id="rId1" Type="http://schemas.openxmlformats.org/officeDocument/2006/relationships/image" Target="media/image15.png" /></Relationships>
</file>

<file path=word/_rels/header11.xml.rels><?xml version="1.0" encoding="utf-8" standalone="yes"?><Relationships xmlns="http://schemas.openxmlformats.org/package/2006/relationships"><Relationship Id="rId1" Type="http://schemas.openxmlformats.org/officeDocument/2006/relationships/image" Target="media/image15.png" /></Relationships>
</file>

<file path=word/_rels/header12.xml.rels><?xml version="1.0" encoding="utf-8" standalone="yes"?><Relationships xmlns="http://schemas.openxmlformats.org/package/2006/relationships"><Relationship Id="rId1" Type="http://schemas.openxmlformats.org/officeDocument/2006/relationships/image" Target="media/image15.png" /></Relationships>
</file>

<file path=word/_rels/header13.xml.rels><?xml version="1.0" encoding="utf-8" standalone="yes"?><Relationships xmlns="http://schemas.openxmlformats.org/package/2006/relationships"><Relationship Id="rId1" Type="http://schemas.openxmlformats.org/officeDocument/2006/relationships/image" Target="media/image15.png" /></Relationships>
</file>

<file path=word/_rels/header14.xml.rels><?xml version="1.0" encoding="utf-8" standalone="yes"?><Relationships xmlns="http://schemas.openxmlformats.org/package/2006/relationships"><Relationship Id="rId1" Type="http://schemas.openxmlformats.org/officeDocument/2006/relationships/image" Target="media/image15.png" /></Relationships>
</file>

<file path=word/_rels/header15.xml.rels><?xml version="1.0" encoding="utf-8" standalone="yes"?><Relationships xmlns="http://schemas.openxmlformats.org/package/2006/relationships"><Relationship Id="rId1" Type="http://schemas.openxmlformats.org/officeDocument/2006/relationships/image" Target="media/image15.png" /></Relationships>
</file>

<file path=word/_rels/header16.xml.rels><?xml version="1.0" encoding="utf-8" standalone="yes"?><Relationships xmlns="http://schemas.openxmlformats.org/package/2006/relationships"><Relationship Id="rId1" Type="http://schemas.openxmlformats.org/officeDocument/2006/relationships/image" Target="media/image15.png" /></Relationships>
</file>

<file path=word/_rels/header17.xml.rels><?xml version="1.0" encoding="utf-8" standalone="yes"?><Relationships xmlns="http://schemas.openxmlformats.org/package/2006/relationships"><Relationship Id="rId1" Type="http://schemas.openxmlformats.org/officeDocument/2006/relationships/image" Target="media/image15.png" /></Relationships>
</file>

<file path=word/_rels/header18.xml.rels><?xml version="1.0" encoding="utf-8" standalone="yes"?><Relationships xmlns="http://schemas.openxmlformats.org/package/2006/relationships"><Relationship Id="rId1" Type="http://schemas.openxmlformats.org/officeDocument/2006/relationships/image" Target="media/image15.png" /></Relationships>
</file>

<file path=word/_rels/header19.xml.rels><?xml version="1.0" encoding="utf-8" standalone="yes"?><Relationships xmlns="http://schemas.openxmlformats.org/package/2006/relationships"><Relationship Id="rId1" Type="http://schemas.openxmlformats.org/officeDocument/2006/relationships/image" Target="media/image15.png" /></Relationships>
</file>

<file path=word/_rels/header20.xml.rels><?xml version="1.0" encoding="utf-8" standalone="yes"?><Relationships xmlns="http://schemas.openxmlformats.org/package/2006/relationships"><Relationship Id="rId1" Type="http://schemas.openxmlformats.org/officeDocument/2006/relationships/image" Target="media/image15.png" /></Relationships>
</file>

<file path=word/_rels/header21.xml.rels><?xml version="1.0" encoding="utf-8" standalone="yes"?><Relationships xmlns="http://schemas.openxmlformats.org/package/2006/relationships"><Relationship Id="rId1" Type="http://schemas.openxmlformats.org/officeDocument/2006/relationships/image" Target="media/image15.png" /></Relationships>
</file>

<file path=word/_rels/header22.xml.rels><?xml version="1.0" encoding="utf-8" standalone="yes"?><Relationships xmlns="http://schemas.openxmlformats.org/package/2006/relationships"><Relationship Id="rId1" Type="http://schemas.openxmlformats.org/officeDocument/2006/relationships/image" Target="media/image15.png" /></Relationships>
</file>

<file path=word/_rels/header23.xml.rels><?xml version="1.0" encoding="utf-8" standalone="yes"?><Relationships xmlns="http://schemas.openxmlformats.org/package/2006/relationships"><Relationship Id="rId1" Type="http://schemas.openxmlformats.org/officeDocument/2006/relationships/image" Target="media/image15.png" /></Relationships>
</file>

<file path=word/_rels/header24.xml.rels><?xml version="1.0" encoding="utf-8" standalone="yes"?><Relationships xmlns="http://schemas.openxmlformats.org/package/2006/relationships"><Relationship Id="rId1" Type="http://schemas.openxmlformats.org/officeDocument/2006/relationships/image" Target="media/image15.png" /></Relationships>
</file>

<file path=word/_rels/header25.xml.rels><?xml version="1.0" encoding="utf-8" standalone="yes"?><Relationships xmlns="http://schemas.openxmlformats.org/package/2006/relationships"><Relationship Id="rId1" Type="http://schemas.openxmlformats.org/officeDocument/2006/relationships/image" Target="media/image15.png" /></Relationships>
</file>

<file path=word/_rels/header26.xml.rels><?xml version="1.0" encoding="utf-8" standalone="yes"?><Relationships xmlns="http://schemas.openxmlformats.org/package/2006/relationships"><Relationship Id="rId1" Type="http://schemas.openxmlformats.org/officeDocument/2006/relationships/image" Target="media/image15.png" /></Relationships>
</file>

<file path=word/_rels/header27.xml.rels><?xml version="1.0" encoding="utf-8" standalone="yes"?><Relationships xmlns="http://schemas.openxmlformats.org/package/2006/relationships"><Relationship Id="rId1" Type="http://schemas.openxmlformats.org/officeDocument/2006/relationships/image" Target="media/image15.png" /></Relationships>
</file>

<file path=word/_rels/header28.xml.rels><?xml version="1.0" encoding="utf-8" standalone="yes"?><Relationships xmlns="http://schemas.openxmlformats.org/package/2006/relationships"><Relationship Id="rId1" Type="http://schemas.openxmlformats.org/officeDocument/2006/relationships/image" Target="media/image15.png" /></Relationships>
</file>

<file path=word/_rels/header29.xml.rels><?xml version="1.0" encoding="utf-8" standalone="yes"?><Relationships xmlns="http://schemas.openxmlformats.org/package/2006/relationships"><Relationship Id="rId1" Type="http://schemas.openxmlformats.org/officeDocument/2006/relationships/image" Target="media/image15.png" /></Relationships>
</file>

<file path=word/_rels/header30.xml.rels><?xml version="1.0" encoding="utf-8" standalone="yes"?><Relationships xmlns="http://schemas.openxmlformats.org/package/2006/relationships"><Relationship Id="rId1" Type="http://schemas.openxmlformats.org/officeDocument/2006/relationships/image" Target="media/image15.png" /></Relationships>
</file>

<file path=word/_rels/header31.xml.rels><?xml version="1.0" encoding="utf-8" standalone="yes"?><Relationships xmlns="http://schemas.openxmlformats.org/package/2006/relationships"><Relationship Id="rId1" Type="http://schemas.openxmlformats.org/officeDocument/2006/relationships/image" Target="media/image1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2024-03-03T05:11:46Z</dcterms:created>
  <dcterms:modified xsi:type="dcterms:W3CDTF">2024-03-03T05:11:46Z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2023-01-01T00:00:00Z</vt:filetime>
  </property>
  <property fmtid="{D5CDD505-2E9C-101B-9397-08002B2CF9AE}" pid="3" name="LastSaved">
    <vt:filetime>2024-03-03T00:00:00Z</vt:filetime>
  </property>
</Properties>
</file>